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67D32">
      <w:pPr>
        <w:overflowPunct w:val="0"/>
        <w:spacing w:line="500" w:lineRule="exact"/>
        <w:rPr>
          <w:rFonts w:ascii="宋体" w:cs="宋体"/>
          <w:b/>
          <w:bCs/>
          <w:color w:val="auto"/>
          <w:sz w:val="48"/>
          <w:szCs w:val="48"/>
          <w:highlight w:val="none"/>
        </w:rPr>
      </w:pPr>
    </w:p>
    <w:p w14:paraId="785646CE">
      <w:pPr>
        <w:overflowPunct w:val="0"/>
        <w:spacing w:line="700" w:lineRule="exact"/>
        <w:jc w:val="center"/>
        <w:rPr>
          <w:rFonts w:hint="eastAsia" w:ascii="宋体" w:eastAsia="宋体" w:cs="宋体"/>
          <w:b/>
          <w:bCs/>
          <w:color w:val="auto"/>
          <w:sz w:val="44"/>
          <w:szCs w:val="44"/>
          <w:highlight w:val="none"/>
          <w:lang w:eastAsia="zh-CN"/>
        </w:rPr>
      </w:pPr>
      <w:r>
        <w:rPr>
          <w:rFonts w:hint="eastAsia" w:ascii="宋体" w:hAnsi="宋体" w:cs="宋体"/>
          <w:b/>
          <w:bCs/>
          <w:color w:val="auto"/>
          <w:sz w:val="44"/>
          <w:szCs w:val="44"/>
          <w:highlight w:val="none"/>
          <w:lang w:eastAsia="zh-CN"/>
        </w:rPr>
        <w:t>安吉技师学院工学一体化课程建设采购项目（第二次）</w:t>
      </w:r>
    </w:p>
    <w:p w14:paraId="5437D73D">
      <w:pPr>
        <w:tabs>
          <w:tab w:val="left" w:pos="1276"/>
        </w:tabs>
        <w:overflowPunct w:val="0"/>
        <w:spacing w:line="1000" w:lineRule="exact"/>
        <w:jc w:val="center"/>
        <w:rPr>
          <w:rFonts w:ascii="宋体" w:cs="宋体"/>
          <w:b/>
          <w:color w:val="auto"/>
          <w:sz w:val="72"/>
          <w:szCs w:val="72"/>
          <w:highlight w:val="none"/>
        </w:rPr>
      </w:pPr>
    </w:p>
    <w:p w14:paraId="7BE4EAD2">
      <w:pPr>
        <w:overflowPunct w:val="0"/>
        <w:spacing w:line="360" w:lineRule="exact"/>
        <w:rPr>
          <w:rFonts w:ascii="宋体" w:cs="宋体"/>
          <w:color w:val="auto"/>
          <w:sz w:val="24"/>
          <w:highlight w:val="none"/>
        </w:rPr>
      </w:pPr>
    </w:p>
    <w:p w14:paraId="2101CC7C">
      <w:pPr>
        <w:tabs>
          <w:tab w:val="left" w:pos="1276"/>
        </w:tabs>
        <w:overflowPunct w:val="0"/>
        <w:spacing w:line="1000" w:lineRule="exact"/>
        <w:jc w:val="center"/>
        <w:rPr>
          <w:rFonts w:ascii="宋体" w:cs="宋体"/>
          <w:b/>
          <w:color w:val="auto"/>
          <w:sz w:val="72"/>
          <w:szCs w:val="72"/>
          <w:highlight w:val="none"/>
        </w:rPr>
      </w:pPr>
      <w:r>
        <w:rPr>
          <w:rFonts w:hint="eastAsia" w:ascii="宋体" w:hAnsi="宋体" w:cs="宋体"/>
          <w:b/>
          <w:color w:val="auto"/>
          <w:sz w:val="72"/>
          <w:szCs w:val="72"/>
          <w:highlight w:val="none"/>
        </w:rPr>
        <w:t>竞</w:t>
      </w:r>
    </w:p>
    <w:p w14:paraId="3B0F4818">
      <w:pPr>
        <w:tabs>
          <w:tab w:val="left" w:pos="1276"/>
        </w:tabs>
        <w:overflowPunct w:val="0"/>
        <w:spacing w:line="1000" w:lineRule="exact"/>
        <w:jc w:val="center"/>
        <w:rPr>
          <w:rFonts w:ascii="宋体" w:cs="宋体"/>
          <w:b/>
          <w:color w:val="auto"/>
          <w:sz w:val="72"/>
          <w:szCs w:val="72"/>
          <w:highlight w:val="none"/>
        </w:rPr>
      </w:pPr>
      <w:r>
        <w:rPr>
          <w:rFonts w:hint="eastAsia" w:ascii="宋体" w:hAnsi="宋体" w:cs="宋体"/>
          <w:b/>
          <w:color w:val="auto"/>
          <w:sz w:val="72"/>
          <w:szCs w:val="72"/>
          <w:highlight w:val="none"/>
        </w:rPr>
        <w:t>争</w:t>
      </w:r>
    </w:p>
    <w:p w14:paraId="02002A2E">
      <w:pPr>
        <w:tabs>
          <w:tab w:val="left" w:pos="1276"/>
        </w:tabs>
        <w:overflowPunct w:val="0"/>
        <w:spacing w:line="1000" w:lineRule="exact"/>
        <w:jc w:val="center"/>
        <w:rPr>
          <w:rFonts w:ascii="宋体" w:cs="宋体"/>
          <w:b/>
          <w:color w:val="auto"/>
          <w:sz w:val="72"/>
          <w:szCs w:val="72"/>
          <w:highlight w:val="none"/>
        </w:rPr>
      </w:pPr>
      <w:r>
        <w:rPr>
          <w:rFonts w:hint="eastAsia" w:ascii="宋体" w:hAnsi="宋体" w:cs="宋体"/>
          <w:b/>
          <w:color w:val="auto"/>
          <w:sz w:val="72"/>
          <w:szCs w:val="72"/>
          <w:highlight w:val="none"/>
        </w:rPr>
        <w:t>性</w:t>
      </w:r>
    </w:p>
    <w:p w14:paraId="62F7CB93">
      <w:pPr>
        <w:tabs>
          <w:tab w:val="left" w:pos="1276"/>
        </w:tabs>
        <w:overflowPunct w:val="0"/>
        <w:spacing w:line="1000" w:lineRule="exact"/>
        <w:jc w:val="center"/>
        <w:rPr>
          <w:rFonts w:ascii="宋体" w:cs="宋体"/>
          <w:b/>
          <w:color w:val="auto"/>
          <w:sz w:val="72"/>
          <w:szCs w:val="72"/>
          <w:highlight w:val="none"/>
        </w:rPr>
      </w:pPr>
      <w:r>
        <w:rPr>
          <w:rFonts w:hint="eastAsia" w:ascii="宋体" w:hAnsi="宋体" w:cs="宋体"/>
          <w:b/>
          <w:color w:val="auto"/>
          <w:sz w:val="72"/>
          <w:szCs w:val="72"/>
          <w:highlight w:val="none"/>
        </w:rPr>
        <w:t>磋</w:t>
      </w:r>
    </w:p>
    <w:p w14:paraId="53B02CCB">
      <w:pPr>
        <w:tabs>
          <w:tab w:val="left" w:pos="1276"/>
        </w:tabs>
        <w:overflowPunct w:val="0"/>
        <w:spacing w:line="1000" w:lineRule="exact"/>
        <w:jc w:val="center"/>
        <w:rPr>
          <w:rFonts w:ascii="宋体" w:cs="宋体"/>
          <w:b/>
          <w:color w:val="auto"/>
          <w:sz w:val="72"/>
          <w:szCs w:val="72"/>
          <w:highlight w:val="none"/>
        </w:rPr>
      </w:pPr>
      <w:r>
        <w:rPr>
          <w:rFonts w:hint="eastAsia" w:ascii="宋体" w:hAnsi="宋体" w:cs="宋体"/>
          <w:b/>
          <w:color w:val="auto"/>
          <w:sz w:val="72"/>
          <w:szCs w:val="72"/>
          <w:highlight w:val="none"/>
        </w:rPr>
        <w:t>商</w:t>
      </w:r>
    </w:p>
    <w:p w14:paraId="036E37BE">
      <w:pPr>
        <w:tabs>
          <w:tab w:val="left" w:pos="1276"/>
        </w:tabs>
        <w:overflowPunct w:val="0"/>
        <w:spacing w:line="1000" w:lineRule="exact"/>
        <w:jc w:val="center"/>
        <w:rPr>
          <w:rFonts w:ascii="宋体" w:cs="宋体"/>
          <w:b/>
          <w:color w:val="auto"/>
          <w:sz w:val="72"/>
          <w:szCs w:val="72"/>
          <w:highlight w:val="none"/>
        </w:rPr>
      </w:pPr>
      <w:r>
        <w:rPr>
          <w:rFonts w:hint="eastAsia" w:ascii="宋体" w:hAnsi="宋体" w:cs="宋体"/>
          <w:b/>
          <w:color w:val="auto"/>
          <w:sz w:val="72"/>
          <w:szCs w:val="72"/>
          <w:highlight w:val="none"/>
        </w:rPr>
        <w:t>文</w:t>
      </w:r>
    </w:p>
    <w:p w14:paraId="5CCF0ACA">
      <w:pPr>
        <w:tabs>
          <w:tab w:val="left" w:pos="1276"/>
        </w:tabs>
        <w:overflowPunct w:val="0"/>
        <w:spacing w:line="1000" w:lineRule="exact"/>
        <w:jc w:val="center"/>
        <w:rPr>
          <w:rFonts w:ascii="宋体" w:cs="宋体"/>
          <w:b/>
          <w:color w:val="auto"/>
          <w:sz w:val="72"/>
          <w:szCs w:val="72"/>
          <w:highlight w:val="none"/>
        </w:rPr>
      </w:pPr>
      <w:r>
        <w:rPr>
          <w:rFonts w:hint="eastAsia" w:ascii="宋体" w:hAnsi="宋体" w:cs="宋体"/>
          <w:b/>
          <w:color w:val="auto"/>
          <w:sz w:val="72"/>
          <w:szCs w:val="72"/>
          <w:highlight w:val="none"/>
        </w:rPr>
        <w:t>件</w:t>
      </w:r>
    </w:p>
    <w:p w14:paraId="240B398B">
      <w:pPr>
        <w:tabs>
          <w:tab w:val="left" w:pos="1276"/>
        </w:tabs>
        <w:overflowPunct w:val="0"/>
        <w:spacing w:line="1000" w:lineRule="exact"/>
        <w:jc w:val="center"/>
        <w:rPr>
          <w:rFonts w:ascii="宋体" w:cs="宋体"/>
          <w:b/>
          <w:color w:val="auto"/>
          <w:sz w:val="72"/>
          <w:szCs w:val="72"/>
          <w:highlight w:val="none"/>
        </w:rPr>
      </w:pPr>
    </w:p>
    <w:p w14:paraId="6B48B44B">
      <w:pPr>
        <w:overflowPunct w:val="0"/>
        <w:spacing w:line="360" w:lineRule="exact"/>
        <w:rPr>
          <w:rFonts w:ascii="宋体" w:cs="宋体"/>
          <w:color w:val="auto"/>
          <w:sz w:val="24"/>
          <w:highlight w:val="none"/>
        </w:rPr>
      </w:pPr>
    </w:p>
    <w:p w14:paraId="7398558F">
      <w:pPr>
        <w:overflowPunct w:val="0"/>
        <w:spacing w:line="520" w:lineRule="exact"/>
        <w:rPr>
          <w:rFonts w:hint="eastAsia" w:asci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HXCG-ZF-2025-013-2</w:t>
      </w:r>
    </w:p>
    <w:p w14:paraId="1FA4F148">
      <w:pPr>
        <w:overflowPunct w:val="0"/>
        <w:spacing w:line="520" w:lineRule="exact"/>
        <w:rPr>
          <w:rFonts w:ascii="宋体" w:cs="宋体"/>
          <w:color w:val="auto"/>
          <w:sz w:val="24"/>
          <w:highlight w:val="none"/>
        </w:rPr>
      </w:pPr>
      <w:r>
        <w:rPr>
          <w:rFonts w:hint="eastAsia" w:ascii="宋体" w:hAnsi="宋体" w:cs="宋体"/>
          <w:bCs/>
          <w:color w:val="auto"/>
          <w:sz w:val="24"/>
          <w:highlight w:val="none"/>
        </w:rPr>
        <w:t>采购</w:t>
      </w:r>
      <w:r>
        <w:rPr>
          <w:rFonts w:hint="eastAsia" w:ascii="宋体" w:hAnsi="宋体" w:cs="宋体"/>
          <w:color w:val="auto"/>
          <w:sz w:val="24"/>
          <w:highlight w:val="none"/>
        </w:rPr>
        <w:t>单位：安吉技师学院</w:t>
      </w:r>
    </w:p>
    <w:p w14:paraId="4B21041C">
      <w:pPr>
        <w:overflowPunct w:val="0"/>
        <w:spacing w:line="520" w:lineRule="exact"/>
        <w:rPr>
          <w:rFonts w:ascii="宋体" w:cs="宋体"/>
          <w:color w:val="auto"/>
          <w:sz w:val="24"/>
          <w:highlight w:val="none"/>
        </w:rPr>
      </w:pPr>
      <w:r>
        <w:rPr>
          <w:rFonts w:hint="eastAsia" w:ascii="宋体" w:hAnsi="宋体" w:cs="宋体"/>
          <w:color w:val="auto"/>
          <w:sz w:val="24"/>
          <w:highlight w:val="none"/>
        </w:rPr>
        <w:t>采购代理机构：浙江华夏工程管理有限公司</w:t>
      </w:r>
    </w:p>
    <w:p w14:paraId="17355892">
      <w:pPr>
        <w:overflowPunct w:val="0"/>
        <w:spacing w:line="520" w:lineRule="exact"/>
        <w:rPr>
          <w:rFonts w:asci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p>
    <w:p w14:paraId="1A7AFEAE">
      <w:pPr>
        <w:overflowPunct w:val="0"/>
        <w:spacing w:line="360" w:lineRule="auto"/>
        <w:jc w:val="center"/>
        <w:rPr>
          <w:rFonts w:ascii="宋体" w:cs="宋体"/>
          <w:b/>
          <w:color w:val="auto"/>
          <w:sz w:val="44"/>
          <w:szCs w:val="44"/>
          <w:highlight w:val="none"/>
        </w:rPr>
      </w:pPr>
      <w:r>
        <w:rPr>
          <w:rFonts w:hint="eastAsia" w:ascii="宋体" w:hAnsi="宋体" w:cs="宋体"/>
          <w:b/>
          <w:color w:val="auto"/>
          <w:sz w:val="44"/>
          <w:szCs w:val="44"/>
          <w:highlight w:val="none"/>
        </w:rPr>
        <w:t>目</w:t>
      </w:r>
      <w:r>
        <w:rPr>
          <w:rFonts w:ascii="宋体" w:hAnsi="宋体" w:cs="宋体"/>
          <w:b/>
          <w:color w:val="auto"/>
          <w:sz w:val="44"/>
          <w:szCs w:val="44"/>
          <w:highlight w:val="none"/>
        </w:rPr>
        <w:t xml:space="preserve">   </w:t>
      </w:r>
      <w:r>
        <w:rPr>
          <w:rFonts w:hint="eastAsia" w:ascii="宋体" w:hAnsi="宋体" w:cs="宋体"/>
          <w:b/>
          <w:color w:val="auto"/>
          <w:sz w:val="44"/>
          <w:szCs w:val="44"/>
          <w:highlight w:val="none"/>
        </w:rPr>
        <w:t>录</w:t>
      </w:r>
    </w:p>
    <w:p w14:paraId="3C47EBDC">
      <w:pPr>
        <w:pStyle w:val="23"/>
        <w:tabs>
          <w:tab w:val="right" w:leader="dot" w:pos="8732"/>
          <w:tab w:val="clear" w:pos="8494"/>
        </w:tabs>
        <w:spacing w:line="400" w:lineRule="exact"/>
        <w:rPr>
          <w:rFonts w:cs="宋体"/>
          <w:color w:val="auto"/>
          <w:sz w:val="24"/>
          <w:highlight w:val="none"/>
        </w:rPr>
      </w:pPr>
      <w:r>
        <w:rPr>
          <w:rFonts w:hint="eastAsia" w:cs="宋体"/>
          <w:color w:val="auto"/>
          <w:sz w:val="24"/>
          <w:highlight w:val="none"/>
        </w:rPr>
        <w:fldChar w:fldCharType="begin"/>
      </w:r>
      <w:r>
        <w:rPr>
          <w:rFonts w:hint="eastAsia" w:cs="宋体"/>
          <w:color w:val="auto"/>
          <w:sz w:val="24"/>
          <w:highlight w:val="none"/>
        </w:rPr>
        <w:instrText xml:space="preserve"> TOC \o "1-3" \h \z \u </w:instrText>
      </w:r>
      <w:r>
        <w:rPr>
          <w:rFonts w:hint="eastAsia" w:cs="宋体"/>
          <w:color w:val="auto"/>
          <w:sz w:val="24"/>
          <w:highlight w:val="none"/>
        </w:rPr>
        <w:fldChar w:fldCharType="separate"/>
      </w:r>
      <w:r>
        <w:rPr>
          <w:color w:val="auto"/>
          <w:highlight w:val="none"/>
        </w:rPr>
        <w:fldChar w:fldCharType="begin"/>
      </w:r>
      <w:r>
        <w:rPr>
          <w:color w:val="auto"/>
          <w:highlight w:val="none"/>
        </w:rPr>
        <w:instrText xml:space="preserve"> HYPERLINK \l "_Toc2627" </w:instrText>
      </w:r>
      <w:r>
        <w:rPr>
          <w:color w:val="auto"/>
          <w:highlight w:val="none"/>
        </w:rPr>
        <w:fldChar w:fldCharType="separate"/>
      </w:r>
      <w:r>
        <w:rPr>
          <w:rFonts w:hint="eastAsia" w:cs="宋体"/>
          <w:color w:val="auto"/>
          <w:sz w:val="24"/>
          <w:highlight w:val="none"/>
        </w:rPr>
        <w:t>第一章  竞争性磋商公告</w:t>
      </w:r>
      <w:r>
        <w:rPr>
          <w:rFonts w:hint="eastAsia" w:cs="宋体"/>
          <w:color w:val="auto"/>
          <w:sz w:val="24"/>
          <w:highlight w:val="none"/>
        </w:rPr>
        <w:tab/>
      </w:r>
      <w:r>
        <w:rPr>
          <w:rFonts w:hint="eastAsia" w:cs="宋体"/>
          <w:color w:val="auto"/>
          <w:sz w:val="24"/>
          <w:highlight w:val="none"/>
        </w:rPr>
        <w:fldChar w:fldCharType="begin"/>
      </w:r>
      <w:r>
        <w:rPr>
          <w:rFonts w:hint="eastAsia" w:cs="宋体"/>
          <w:color w:val="auto"/>
          <w:sz w:val="24"/>
          <w:highlight w:val="none"/>
        </w:rPr>
        <w:instrText xml:space="preserve"> PAGEREF _Toc2627 \h </w:instrText>
      </w:r>
      <w:r>
        <w:rPr>
          <w:rFonts w:hint="eastAsia" w:cs="宋体"/>
          <w:color w:val="auto"/>
          <w:sz w:val="24"/>
          <w:highlight w:val="none"/>
        </w:rPr>
        <w:fldChar w:fldCharType="separate"/>
      </w:r>
      <w:r>
        <w:rPr>
          <w:rFonts w:hint="eastAsia" w:cs="宋体"/>
          <w:color w:val="auto"/>
          <w:sz w:val="24"/>
          <w:highlight w:val="none"/>
        </w:rPr>
        <w:t>3</w:t>
      </w:r>
      <w:r>
        <w:rPr>
          <w:rFonts w:hint="eastAsia" w:cs="宋体"/>
          <w:color w:val="auto"/>
          <w:sz w:val="24"/>
          <w:highlight w:val="none"/>
        </w:rPr>
        <w:fldChar w:fldCharType="end"/>
      </w:r>
      <w:r>
        <w:rPr>
          <w:rFonts w:hint="eastAsia" w:cs="宋体"/>
          <w:color w:val="auto"/>
          <w:sz w:val="24"/>
          <w:highlight w:val="none"/>
        </w:rPr>
        <w:fldChar w:fldCharType="end"/>
      </w:r>
    </w:p>
    <w:p w14:paraId="50944FFA">
      <w:pPr>
        <w:pStyle w:val="23"/>
        <w:tabs>
          <w:tab w:val="right" w:leader="dot" w:pos="8732"/>
          <w:tab w:val="clear" w:pos="8494"/>
        </w:tabs>
        <w:spacing w:line="400" w:lineRule="exact"/>
        <w:rPr>
          <w:rFonts w:cs="宋体"/>
          <w:color w:val="auto"/>
          <w:sz w:val="24"/>
          <w:highlight w:val="none"/>
        </w:rPr>
      </w:pPr>
      <w:r>
        <w:rPr>
          <w:color w:val="auto"/>
          <w:highlight w:val="none"/>
        </w:rPr>
        <w:fldChar w:fldCharType="begin"/>
      </w:r>
      <w:r>
        <w:rPr>
          <w:color w:val="auto"/>
          <w:highlight w:val="none"/>
        </w:rPr>
        <w:instrText xml:space="preserve"> HYPERLINK \l "_Toc19004" </w:instrText>
      </w:r>
      <w:r>
        <w:rPr>
          <w:color w:val="auto"/>
          <w:highlight w:val="none"/>
        </w:rPr>
        <w:fldChar w:fldCharType="separate"/>
      </w:r>
      <w:r>
        <w:rPr>
          <w:rFonts w:hint="eastAsia" w:cs="宋体"/>
          <w:color w:val="auto"/>
          <w:sz w:val="24"/>
          <w:highlight w:val="none"/>
        </w:rPr>
        <w:t>第二章  供应商须知</w:t>
      </w:r>
      <w:r>
        <w:rPr>
          <w:rFonts w:hint="eastAsia" w:cs="宋体"/>
          <w:color w:val="auto"/>
          <w:sz w:val="24"/>
          <w:highlight w:val="none"/>
        </w:rPr>
        <w:tab/>
      </w:r>
      <w:r>
        <w:rPr>
          <w:rFonts w:hint="eastAsia" w:cs="宋体"/>
          <w:color w:val="auto"/>
          <w:sz w:val="24"/>
          <w:highlight w:val="none"/>
        </w:rPr>
        <w:fldChar w:fldCharType="begin"/>
      </w:r>
      <w:r>
        <w:rPr>
          <w:rFonts w:hint="eastAsia" w:cs="宋体"/>
          <w:color w:val="auto"/>
          <w:sz w:val="24"/>
          <w:highlight w:val="none"/>
        </w:rPr>
        <w:instrText xml:space="preserve"> PAGEREF _Toc19004 \h </w:instrText>
      </w:r>
      <w:r>
        <w:rPr>
          <w:rFonts w:hint="eastAsia" w:cs="宋体"/>
          <w:color w:val="auto"/>
          <w:sz w:val="24"/>
          <w:highlight w:val="none"/>
        </w:rPr>
        <w:fldChar w:fldCharType="separate"/>
      </w:r>
      <w:r>
        <w:rPr>
          <w:rFonts w:hint="eastAsia" w:cs="宋体"/>
          <w:color w:val="auto"/>
          <w:sz w:val="24"/>
          <w:highlight w:val="none"/>
        </w:rPr>
        <w:t>6</w:t>
      </w:r>
      <w:r>
        <w:rPr>
          <w:rFonts w:hint="eastAsia" w:cs="宋体"/>
          <w:color w:val="auto"/>
          <w:sz w:val="24"/>
          <w:highlight w:val="none"/>
        </w:rPr>
        <w:fldChar w:fldCharType="end"/>
      </w:r>
      <w:r>
        <w:rPr>
          <w:rFonts w:hint="eastAsia" w:cs="宋体"/>
          <w:color w:val="auto"/>
          <w:sz w:val="24"/>
          <w:highlight w:val="none"/>
        </w:rPr>
        <w:fldChar w:fldCharType="end"/>
      </w:r>
    </w:p>
    <w:p w14:paraId="760D8375">
      <w:pPr>
        <w:pStyle w:val="23"/>
        <w:tabs>
          <w:tab w:val="right" w:leader="dot" w:pos="8732"/>
          <w:tab w:val="clear" w:pos="8494"/>
        </w:tabs>
        <w:spacing w:line="400" w:lineRule="exact"/>
        <w:rPr>
          <w:rFonts w:cs="宋体"/>
          <w:color w:val="auto"/>
          <w:sz w:val="24"/>
          <w:highlight w:val="none"/>
        </w:rPr>
      </w:pPr>
      <w:r>
        <w:rPr>
          <w:color w:val="auto"/>
          <w:highlight w:val="none"/>
        </w:rPr>
        <w:fldChar w:fldCharType="begin"/>
      </w:r>
      <w:r>
        <w:rPr>
          <w:color w:val="auto"/>
          <w:highlight w:val="none"/>
        </w:rPr>
        <w:instrText xml:space="preserve"> HYPERLINK \l "_Toc20741" </w:instrText>
      </w:r>
      <w:r>
        <w:rPr>
          <w:color w:val="auto"/>
          <w:highlight w:val="none"/>
        </w:rPr>
        <w:fldChar w:fldCharType="separate"/>
      </w:r>
      <w:r>
        <w:rPr>
          <w:rFonts w:hint="eastAsia" w:cs="宋体"/>
          <w:color w:val="auto"/>
          <w:sz w:val="24"/>
          <w:highlight w:val="none"/>
        </w:rPr>
        <w:t>第三章  磋商项目服务内容及要求</w:t>
      </w:r>
      <w:r>
        <w:rPr>
          <w:rFonts w:hint="eastAsia" w:cs="宋体"/>
          <w:color w:val="auto"/>
          <w:sz w:val="24"/>
          <w:highlight w:val="none"/>
        </w:rPr>
        <w:tab/>
      </w:r>
      <w:r>
        <w:rPr>
          <w:rFonts w:hint="eastAsia" w:cs="宋体"/>
          <w:color w:val="auto"/>
          <w:sz w:val="24"/>
          <w:highlight w:val="none"/>
        </w:rPr>
        <w:fldChar w:fldCharType="begin"/>
      </w:r>
      <w:r>
        <w:rPr>
          <w:rFonts w:hint="eastAsia" w:cs="宋体"/>
          <w:color w:val="auto"/>
          <w:sz w:val="24"/>
          <w:highlight w:val="none"/>
        </w:rPr>
        <w:instrText xml:space="preserve"> PAGEREF _Toc20741 \h </w:instrText>
      </w:r>
      <w:r>
        <w:rPr>
          <w:rFonts w:hint="eastAsia" w:cs="宋体"/>
          <w:color w:val="auto"/>
          <w:sz w:val="24"/>
          <w:highlight w:val="none"/>
        </w:rPr>
        <w:fldChar w:fldCharType="separate"/>
      </w:r>
      <w:r>
        <w:rPr>
          <w:rFonts w:hint="eastAsia" w:cs="宋体"/>
          <w:color w:val="auto"/>
          <w:sz w:val="24"/>
          <w:highlight w:val="none"/>
        </w:rPr>
        <w:t>14</w:t>
      </w:r>
      <w:r>
        <w:rPr>
          <w:rFonts w:hint="eastAsia" w:cs="宋体"/>
          <w:color w:val="auto"/>
          <w:sz w:val="24"/>
          <w:highlight w:val="none"/>
        </w:rPr>
        <w:fldChar w:fldCharType="end"/>
      </w:r>
      <w:r>
        <w:rPr>
          <w:rFonts w:hint="eastAsia" w:cs="宋体"/>
          <w:color w:val="auto"/>
          <w:sz w:val="24"/>
          <w:highlight w:val="none"/>
        </w:rPr>
        <w:fldChar w:fldCharType="end"/>
      </w:r>
    </w:p>
    <w:p w14:paraId="2698D5F8">
      <w:pPr>
        <w:pStyle w:val="17"/>
        <w:tabs>
          <w:tab w:val="right" w:leader="dot" w:pos="8732"/>
          <w:tab w:val="clear" w:pos="8494"/>
        </w:tabs>
        <w:spacing w:line="400" w:lineRule="exact"/>
        <w:ind w:firstLine="600" w:firstLineChars="200"/>
        <w:rPr>
          <w:rFonts w:ascii="宋体" w:hAnsi="宋体" w:cs="宋体"/>
          <w:color w:val="auto"/>
          <w:sz w:val="24"/>
          <w:highlight w:val="none"/>
        </w:rPr>
      </w:pPr>
      <w:r>
        <w:rPr>
          <w:color w:val="auto"/>
          <w:highlight w:val="none"/>
        </w:rPr>
        <w:fldChar w:fldCharType="begin"/>
      </w:r>
      <w:r>
        <w:rPr>
          <w:color w:val="auto"/>
          <w:highlight w:val="none"/>
        </w:rPr>
        <w:instrText xml:space="preserve"> HYPERLINK \l "_Toc9146" </w:instrText>
      </w:r>
      <w:r>
        <w:rPr>
          <w:color w:val="auto"/>
          <w:highlight w:val="none"/>
        </w:rPr>
        <w:fldChar w:fldCharType="separate"/>
      </w:r>
      <w:r>
        <w:rPr>
          <w:rFonts w:hint="eastAsia" w:ascii="宋体" w:hAnsi="宋体" w:cs="宋体"/>
          <w:color w:val="auto"/>
          <w:sz w:val="24"/>
          <w:highlight w:val="none"/>
        </w:rPr>
        <w:t>一、项目概况</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_Toc9146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1D77EBA3">
      <w:pPr>
        <w:pStyle w:val="17"/>
        <w:tabs>
          <w:tab w:val="right" w:leader="dot" w:pos="8732"/>
          <w:tab w:val="clear" w:pos="8494"/>
        </w:tabs>
        <w:spacing w:line="400" w:lineRule="exact"/>
        <w:ind w:firstLine="600" w:firstLineChars="200"/>
        <w:rPr>
          <w:rFonts w:ascii="宋体" w:hAnsi="宋体" w:cs="宋体"/>
          <w:color w:val="auto"/>
          <w:sz w:val="24"/>
          <w:highlight w:val="none"/>
        </w:rPr>
      </w:pPr>
      <w:r>
        <w:rPr>
          <w:color w:val="auto"/>
          <w:highlight w:val="none"/>
        </w:rPr>
        <w:fldChar w:fldCharType="begin"/>
      </w:r>
      <w:r>
        <w:rPr>
          <w:color w:val="auto"/>
          <w:highlight w:val="none"/>
        </w:rPr>
        <w:instrText xml:space="preserve"> HYPERLINK \l "_Toc1242" </w:instrText>
      </w:r>
      <w:r>
        <w:rPr>
          <w:color w:val="auto"/>
          <w:highlight w:val="none"/>
        </w:rPr>
        <w:fldChar w:fldCharType="separate"/>
      </w:r>
      <w:r>
        <w:rPr>
          <w:rFonts w:hint="eastAsia" w:ascii="宋体" w:hAnsi="宋体" w:cs="宋体"/>
          <w:color w:val="auto"/>
          <w:sz w:val="24"/>
          <w:highlight w:val="none"/>
        </w:rPr>
        <w:t>二、项目内容及要求</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_Toc1242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499F1CC">
      <w:pPr>
        <w:pStyle w:val="17"/>
        <w:tabs>
          <w:tab w:val="right" w:leader="dot" w:pos="8732"/>
          <w:tab w:val="clear" w:pos="8494"/>
        </w:tabs>
        <w:spacing w:line="400" w:lineRule="exact"/>
        <w:ind w:firstLine="600" w:firstLineChars="200"/>
        <w:rPr>
          <w:rFonts w:ascii="宋体" w:hAnsi="宋体" w:cs="宋体"/>
          <w:color w:val="auto"/>
          <w:sz w:val="24"/>
          <w:highlight w:val="none"/>
        </w:rPr>
      </w:pPr>
      <w:r>
        <w:rPr>
          <w:color w:val="auto"/>
          <w:highlight w:val="none"/>
        </w:rPr>
        <w:fldChar w:fldCharType="begin"/>
      </w:r>
      <w:r>
        <w:rPr>
          <w:color w:val="auto"/>
          <w:highlight w:val="none"/>
        </w:rPr>
        <w:instrText xml:space="preserve"> HYPERLINK \l "_Toc31289" </w:instrText>
      </w:r>
      <w:r>
        <w:rPr>
          <w:color w:val="auto"/>
          <w:highlight w:val="none"/>
        </w:rPr>
        <w:fldChar w:fldCharType="separate"/>
      </w:r>
      <w:r>
        <w:rPr>
          <w:rFonts w:hint="eastAsia" w:ascii="宋体" w:hAnsi="宋体" w:cs="宋体"/>
          <w:color w:val="auto"/>
          <w:sz w:val="24"/>
          <w:highlight w:val="none"/>
        </w:rPr>
        <w:t>三、商务要求表</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_Toc31289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46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E947BB5">
      <w:pPr>
        <w:pStyle w:val="23"/>
        <w:tabs>
          <w:tab w:val="right" w:leader="dot" w:pos="8732"/>
          <w:tab w:val="clear" w:pos="8494"/>
        </w:tabs>
        <w:spacing w:line="400" w:lineRule="exact"/>
        <w:rPr>
          <w:rFonts w:cs="宋体"/>
          <w:color w:val="auto"/>
          <w:sz w:val="24"/>
          <w:highlight w:val="none"/>
        </w:rPr>
      </w:pPr>
      <w:r>
        <w:rPr>
          <w:color w:val="auto"/>
          <w:highlight w:val="none"/>
        </w:rPr>
        <w:fldChar w:fldCharType="begin"/>
      </w:r>
      <w:r>
        <w:rPr>
          <w:color w:val="auto"/>
          <w:highlight w:val="none"/>
        </w:rPr>
        <w:instrText xml:space="preserve"> HYPERLINK \l "_Toc31033" </w:instrText>
      </w:r>
      <w:r>
        <w:rPr>
          <w:color w:val="auto"/>
          <w:highlight w:val="none"/>
        </w:rPr>
        <w:fldChar w:fldCharType="separate"/>
      </w:r>
      <w:r>
        <w:rPr>
          <w:rFonts w:hint="eastAsia" w:cs="宋体"/>
          <w:color w:val="auto"/>
          <w:sz w:val="24"/>
          <w:highlight w:val="none"/>
        </w:rPr>
        <w:t>第四章  磋商原则和程序</w:t>
      </w:r>
      <w:r>
        <w:rPr>
          <w:rFonts w:hint="eastAsia" w:cs="宋体"/>
          <w:color w:val="auto"/>
          <w:sz w:val="24"/>
          <w:highlight w:val="none"/>
        </w:rPr>
        <w:tab/>
      </w:r>
      <w:r>
        <w:rPr>
          <w:rFonts w:hint="eastAsia" w:cs="宋体"/>
          <w:color w:val="auto"/>
          <w:sz w:val="24"/>
          <w:highlight w:val="none"/>
        </w:rPr>
        <w:fldChar w:fldCharType="begin"/>
      </w:r>
      <w:r>
        <w:rPr>
          <w:rFonts w:hint="eastAsia" w:cs="宋体"/>
          <w:color w:val="auto"/>
          <w:sz w:val="24"/>
          <w:highlight w:val="none"/>
        </w:rPr>
        <w:instrText xml:space="preserve"> PAGEREF _Toc31033 \h </w:instrText>
      </w:r>
      <w:r>
        <w:rPr>
          <w:rFonts w:hint="eastAsia" w:cs="宋体"/>
          <w:color w:val="auto"/>
          <w:sz w:val="24"/>
          <w:highlight w:val="none"/>
        </w:rPr>
        <w:fldChar w:fldCharType="separate"/>
      </w:r>
      <w:r>
        <w:rPr>
          <w:rFonts w:hint="eastAsia" w:cs="宋体"/>
          <w:color w:val="auto"/>
          <w:sz w:val="24"/>
          <w:highlight w:val="none"/>
        </w:rPr>
        <w:t>47</w:t>
      </w:r>
      <w:r>
        <w:rPr>
          <w:rFonts w:hint="eastAsia" w:cs="宋体"/>
          <w:color w:val="auto"/>
          <w:sz w:val="24"/>
          <w:highlight w:val="none"/>
        </w:rPr>
        <w:fldChar w:fldCharType="end"/>
      </w:r>
      <w:r>
        <w:rPr>
          <w:rFonts w:hint="eastAsia" w:cs="宋体"/>
          <w:color w:val="auto"/>
          <w:sz w:val="24"/>
          <w:highlight w:val="none"/>
        </w:rPr>
        <w:fldChar w:fldCharType="end"/>
      </w:r>
    </w:p>
    <w:p w14:paraId="63D34808">
      <w:pPr>
        <w:pStyle w:val="17"/>
        <w:tabs>
          <w:tab w:val="right" w:leader="dot" w:pos="8732"/>
          <w:tab w:val="clear" w:pos="8494"/>
        </w:tabs>
        <w:spacing w:line="400" w:lineRule="exact"/>
        <w:ind w:firstLine="600" w:firstLineChars="200"/>
        <w:rPr>
          <w:rFonts w:ascii="宋体" w:hAnsi="宋体" w:cs="宋体"/>
          <w:color w:val="auto"/>
          <w:sz w:val="24"/>
          <w:highlight w:val="none"/>
        </w:rPr>
      </w:pPr>
      <w:r>
        <w:rPr>
          <w:color w:val="auto"/>
          <w:highlight w:val="none"/>
        </w:rPr>
        <w:fldChar w:fldCharType="begin"/>
      </w:r>
      <w:r>
        <w:rPr>
          <w:color w:val="auto"/>
          <w:highlight w:val="none"/>
        </w:rPr>
        <w:instrText xml:space="preserve"> HYPERLINK \l "_Toc25646" </w:instrText>
      </w:r>
      <w:r>
        <w:rPr>
          <w:color w:val="auto"/>
          <w:highlight w:val="none"/>
        </w:rPr>
        <w:fldChar w:fldCharType="separate"/>
      </w:r>
      <w:r>
        <w:rPr>
          <w:rFonts w:hint="eastAsia" w:ascii="宋体" w:hAnsi="宋体" w:cs="宋体"/>
          <w:color w:val="auto"/>
          <w:sz w:val="24"/>
          <w:highlight w:val="none"/>
        </w:rPr>
        <w:t>一、开启响应文件</w:t>
      </w:r>
      <w:bookmarkStart w:id="190" w:name="_GoBack"/>
      <w:bookmarkEnd w:id="190"/>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_Toc25646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47</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17285A6">
      <w:pPr>
        <w:pStyle w:val="17"/>
        <w:tabs>
          <w:tab w:val="right" w:leader="dot" w:pos="8732"/>
          <w:tab w:val="clear" w:pos="8494"/>
        </w:tabs>
        <w:spacing w:line="400" w:lineRule="exact"/>
        <w:ind w:firstLine="600" w:firstLineChars="200"/>
        <w:rPr>
          <w:rFonts w:ascii="宋体" w:hAnsi="宋体" w:cs="宋体"/>
          <w:color w:val="auto"/>
          <w:sz w:val="24"/>
          <w:highlight w:val="none"/>
        </w:rPr>
      </w:pPr>
      <w:r>
        <w:rPr>
          <w:color w:val="auto"/>
          <w:highlight w:val="none"/>
        </w:rPr>
        <w:fldChar w:fldCharType="begin"/>
      </w:r>
      <w:r>
        <w:rPr>
          <w:color w:val="auto"/>
          <w:highlight w:val="none"/>
        </w:rPr>
        <w:instrText xml:space="preserve"> HYPERLINK \l "_Toc13220" </w:instrText>
      </w:r>
      <w:r>
        <w:rPr>
          <w:color w:val="auto"/>
          <w:highlight w:val="none"/>
        </w:rPr>
        <w:fldChar w:fldCharType="separate"/>
      </w:r>
      <w:r>
        <w:rPr>
          <w:rFonts w:hint="eastAsia" w:ascii="宋体" w:hAnsi="宋体" w:cs="宋体"/>
          <w:color w:val="auto"/>
          <w:sz w:val="24"/>
          <w:highlight w:val="none"/>
        </w:rPr>
        <w:t>二、磋商小组</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_Toc13220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47</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1F2D4768">
      <w:pPr>
        <w:pStyle w:val="17"/>
        <w:tabs>
          <w:tab w:val="right" w:leader="dot" w:pos="8732"/>
          <w:tab w:val="clear" w:pos="8494"/>
        </w:tabs>
        <w:spacing w:line="400" w:lineRule="exact"/>
        <w:ind w:firstLine="600" w:firstLineChars="200"/>
        <w:rPr>
          <w:rFonts w:ascii="宋体" w:hAnsi="宋体" w:cs="宋体"/>
          <w:color w:val="auto"/>
          <w:sz w:val="24"/>
          <w:highlight w:val="none"/>
        </w:rPr>
      </w:pPr>
      <w:r>
        <w:rPr>
          <w:color w:val="auto"/>
          <w:highlight w:val="none"/>
        </w:rPr>
        <w:fldChar w:fldCharType="begin"/>
      </w:r>
      <w:r>
        <w:rPr>
          <w:color w:val="auto"/>
          <w:highlight w:val="none"/>
        </w:rPr>
        <w:instrText xml:space="preserve"> HYPERLINK \l "_Toc31672" </w:instrText>
      </w:r>
      <w:r>
        <w:rPr>
          <w:color w:val="auto"/>
          <w:highlight w:val="none"/>
        </w:rPr>
        <w:fldChar w:fldCharType="separate"/>
      </w:r>
      <w:r>
        <w:rPr>
          <w:rFonts w:hint="eastAsia" w:ascii="宋体" w:hAnsi="宋体" w:cs="宋体"/>
          <w:color w:val="auto"/>
          <w:sz w:val="24"/>
          <w:highlight w:val="none"/>
        </w:rPr>
        <w:t>三、竞争性磋商原则与方法</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_Toc31672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47</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7E689802">
      <w:pPr>
        <w:pStyle w:val="17"/>
        <w:tabs>
          <w:tab w:val="right" w:leader="dot" w:pos="8732"/>
          <w:tab w:val="clear" w:pos="8494"/>
        </w:tabs>
        <w:spacing w:line="400" w:lineRule="exact"/>
        <w:ind w:firstLine="600" w:firstLineChars="200"/>
        <w:rPr>
          <w:rFonts w:ascii="宋体" w:hAnsi="宋体" w:cs="宋体"/>
          <w:color w:val="auto"/>
          <w:sz w:val="24"/>
          <w:highlight w:val="none"/>
        </w:rPr>
      </w:pPr>
      <w:r>
        <w:rPr>
          <w:color w:val="auto"/>
          <w:highlight w:val="none"/>
        </w:rPr>
        <w:fldChar w:fldCharType="begin"/>
      </w:r>
      <w:r>
        <w:rPr>
          <w:color w:val="auto"/>
          <w:highlight w:val="none"/>
        </w:rPr>
        <w:instrText xml:space="preserve"> HYPERLINK \l "_Toc2502" </w:instrText>
      </w:r>
      <w:r>
        <w:rPr>
          <w:color w:val="auto"/>
          <w:highlight w:val="none"/>
        </w:rPr>
        <w:fldChar w:fldCharType="separate"/>
      </w:r>
      <w:r>
        <w:rPr>
          <w:rFonts w:hint="eastAsia" w:ascii="宋体" w:hAnsi="宋体" w:cs="宋体"/>
          <w:color w:val="auto"/>
          <w:sz w:val="24"/>
          <w:highlight w:val="none"/>
        </w:rPr>
        <w:t>四、磋商程序</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_Toc2502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47</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F0321D3">
      <w:pPr>
        <w:pStyle w:val="17"/>
        <w:tabs>
          <w:tab w:val="right" w:leader="dot" w:pos="8732"/>
          <w:tab w:val="clear" w:pos="8494"/>
        </w:tabs>
        <w:spacing w:line="400" w:lineRule="exact"/>
        <w:ind w:firstLine="600" w:firstLineChars="200"/>
        <w:rPr>
          <w:rFonts w:ascii="宋体" w:hAnsi="宋体" w:cs="宋体"/>
          <w:color w:val="auto"/>
          <w:sz w:val="24"/>
          <w:highlight w:val="none"/>
        </w:rPr>
      </w:pPr>
      <w:r>
        <w:rPr>
          <w:color w:val="auto"/>
          <w:highlight w:val="none"/>
        </w:rPr>
        <w:fldChar w:fldCharType="begin"/>
      </w:r>
      <w:r>
        <w:rPr>
          <w:color w:val="auto"/>
          <w:highlight w:val="none"/>
        </w:rPr>
        <w:instrText xml:space="preserve"> HYPERLINK \l "_Toc20393" </w:instrText>
      </w:r>
      <w:r>
        <w:rPr>
          <w:color w:val="auto"/>
          <w:highlight w:val="none"/>
        </w:rPr>
        <w:fldChar w:fldCharType="separate"/>
      </w:r>
      <w:r>
        <w:rPr>
          <w:rFonts w:hint="eastAsia" w:ascii="宋体" w:hAnsi="宋体" w:cs="宋体"/>
          <w:color w:val="auto"/>
          <w:sz w:val="24"/>
          <w:highlight w:val="none"/>
        </w:rPr>
        <w:t>五、磋商文件的澄清</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_Toc20393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49</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1F11C03B">
      <w:pPr>
        <w:pStyle w:val="17"/>
        <w:tabs>
          <w:tab w:val="right" w:leader="dot" w:pos="8732"/>
          <w:tab w:val="clear" w:pos="8494"/>
        </w:tabs>
        <w:spacing w:line="400" w:lineRule="exact"/>
        <w:ind w:firstLine="600" w:firstLineChars="200"/>
        <w:rPr>
          <w:rFonts w:ascii="宋体" w:hAnsi="宋体" w:cs="宋体"/>
          <w:color w:val="auto"/>
          <w:sz w:val="24"/>
          <w:highlight w:val="none"/>
        </w:rPr>
      </w:pPr>
      <w:r>
        <w:rPr>
          <w:color w:val="auto"/>
          <w:highlight w:val="none"/>
        </w:rPr>
        <w:fldChar w:fldCharType="begin"/>
      </w:r>
      <w:r>
        <w:rPr>
          <w:color w:val="auto"/>
          <w:highlight w:val="none"/>
        </w:rPr>
        <w:instrText xml:space="preserve"> HYPERLINK \l "_Toc1291" </w:instrText>
      </w:r>
      <w:r>
        <w:rPr>
          <w:color w:val="auto"/>
          <w:highlight w:val="none"/>
        </w:rPr>
        <w:fldChar w:fldCharType="separate"/>
      </w:r>
      <w:r>
        <w:rPr>
          <w:rFonts w:hint="eastAsia" w:ascii="宋体" w:hAnsi="宋体" w:cs="宋体"/>
          <w:color w:val="auto"/>
          <w:sz w:val="24"/>
          <w:highlight w:val="none"/>
        </w:rPr>
        <w:t>六、确定供应商办法</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_Toc1291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49</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96981C1">
      <w:pPr>
        <w:pStyle w:val="17"/>
        <w:tabs>
          <w:tab w:val="right" w:leader="dot" w:pos="8732"/>
          <w:tab w:val="clear" w:pos="8494"/>
        </w:tabs>
        <w:spacing w:line="400" w:lineRule="exact"/>
        <w:ind w:firstLine="600" w:firstLineChars="200"/>
        <w:rPr>
          <w:rFonts w:ascii="宋体" w:hAnsi="宋体" w:cs="宋体"/>
          <w:color w:val="auto"/>
          <w:sz w:val="24"/>
          <w:highlight w:val="none"/>
        </w:rPr>
      </w:pPr>
      <w:r>
        <w:rPr>
          <w:color w:val="auto"/>
          <w:highlight w:val="none"/>
        </w:rPr>
        <w:fldChar w:fldCharType="begin"/>
      </w:r>
      <w:r>
        <w:rPr>
          <w:color w:val="auto"/>
          <w:highlight w:val="none"/>
        </w:rPr>
        <w:instrText xml:space="preserve"> HYPERLINK \l "_Toc2609" </w:instrText>
      </w:r>
      <w:r>
        <w:rPr>
          <w:color w:val="auto"/>
          <w:highlight w:val="none"/>
        </w:rPr>
        <w:fldChar w:fldCharType="separate"/>
      </w:r>
      <w:r>
        <w:rPr>
          <w:rFonts w:hint="eastAsia" w:ascii="宋体" w:hAnsi="宋体" w:cs="宋体"/>
          <w:color w:val="auto"/>
          <w:sz w:val="24"/>
          <w:highlight w:val="none"/>
        </w:rPr>
        <w:t>七、综合评分法</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_Toc2609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49</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0418E7A">
      <w:pPr>
        <w:pStyle w:val="17"/>
        <w:tabs>
          <w:tab w:val="right" w:leader="dot" w:pos="8732"/>
          <w:tab w:val="clear" w:pos="8494"/>
        </w:tabs>
        <w:spacing w:line="400" w:lineRule="exact"/>
        <w:ind w:firstLine="600" w:firstLineChars="200"/>
        <w:rPr>
          <w:rFonts w:ascii="宋体" w:hAnsi="宋体" w:cs="宋体"/>
          <w:color w:val="auto"/>
          <w:sz w:val="24"/>
          <w:highlight w:val="none"/>
        </w:rPr>
      </w:pPr>
      <w:r>
        <w:rPr>
          <w:color w:val="auto"/>
          <w:highlight w:val="none"/>
        </w:rPr>
        <w:fldChar w:fldCharType="begin"/>
      </w:r>
      <w:r>
        <w:rPr>
          <w:color w:val="auto"/>
          <w:highlight w:val="none"/>
        </w:rPr>
        <w:instrText xml:space="preserve"> HYPERLINK \l "_Toc7050" </w:instrText>
      </w:r>
      <w:r>
        <w:rPr>
          <w:color w:val="auto"/>
          <w:highlight w:val="none"/>
        </w:rPr>
        <w:fldChar w:fldCharType="separate"/>
      </w:r>
      <w:r>
        <w:rPr>
          <w:rFonts w:hint="eastAsia" w:ascii="宋体" w:hAnsi="宋体" w:cs="宋体"/>
          <w:color w:val="auto"/>
          <w:sz w:val="24"/>
          <w:highlight w:val="none"/>
        </w:rPr>
        <w:t>八、资格审查</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_Toc7050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52</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52D260A1">
      <w:pPr>
        <w:pStyle w:val="17"/>
        <w:tabs>
          <w:tab w:val="right" w:leader="dot" w:pos="8732"/>
          <w:tab w:val="clear" w:pos="8494"/>
        </w:tabs>
        <w:spacing w:line="400" w:lineRule="exact"/>
        <w:ind w:firstLine="600" w:firstLineChars="200"/>
        <w:rPr>
          <w:rFonts w:ascii="宋体" w:hAnsi="宋体" w:cs="宋体"/>
          <w:color w:val="auto"/>
          <w:sz w:val="24"/>
          <w:highlight w:val="none"/>
        </w:rPr>
      </w:pPr>
      <w:r>
        <w:rPr>
          <w:color w:val="auto"/>
          <w:highlight w:val="none"/>
        </w:rPr>
        <w:fldChar w:fldCharType="begin"/>
      </w:r>
      <w:r>
        <w:rPr>
          <w:color w:val="auto"/>
          <w:highlight w:val="none"/>
        </w:rPr>
        <w:instrText xml:space="preserve"> HYPERLINK \l "_Toc4879" </w:instrText>
      </w:r>
      <w:r>
        <w:rPr>
          <w:color w:val="auto"/>
          <w:highlight w:val="none"/>
        </w:rPr>
        <w:fldChar w:fldCharType="separate"/>
      </w:r>
      <w:r>
        <w:rPr>
          <w:rFonts w:hint="eastAsia" w:ascii="宋体" w:hAnsi="宋体" w:cs="宋体"/>
          <w:color w:val="auto"/>
          <w:sz w:val="24"/>
          <w:highlight w:val="none"/>
        </w:rPr>
        <w:t>九、成交通知、授予合同</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_Toc4879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52</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55D5963A">
      <w:pPr>
        <w:pStyle w:val="23"/>
        <w:tabs>
          <w:tab w:val="right" w:leader="dot" w:pos="8732"/>
          <w:tab w:val="clear" w:pos="8494"/>
        </w:tabs>
        <w:spacing w:line="400" w:lineRule="exact"/>
        <w:rPr>
          <w:rFonts w:cs="宋体"/>
          <w:color w:val="auto"/>
          <w:sz w:val="24"/>
          <w:highlight w:val="none"/>
        </w:rPr>
      </w:pPr>
      <w:r>
        <w:rPr>
          <w:color w:val="auto"/>
          <w:highlight w:val="none"/>
        </w:rPr>
        <w:fldChar w:fldCharType="begin"/>
      </w:r>
      <w:r>
        <w:rPr>
          <w:color w:val="auto"/>
          <w:highlight w:val="none"/>
        </w:rPr>
        <w:instrText xml:space="preserve"> HYPERLINK \l "_Toc16386" </w:instrText>
      </w:r>
      <w:r>
        <w:rPr>
          <w:color w:val="auto"/>
          <w:highlight w:val="none"/>
        </w:rPr>
        <w:fldChar w:fldCharType="separate"/>
      </w:r>
      <w:r>
        <w:rPr>
          <w:rFonts w:hint="eastAsia" w:cs="宋体"/>
          <w:color w:val="auto"/>
          <w:sz w:val="24"/>
          <w:highlight w:val="none"/>
        </w:rPr>
        <w:t>第五章  合同主要条款</w:t>
      </w:r>
      <w:r>
        <w:rPr>
          <w:rFonts w:hint="eastAsia" w:cs="宋体"/>
          <w:color w:val="auto"/>
          <w:sz w:val="24"/>
          <w:highlight w:val="none"/>
        </w:rPr>
        <w:tab/>
      </w:r>
      <w:r>
        <w:rPr>
          <w:rFonts w:hint="eastAsia" w:cs="宋体"/>
          <w:color w:val="auto"/>
          <w:sz w:val="24"/>
          <w:highlight w:val="none"/>
        </w:rPr>
        <w:fldChar w:fldCharType="begin"/>
      </w:r>
      <w:r>
        <w:rPr>
          <w:rFonts w:hint="eastAsia" w:cs="宋体"/>
          <w:color w:val="auto"/>
          <w:sz w:val="24"/>
          <w:highlight w:val="none"/>
        </w:rPr>
        <w:instrText xml:space="preserve"> PAGEREF _Toc16386 \h </w:instrText>
      </w:r>
      <w:r>
        <w:rPr>
          <w:rFonts w:hint="eastAsia" w:cs="宋体"/>
          <w:color w:val="auto"/>
          <w:sz w:val="24"/>
          <w:highlight w:val="none"/>
        </w:rPr>
        <w:fldChar w:fldCharType="separate"/>
      </w:r>
      <w:r>
        <w:rPr>
          <w:rFonts w:hint="eastAsia" w:cs="宋体"/>
          <w:color w:val="auto"/>
          <w:sz w:val="24"/>
          <w:highlight w:val="none"/>
        </w:rPr>
        <w:t>53</w:t>
      </w:r>
      <w:r>
        <w:rPr>
          <w:rFonts w:hint="eastAsia" w:cs="宋体"/>
          <w:color w:val="auto"/>
          <w:sz w:val="24"/>
          <w:highlight w:val="none"/>
        </w:rPr>
        <w:fldChar w:fldCharType="end"/>
      </w:r>
      <w:r>
        <w:rPr>
          <w:rFonts w:hint="eastAsia" w:cs="宋体"/>
          <w:color w:val="auto"/>
          <w:sz w:val="24"/>
          <w:highlight w:val="none"/>
        </w:rPr>
        <w:fldChar w:fldCharType="end"/>
      </w:r>
    </w:p>
    <w:p w14:paraId="37F80DB0">
      <w:pPr>
        <w:pStyle w:val="23"/>
        <w:tabs>
          <w:tab w:val="right" w:leader="dot" w:pos="8732"/>
          <w:tab w:val="clear" w:pos="8494"/>
        </w:tabs>
        <w:spacing w:line="400" w:lineRule="exact"/>
        <w:rPr>
          <w:rFonts w:cs="宋体"/>
          <w:color w:val="auto"/>
          <w:sz w:val="24"/>
          <w:highlight w:val="none"/>
        </w:rPr>
      </w:pPr>
      <w:r>
        <w:rPr>
          <w:color w:val="auto"/>
          <w:highlight w:val="none"/>
        </w:rPr>
        <w:fldChar w:fldCharType="begin"/>
      </w:r>
      <w:r>
        <w:rPr>
          <w:color w:val="auto"/>
          <w:highlight w:val="none"/>
        </w:rPr>
        <w:instrText xml:space="preserve"> HYPERLINK \l "_Toc31765" </w:instrText>
      </w:r>
      <w:r>
        <w:rPr>
          <w:color w:val="auto"/>
          <w:highlight w:val="none"/>
        </w:rPr>
        <w:fldChar w:fldCharType="separate"/>
      </w:r>
      <w:r>
        <w:rPr>
          <w:rFonts w:hint="eastAsia" w:cs="宋体"/>
          <w:color w:val="auto"/>
          <w:sz w:val="24"/>
          <w:highlight w:val="none"/>
        </w:rPr>
        <w:t>第六章  响应文件格式</w:t>
      </w:r>
      <w:r>
        <w:rPr>
          <w:rFonts w:hint="eastAsia" w:cs="宋体"/>
          <w:color w:val="auto"/>
          <w:sz w:val="24"/>
          <w:highlight w:val="none"/>
        </w:rPr>
        <w:tab/>
      </w:r>
      <w:r>
        <w:rPr>
          <w:rFonts w:hint="eastAsia" w:cs="宋体"/>
          <w:color w:val="auto"/>
          <w:sz w:val="24"/>
          <w:highlight w:val="none"/>
        </w:rPr>
        <w:fldChar w:fldCharType="begin"/>
      </w:r>
      <w:r>
        <w:rPr>
          <w:rFonts w:hint="eastAsia" w:cs="宋体"/>
          <w:color w:val="auto"/>
          <w:sz w:val="24"/>
          <w:highlight w:val="none"/>
        </w:rPr>
        <w:instrText xml:space="preserve"> PAGEREF _Toc31765 \h </w:instrText>
      </w:r>
      <w:r>
        <w:rPr>
          <w:rFonts w:hint="eastAsia" w:cs="宋体"/>
          <w:color w:val="auto"/>
          <w:sz w:val="24"/>
          <w:highlight w:val="none"/>
        </w:rPr>
        <w:fldChar w:fldCharType="separate"/>
      </w:r>
      <w:r>
        <w:rPr>
          <w:rFonts w:hint="eastAsia" w:cs="宋体"/>
          <w:color w:val="auto"/>
          <w:sz w:val="24"/>
          <w:highlight w:val="none"/>
        </w:rPr>
        <w:t>55</w:t>
      </w:r>
      <w:r>
        <w:rPr>
          <w:rFonts w:hint="eastAsia" w:cs="宋体"/>
          <w:color w:val="auto"/>
          <w:sz w:val="24"/>
          <w:highlight w:val="none"/>
        </w:rPr>
        <w:fldChar w:fldCharType="end"/>
      </w:r>
      <w:r>
        <w:rPr>
          <w:rFonts w:hint="eastAsia" w:cs="宋体"/>
          <w:color w:val="auto"/>
          <w:sz w:val="24"/>
          <w:highlight w:val="none"/>
        </w:rPr>
        <w:fldChar w:fldCharType="end"/>
      </w:r>
    </w:p>
    <w:p w14:paraId="42644E7A">
      <w:pPr>
        <w:pStyle w:val="23"/>
        <w:tabs>
          <w:tab w:val="right" w:leader="dot" w:pos="8732"/>
          <w:tab w:val="clear" w:pos="8494"/>
        </w:tabs>
        <w:spacing w:line="400" w:lineRule="exact"/>
        <w:rPr>
          <w:rFonts w:cs="宋体"/>
          <w:color w:val="auto"/>
          <w:sz w:val="24"/>
          <w:highlight w:val="none"/>
        </w:rPr>
      </w:pPr>
      <w:r>
        <w:rPr>
          <w:color w:val="auto"/>
          <w:highlight w:val="none"/>
        </w:rPr>
        <w:fldChar w:fldCharType="begin"/>
      </w:r>
      <w:r>
        <w:rPr>
          <w:color w:val="auto"/>
          <w:highlight w:val="none"/>
        </w:rPr>
        <w:instrText xml:space="preserve"> HYPERLINK \l "_Toc18114" </w:instrText>
      </w:r>
      <w:r>
        <w:rPr>
          <w:color w:val="auto"/>
          <w:highlight w:val="none"/>
        </w:rPr>
        <w:fldChar w:fldCharType="separate"/>
      </w:r>
      <w:r>
        <w:rPr>
          <w:rFonts w:hint="eastAsia" w:cs="宋体"/>
          <w:color w:val="auto"/>
          <w:sz w:val="24"/>
          <w:highlight w:val="none"/>
          <w:lang w:val="zh-CN"/>
        </w:rPr>
        <w:t>第七章</w:t>
      </w:r>
      <w:r>
        <w:rPr>
          <w:rFonts w:hint="eastAsia" w:cs="宋体"/>
          <w:color w:val="auto"/>
          <w:sz w:val="24"/>
          <w:highlight w:val="none"/>
        </w:rPr>
        <w:t xml:space="preserve">  专家评分索引表</w:t>
      </w:r>
      <w:r>
        <w:rPr>
          <w:rFonts w:hint="eastAsia" w:cs="宋体"/>
          <w:color w:val="auto"/>
          <w:sz w:val="24"/>
          <w:highlight w:val="none"/>
        </w:rPr>
        <w:tab/>
      </w:r>
      <w:r>
        <w:rPr>
          <w:rFonts w:hint="eastAsia" w:cs="宋体"/>
          <w:color w:val="auto"/>
          <w:sz w:val="24"/>
          <w:highlight w:val="none"/>
        </w:rPr>
        <w:fldChar w:fldCharType="begin"/>
      </w:r>
      <w:r>
        <w:rPr>
          <w:rFonts w:hint="eastAsia" w:cs="宋体"/>
          <w:color w:val="auto"/>
          <w:sz w:val="24"/>
          <w:highlight w:val="none"/>
        </w:rPr>
        <w:instrText xml:space="preserve"> PAGEREF _Toc18114 \h </w:instrText>
      </w:r>
      <w:r>
        <w:rPr>
          <w:rFonts w:hint="eastAsia" w:cs="宋体"/>
          <w:color w:val="auto"/>
          <w:sz w:val="24"/>
          <w:highlight w:val="none"/>
        </w:rPr>
        <w:fldChar w:fldCharType="separate"/>
      </w:r>
      <w:r>
        <w:rPr>
          <w:rFonts w:hint="eastAsia" w:cs="宋体"/>
          <w:color w:val="auto"/>
          <w:sz w:val="24"/>
          <w:highlight w:val="none"/>
        </w:rPr>
        <w:t>74</w:t>
      </w:r>
      <w:r>
        <w:rPr>
          <w:rFonts w:hint="eastAsia" w:cs="宋体"/>
          <w:color w:val="auto"/>
          <w:sz w:val="24"/>
          <w:highlight w:val="none"/>
        </w:rPr>
        <w:fldChar w:fldCharType="end"/>
      </w:r>
      <w:r>
        <w:rPr>
          <w:rFonts w:hint="eastAsia" w:cs="宋体"/>
          <w:color w:val="auto"/>
          <w:sz w:val="24"/>
          <w:highlight w:val="none"/>
        </w:rPr>
        <w:fldChar w:fldCharType="end"/>
      </w:r>
    </w:p>
    <w:p w14:paraId="672ADAA4">
      <w:pPr>
        <w:overflowPunct w:val="0"/>
        <w:spacing w:line="400" w:lineRule="exact"/>
        <w:ind w:firstLine="105"/>
        <w:jc w:val="center"/>
        <w:rPr>
          <w:rFonts w:ascii="宋体" w:cs="宋体"/>
          <w:color w:val="auto"/>
          <w:sz w:val="24"/>
          <w:highlight w:val="none"/>
        </w:rPr>
      </w:pPr>
      <w:r>
        <w:rPr>
          <w:rFonts w:hint="eastAsia" w:ascii="宋体" w:hAnsi="宋体" w:cs="宋体"/>
          <w:color w:val="auto"/>
          <w:sz w:val="24"/>
          <w:highlight w:val="none"/>
        </w:rPr>
        <w:fldChar w:fldCharType="end"/>
      </w:r>
    </w:p>
    <w:p w14:paraId="197DEC46">
      <w:pPr>
        <w:rPr>
          <w:rFonts w:ascii="宋体" w:hAnsi="宋体" w:cs="宋体"/>
          <w:color w:val="auto"/>
          <w:sz w:val="32"/>
          <w:szCs w:val="32"/>
          <w:highlight w:val="none"/>
        </w:rPr>
      </w:pPr>
      <w:bookmarkStart w:id="0" w:name="_Toc636"/>
      <w:bookmarkStart w:id="1" w:name="_Toc7957"/>
      <w:bookmarkStart w:id="2" w:name="_Toc2627"/>
      <w:bookmarkStart w:id="3" w:name="_Toc22792"/>
      <w:bookmarkStart w:id="4" w:name="_Toc1863"/>
      <w:r>
        <w:rPr>
          <w:rFonts w:hint="eastAsia" w:ascii="宋体" w:hAnsi="宋体" w:cs="宋体"/>
          <w:color w:val="auto"/>
          <w:sz w:val="32"/>
          <w:szCs w:val="32"/>
          <w:highlight w:val="none"/>
        </w:rPr>
        <w:br w:type="page"/>
      </w:r>
    </w:p>
    <w:p w14:paraId="51BA0BCE">
      <w:pPr>
        <w:pStyle w:val="3"/>
        <w:keepNext w:val="0"/>
        <w:keepLines w:val="0"/>
        <w:overflowPunct w:val="0"/>
        <w:spacing w:before="0" w:after="0" w:line="600" w:lineRule="exact"/>
        <w:jc w:val="center"/>
        <w:rPr>
          <w:rFonts w:ascii="宋体" w:cs="宋体"/>
          <w:color w:val="auto"/>
          <w:sz w:val="32"/>
          <w:szCs w:val="32"/>
          <w:highlight w:val="none"/>
        </w:rPr>
      </w:pPr>
      <w:r>
        <w:rPr>
          <w:rFonts w:hint="eastAsia" w:ascii="宋体" w:hAnsi="宋体" w:cs="宋体"/>
          <w:color w:val="auto"/>
          <w:sz w:val="32"/>
          <w:szCs w:val="32"/>
          <w:highlight w:val="none"/>
        </w:rPr>
        <w:t>第一章</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竞争性磋商公告</w:t>
      </w:r>
      <w:bookmarkEnd w:id="0"/>
      <w:bookmarkEnd w:id="1"/>
      <w:bookmarkEnd w:id="2"/>
      <w:bookmarkEnd w:id="3"/>
      <w:bookmarkEnd w:id="4"/>
    </w:p>
    <w:tbl>
      <w:tblPr>
        <w:tblStyle w:val="31"/>
        <w:tblW w:w="8812"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2"/>
      </w:tblGrid>
      <w:tr w14:paraId="0EDA8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8812" w:type="dxa"/>
          </w:tcPr>
          <w:p w14:paraId="2E86F25F">
            <w:pPr>
              <w:spacing w:line="400" w:lineRule="exact"/>
              <w:ind w:firstLine="422" w:firstLineChars="200"/>
              <w:jc w:val="left"/>
              <w:rPr>
                <w:rFonts w:ascii="宋体" w:cs="宋体"/>
                <w:color w:val="auto"/>
                <w:szCs w:val="21"/>
                <w:highlight w:val="none"/>
              </w:rPr>
            </w:pPr>
            <w:r>
              <w:rPr>
                <w:rFonts w:hint="eastAsia" w:ascii="宋体" w:hAnsi="宋体" w:cs="宋体"/>
                <w:b/>
                <w:bCs/>
                <w:color w:val="auto"/>
                <w:kern w:val="0"/>
                <w:szCs w:val="21"/>
                <w:highlight w:val="none"/>
              </w:rPr>
              <w:t>项目概况</w:t>
            </w:r>
            <w:r>
              <w:rPr>
                <w:rFonts w:ascii="宋体" w:hAnsi="宋体" w:cs="宋体"/>
                <w:color w:val="auto"/>
                <w:kern w:val="0"/>
                <w:szCs w:val="21"/>
                <w:highlight w:val="none"/>
              </w:rPr>
              <w:t xml:space="preserve">  </w:t>
            </w:r>
          </w:p>
          <w:p w14:paraId="6DF0569C">
            <w:pPr>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lang w:eastAsia="zh-CN"/>
              </w:rPr>
              <w:t>安吉技师学院工学一体化课程建设采购项目（第二次）</w:t>
            </w:r>
            <w:r>
              <w:rPr>
                <w:rFonts w:hint="eastAsia" w:ascii="宋体" w:hAnsi="宋体" w:cs="宋体"/>
                <w:color w:val="auto"/>
                <w:kern w:val="0"/>
                <w:szCs w:val="21"/>
                <w:highlight w:val="none"/>
              </w:rPr>
              <w:t>的潜在供应商应在“政府采购云平台（www.zcygov.cn）”在线响应及评审获取（下载）采购文件，并于</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20</w:t>
            </w:r>
            <w:r>
              <w:rPr>
                <w:rFonts w:hint="eastAsia" w:ascii="宋体" w:hAnsi="宋体" w:cs="宋体"/>
                <w:color w:val="auto"/>
                <w:kern w:val="0"/>
                <w:szCs w:val="21"/>
                <w:highlight w:val="none"/>
                <w:lang w:val="en-US" w:eastAsia="zh-CN"/>
              </w:rPr>
              <w:t>25</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7</w:t>
            </w:r>
            <w:r>
              <w:rPr>
                <w:rFonts w:hint="eastAsia" w:ascii="宋体" w:hAnsi="宋体" w:cs="宋体"/>
                <w:color w:val="auto"/>
                <w:kern w:val="0"/>
                <w:szCs w:val="21"/>
                <w:highlight w:val="none"/>
              </w:rPr>
              <w:t>日</w:t>
            </w:r>
            <w:r>
              <w:rPr>
                <w:rFonts w:ascii="宋体" w:hAnsi="宋体" w:cs="宋体"/>
                <w:color w:val="auto"/>
                <w:kern w:val="0"/>
                <w:szCs w:val="21"/>
                <w:highlight w:val="none"/>
              </w:rPr>
              <w:t xml:space="preserve"> </w:t>
            </w:r>
            <w:r>
              <w:rPr>
                <w:rFonts w:hint="eastAsia" w:ascii="宋体" w:hAnsi="宋体" w:cs="宋体"/>
                <w:color w:val="auto"/>
                <w:kern w:val="0"/>
                <w:szCs w:val="21"/>
                <w:highlight w:val="none"/>
                <w:lang w:val="en-US" w:eastAsia="zh-CN"/>
              </w:rPr>
              <w:t>09</w:t>
            </w:r>
            <w:r>
              <w:rPr>
                <w:rFonts w:ascii="宋体" w:hAnsi="宋体" w:cs="宋体"/>
                <w:color w:val="auto"/>
                <w:szCs w:val="21"/>
                <w:highlight w:val="none"/>
              </w:rPr>
              <w:t>:00</w:t>
            </w:r>
            <w:r>
              <w:rPr>
                <w:rFonts w:hint="eastAsia" w:ascii="宋体" w:hAnsi="宋体" w:cs="宋体"/>
                <w:color w:val="auto"/>
                <w:kern w:val="0"/>
                <w:szCs w:val="21"/>
                <w:highlight w:val="none"/>
              </w:rPr>
              <w:t>（北京时间）前递交（上传）响应文件。</w:t>
            </w:r>
            <w:r>
              <w:rPr>
                <w:rFonts w:ascii="宋体" w:hAnsi="宋体" w:cs="宋体"/>
                <w:color w:val="auto"/>
                <w:kern w:val="0"/>
                <w:szCs w:val="21"/>
                <w:highlight w:val="none"/>
              </w:rPr>
              <w:t xml:space="preserve"> </w:t>
            </w:r>
          </w:p>
        </w:tc>
      </w:tr>
    </w:tbl>
    <w:p w14:paraId="08A8863E">
      <w:pPr>
        <w:spacing w:line="400" w:lineRule="exact"/>
        <w:jc w:val="left"/>
        <w:rPr>
          <w:rFonts w:ascii="宋体" w:cs="宋体"/>
          <w:color w:val="auto"/>
          <w:szCs w:val="21"/>
          <w:highlight w:val="none"/>
        </w:rPr>
      </w:pPr>
      <w:r>
        <w:rPr>
          <w:rFonts w:hint="eastAsia" w:ascii="宋体" w:hAnsi="宋体" w:cs="宋体"/>
          <w:b/>
          <w:bCs/>
          <w:color w:val="auto"/>
          <w:kern w:val="0"/>
          <w:szCs w:val="21"/>
          <w:highlight w:val="none"/>
        </w:rPr>
        <w:t>一、项目基本情况</w:t>
      </w:r>
      <w:r>
        <w:rPr>
          <w:rFonts w:ascii="宋体" w:hAnsi="宋体" w:cs="宋体"/>
          <w:b/>
          <w:bCs/>
          <w:color w:val="auto"/>
          <w:kern w:val="0"/>
          <w:szCs w:val="21"/>
          <w:highlight w:val="none"/>
        </w:rPr>
        <w:t xml:space="preserve">  </w:t>
      </w:r>
    </w:p>
    <w:p w14:paraId="280A4835">
      <w:pPr>
        <w:spacing w:line="400" w:lineRule="exact"/>
        <w:ind w:firstLine="420" w:firstLineChars="200"/>
        <w:jc w:val="left"/>
        <w:rPr>
          <w:rFonts w:hint="eastAsia" w:ascii="宋体" w:eastAsia="宋体" w:cs="宋体"/>
          <w:color w:val="auto"/>
          <w:szCs w:val="21"/>
          <w:highlight w:val="none"/>
          <w:lang w:eastAsia="zh-CN"/>
        </w:rPr>
      </w:pP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lang w:eastAsia="zh-CN"/>
        </w:rPr>
        <w:t>HXCG-ZF-2025-013-2</w:t>
      </w:r>
    </w:p>
    <w:p w14:paraId="4329E523">
      <w:pPr>
        <w:spacing w:line="400" w:lineRule="exact"/>
        <w:ind w:firstLine="420" w:firstLineChars="200"/>
        <w:jc w:val="left"/>
        <w:rPr>
          <w:rFonts w:hint="eastAsia" w:ascii="宋体" w:eastAsia="宋体" w:cs="宋体"/>
          <w:color w:val="auto"/>
          <w:kern w:val="0"/>
          <w:szCs w:val="21"/>
          <w:highlight w:val="none"/>
          <w:lang w:eastAsia="zh-CN"/>
        </w:rPr>
      </w:pPr>
      <w:r>
        <w:rPr>
          <w:rFonts w:hint="eastAsia" w:ascii="宋体" w:hAnsi="宋体" w:cs="宋体"/>
          <w:color w:val="auto"/>
          <w:kern w:val="0"/>
          <w:szCs w:val="21"/>
          <w:highlight w:val="none"/>
        </w:rPr>
        <w:t>项目名称：</w:t>
      </w:r>
      <w:r>
        <w:rPr>
          <w:rFonts w:hint="eastAsia" w:ascii="宋体" w:hAnsi="宋体" w:cs="宋体"/>
          <w:color w:val="auto"/>
          <w:kern w:val="0"/>
          <w:szCs w:val="21"/>
          <w:highlight w:val="none"/>
          <w:lang w:eastAsia="zh-CN"/>
        </w:rPr>
        <w:t>安吉技师学院工学一体化课程建设采购项目（第二次）</w:t>
      </w:r>
    </w:p>
    <w:p w14:paraId="0571474F">
      <w:pPr>
        <w:spacing w:line="400" w:lineRule="exact"/>
        <w:ind w:firstLine="420" w:firstLineChars="200"/>
        <w:jc w:val="left"/>
        <w:rPr>
          <w:rFonts w:ascii="宋体" w:hAnsi="宋体" w:eastAsia="微软雅黑" w:cs="宋体"/>
          <w:color w:val="auto"/>
          <w:szCs w:val="21"/>
          <w:highlight w:val="none"/>
        </w:rPr>
      </w:pPr>
      <w:r>
        <w:rPr>
          <w:rFonts w:hint="eastAsia" w:ascii="宋体" w:hAnsi="宋体" w:cs="宋体"/>
          <w:color w:val="auto"/>
          <w:kern w:val="0"/>
          <w:szCs w:val="21"/>
          <w:highlight w:val="none"/>
        </w:rPr>
        <w:t>预算金额（元）：</w:t>
      </w:r>
      <w:r>
        <w:rPr>
          <w:rFonts w:hint="eastAsia" w:ascii="宋体" w:hAnsi="宋体" w:cs="宋体"/>
          <w:color w:val="auto"/>
          <w:szCs w:val="21"/>
          <w:highlight w:val="none"/>
        </w:rPr>
        <w:t>800000</w:t>
      </w:r>
    </w:p>
    <w:p w14:paraId="60A84B24">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最高限价（元）：</w:t>
      </w:r>
      <w:r>
        <w:rPr>
          <w:rFonts w:hint="eastAsia" w:ascii="宋体" w:hAnsi="宋体" w:cs="宋体"/>
          <w:color w:val="auto"/>
          <w:szCs w:val="21"/>
          <w:highlight w:val="none"/>
        </w:rPr>
        <w:t>800000</w:t>
      </w:r>
    </w:p>
    <w:p w14:paraId="31E674FC">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采购需求：</w:t>
      </w:r>
    </w:p>
    <w:p w14:paraId="60F15291">
      <w:pPr>
        <w:pStyle w:val="53"/>
        <w:rPr>
          <w:rFonts w:ascii="宋体" w:hAnsi="宋体" w:cs="宋体"/>
          <w:color w:val="auto"/>
          <w:kern w:val="0"/>
          <w:szCs w:val="21"/>
          <w:highlight w:val="none"/>
        </w:rPr>
      </w:pPr>
    </w:p>
    <w:p w14:paraId="57F93C89">
      <w:pPr>
        <w:pStyle w:val="53"/>
        <w:rPr>
          <w:rFonts w:ascii="宋体" w:hAnsi="宋体" w:cs="宋体"/>
          <w:color w:val="auto"/>
          <w:kern w:val="0"/>
          <w:szCs w:val="21"/>
          <w:highlight w:val="none"/>
        </w:rPr>
      </w:pPr>
      <w:r>
        <w:rPr>
          <w:rFonts w:hint="eastAsia" w:ascii="宋体" w:hAnsi="宋体" w:cs="宋体"/>
          <w:color w:val="auto"/>
          <w:kern w:val="0"/>
          <w:szCs w:val="21"/>
          <w:highlight w:val="none"/>
        </w:rPr>
        <w:t>标项一</w:t>
      </w:r>
    </w:p>
    <w:p w14:paraId="11D8C8CA">
      <w:pPr>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标项名称：安吉技师学院工学一体化课程建设</w:t>
      </w:r>
    </w:p>
    <w:p w14:paraId="4FAB1EB8">
      <w:pPr>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数量：不限</w:t>
      </w:r>
    </w:p>
    <w:p w14:paraId="48F6C9BA">
      <w:pPr>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预算金额（元）：</w:t>
      </w:r>
      <w:r>
        <w:rPr>
          <w:rFonts w:hint="eastAsia" w:ascii="宋体" w:hAnsi="宋体" w:cs="宋体"/>
          <w:color w:val="auto"/>
          <w:szCs w:val="21"/>
          <w:highlight w:val="none"/>
        </w:rPr>
        <w:t>800000</w:t>
      </w:r>
    </w:p>
    <w:p w14:paraId="2C1C1AAC">
      <w:pPr>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简要规格描述或项目基本概况介绍、用途：无</w:t>
      </w:r>
    </w:p>
    <w:p w14:paraId="5580DAC4">
      <w:pPr>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备注：投标报价不得超最高限价，否则投标无效。</w:t>
      </w:r>
    </w:p>
    <w:p w14:paraId="04604717">
      <w:pPr>
        <w:pStyle w:val="53"/>
        <w:rPr>
          <w:rFonts w:ascii="宋体" w:hAnsi="宋体" w:cs="宋体"/>
          <w:color w:val="auto"/>
          <w:kern w:val="0"/>
          <w:szCs w:val="21"/>
          <w:highlight w:val="none"/>
        </w:rPr>
      </w:pPr>
    </w:p>
    <w:p w14:paraId="106A9CC7">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合同履约期限：服务时间：</w:t>
      </w:r>
      <w:r>
        <w:rPr>
          <w:rFonts w:hint="eastAsia" w:ascii="宋体" w:hAnsi="宋体" w:cs="宋体"/>
          <w:color w:val="auto"/>
          <w:szCs w:val="21"/>
          <w:highlight w:val="none"/>
        </w:rPr>
        <w:t>自合同签订之日计起</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0日内完成本项目所需的课程建设</w:t>
      </w:r>
      <w:r>
        <w:rPr>
          <w:rFonts w:hint="eastAsia" w:ascii="宋体" w:hAnsi="宋体" w:cs="宋体"/>
          <w:color w:val="auto"/>
          <w:kern w:val="0"/>
          <w:szCs w:val="21"/>
          <w:highlight w:val="none"/>
        </w:rPr>
        <w:t>。</w:t>
      </w:r>
    </w:p>
    <w:p w14:paraId="44FE6F61">
      <w:pPr>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项目（否）接受联合体投标。</w:t>
      </w:r>
    </w:p>
    <w:p w14:paraId="21BF5A58">
      <w:pPr>
        <w:spacing w:line="400" w:lineRule="exact"/>
        <w:jc w:val="left"/>
        <w:rPr>
          <w:rFonts w:ascii="宋体" w:cs="宋体"/>
          <w:color w:val="auto"/>
          <w:szCs w:val="21"/>
          <w:highlight w:val="none"/>
        </w:rPr>
      </w:pPr>
      <w:r>
        <w:rPr>
          <w:rFonts w:hint="eastAsia" w:ascii="宋体" w:hAnsi="宋体" w:cs="宋体"/>
          <w:b/>
          <w:bCs/>
          <w:color w:val="auto"/>
          <w:kern w:val="0"/>
          <w:szCs w:val="21"/>
          <w:highlight w:val="none"/>
        </w:rPr>
        <w:t>二、申请人的资格要求</w:t>
      </w:r>
    </w:p>
    <w:p w14:paraId="378D812F">
      <w:pPr>
        <w:spacing w:line="400" w:lineRule="exact"/>
        <w:ind w:firstLine="420" w:firstLineChars="200"/>
        <w:jc w:val="left"/>
        <w:rPr>
          <w:rFonts w:ascii="宋体" w:cs="宋体"/>
          <w:color w:val="auto"/>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满足《中华人民共和国政府采购法》第二十二条规定；未被“信用中国”（</w:t>
      </w:r>
      <w:r>
        <w:rPr>
          <w:rFonts w:ascii="宋体" w:hAnsi="宋体" w:cs="宋体"/>
          <w:color w:val="auto"/>
          <w:kern w:val="0"/>
          <w:szCs w:val="21"/>
          <w:highlight w:val="none"/>
        </w:rPr>
        <w:t>www.creditchina.gov.cn)</w:t>
      </w:r>
      <w:r>
        <w:rPr>
          <w:rFonts w:hint="eastAsia" w:ascii="宋体" w:hAnsi="宋体" w:cs="宋体"/>
          <w:color w:val="auto"/>
          <w:kern w:val="0"/>
          <w:szCs w:val="21"/>
          <w:highlight w:val="none"/>
        </w:rPr>
        <w:t>、中国政府采购网（</w:t>
      </w:r>
      <w:r>
        <w:rPr>
          <w:rFonts w:ascii="宋体" w:hAnsi="宋体" w:cs="宋体"/>
          <w:color w:val="auto"/>
          <w:kern w:val="0"/>
          <w:szCs w:val="21"/>
          <w:highlight w:val="none"/>
        </w:rPr>
        <w:t>www.ccgp.gov.cn</w:t>
      </w:r>
      <w:r>
        <w:rPr>
          <w:rFonts w:hint="eastAsia" w:ascii="宋体" w:hAnsi="宋体" w:cs="宋体"/>
          <w:color w:val="auto"/>
          <w:kern w:val="0"/>
          <w:szCs w:val="21"/>
          <w:highlight w:val="none"/>
        </w:rPr>
        <w:t>）列入失信被执行人、重大税收违法案件当事人名单、政府采购严重违法失信行为记录名单。</w:t>
      </w:r>
    </w:p>
    <w:p w14:paraId="3B2CEE97">
      <w:pPr>
        <w:spacing w:line="400" w:lineRule="exact"/>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落实政府采购政策需满足的资格要求：</w:t>
      </w:r>
      <w:r>
        <w:rPr>
          <w:rFonts w:hint="eastAsia" w:ascii="宋体" w:hAnsi="宋体" w:cs="宋体"/>
          <w:kern w:val="0"/>
          <w:szCs w:val="21"/>
          <w:lang w:bidi="ar"/>
        </w:rPr>
        <w:t>本项目专门面向中小企业采购，中小微型企业（监狱企业、残疾人福利性单位视同小微企业）应按照</w:t>
      </w:r>
      <w:r>
        <w:rPr>
          <w:rFonts w:hint="eastAsia" w:ascii="宋体" w:hAnsi="宋体" w:cs="宋体"/>
          <w:kern w:val="0"/>
          <w:szCs w:val="21"/>
          <w:lang w:eastAsia="zh-CN" w:bidi="ar"/>
        </w:rPr>
        <w:t>采购</w:t>
      </w:r>
      <w:r>
        <w:rPr>
          <w:rFonts w:hint="eastAsia" w:ascii="宋体" w:hAnsi="宋体" w:cs="宋体"/>
          <w:kern w:val="0"/>
          <w:szCs w:val="21"/>
          <w:lang w:bidi="ar"/>
        </w:rPr>
        <w:t>文件附件的格式要求在资格证明文件中提供《中小企业声明函》</w:t>
      </w:r>
      <w:r>
        <w:rPr>
          <w:rFonts w:hint="eastAsia" w:ascii="宋体" w:hAnsi="宋体" w:cs="宋体"/>
          <w:color w:val="auto"/>
          <w:kern w:val="0"/>
          <w:szCs w:val="21"/>
          <w:highlight w:val="none"/>
        </w:rPr>
        <w:t>；</w:t>
      </w:r>
    </w:p>
    <w:p w14:paraId="6825CEE6">
      <w:pPr>
        <w:pStyle w:val="26"/>
        <w:spacing w:before="0" w:beforeAutospacing="0" w:after="0" w:afterAutospacing="0" w:line="400" w:lineRule="exact"/>
        <w:ind w:firstLine="420" w:firstLineChars="200"/>
        <w:rPr>
          <w:rFonts w:cs="宋体"/>
          <w:color w:val="auto"/>
          <w:sz w:val="21"/>
          <w:szCs w:val="21"/>
          <w:highlight w:val="none"/>
        </w:rPr>
      </w:pPr>
      <w:r>
        <w:rPr>
          <w:rFonts w:hint="eastAsia" w:cs="宋体"/>
          <w:color w:val="auto"/>
          <w:sz w:val="21"/>
          <w:szCs w:val="21"/>
          <w:highlight w:val="none"/>
        </w:rPr>
        <w:t>3.本项目的特定资格要求：无</w:t>
      </w:r>
      <w:r>
        <w:rPr>
          <w:rFonts w:hint="eastAsia"/>
          <w:color w:val="auto"/>
          <w:sz w:val="21"/>
          <w:szCs w:val="21"/>
          <w:highlight w:val="none"/>
        </w:rPr>
        <w:t>。</w:t>
      </w:r>
    </w:p>
    <w:p w14:paraId="4347AB14">
      <w:pPr>
        <w:spacing w:line="400" w:lineRule="exact"/>
        <w:jc w:val="left"/>
        <w:rPr>
          <w:rFonts w:ascii="宋体" w:cs="宋体"/>
          <w:color w:val="auto"/>
          <w:szCs w:val="21"/>
          <w:highlight w:val="none"/>
        </w:rPr>
      </w:pPr>
      <w:r>
        <w:rPr>
          <w:rFonts w:hint="eastAsia" w:ascii="宋体" w:hAnsi="宋体" w:cs="宋体"/>
          <w:b/>
          <w:bCs/>
          <w:color w:val="auto"/>
          <w:kern w:val="0"/>
          <w:szCs w:val="21"/>
          <w:highlight w:val="none"/>
        </w:rPr>
        <w:t>三、获取（下载）采购文件</w:t>
      </w:r>
      <w:r>
        <w:rPr>
          <w:rFonts w:ascii="宋体" w:hAnsi="宋体" w:cs="宋体"/>
          <w:b/>
          <w:bCs/>
          <w:color w:val="auto"/>
          <w:kern w:val="0"/>
          <w:szCs w:val="21"/>
          <w:highlight w:val="none"/>
        </w:rPr>
        <w:t xml:space="preserve"> </w:t>
      </w:r>
    </w:p>
    <w:p w14:paraId="51F211FF">
      <w:pPr>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时间：</w:t>
      </w:r>
      <w:r>
        <w:rPr>
          <w:rFonts w:ascii="宋体" w:hAnsi="宋体" w:cs="宋体"/>
          <w:color w:val="auto"/>
          <w:kern w:val="0"/>
          <w:szCs w:val="21"/>
          <w:highlight w:val="none"/>
        </w:rPr>
        <w:t>/</w:t>
      </w:r>
      <w:r>
        <w:rPr>
          <w:rFonts w:hint="eastAsia" w:ascii="宋体" w:hAnsi="宋体" w:cs="宋体"/>
          <w:color w:val="auto"/>
          <w:kern w:val="0"/>
          <w:szCs w:val="21"/>
          <w:highlight w:val="none"/>
        </w:rPr>
        <w:t>至202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日，每天上午</w:t>
      </w:r>
      <w:r>
        <w:rPr>
          <w:rFonts w:ascii="宋体" w:hAnsi="宋体" w:cs="宋体"/>
          <w:color w:val="auto"/>
          <w:kern w:val="0"/>
          <w:szCs w:val="21"/>
          <w:highlight w:val="none"/>
        </w:rPr>
        <w:t>00:00</w:t>
      </w:r>
      <w:r>
        <w:rPr>
          <w:rFonts w:hint="eastAsia" w:ascii="宋体" w:hAnsi="宋体" w:cs="宋体"/>
          <w:color w:val="auto"/>
          <w:kern w:val="0"/>
          <w:szCs w:val="21"/>
          <w:highlight w:val="none"/>
        </w:rPr>
        <w:t>至</w:t>
      </w:r>
      <w:r>
        <w:rPr>
          <w:rFonts w:ascii="宋体" w:hAnsi="宋体" w:cs="宋体"/>
          <w:color w:val="auto"/>
          <w:kern w:val="0"/>
          <w:szCs w:val="21"/>
          <w:highlight w:val="none"/>
        </w:rPr>
        <w:t>12:00</w:t>
      </w:r>
      <w:r>
        <w:rPr>
          <w:rFonts w:hint="eastAsia" w:ascii="宋体" w:hAnsi="宋体" w:cs="宋体"/>
          <w:color w:val="auto"/>
          <w:kern w:val="0"/>
          <w:szCs w:val="21"/>
          <w:highlight w:val="none"/>
        </w:rPr>
        <w:t>，下午</w:t>
      </w:r>
      <w:r>
        <w:rPr>
          <w:rFonts w:ascii="宋体" w:hAnsi="宋体" w:cs="宋体"/>
          <w:color w:val="auto"/>
          <w:kern w:val="0"/>
          <w:szCs w:val="21"/>
          <w:highlight w:val="none"/>
        </w:rPr>
        <w:t>12:00</w:t>
      </w:r>
      <w:r>
        <w:rPr>
          <w:rFonts w:hint="eastAsia" w:ascii="宋体" w:hAnsi="宋体" w:cs="宋体"/>
          <w:color w:val="auto"/>
          <w:kern w:val="0"/>
          <w:szCs w:val="21"/>
          <w:highlight w:val="none"/>
        </w:rPr>
        <w:t>至</w:t>
      </w:r>
      <w:r>
        <w:rPr>
          <w:rFonts w:ascii="宋体" w:hAnsi="宋体" w:cs="宋体"/>
          <w:color w:val="auto"/>
          <w:kern w:val="0"/>
          <w:szCs w:val="21"/>
          <w:highlight w:val="none"/>
        </w:rPr>
        <w:t>23:59</w:t>
      </w:r>
      <w:r>
        <w:rPr>
          <w:rFonts w:hint="eastAsia" w:ascii="宋体" w:hAnsi="宋体" w:cs="宋体"/>
          <w:color w:val="auto"/>
          <w:kern w:val="0"/>
          <w:szCs w:val="21"/>
          <w:highlight w:val="none"/>
        </w:rPr>
        <w:t>（北京时间，线上获取法定节假日均可，线下获取文件法定节假日除外）</w:t>
      </w:r>
    </w:p>
    <w:p w14:paraId="45A78C62">
      <w:pPr>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地点（网址）：政府采购云平台</w:t>
      </w:r>
      <w:r>
        <w:rPr>
          <w:rFonts w:ascii="宋体" w:hAnsi="宋体" w:cs="宋体"/>
          <w:color w:val="auto"/>
          <w:kern w:val="0"/>
          <w:szCs w:val="21"/>
          <w:highlight w:val="none"/>
        </w:rPr>
        <w:t>http://www.zcygov.cn</w:t>
      </w:r>
      <w:r>
        <w:rPr>
          <w:rFonts w:hint="eastAsia" w:ascii="宋体" w:hAnsi="宋体" w:cs="宋体"/>
          <w:color w:val="auto"/>
          <w:kern w:val="0"/>
          <w:szCs w:val="21"/>
          <w:highlight w:val="none"/>
        </w:rPr>
        <w:t>（以下简称“政采云平台”）；</w:t>
      </w:r>
      <w:r>
        <w:rPr>
          <w:rFonts w:ascii="宋体" w:hAnsi="宋体" w:cs="宋体"/>
          <w:color w:val="auto"/>
          <w:kern w:val="0"/>
          <w:szCs w:val="21"/>
          <w:highlight w:val="none"/>
        </w:rPr>
        <w:t xml:space="preserve"> </w:t>
      </w:r>
    </w:p>
    <w:p w14:paraId="7C8012D4">
      <w:pPr>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方式：供应商登录政采云平台https://www.zcygov.cn/在线申请获取采购文件（进入“项目采购”应用，在获取采购文件菜单中选择项目，申请获取采购文件）；</w:t>
      </w:r>
      <w:r>
        <w:rPr>
          <w:rFonts w:ascii="宋体" w:hAnsi="宋体" w:cs="宋体"/>
          <w:color w:val="auto"/>
          <w:kern w:val="0"/>
          <w:szCs w:val="21"/>
          <w:highlight w:val="none"/>
        </w:rPr>
        <w:t xml:space="preserve"> </w:t>
      </w:r>
    </w:p>
    <w:p w14:paraId="20E3BD73">
      <w:pPr>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售价（元）：</w:t>
      </w:r>
      <w:r>
        <w:rPr>
          <w:rFonts w:ascii="宋体" w:hAnsi="宋体" w:cs="宋体"/>
          <w:color w:val="auto"/>
          <w:kern w:val="0"/>
          <w:szCs w:val="21"/>
          <w:highlight w:val="none"/>
        </w:rPr>
        <w:t xml:space="preserve">0 </w:t>
      </w:r>
    </w:p>
    <w:p w14:paraId="5FD806C1">
      <w:pPr>
        <w:spacing w:line="400" w:lineRule="exact"/>
        <w:jc w:val="left"/>
        <w:rPr>
          <w:rFonts w:ascii="宋体" w:cs="宋体"/>
          <w:color w:val="auto"/>
          <w:szCs w:val="21"/>
          <w:highlight w:val="none"/>
        </w:rPr>
      </w:pPr>
      <w:r>
        <w:rPr>
          <w:rFonts w:hint="eastAsia" w:ascii="宋体" w:hAnsi="宋体" w:cs="宋体"/>
          <w:b/>
          <w:bCs/>
          <w:color w:val="auto"/>
          <w:kern w:val="0"/>
          <w:szCs w:val="21"/>
          <w:highlight w:val="none"/>
        </w:rPr>
        <w:t>四、响应文件提交（上传）</w:t>
      </w:r>
    </w:p>
    <w:p w14:paraId="32CCDC45">
      <w:pPr>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截止时间：202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 xml:space="preserve">日 </w:t>
      </w:r>
      <w:r>
        <w:rPr>
          <w:rFonts w:hint="eastAsia" w:ascii="宋体" w:hAnsi="宋体" w:cs="宋体"/>
          <w:color w:val="auto"/>
          <w:kern w:val="0"/>
          <w:szCs w:val="21"/>
          <w:highlight w:val="none"/>
          <w:lang w:val="en-US" w:eastAsia="zh-CN"/>
        </w:rPr>
        <w:t>09</w:t>
      </w:r>
      <w:r>
        <w:rPr>
          <w:rFonts w:ascii="宋体" w:hAnsi="宋体" w:cs="宋体"/>
          <w:color w:val="auto"/>
          <w:kern w:val="0"/>
          <w:szCs w:val="21"/>
          <w:highlight w:val="none"/>
        </w:rPr>
        <w:t>:00</w:t>
      </w:r>
      <w:r>
        <w:rPr>
          <w:rFonts w:hint="eastAsia" w:ascii="宋体" w:hAnsi="宋体" w:cs="宋体"/>
          <w:color w:val="auto"/>
          <w:kern w:val="0"/>
          <w:szCs w:val="21"/>
          <w:highlight w:val="none"/>
        </w:rPr>
        <w:t>（北京时间）</w:t>
      </w:r>
    </w:p>
    <w:p w14:paraId="2E3D5CFD">
      <w:pPr>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地点（网址）：通过“政府采购云平台（</w:t>
      </w:r>
      <w:r>
        <w:rPr>
          <w:rFonts w:ascii="宋体" w:hAnsi="宋体" w:cs="宋体"/>
          <w:color w:val="auto"/>
          <w:kern w:val="0"/>
          <w:szCs w:val="21"/>
          <w:highlight w:val="none"/>
        </w:rPr>
        <w:t>www.zcygov.cn</w:t>
      </w:r>
      <w:r>
        <w:rPr>
          <w:rFonts w:hint="eastAsia" w:ascii="宋体" w:hAnsi="宋体" w:cs="宋体"/>
          <w:color w:val="auto"/>
          <w:kern w:val="0"/>
          <w:szCs w:val="21"/>
          <w:highlight w:val="none"/>
        </w:rPr>
        <w:t>）”在线响应及评审</w:t>
      </w:r>
    </w:p>
    <w:p w14:paraId="1DA6B31E">
      <w:pPr>
        <w:spacing w:line="40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五、响应文件开启 </w:t>
      </w:r>
    </w:p>
    <w:p w14:paraId="6C172C53">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开启时间：202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日</w:t>
      </w:r>
      <w:r>
        <w:rPr>
          <w:rFonts w:hint="eastAsia" w:ascii="宋体" w:hAnsi="宋体" w:cs="宋体"/>
          <w:color w:val="auto"/>
          <w:kern w:val="0"/>
          <w:szCs w:val="21"/>
          <w:highlight w:val="none"/>
          <w:lang w:val="en-US" w:eastAsia="zh-CN"/>
        </w:rPr>
        <w:t xml:space="preserve"> 09</w:t>
      </w:r>
      <w:r>
        <w:rPr>
          <w:rFonts w:hint="eastAsia" w:ascii="宋体" w:hAnsi="宋体" w:cs="宋体"/>
          <w:color w:val="auto"/>
          <w:kern w:val="0"/>
          <w:szCs w:val="21"/>
          <w:highlight w:val="none"/>
        </w:rPr>
        <w:t>:00（北京时间）</w:t>
      </w:r>
    </w:p>
    <w:p w14:paraId="6AC7A4FF">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地点（网址）：通过“政府采购云平台（</w:t>
      </w:r>
      <w:r>
        <w:rPr>
          <w:rFonts w:ascii="宋体" w:hAnsi="宋体" w:cs="宋体"/>
          <w:color w:val="auto"/>
          <w:kern w:val="0"/>
          <w:szCs w:val="21"/>
          <w:highlight w:val="none"/>
        </w:rPr>
        <w:t>www.zcygov.cn</w:t>
      </w:r>
      <w:r>
        <w:rPr>
          <w:rFonts w:hint="eastAsia" w:ascii="宋体" w:hAnsi="宋体" w:cs="宋体"/>
          <w:color w:val="auto"/>
          <w:kern w:val="0"/>
          <w:szCs w:val="21"/>
          <w:highlight w:val="none"/>
        </w:rPr>
        <w:t>）”在线响应及评审 </w:t>
      </w:r>
    </w:p>
    <w:p w14:paraId="6473F476">
      <w:pPr>
        <w:spacing w:line="400" w:lineRule="exact"/>
        <w:jc w:val="left"/>
        <w:rPr>
          <w:rFonts w:ascii="宋体" w:cs="宋体"/>
          <w:color w:val="auto"/>
          <w:szCs w:val="21"/>
          <w:highlight w:val="none"/>
        </w:rPr>
      </w:pPr>
      <w:r>
        <w:rPr>
          <w:rFonts w:hint="eastAsia" w:ascii="宋体" w:hAnsi="宋体" w:cs="宋体"/>
          <w:b/>
          <w:bCs/>
          <w:color w:val="auto"/>
          <w:kern w:val="0"/>
          <w:szCs w:val="21"/>
          <w:highlight w:val="none"/>
        </w:rPr>
        <w:t>六、公告期限</w:t>
      </w:r>
      <w:r>
        <w:rPr>
          <w:rFonts w:ascii="宋体" w:hAnsi="宋体" w:cs="宋体"/>
          <w:b/>
          <w:bCs/>
          <w:color w:val="auto"/>
          <w:kern w:val="0"/>
          <w:szCs w:val="21"/>
          <w:highlight w:val="none"/>
        </w:rPr>
        <w:t xml:space="preserve"> </w:t>
      </w:r>
    </w:p>
    <w:p w14:paraId="28D25E58">
      <w:pPr>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自本公告发布之日起</w:t>
      </w:r>
      <w:r>
        <w:rPr>
          <w:rFonts w:ascii="宋体" w:hAnsi="宋体" w:cs="宋体"/>
          <w:color w:val="auto"/>
          <w:kern w:val="0"/>
          <w:szCs w:val="21"/>
          <w:highlight w:val="none"/>
        </w:rPr>
        <w:t>3</w:t>
      </w:r>
      <w:r>
        <w:rPr>
          <w:rFonts w:hint="eastAsia" w:ascii="宋体" w:hAnsi="宋体" w:cs="宋体"/>
          <w:color w:val="auto"/>
          <w:kern w:val="0"/>
          <w:szCs w:val="21"/>
          <w:highlight w:val="none"/>
        </w:rPr>
        <w:t>个工作日。</w:t>
      </w:r>
    </w:p>
    <w:p w14:paraId="60099201">
      <w:pPr>
        <w:spacing w:line="400" w:lineRule="exact"/>
        <w:jc w:val="left"/>
        <w:rPr>
          <w:rFonts w:ascii="宋体" w:cs="宋体"/>
          <w:color w:val="auto"/>
          <w:szCs w:val="21"/>
          <w:highlight w:val="none"/>
        </w:rPr>
      </w:pPr>
      <w:r>
        <w:rPr>
          <w:rFonts w:hint="eastAsia" w:ascii="宋体" w:hAnsi="宋体" w:cs="宋体"/>
          <w:b/>
          <w:bCs/>
          <w:color w:val="auto"/>
          <w:kern w:val="0"/>
          <w:szCs w:val="21"/>
          <w:highlight w:val="none"/>
        </w:rPr>
        <w:t>七、其他补充事宜</w:t>
      </w:r>
    </w:p>
    <w:p w14:paraId="41BB3D41">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9AD50AB">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94CBCFB">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620CC2E">
      <w:pPr>
        <w:spacing w:line="400" w:lineRule="exact"/>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w:t>
      </w:r>
      <w:r>
        <w:rPr>
          <w:rFonts w:hint="eastAsia" w:ascii="宋体" w:hAnsi="宋体" w:cs="宋体"/>
          <w:color w:val="auto"/>
          <w:kern w:val="0"/>
          <w:szCs w:val="21"/>
          <w:highlight w:val="none"/>
        </w:rPr>
        <w:t>其他事项：</w:t>
      </w:r>
    </w:p>
    <w:p w14:paraId="17EDEB1F">
      <w:pPr>
        <w:spacing w:line="400" w:lineRule="exact"/>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1）本项目执行的政府采购政策：</w:t>
      </w:r>
    </w:p>
    <w:p w14:paraId="6DA4C943">
      <w:pPr>
        <w:spacing w:line="400" w:lineRule="exact"/>
        <w:ind w:firstLine="420" w:firstLineChars="200"/>
        <w:jc w:val="left"/>
        <w:rPr>
          <w:rFonts w:ascii="宋体" w:cs="宋体"/>
          <w:color w:val="auto"/>
          <w:kern w:val="0"/>
          <w:szCs w:val="21"/>
          <w:highlight w:val="none"/>
        </w:rPr>
      </w:pPr>
      <w:r>
        <w:rPr>
          <w:rFonts w:hint="eastAsia" w:ascii="宋体" w:hAnsi="宋体" w:cs="宋体"/>
          <w:bCs/>
          <w:color w:val="auto"/>
          <w:szCs w:val="21"/>
          <w:highlight w:val="none"/>
        </w:rPr>
        <w:t>《政府采购促进中小企业发展管理办法》（财库﹝</w:t>
      </w:r>
      <w:r>
        <w:rPr>
          <w:rFonts w:ascii="宋体" w:hAnsi="宋体" w:cs="宋体"/>
          <w:bCs/>
          <w:color w:val="auto"/>
          <w:szCs w:val="21"/>
          <w:highlight w:val="none"/>
        </w:rPr>
        <w:t>2020</w:t>
      </w:r>
      <w:r>
        <w:rPr>
          <w:rFonts w:hint="eastAsia" w:ascii="宋体" w:hAnsi="宋体" w:cs="宋体"/>
          <w:bCs/>
          <w:color w:val="auto"/>
          <w:szCs w:val="21"/>
          <w:highlight w:val="none"/>
        </w:rPr>
        <w:t>﹞</w:t>
      </w:r>
      <w:r>
        <w:rPr>
          <w:rFonts w:ascii="宋体" w:hAnsi="宋体" w:cs="宋体"/>
          <w:bCs/>
          <w:color w:val="auto"/>
          <w:szCs w:val="21"/>
          <w:highlight w:val="none"/>
        </w:rPr>
        <w:t>46</w:t>
      </w:r>
      <w:r>
        <w:rPr>
          <w:rFonts w:hint="eastAsia" w:ascii="宋体" w:hAnsi="宋体" w:cs="宋体"/>
          <w:bCs/>
          <w:color w:val="auto"/>
          <w:szCs w:val="21"/>
          <w:highlight w:val="none"/>
        </w:rPr>
        <w:t>号）</w:t>
      </w:r>
      <w:r>
        <w:rPr>
          <w:rFonts w:hint="eastAsia" w:ascii="宋体" w:hAnsi="宋体" w:cs="宋体"/>
          <w:color w:val="auto"/>
          <w:kern w:val="0"/>
          <w:szCs w:val="21"/>
          <w:highlight w:val="none"/>
        </w:rPr>
        <w:t>；</w:t>
      </w:r>
    </w:p>
    <w:p w14:paraId="5436C239">
      <w:pPr>
        <w:spacing w:line="400" w:lineRule="exact"/>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《财政部、司法部关于政府采购支持监狱企业发展有关问题的通知》（财库〔</w:t>
      </w:r>
      <w:r>
        <w:rPr>
          <w:rFonts w:ascii="宋体" w:hAnsi="宋体" w:cs="宋体"/>
          <w:color w:val="auto"/>
          <w:kern w:val="0"/>
          <w:szCs w:val="21"/>
          <w:highlight w:val="none"/>
        </w:rPr>
        <w:t>2014</w:t>
      </w:r>
      <w:r>
        <w:rPr>
          <w:rFonts w:hint="eastAsia" w:ascii="宋体" w:hAnsi="宋体" w:cs="宋体"/>
          <w:color w:val="auto"/>
          <w:kern w:val="0"/>
          <w:szCs w:val="21"/>
          <w:highlight w:val="none"/>
        </w:rPr>
        <w:t>〕</w:t>
      </w:r>
      <w:r>
        <w:rPr>
          <w:rFonts w:ascii="宋体" w:hAnsi="宋体" w:cs="宋体"/>
          <w:color w:val="auto"/>
          <w:kern w:val="0"/>
          <w:szCs w:val="21"/>
          <w:highlight w:val="none"/>
        </w:rPr>
        <w:t>68</w:t>
      </w:r>
      <w:r>
        <w:rPr>
          <w:rFonts w:hint="eastAsia" w:ascii="宋体" w:hAnsi="宋体" w:cs="宋体"/>
          <w:color w:val="auto"/>
          <w:kern w:val="0"/>
          <w:szCs w:val="21"/>
          <w:highlight w:val="none"/>
        </w:rPr>
        <w:t>号）；</w:t>
      </w:r>
    </w:p>
    <w:p w14:paraId="2D465EF3">
      <w:pPr>
        <w:spacing w:line="400" w:lineRule="exact"/>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《国务院办公厅关于建立政府强制采购节能产品制度的通知》（国办发〔</w:t>
      </w:r>
      <w:r>
        <w:rPr>
          <w:rFonts w:ascii="宋体" w:hAnsi="宋体" w:cs="宋体"/>
          <w:color w:val="auto"/>
          <w:kern w:val="0"/>
          <w:szCs w:val="21"/>
          <w:highlight w:val="none"/>
        </w:rPr>
        <w:t>2007</w:t>
      </w:r>
      <w:r>
        <w:rPr>
          <w:rFonts w:hint="eastAsia" w:ascii="宋体" w:hAnsi="宋体" w:cs="宋体"/>
          <w:color w:val="auto"/>
          <w:kern w:val="0"/>
          <w:szCs w:val="21"/>
          <w:highlight w:val="none"/>
        </w:rPr>
        <w:t>〕</w:t>
      </w:r>
      <w:r>
        <w:rPr>
          <w:rFonts w:ascii="宋体" w:hAnsi="宋体" w:cs="宋体"/>
          <w:color w:val="auto"/>
          <w:kern w:val="0"/>
          <w:szCs w:val="21"/>
          <w:highlight w:val="none"/>
        </w:rPr>
        <w:t>51</w:t>
      </w:r>
      <w:r>
        <w:rPr>
          <w:rFonts w:hint="eastAsia" w:ascii="宋体" w:hAnsi="宋体" w:cs="宋体"/>
          <w:color w:val="auto"/>
          <w:kern w:val="0"/>
          <w:szCs w:val="21"/>
          <w:highlight w:val="none"/>
        </w:rPr>
        <w:t>号）；</w:t>
      </w:r>
    </w:p>
    <w:p w14:paraId="6B86C903">
      <w:pPr>
        <w:spacing w:line="400" w:lineRule="exact"/>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《财政部、国家环保总局关于环境标志产品政府采购实施的意见》（财库</w:t>
      </w:r>
      <w:r>
        <w:rPr>
          <w:rFonts w:ascii="宋体" w:hAnsi="宋体" w:cs="宋体"/>
          <w:color w:val="auto"/>
          <w:kern w:val="0"/>
          <w:szCs w:val="21"/>
          <w:highlight w:val="none"/>
        </w:rPr>
        <w:t>[2006]90</w:t>
      </w:r>
      <w:r>
        <w:rPr>
          <w:rFonts w:hint="eastAsia" w:ascii="宋体" w:hAnsi="宋体" w:cs="宋体"/>
          <w:color w:val="auto"/>
          <w:kern w:val="0"/>
          <w:szCs w:val="21"/>
          <w:highlight w:val="none"/>
        </w:rPr>
        <w:t>号）；</w:t>
      </w:r>
    </w:p>
    <w:p w14:paraId="6E82ADB9">
      <w:pPr>
        <w:spacing w:line="400" w:lineRule="exact"/>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财政部民政部中国残疾人联合会《关于促进残疾人就业政府采购政策的通知》（财库〔</w:t>
      </w:r>
      <w:r>
        <w:rPr>
          <w:rFonts w:ascii="宋体" w:hAnsi="宋体" w:cs="宋体"/>
          <w:color w:val="auto"/>
          <w:kern w:val="0"/>
          <w:szCs w:val="21"/>
          <w:highlight w:val="none"/>
        </w:rPr>
        <w:t>2017</w:t>
      </w:r>
      <w:r>
        <w:rPr>
          <w:rFonts w:hint="eastAsia" w:ascii="宋体" w:hAnsi="宋体" w:cs="宋体"/>
          <w:color w:val="auto"/>
          <w:kern w:val="0"/>
          <w:szCs w:val="21"/>
          <w:highlight w:val="none"/>
        </w:rPr>
        <w:t>〕</w:t>
      </w:r>
      <w:r>
        <w:rPr>
          <w:rFonts w:ascii="宋体" w:hAnsi="宋体" w:cs="宋体"/>
          <w:color w:val="auto"/>
          <w:kern w:val="0"/>
          <w:szCs w:val="21"/>
          <w:highlight w:val="none"/>
        </w:rPr>
        <w:t>141</w:t>
      </w:r>
      <w:r>
        <w:rPr>
          <w:rFonts w:hint="eastAsia" w:ascii="宋体" w:hAnsi="宋体" w:cs="宋体"/>
          <w:color w:val="auto"/>
          <w:kern w:val="0"/>
          <w:szCs w:val="21"/>
          <w:highlight w:val="none"/>
        </w:rPr>
        <w:t>号）。</w:t>
      </w:r>
    </w:p>
    <w:p w14:paraId="69184F96">
      <w:pPr>
        <w:spacing w:line="400" w:lineRule="exact"/>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2）资格审查：本项目采用资格后审。</w:t>
      </w:r>
    </w:p>
    <w:p w14:paraId="0470CEC9">
      <w:pPr>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3）采购代理费用由成交人支付。</w:t>
      </w:r>
      <w:r>
        <w:rPr>
          <w:rFonts w:ascii="宋体" w:hAnsi="宋体" w:cs="宋体"/>
          <w:color w:val="auto"/>
          <w:kern w:val="0"/>
          <w:szCs w:val="21"/>
          <w:highlight w:val="none"/>
        </w:rPr>
        <w:t xml:space="preserve"> </w:t>
      </w:r>
    </w:p>
    <w:p w14:paraId="079EC464">
      <w:pPr>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4）本采购项目成交单位与采购单位签订的政府采购合同适用于浙江省政府采购贷款政策，简称“政采贷”，具体内容可参阅《关于“政采贷”相关情况的介绍》。网址：http://www.anji.gov.cn/hzgov/front/s553/zwgk/gggs/20231228/i3691136.html</w:t>
      </w:r>
    </w:p>
    <w:p w14:paraId="388A825F">
      <w:pPr>
        <w:spacing w:line="400" w:lineRule="exact"/>
        <w:jc w:val="left"/>
        <w:rPr>
          <w:rFonts w:ascii="宋体" w:cs="宋体"/>
          <w:color w:val="auto"/>
          <w:szCs w:val="21"/>
          <w:highlight w:val="none"/>
        </w:rPr>
      </w:pPr>
      <w:r>
        <w:rPr>
          <w:rFonts w:hint="eastAsia" w:ascii="宋体" w:hAnsi="宋体" w:cs="宋体"/>
          <w:b/>
          <w:bCs/>
          <w:color w:val="auto"/>
          <w:kern w:val="0"/>
          <w:szCs w:val="21"/>
          <w:highlight w:val="none"/>
        </w:rPr>
        <w:t>八、对本次采购提出询问、质疑、投诉，请按以下方式联系</w:t>
      </w:r>
    </w:p>
    <w:p w14:paraId="2F5E6C8F">
      <w:pPr>
        <w:spacing w:line="400" w:lineRule="exact"/>
        <w:ind w:firstLine="420" w:firstLineChars="200"/>
        <w:jc w:val="left"/>
        <w:rPr>
          <w:rFonts w:ascii="宋体" w:cs="宋体"/>
          <w:color w:val="auto"/>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采购人信息</w:t>
      </w:r>
    </w:p>
    <w:p w14:paraId="39DB0FF1">
      <w:pPr>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名      称：安吉技师学院</w:t>
      </w:r>
    </w:p>
    <w:p w14:paraId="13B7BF79">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地      址：</w:t>
      </w:r>
      <w:r>
        <w:rPr>
          <w:rFonts w:hint="eastAsia" w:ascii="宋体" w:hAnsi="宋体" w:cs="宋体"/>
          <w:color w:val="auto"/>
          <w:szCs w:val="21"/>
          <w:highlight w:val="none"/>
          <w:shd w:val="clear" w:color="auto" w:fill="FFFFFF"/>
        </w:rPr>
        <w:t>安吉县孝源街道职教路1号</w:t>
      </w:r>
    </w:p>
    <w:p w14:paraId="2FC5E81E">
      <w:pPr>
        <w:spacing w:line="400" w:lineRule="exact"/>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项目联系人（询问）：</w:t>
      </w:r>
      <w:r>
        <w:rPr>
          <w:rFonts w:hint="eastAsia" w:ascii="宋体" w:hAnsi="宋体" w:cs="宋体"/>
          <w:color w:val="auto"/>
          <w:kern w:val="0"/>
          <w:szCs w:val="21"/>
          <w:highlight w:val="none"/>
          <w:lang w:val="en-US" w:eastAsia="zh-CN"/>
        </w:rPr>
        <w:t>张</w:t>
      </w:r>
      <w:r>
        <w:rPr>
          <w:rFonts w:hint="eastAsia" w:ascii="宋体" w:hAnsi="宋体" w:cs="宋体"/>
          <w:color w:val="auto"/>
          <w:szCs w:val="21"/>
          <w:highlight w:val="none"/>
          <w:shd w:val="clear" w:color="auto" w:fill="FFFFFF"/>
          <w:lang w:val="en-US" w:eastAsia="zh-CN"/>
        </w:rPr>
        <w:t>老师</w:t>
      </w:r>
    </w:p>
    <w:p w14:paraId="2C1E503A">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项目联系方式（询问）：</w:t>
      </w:r>
      <w:r>
        <w:rPr>
          <w:rFonts w:hint="eastAsia" w:ascii="宋体" w:hAnsi="宋体" w:eastAsia="宋体"/>
          <w:color w:val="auto"/>
          <w:sz w:val="21"/>
          <w:szCs w:val="21"/>
          <w:highlight w:val="none"/>
        </w:rPr>
        <w:t>13002612237</w:t>
      </w:r>
      <w:r>
        <w:rPr>
          <w:rFonts w:hint="eastAsia" w:ascii="宋体" w:hAnsi="宋体" w:cs="宋体"/>
          <w:color w:val="auto"/>
          <w:kern w:val="0"/>
          <w:szCs w:val="21"/>
          <w:highlight w:val="none"/>
        </w:rPr>
        <w:t xml:space="preserve">       </w:t>
      </w:r>
    </w:p>
    <w:p w14:paraId="7CE1B8F6">
      <w:pPr>
        <w:spacing w:line="400" w:lineRule="exact"/>
        <w:ind w:firstLine="420" w:firstLineChars="200"/>
        <w:jc w:val="left"/>
        <w:rPr>
          <w:rFonts w:hint="eastAsia" w:ascii="宋体" w:hAnsi="宋体" w:cs="宋体"/>
          <w:color w:val="auto"/>
          <w:szCs w:val="21"/>
          <w:highlight w:val="none"/>
          <w:shd w:val="clear" w:color="auto" w:fill="FFFFFF"/>
          <w:lang w:val="en-US" w:eastAsia="zh-CN"/>
        </w:rPr>
      </w:pPr>
      <w:r>
        <w:rPr>
          <w:rFonts w:hint="eastAsia" w:ascii="宋体" w:hAnsi="宋体" w:cs="宋体"/>
          <w:color w:val="auto"/>
          <w:kern w:val="0"/>
          <w:szCs w:val="21"/>
          <w:highlight w:val="none"/>
        </w:rPr>
        <w:t>质疑联系人：</w:t>
      </w:r>
      <w:r>
        <w:rPr>
          <w:rFonts w:hint="eastAsia" w:ascii="宋体" w:hAnsi="宋体" w:cs="宋体"/>
          <w:color w:val="auto"/>
          <w:szCs w:val="21"/>
          <w:highlight w:val="none"/>
          <w:shd w:val="clear" w:color="auto" w:fill="FFFFFF"/>
          <w:lang w:val="en-US" w:eastAsia="zh-CN"/>
        </w:rPr>
        <w:t>范老师</w:t>
      </w:r>
    </w:p>
    <w:p w14:paraId="10CD4736">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质疑联系方式：</w:t>
      </w:r>
      <w:r>
        <w:rPr>
          <w:rFonts w:hint="eastAsia" w:ascii="宋体" w:hAnsi="宋体" w:eastAsia="宋体"/>
          <w:color w:val="auto"/>
          <w:sz w:val="21"/>
          <w:szCs w:val="21"/>
          <w:highlight w:val="none"/>
        </w:rPr>
        <w:t>13094863411</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 xml:space="preserve"> </w:t>
      </w:r>
    </w:p>
    <w:p w14:paraId="4AC917AA">
      <w:pPr>
        <w:spacing w:line="400" w:lineRule="exact"/>
        <w:ind w:firstLine="420" w:firstLineChars="200"/>
        <w:jc w:val="left"/>
        <w:rPr>
          <w:rFonts w:ascii="宋体" w:cs="宋体"/>
          <w:color w:val="auto"/>
          <w:kern w:val="0"/>
          <w:szCs w:val="21"/>
          <w:highlight w:val="none"/>
        </w:rPr>
      </w:pPr>
    </w:p>
    <w:p w14:paraId="13D92BD0">
      <w:pPr>
        <w:spacing w:line="400" w:lineRule="exact"/>
        <w:ind w:firstLine="420" w:firstLineChars="200"/>
        <w:jc w:val="left"/>
        <w:rPr>
          <w:rFonts w:ascii="宋体" w:cs="宋体"/>
          <w:color w:val="auto"/>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采购代理机构信息</w:t>
      </w:r>
      <w:r>
        <w:rPr>
          <w:rFonts w:ascii="宋体" w:hAnsi="宋体" w:cs="宋体"/>
          <w:color w:val="auto"/>
          <w:kern w:val="0"/>
          <w:szCs w:val="21"/>
          <w:highlight w:val="none"/>
        </w:rPr>
        <w:t xml:space="preserve">            </w:t>
      </w:r>
    </w:p>
    <w:p w14:paraId="02E4E4ED">
      <w:pPr>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名      称：浙江华夏工程管理有限公司</w:t>
      </w:r>
      <w:r>
        <w:rPr>
          <w:rFonts w:ascii="宋体" w:hAnsi="宋体" w:cs="宋体"/>
          <w:color w:val="auto"/>
          <w:kern w:val="0"/>
          <w:szCs w:val="21"/>
          <w:highlight w:val="none"/>
        </w:rPr>
        <w:t xml:space="preserve">             </w:t>
      </w:r>
    </w:p>
    <w:p w14:paraId="00675BAD">
      <w:pPr>
        <w:spacing w:line="400" w:lineRule="exact"/>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地      址：安吉县昌硕街道天目中路</w:t>
      </w:r>
      <w:r>
        <w:rPr>
          <w:rFonts w:ascii="宋体" w:hAnsi="宋体" w:cs="宋体"/>
          <w:color w:val="auto"/>
          <w:kern w:val="0"/>
          <w:szCs w:val="21"/>
          <w:highlight w:val="none"/>
        </w:rPr>
        <w:t>771</w:t>
      </w:r>
      <w:r>
        <w:rPr>
          <w:rFonts w:hint="eastAsia" w:ascii="宋体" w:hAnsi="宋体" w:cs="宋体"/>
          <w:color w:val="auto"/>
          <w:kern w:val="0"/>
          <w:szCs w:val="21"/>
          <w:highlight w:val="none"/>
        </w:rPr>
        <w:t>号三楼</w:t>
      </w:r>
      <w:r>
        <w:rPr>
          <w:rFonts w:ascii="宋体" w:hAnsi="宋体" w:cs="宋体"/>
          <w:color w:val="auto"/>
          <w:kern w:val="0"/>
          <w:szCs w:val="21"/>
          <w:highlight w:val="none"/>
        </w:rPr>
        <w:t xml:space="preserve">     </w:t>
      </w:r>
    </w:p>
    <w:p w14:paraId="6341F1A8">
      <w:pPr>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传      真：</w:t>
      </w:r>
      <w:r>
        <w:rPr>
          <w:rFonts w:ascii="宋体" w:hAnsi="宋体" w:cs="宋体"/>
          <w:color w:val="auto"/>
          <w:kern w:val="0"/>
          <w:szCs w:val="21"/>
          <w:highlight w:val="none"/>
        </w:rPr>
        <w:t>0572-5601397           </w:t>
      </w:r>
    </w:p>
    <w:p w14:paraId="5897F5ED">
      <w:pPr>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项目联系人（询问）：陈晨</w:t>
      </w:r>
      <w:r>
        <w:rPr>
          <w:rFonts w:ascii="宋体" w:cs="宋体"/>
          <w:color w:val="auto"/>
          <w:kern w:val="0"/>
          <w:szCs w:val="21"/>
          <w:highlight w:val="none"/>
        </w:rPr>
        <w:t>             </w:t>
      </w:r>
    </w:p>
    <w:p w14:paraId="1423D81D">
      <w:pPr>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项目联系方式（询问）：</w:t>
      </w:r>
      <w:r>
        <w:rPr>
          <w:rFonts w:ascii="宋体" w:hAnsi="宋体" w:cs="宋体"/>
          <w:color w:val="auto"/>
          <w:kern w:val="0"/>
          <w:szCs w:val="21"/>
          <w:highlight w:val="none"/>
        </w:rPr>
        <w:t>0572-5601977</w:t>
      </w:r>
    </w:p>
    <w:p w14:paraId="1A52DB73">
      <w:pPr>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质疑联系人：胡文迪</w:t>
      </w:r>
    </w:p>
    <w:p w14:paraId="390BF0A0">
      <w:pPr>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质疑联系方式：</w:t>
      </w:r>
      <w:r>
        <w:rPr>
          <w:rFonts w:ascii="宋体" w:hAnsi="宋体" w:cs="宋体"/>
          <w:color w:val="auto"/>
          <w:kern w:val="0"/>
          <w:szCs w:val="21"/>
          <w:highlight w:val="none"/>
        </w:rPr>
        <w:t>0572-5601977</w:t>
      </w:r>
      <w:r>
        <w:rPr>
          <w:rFonts w:hint="eastAsia" w:ascii="宋体" w:hAnsi="宋体" w:cs="宋体"/>
          <w:color w:val="auto"/>
          <w:kern w:val="0"/>
          <w:szCs w:val="21"/>
          <w:highlight w:val="none"/>
        </w:rPr>
        <w:t>　　　　　　</w:t>
      </w:r>
      <w:r>
        <w:rPr>
          <w:rFonts w:ascii="宋体" w:hAnsi="宋体" w:cs="宋体"/>
          <w:color w:val="auto"/>
          <w:kern w:val="0"/>
          <w:szCs w:val="21"/>
          <w:highlight w:val="none"/>
        </w:rPr>
        <w:t xml:space="preserve">     </w:t>
      </w:r>
    </w:p>
    <w:p w14:paraId="28D427BC">
      <w:pPr>
        <w:spacing w:line="400" w:lineRule="exact"/>
        <w:ind w:firstLine="420" w:firstLineChars="200"/>
        <w:jc w:val="left"/>
        <w:rPr>
          <w:rFonts w:ascii="宋体" w:cs="宋体"/>
          <w:color w:val="auto"/>
          <w:kern w:val="0"/>
          <w:szCs w:val="21"/>
          <w:highlight w:val="none"/>
        </w:rPr>
      </w:pPr>
    </w:p>
    <w:p w14:paraId="72DDC5F1">
      <w:pPr>
        <w:spacing w:line="400" w:lineRule="exact"/>
        <w:ind w:firstLine="420" w:firstLineChars="200"/>
        <w:jc w:val="left"/>
        <w:rPr>
          <w:rFonts w:ascii="宋体" w:cs="宋体"/>
          <w:color w:val="auto"/>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同级政府采购监督管理部门</w:t>
      </w:r>
      <w:r>
        <w:rPr>
          <w:rFonts w:ascii="宋体" w:hAnsi="宋体" w:cs="宋体"/>
          <w:color w:val="auto"/>
          <w:kern w:val="0"/>
          <w:szCs w:val="21"/>
          <w:highlight w:val="none"/>
        </w:rPr>
        <w:t xml:space="preserve">            </w:t>
      </w:r>
    </w:p>
    <w:p w14:paraId="514EC6F5">
      <w:pPr>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名      称：安吉县财政局</w:t>
      </w:r>
    </w:p>
    <w:p w14:paraId="0E138CCA">
      <w:pPr>
        <w:spacing w:line="40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地      址：安吉县昌硕街道凤凰路凤凰五区188号</w:t>
      </w:r>
      <w:r>
        <w:rPr>
          <w:rFonts w:ascii="宋体" w:hAnsi="宋体" w:cs="宋体"/>
          <w:color w:val="auto"/>
          <w:kern w:val="0"/>
          <w:szCs w:val="21"/>
          <w:highlight w:val="none"/>
        </w:rPr>
        <w:t>     </w:t>
      </w:r>
    </w:p>
    <w:p w14:paraId="3D1D4DCF">
      <w:pPr>
        <w:spacing w:line="400" w:lineRule="exact"/>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联  系  人：采监科王庭</w:t>
      </w:r>
    </w:p>
    <w:p w14:paraId="7A63C4FB">
      <w:pPr>
        <w:spacing w:line="400" w:lineRule="exact"/>
        <w:ind w:firstLine="420" w:firstLineChars="200"/>
        <w:jc w:val="left"/>
        <w:rPr>
          <w:color w:val="auto"/>
          <w:highlight w:val="none"/>
        </w:rPr>
      </w:pPr>
      <w:r>
        <w:rPr>
          <w:rFonts w:hint="eastAsia" w:ascii="宋体" w:hAnsi="宋体" w:cs="宋体"/>
          <w:color w:val="auto"/>
          <w:kern w:val="0"/>
          <w:szCs w:val="21"/>
          <w:highlight w:val="none"/>
        </w:rPr>
        <w:t>监督投诉电话：</w:t>
      </w:r>
      <w:r>
        <w:rPr>
          <w:rFonts w:ascii="宋体" w:hAnsi="宋体" w:cs="宋体"/>
          <w:color w:val="auto"/>
          <w:kern w:val="0"/>
          <w:szCs w:val="21"/>
          <w:highlight w:val="none"/>
        </w:rPr>
        <w:t>0572-5807951  </w:t>
      </w:r>
    </w:p>
    <w:p w14:paraId="499E5F8B">
      <w:pPr>
        <w:pStyle w:val="3"/>
        <w:keepNext w:val="0"/>
        <w:keepLines w:val="0"/>
        <w:overflowPunct w:val="0"/>
        <w:spacing w:before="0" w:after="0" w:line="400" w:lineRule="exact"/>
        <w:jc w:val="center"/>
        <w:rPr>
          <w:rFonts w:ascii="宋体" w:cs="宋体"/>
          <w:color w:val="auto"/>
          <w:sz w:val="32"/>
          <w:szCs w:val="32"/>
          <w:highlight w:val="none"/>
        </w:rPr>
      </w:pPr>
    </w:p>
    <w:p w14:paraId="6E831CAF">
      <w:pPr>
        <w:pStyle w:val="3"/>
        <w:keepNext w:val="0"/>
        <w:keepLines w:val="0"/>
        <w:overflowPunct w:val="0"/>
        <w:spacing w:before="0" w:after="0" w:line="600" w:lineRule="exact"/>
        <w:jc w:val="center"/>
        <w:rPr>
          <w:rFonts w:ascii="宋体" w:hAnsi="宋体" w:cs="宋体"/>
          <w:color w:val="auto"/>
          <w:sz w:val="32"/>
          <w:szCs w:val="32"/>
          <w:highlight w:val="none"/>
        </w:rPr>
      </w:pPr>
    </w:p>
    <w:p w14:paraId="41EB8328">
      <w:pPr>
        <w:pStyle w:val="3"/>
        <w:keepNext w:val="0"/>
        <w:keepLines w:val="0"/>
        <w:overflowPunct w:val="0"/>
        <w:spacing w:before="0" w:after="0" w:line="600" w:lineRule="exact"/>
        <w:jc w:val="center"/>
        <w:rPr>
          <w:rFonts w:ascii="宋体" w:hAnsi="宋体" w:cs="宋体"/>
          <w:color w:val="auto"/>
          <w:sz w:val="32"/>
          <w:szCs w:val="32"/>
          <w:highlight w:val="none"/>
        </w:rPr>
      </w:pPr>
    </w:p>
    <w:p w14:paraId="79149DF3">
      <w:pPr>
        <w:pStyle w:val="3"/>
        <w:keepNext w:val="0"/>
        <w:keepLines w:val="0"/>
        <w:overflowPunct w:val="0"/>
        <w:spacing w:before="0" w:after="0" w:line="600" w:lineRule="exact"/>
        <w:jc w:val="center"/>
        <w:rPr>
          <w:rFonts w:ascii="宋体" w:hAnsi="宋体" w:cs="宋体"/>
          <w:color w:val="auto"/>
          <w:sz w:val="32"/>
          <w:szCs w:val="32"/>
          <w:highlight w:val="none"/>
        </w:rPr>
      </w:pPr>
    </w:p>
    <w:p w14:paraId="7ACBACDF">
      <w:pPr>
        <w:rPr>
          <w:rFonts w:ascii="宋体" w:hAnsi="宋体" w:cs="宋体"/>
          <w:color w:val="auto"/>
          <w:sz w:val="32"/>
          <w:szCs w:val="32"/>
          <w:highlight w:val="none"/>
        </w:rPr>
      </w:pPr>
    </w:p>
    <w:p w14:paraId="71718139">
      <w:pPr>
        <w:pStyle w:val="3"/>
        <w:keepNext w:val="0"/>
        <w:keepLines w:val="0"/>
        <w:overflowPunct w:val="0"/>
        <w:spacing w:before="0" w:after="0" w:line="600" w:lineRule="exact"/>
        <w:jc w:val="center"/>
        <w:rPr>
          <w:rFonts w:ascii="宋体" w:hAnsi="宋体" w:cs="宋体"/>
          <w:color w:val="auto"/>
          <w:sz w:val="32"/>
          <w:szCs w:val="32"/>
          <w:highlight w:val="none"/>
        </w:rPr>
      </w:pPr>
    </w:p>
    <w:p w14:paraId="74E1F0B6">
      <w:pPr>
        <w:pStyle w:val="3"/>
        <w:keepNext w:val="0"/>
        <w:keepLines w:val="0"/>
        <w:overflowPunct w:val="0"/>
        <w:spacing w:before="0" w:after="0" w:line="600" w:lineRule="exact"/>
        <w:jc w:val="center"/>
        <w:rPr>
          <w:rFonts w:ascii="宋体" w:cs="宋体"/>
          <w:color w:val="auto"/>
          <w:sz w:val="32"/>
          <w:szCs w:val="32"/>
          <w:highlight w:val="none"/>
        </w:rPr>
      </w:pPr>
      <w:bookmarkStart w:id="5" w:name="_Toc13202"/>
      <w:bookmarkStart w:id="6" w:name="_Toc11386"/>
      <w:bookmarkStart w:id="7" w:name="_Toc19004"/>
      <w:bookmarkStart w:id="8" w:name="_Toc22986"/>
      <w:r>
        <w:rPr>
          <w:rFonts w:hint="eastAsia" w:ascii="宋体" w:hAnsi="宋体" w:cs="宋体"/>
          <w:color w:val="auto"/>
          <w:sz w:val="32"/>
          <w:szCs w:val="32"/>
          <w:highlight w:val="none"/>
        </w:rPr>
        <w:t>第二章</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供应商须知</w:t>
      </w:r>
      <w:bookmarkEnd w:id="5"/>
      <w:bookmarkEnd w:id="6"/>
      <w:bookmarkEnd w:id="7"/>
      <w:bookmarkEnd w:id="8"/>
    </w:p>
    <w:p w14:paraId="21E20BB8">
      <w:pPr>
        <w:overflowPunct w:val="0"/>
        <w:spacing w:line="400" w:lineRule="exact"/>
        <w:jc w:val="center"/>
        <w:rPr>
          <w:rFonts w:ascii="宋体" w:cs="宋体"/>
          <w:color w:val="auto"/>
          <w:sz w:val="30"/>
          <w:szCs w:val="30"/>
          <w:highlight w:val="none"/>
        </w:rPr>
      </w:pPr>
      <w:bookmarkStart w:id="9" w:name="_Toc30213"/>
      <w:bookmarkStart w:id="10" w:name="_Toc32234"/>
      <w:r>
        <w:rPr>
          <w:rFonts w:hint="eastAsia" w:ascii="宋体" w:hAnsi="宋体" w:cs="宋体"/>
          <w:color w:val="auto"/>
          <w:sz w:val="30"/>
          <w:szCs w:val="30"/>
          <w:highlight w:val="none"/>
        </w:rPr>
        <w:t>前</w:t>
      </w:r>
      <w:r>
        <w:rPr>
          <w:rFonts w:ascii="宋体" w:hAnsi="宋体" w:cs="宋体"/>
          <w:color w:val="auto"/>
          <w:sz w:val="30"/>
          <w:szCs w:val="30"/>
          <w:highlight w:val="none"/>
        </w:rPr>
        <w:t xml:space="preserve"> </w:t>
      </w:r>
      <w:r>
        <w:rPr>
          <w:rFonts w:hint="eastAsia" w:ascii="宋体" w:hAnsi="宋体" w:cs="宋体"/>
          <w:color w:val="auto"/>
          <w:sz w:val="30"/>
          <w:szCs w:val="30"/>
          <w:highlight w:val="none"/>
        </w:rPr>
        <w:t>附</w:t>
      </w:r>
      <w:r>
        <w:rPr>
          <w:rFonts w:ascii="宋体" w:hAnsi="宋体" w:cs="宋体"/>
          <w:color w:val="auto"/>
          <w:sz w:val="30"/>
          <w:szCs w:val="30"/>
          <w:highlight w:val="none"/>
        </w:rPr>
        <w:t xml:space="preserve"> </w:t>
      </w:r>
      <w:r>
        <w:rPr>
          <w:rFonts w:hint="eastAsia" w:ascii="宋体" w:hAnsi="宋体" w:cs="宋体"/>
          <w:color w:val="auto"/>
          <w:sz w:val="30"/>
          <w:szCs w:val="30"/>
          <w:highlight w:val="none"/>
        </w:rPr>
        <w:t>表</w:t>
      </w:r>
      <w:bookmarkEnd w:id="9"/>
      <w:bookmarkEnd w:id="10"/>
    </w:p>
    <w:tbl>
      <w:tblPr>
        <w:tblStyle w:val="31"/>
        <w:tblW w:w="88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0"/>
        <w:gridCol w:w="1762"/>
        <w:gridCol w:w="6453"/>
      </w:tblGrid>
      <w:tr w14:paraId="7D9C03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0554FA6C">
            <w:pPr>
              <w:keepNext w:val="0"/>
              <w:keepLines w:val="0"/>
              <w:pageBreakBefore w:val="0"/>
              <w:widowControl w:val="0"/>
              <w:kinsoku/>
              <w:wordWrap/>
              <w:overflowPunct w:val="0"/>
              <w:topLinePunct w:val="0"/>
              <w:autoSpaceDE/>
              <w:autoSpaceDN/>
              <w:bidi w:val="0"/>
              <w:adjustRightInd/>
              <w:spacing w:line="380" w:lineRule="exact"/>
              <w:jc w:val="center"/>
              <w:textAlignment w:val="auto"/>
              <w:rPr>
                <w:rFonts w:ascii="宋体" w:cs="宋体"/>
                <w:color w:val="auto"/>
                <w:szCs w:val="21"/>
                <w:highlight w:val="none"/>
              </w:rPr>
            </w:pPr>
            <w:r>
              <w:rPr>
                <w:rFonts w:hint="eastAsia" w:ascii="宋体" w:hAnsi="宋体" w:cs="宋体"/>
                <w:color w:val="auto"/>
                <w:szCs w:val="21"/>
                <w:highlight w:val="none"/>
              </w:rPr>
              <w:t>序号</w:t>
            </w:r>
          </w:p>
        </w:tc>
        <w:tc>
          <w:tcPr>
            <w:tcW w:w="1762" w:type="dxa"/>
            <w:tcBorders>
              <w:top w:val="single" w:color="auto" w:sz="4" w:space="0"/>
              <w:left w:val="single" w:color="auto" w:sz="4" w:space="0"/>
              <w:bottom w:val="single" w:color="auto" w:sz="4" w:space="0"/>
              <w:right w:val="single" w:color="auto" w:sz="4" w:space="0"/>
            </w:tcBorders>
            <w:vAlign w:val="center"/>
          </w:tcPr>
          <w:p w14:paraId="4D344BC0">
            <w:pPr>
              <w:keepNext w:val="0"/>
              <w:keepLines w:val="0"/>
              <w:pageBreakBefore w:val="0"/>
              <w:widowControl w:val="0"/>
              <w:kinsoku/>
              <w:wordWrap/>
              <w:overflowPunct w:val="0"/>
              <w:topLinePunct w:val="0"/>
              <w:autoSpaceDE/>
              <w:autoSpaceDN/>
              <w:bidi w:val="0"/>
              <w:adjustRightInd/>
              <w:spacing w:line="380" w:lineRule="exact"/>
              <w:jc w:val="center"/>
              <w:textAlignment w:val="auto"/>
              <w:rPr>
                <w:rFonts w:ascii="宋体" w:cs="宋体"/>
                <w:color w:val="auto"/>
                <w:szCs w:val="21"/>
                <w:highlight w:val="none"/>
              </w:rPr>
            </w:pPr>
            <w:r>
              <w:rPr>
                <w:rFonts w:hint="eastAsia" w:ascii="宋体" w:hAnsi="宋体" w:cs="宋体"/>
                <w:color w:val="auto"/>
                <w:szCs w:val="21"/>
                <w:highlight w:val="none"/>
              </w:rPr>
              <w:t>项目</w:t>
            </w:r>
          </w:p>
        </w:tc>
        <w:tc>
          <w:tcPr>
            <w:tcW w:w="6453" w:type="dxa"/>
            <w:tcBorders>
              <w:top w:val="single" w:color="auto" w:sz="4" w:space="0"/>
              <w:left w:val="single" w:color="auto" w:sz="4" w:space="0"/>
              <w:bottom w:val="single" w:color="auto" w:sz="4" w:space="0"/>
            </w:tcBorders>
            <w:vAlign w:val="center"/>
          </w:tcPr>
          <w:p w14:paraId="33CD7DDA">
            <w:pPr>
              <w:keepNext w:val="0"/>
              <w:keepLines w:val="0"/>
              <w:pageBreakBefore w:val="0"/>
              <w:widowControl w:val="0"/>
              <w:kinsoku/>
              <w:wordWrap/>
              <w:overflowPunct w:val="0"/>
              <w:topLinePunct w:val="0"/>
              <w:autoSpaceDE/>
              <w:autoSpaceDN/>
              <w:bidi w:val="0"/>
              <w:adjustRightInd/>
              <w:spacing w:line="380" w:lineRule="exact"/>
              <w:jc w:val="center"/>
              <w:textAlignment w:val="auto"/>
              <w:rPr>
                <w:rFonts w:ascii="宋体" w:cs="宋体"/>
                <w:color w:val="auto"/>
                <w:szCs w:val="21"/>
                <w:highlight w:val="none"/>
              </w:rPr>
            </w:pPr>
            <w:r>
              <w:rPr>
                <w:rFonts w:hint="eastAsia" w:ascii="宋体" w:hAnsi="宋体" w:cs="宋体"/>
                <w:color w:val="auto"/>
                <w:szCs w:val="21"/>
                <w:highlight w:val="none"/>
              </w:rPr>
              <w:t>内容与要求</w:t>
            </w:r>
          </w:p>
        </w:tc>
      </w:tr>
      <w:tr w14:paraId="1637B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395CA08F">
            <w:pPr>
              <w:keepNext w:val="0"/>
              <w:keepLines w:val="0"/>
              <w:pageBreakBefore w:val="0"/>
              <w:widowControl w:val="0"/>
              <w:kinsoku/>
              <w:wordWrap/>
              <w:overflowPunct w:val="0"/>
              <w:topLinePunct w:val="0"/>
              <w:autoSpaceDE/>
              <w:autoSpaceDN/>
              <w:bidi w:val="0"/>
              <w:adjustRightInd/>
              <w:spacing w:line="380" w:lineRule="exact"/>
              <w:jc w:val="center"/>
              <w:textAlignment w:val="auto"/>
              <w:rPr>
                <w:rFonts w:ascii="宋体" w:cs="宋体"/>
                <w:color w:val="auto"/>
                <w:szCs w:val="21"/>
                <w:highlight w:val="none"/>
              </w:rPr>
            </w:pPr>
            <w:r>
              <w:rPr>
                <w:rFonts w:ascii="宋体" w:hAnsi="宋体" w:cs="宋体"/>
                <w:color w:val="auto"/>
                <w:szCs w:val="21"/>
                <w:highlight w:val="none"/>
              </w:rPr>
              <w:t>1</w:t>
            </w:r>
          </w:p>
        </w:tc>
        <w:tc>
          <w:tcPr>
            <w:tcW w:w="1762" w:type="dxa"/>
            <w:tcBorders>
              <w:top w:val="single" w:color="auto" w:sz="4" w:space="0"/>
              <w:left w:val="single" w:color="auto" w:sz="4" w:space="0"/>
              <w:bottom w:val="single" w:color="auto" w:sz="4" w:space="0"/>
              <w:right w:val="single" w:color="auto" w:sz="4" w:space="0"/>
            </w:tcBorders>
            <w:vAlign w:val="center"/>
          </w:tcPr>
          <w:p w14:paraId="63EEA673">
            <w:pPr>
              <w:keepNext w:val="0"/>
              <w:keepLines w:val="0"/>
              <w:pageBreakBefore w:val="0"/>
              <w:widowControl w:val="0"/>
              <w:kinsoku/>
              <w:wordWrap/>
              <w:overflowPunct w:val="0"/>
              <w:topLinePunct w:val="0"/>
              <w:autoSpaceDE/>
              <w:autoSpaceDN/>
              <w:bidi w:val="0"/>
              <w:adjustRightInd/>
              <w:spacing w:line="380" w:lineRule="exact"/>
              <w:jc w:val="center"/>
              <w:textAlignment w:val="auto"/>
              <w:rPr>
                <w:rFonts w:ascii="宋体" w:cs="宋体"/>
                <w:bCs/>
                <w:color w:val="auto"/>
                <w:szCs w:val="21"/>
                <w:highlight w:val="none"/>
              </w:rPr>
            </w:pPr>
            <w:r>
              <w:rPr>
                <w:rFonts w:hint="eastAsia" w:ascii="宋体" w:hAnsi="宋体" w:cs="宋体"/>
                <w:bCs/>
                <w:color w:val="auto"/>
                <w:szCs w:val="21"/>
                <w:highlight w:val="none"/>
              </w:rPr>
              <w:t>项目名称</w:t>
            </w:r>
          </w:p>
        </w:tc>
        <w:tc>
          <w:tcPr>
            <w:tcW w:w="6453" w:type="dxa"/>
            <w:tcBorders>
              <w:top w:val="single" w:color="auto" w:sz="4" w:space="0"/>
              <w:left w:val="single" w:color="auto" w:sz="4" w:space="0"/>
              <w:bottom w:val="single" w:color="auto" w:sz="4" w:space="0"/>
            </w:tcBorders>
            <w:vAlign w:val="center"/>
          </w:tcPr>
          <w:p w14:paraId="518FD682">
            <w:pPr>
              <w:keepNext w:val="0"/>
              <w:keepLines w:val="0"/>
              <w:pageBreakBefore w:val="0"/>
              <w:widowControl w:val="0"/>
              <w:kinsoku/>
              <w:wordWrap/>
              <w:overflowPunct w:val="0"/>
              <w:topLinePunct w:val="0"/>
              <w:autoSpaceDE/>
              <w:autoSpaceDN/>
              <w:bidi w:val="0"/>
              <w:adjustRightInd/>
              <w:spacing w:line="380" w:lineRule="exact"/>
              <w:textAlignment w:val="auto"/>
              <w:rPr>
                <w:rFonts w:hint="eastAsia" w:ascii="宋体" w:eastAsia="宋体" w:cs="宋体"/>
                <w:bCs/>
                <w:color w:val="auto"/>
                <w:szCs w:val="21"/>
                <w:highlight w:val="none"/>
                <w:lang w:eastAsia="zh-CN"/>
              </w:rPr>
            </w:pPr>
            <w:r>
              <w:rPr>
                <w:rFonts w:hint="eastAsia" w:ascii="宋体" w:hAnsi="宋体" w:cs="宋体"/>
                <w:color w:val="auto"/>
                <w:kern w:val="0"/>
                <w:szCs w:val="21"/>
                <w:highlight w:val="none"/>
                <w:lang w:eastAsia="zh-CN"/>
              </w:rPr>
              <w:t>安吉技师学院工学一体化课程建设采购项目（第二次）</w:t>
            </w:r>
          </w:p>
        </w:tc>
      </w:tr>
      <w:tr w14:paraId="2F2B1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3A5F3634">
            <w:pPr>
              <w:keepNext w:val="0"/>
              <w:keepLines w:val="0"/>
              <w:pageBreakBefore w:val="0"/>
              <w:widowControl w:val="0"/>
              <w:kinsoku/>
              <w:wordWrap/>
              <w:overflowPunct w:val="0"/>
              <w:topLinePunct w:val="0"/>
              <w:autoSpaceDE/>
              <w:autoSpaceDN/>
              <w:bidi w:val="0"/>
              <w:adjustRightInd/>
              <w:spacing w:line="380" w:lineRule="exact"/>
              <w:jc w:val="center"/>
              <w:textAlignment w:val="auto"/>
              <w:rPr>
                <w:rFonts w:ascii="宋体" w:cs="宋体"/>
                <w:color w:val="auto"/>
                <w:szCs w:val="21"/>
                <w:highlight w:val="none"/>
              </w:rPr>
            </w:pPr>
            <w:r>
              <w:rPr>
                <w:rFonts w:ascii="宋体" w:hAnsi="宋体" w:cs="宋体"/>
                <w:color w:val="auto"/>
                <w:szCs w:val="21"/>
                <w:highlight w:val="none"/>
              </w:rPr>
              <w:t>2</w:t>
            </w:r>
          </w:p>
        </w:tc>
        <w:tc>
          <w:tcPr>
            <w:tcW w:w="1762" w:type="dxa"/>
            <w:tcBorders>
              <w:top w:val="single" w:color="auto" w:sz="4" w:space="0"/>
              <w:left w:val="single" w:color="auto" w:sz="4" w:space="0"/>
              <w:bottom w:val="single" w:color="auto" w:sz="4" w:space="0"/>
              <w:right w:val="single" w:color="auto" w:sz="4" w:space="0"/>
            </w:tcBorders>
            <w:vAlign w:val="center"/>
          </w:tcPr>
          <w:p w14:paraId="61282DC6">
            <w:pPr>
              <w:keepNext w:val="0"/>
              <w:keepLines w:val="0"/>
              <w:pageBreakBefore w:val="0"/>
              <w:widowControl w:val="0"/>
              <w:kinsoku/>
              <w:wordWrap/>
              <w:overflowPunct w:val="0"/>
              <w:topLinePunct w:val="0"/>
              <w:autoSpaceDE/>
              <w:autoSpaceDN/>
              <w:bidi w:val="0"/>
              <w:adjustRightInd/>
              <w:spacing w:line="380" w:lineRule="exact"/>
              <w:jc w:val="center"/>
              <w:textAlignment w:val="auto"/>
              <w:rPr>
                <w:rFonts w:ascii="宋体" w:cs="宋体"/>
                <w:bCs/>
                <w:color w:val="auto"/>
                <w:szCs w:val="21"/>
                <w:highlight w:val="none"/>
              </w:rPr>
            </w:pPr>
            <w:r>
              <w:rPr>
                <w:rFonts w:hint="eastAsia" w:ascii="宋体" w:hAnsi="宋体" w:cs="宋体"/>
                <w:bCs/>
                <w:color w:val="auto"/>
                <w:szCs w:val="21"/>
                <w:highlight w:val="none"/>
              </w:rPr>
              <w:t>项目编号</w:t>
            </w:r>
          </w:p>
        </w:tc>
        <w:tc>
          <w:tcPr>
            <w:tcW w:w="6453" w:type="dxa"/>
            <w:tcBorders>
              <w:top w:val="single" w:color="auto" w:sz="4" w:space="0"/>
              <w:left w:val="single" w:color="auto" w:sz="4" w:space="0"/>
              <w:bottom w:val="single" w:color="auto" w:sz="4" w:space="0"/>
            </w:tcBorders>
            <w:vAlign w:val="center"/>
          </w:tcPr>
          <w:p w14:paraId="4279E7A1">
            <w:pPr>
              <w:keepNext w:val="0"/>
              <w:keepLines w:val="0"/>
              <w:pageBreakBefore w:val="0"/>
              <w:widowControl w:val="0"/>
              <w:kinsoku/>
              <w:wordWrap/>
              <w:overflowPunct w:val="0"/>
              <w:topLinePunct w:val="0"/>
              <w:autoSpaceDE/>
              <w:autoSpaceDN/>
              <w:bidi w:val="0"/>
              <w:adjustRightInd/>
              <w:spacing w:line="380" w:lineRule="exact"/>
              <w:textAlignment w:val="auto"/>
              <w:rPr>
                <w:rFonts w:hint="eastAsia" w:ascii="宋体" w:eastAsia="宋体" w:cs="宋体"/>
                <w:color w:val="auto"/>
                <w:szCs w:val="21"/>
                <w:highlight w:val="none"/>
                <w:lang w:eastAsia="zh-CN"/>
              </w:rPr>
            </w:pPr>
            <w:r>
              <w:rPr>
                <w:rFonts w:hint="eastAsia" w:ascii="宋体" w:hAnsi="宋体" w:cs="宋体"/>
                <w:color w:val="auto"/>
                <w:szCs w:val="21"/>
                <w:highlight w:val="none"/>
                <w:lang w:eastAsia="zh-CN"/>
              </w:rPr>
              <w:t>HXCG-ZF-2025-013-2</w:t>
            </w:r>
          </w:p>
        </w:tc>
      </w:tr>
      <w:tr w14:paraId="03079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619F7B4D">
            <w:pPr>
              <w:keepNext w:val="0"/>
              <w:keepLines w:val="0"/>
              <w:pageBreakBefore w:val="0"/>
              <w:widowControl w:val="0"/>
              <w:kinsoku/>
              <w:wordWrap/>
              <w:overflowPunct w:val="0"/>
              <w:topLinePunct w:val="0"/>
              <w:autoSpaceDE/>
              <w:autoSpaceDN/>
              <w:bidi w:val="0"/>
              <w:adjustRightInd/>
              <w:spacing w:line="380" w:lineRule="exact"/>
              <w:jc w:val="center"/>
              <w:textAlignment w:val="auto"/>
              <w:rPr>
                <w:rFonts w:ascii="宋体" w:cs="宋体"/>
                <w:color w:val="auto"/>
                <w:szCs w:val="21"/>
                <w:highlight w:val="none"/>
              </w:rPr>
            </w:pPr>
            <w:r>
              <w:rPr>
                <w:rFonts w:ascii="宋体" w:hAnsi="宋体" w:cs="宋体"/>
                <w:color w:val="auto"/>
                <w:szCs w:val="21"/>
                <w:highlight w:val="none"/>
              </w:rPr>
              <w:t>3</w:t>
            </w:r>
          </w:p>
        </w:tc>
        <w:tc>
          <w:tcPr>
            <w:tcW w:w="1762" w:type="dxa"/>
            <w:tcBorders>
              <w:top w:val="single" w:color="auto" w:sz="4" w:space="0"/>
              <w:left w:val="single" w:color="auto" w:sz="4" w:space="0"/>
              <w:bottom w:val="single" w:color="auto" w:sz="4" w:space="0"/>
              <w:right w:val="single" w:color="auto" w:sz="4" w:space="0"/>
            </w:tcBorders>
            <w:vAlign w:val="center"/>
          </w:tcPr>
          <w:p w14:paraId="6D36E7B4">
            <w:pPr>
              <w:keepNext w:val="0"/>
              <w:keepLines w:val="0"/>
              <w:pageBreakBefore w:val="0"/>
              <w:widowControl w:val="0"/>
              <w:kinsoku/>
              <w:wordWrap/>
              <w:overflowPunct w:val="0"/>
              <w:topLinePunct w:val="0"/>
              <w:autoSpaceDE/>
              <w:autoSpaceDN/>
              <w:bidi w:val="0"/>
              <w:adjustRightInd/>
              <w:spacing w:line="380" w:lineRule="exact"/>
              <w:jc w:val="center"/>
              <w:textAlignment w:val="auto"/>
              <w:rPr>
                <w:rFonts w:ascii="宋体" w:cs="宋体"/>
                <w:bCs/>
                <w:color w:val="auto"/>
                <w:szCs w:val="21"/>
                <w:highlight w:val="none"/>
              </w:rPr>
            </w:pPr>
            <w:r>
              <w:rPr>
                <w:rFonts w:hint="eastAsia" w:ascii="宋体" w:hAnsi="宋体" w:cs="宋体"/>
                <w:bCs/>
                <w:color w:val="auto"/>
                <w:szCs w:val="21"/>
                <w:highlight w:val="none"/>
              </w:rPr>
              <w:t>磋商代理费</w:t>
            </w:r>
          </w:p>
        </w:tc>
        <w:tc>
          <w:tcPr>
            <w:tcW w:w="6453" w:type="dxa"/>
            <w:tcBorders>
              <w:top w:val="single" w:color="auto" w:sz="4" w:space="0"/>
              <w:left w:val="single" w:color="auto" w:sz="4" w:space="0"/>
              <w:bottom w:val="single" w:color="auto" w:sz="4" w:space="0"/>
            </w:tcBorders>
            <w:vAlign w:val="center"/>
          </w:tcPr>
          <w:p w14:paraId="2CEE7F46">
            <w:pPr>
              <w:keepNext w:val="0"/>
              <w:keepLines w:val="0"/>
              <w:pageBreakBefore w:val="0"/>
              <w:widowControl w:val="0"/>
              <w:kinsoku/>
              <w:wordWrap/>
              <w:topLinePunct w:val="0"/>
              <w:autoSpaceDE/>
              <w:autoSpaceDN/>
              <w:bidi w:val="0"/>
              <w:adjustRightInd/>
              <w:spacing w:line="380" w:lineRule="exact"/>
              <w:textAlignment w:val="auto"/>
              <w:rPr>
                <w:rFonts w:ascii="宋体" w:cs="宋体"/>
                <w:color w:val="auto"/>
                <w:szCs w:val="21"/>
                <w:highlight w:val="none"/>
              </w:rPr>
            </w:pPr>
            <w:r>
              <w:rPr>
                <w:rFonts w:hint="eastAsia" w:ascii="宋体" w:hAnsi="宋体" w:cs="宋体"/>
                <w:color w:val="auto"/>
                <w:kern w:val="0"/>
                <w:szCs w:val="21"/>
                <w:highlight w:val="none"/>
              </w:rPr>
              <w:t>磋商代理费</w:t>
            </w:r>
            <w:r>
              <w:rPr>
                <w:rFonts w:hint="eastAsia" w:ascii="宋体" w:hAnsi="宋体" w:cs="宋体"/>
                <w:color w:val="auto"/>
                <w:szCs w:val="21"/>
                <w:highlight w:val="none"/>
              </w:rPr>
              <w:t>由成交单位支付按成交金额支付，100万以内按1.5%，</w:t>
            </w:r>
            <w:r>
              <w:rPr>
                <w:rFonts w:hint="eastAsia" w:ascii="宋体" w:hAnsi="宋体"/>
                <w:color w:val="auto"/>
                <w:szCs w:val="21"/>
                <w:highlight w:val="none"/>
              </w:rPr>
              <w:t>代理项目收费标准计算不足5000元的，按5000元收费</w:t>
            </w:r>
            <w:r>
              <w:rPr>
                <w:rFonts w:hint="eastAsia" w:ascii="宋体" w:hAnsi="宋体" w:cs="宋体"/>
                <w:bCs/>
                <w:color w:val="auto"/>
                <w:szCs w:val="21"/>
                <w:highlight w:val="none"/>
              </w:rPr>
              <w:t>。</w:t>
            </w:r>
          </w:p>
        </w:tc>
      </w:tr>
      <w:tr w14:paraId="736EB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05B72D50">
            <w:pPr>
              <w:keepNext w:val="0"/>
              <w:keepLines w:val="0"/>
              <w:pageBreakBefore w:val="0"/>
              <w:widowControl w:val="0"/>
              <w:kinsoku/>
              <w:wordWrap/>
              <w:overflowPunct w:val="0"/>
              <w:topLinePunct w:val="0"/>
              <w:autoSpaceDE/>
              <w:autoSpaceDN/>
              <w:bidi w:val="0"/>
              <w:adjustRightInd/>
              <w:spacing w:line="380" w:lineRule="exact"/>
              <w:jc w:val="center"/>
              <w:textAlignment w:val="auto"/>
              <w:rPr>
                <w:rFonts w:ascii="宋体" w:cs="宋体"/>
                <w:color w:val="auto"/>
                <w:szCs w:val="21"/>
                <w:highlight w:val="none"/>
              </w:rPr>
            </w:pPr>
            <w:r>
              <w:rPr>
                <w:rFonts w:ascii="宋体" w:hAnsi="宋体" w:cs="宋体"/>
                <w:color w:val="auto"/>
                <w:szCs w:val="21"/>
                <w:highlight w:val="none"/>
              </w:rPr>
              <w:t>4</w:t>
            </w:r>
          </w:p>
        </w:tc>
        <w:tc>
          <w:tcPr>
            <w:tcW w:w="1762" w:type="dxa"/>
            <w:tcBorders>
              <w:top w:val="single" w:color="auto" w:sz="4" w:space="0"/>
              <w:left w:val="single" w:color="auto" w:sz="4" w:space="0"/>
              <w:bottom w:val="single" w:color="auto" w:sz="4" w:space="0"/>
              <w:right w:val="single" w:color="auto" w:sz="4" w:space="0"/>
            </w:tcBorders>
            <w:vAlign w:val="center"/>
          </w:tcPr>
          <w:p w14:paraId="63F2F683">
            <w:pPr>
              <w:keepNext w:val="0"/>
              <w:keepLines w:val="0"/>
              <w:pageBreakBefore w:val="0"/>
              <w:widowControl w:val="0"/>
              <w:kinsoku/>
              <w:wordWrap/>
              <w:overflowPunct w:val="0"/>
              <w:topLinePunct w:val="0"/>
              <w:autoSpaceDE/>
              <w:autoSpaceDN/>
              <w:bidi w:val="0"/>
              <w:adjustRightInd/>
              <w:spacing w:line="380" w:lineRule="exact"/>
              <w:jc w:val="center"/>
              <w:textAlignment w:val="auto"/>
              <w:rPr>
                <w:rFonts w:ascii="宋体" w:cs="宋体"/>
                <w:bCs/>
                <w:color w:val="auto"/>
                <w:szCs w:val="21"/>
                <w:highlight w:val="none"/>
              </w:rPr>
            </w:pPr>
            <w:r>
              <w:rPr>
                <w:rFonts w:hint="eastAsia" w:ascii="宋体" w:hAnsi="宋体" w:cs="宋体"/>
                <w:bCs/>
                <w:color w:val="auto"/>
                <w:szCs w:val="21"/>
                <w:highlight w:val="none"/>
              </w:rPr>
              <w:t>项目实施地点</w:t>
            </w:r>
          </w:p>
        </w:tc>
        <w:tc>
          <w:tcPr>
            <w:tcW w:w="6453" w:type="dxa"/>
            <w:tcBorders>
              <w:top w:val="single" w:color="auto" w:sz="4" w:space="0"/>
              <w:left w:val="single" w:color="auto" w:sz="4" w:space="0"/>
              <w:bottom w:val="single" w:color="auto" w:sz="4" w:space="0"/>
            </w:tcBorders>
            <w:vAlign w:val="center"/>
          </w:tcPr>
          <w:p w14:paraId="503C7B21">
            <w:pPr>
              <w:keepNext w:val="0"/>
              <w:keepLines w:val="0"/>
              <w:pageBreakBefore w:val="0"/>
              <w:widowControl w:val="0"/>
              <w:kinsoku/>
              <w:wordWrap/>
              <w:overflowPunct w:val="0"/>
              <w:topLinePunct w:val="0"/>
              <w:autoSpaceDE/>
              <w:autoSpaceDN/>
              <w:bidi w:val="0"/>
              <w:adjustRightInd/>
              <w:spacing w:line="380" w:lineRule="exact"/>
              <w:textAlignment w:val="auto"/>
              <w:rPr>
                <w:rFonts w:ascii="宋体" w:cs="宋体"/>
                <w:color w:val="auto"/>
                <w:szCs w:val="21"/>
                <w:highlight w:val="none"/>
              </w:rPr>
            </w:pPr>
            <w:r>
              <w:rPr>
                <w:rFonts w:hint="eastAsia" w:ascii="宋体" w:hAnsi="宋体" w:cs="宋体"/>
                <w:color w:val="auto"/>
                <w:szCs w:val="21"/>
                <w:highlight w:val="none"/>
              </w:rPr>
              <w:t>采购人指定地点。</w:t>
            </w:r>
          </w:p>
        </w:tc>
      </w:tr>
      <w:tr w14:paraId="1EAA16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3FEAAE6D">
            <w:pPr>
              <w:keepNext w:val="0"/>
              <w:keepLines w:val="0"/>
              <w:pageBreakBefore w:val="0"/>
              <w:widowControl w:val="0"/>
              <w:kinsoku/>
              <w:wordWrap/>
              <w:overflowPunct w:val="0"/>
              <w:topLinePunct w:val="0"/>
              <w:autoSpaceDE/>
              <w:autoSpaceDN/>
              <w:bidi w:val="0"/>
              <w:adjustRightInd/>
              <w:spacing w:line="380" w:lineRule="exact"/>
              <w:jc w:val="center"/>
              <w:textAlignment w:val="auto"/>
              <w:rPr>
                <w:rFonts w:ascii="宋体" w:cs="宋体"/>
                <w:color w:val="auto"/>
                <w:szCs w:val="21"/>
                <w:highlight w:val="none"/>
              </w:rPr>
            </w:pPr>
            <w:r>
              <w:rPr>
                <w:rFonts w:ascii="宋体" w:hAnsi="宋体" w:cs="宋体"/>
                <w:color w:val="auto"/>
                <w:szCs w:val="21"/>
                <w:highlight w:val="none"/>
              </w:rPr>
              <w:t>5</w:t>
            </w:r>
          </w:p>
        </w:tc>
        <w:tc>
          <w:tcPr>
            <w:tcW w:w="1762" w:type="dxa"/>
            <w:tcBorders>
              <w:top w:val="single" w:color="auto" w:sz="4" w:space="0"/>
              <w:left w:val="single" w:color="auto" w:sz="4" w:space="0"/>
              <w:bottom w:val="single" w:color="auto" w:sz="4" w:space="0"/>
              <w:right w:val="single" w:color="auto" w:sz="4" w:space="0"/>
            </w:tcBorders>
            <w:vAlign w:val="center"/>
          </w:tcPr>
          <w:p w14:paraId="29472666">
            <w:pPr>
              <w:keepNext w:val="0"/>
              <w:keepLines w:val="0"/>
              <w:pageBreakBefore w:val="0"/>
              <w:widowControl w:val="0"/>
              <w:kinsoku/>
              <w:wordWrap/>
              <w:overflowPunct w:val="0"/>
              <w:topLinePunct w:val="0"/>
              <w:autoSpaceDE/>
              <w:autoSpaceDN/>
              <w:bidi w:val="0"/>
              <w:adjustRightInd/>
              <w:spacing w:line="380" w:lineRule="exact"/>
              <w:jc w:val="center"/>
              <w:textAlignment w:val="auto"/>
              <w:rPr>
                <w:rFonts w:ascii="宋体" w:cs="宋体"/>
                <w:bCs/>
                <w:color w:val="auto"/>
                <w:szCs w:val="21"/>
                <w:highlight w:val="none"/>
              </w:rPr>
            </w:pPr>
            <w:r>
              <w:rPr>
                <w:rFonts w:hint="eastAsia" w:ascii="宋体" w:hAnsi="宋体" w:cs="宋体"/>
                <w:bCs/>
                <w:color w:val="auto"/>
                <w:szCs w:val="21"/>
                <w:highlight w:val="none"/>
              </w:rPr>
              <w:t>完成期限</w:t>
            </w:r>
          </w:p>
        </w:tc>
        <w:tc>
          <w:tcPr>
            <w:tcW w:w="6453" w:type="dxa"/>
            <w:tcBorders>
              <w:top w:val="single" w:color="auto" w:sz="4" w:space="0"/>
              <w:left w:val="single" w:color="auto" w:sz="4" w:space="0"/>
              <w:bottom w:val="single" w:color="auto" w:sz="4" w:space="0"/>
            </w:tcBorders>
            <w:vAlign w:val="center"/>
          </w:tcPr>
          <w:p w14:paraId="089FA7A5">
            <w:pPr>
              <w:keepNext w:val="0"/>
              <w:keepLines w:val="0"/>
              <w:pageBreakBefore w:val="0"/>
              <w:widowControl w:val="0"/>
              <w:kinsoku/>
              <w:wordWrap/>
              <w:overflowPunct w:val="0"/>
              <w:topLinePunct w:val="0"/>
              <w:autoSpaceDE/>
              <w:autoSpaceDN/>
              <w:bidi w:val="0"/>
              <w:adjustRightInd/>
              <w:spacing w:line="380" w:lineRule="exact"/>
              <w:textAlignment w:val="auto"/>
              <w:rPr>
                <w:rFonts w:ascii="宋体" w:cs="宋体"/>
                <w:color w:val="auto"/>
                <w:szCs w:val="21"/>
                <w:highlight w:val="none"/>
              </w:rPr>
            </w:pPr>
            <w:r>
              <w:rPr>
                <w:rFonts w:hint="eastAsia" w:ascii="宋体" w:hAnsi="宋体" w:cs="宋体"/>
                <w:color w:val="auto"/>
                <w:szCs w:val="21"/>
                <w:highlight w:val="none"/>
              </w:rPr>
              <w:t>采购规定的时间前完成。</w:t>
            </w:r>
          </w:p>
        </w:tc>
      </w:tr>
      <w:tr w14:paraId="3CA56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1FA021E1">
            <w:pPr>
              <w:keepNext w:val="0"/>
              <w:keepLines w:val="0"/>
              <w:pageBreakBefore w:val="0"/>
              <w:widowControl w:val="0"/>
              <w:kinsoku/>
              <w:wordWrap/>
              <w:overflowPunct w:val="0"/>
              <w:topLinePunct w:val="0"/>
              <w:autoSpaceDE/>
              <w:autoSpaceDN/>
              <w:bidi w:val="0"/>
              <w:adjustRightInd/>
              <w:spacing w:line="380" w:lineRule="exact"/>
              <w:jc w:val="center"/>
              <w:textAlignment w:val="auto"/>
              <w:rPr>
                <w:rFonts w:ascii="宋体" w:cs="宋体"/>
                <w:color w:val="auto"/>
                <w:szCs w:val="21"/>
                <w:highlight w:val="none"/>
              </w:rPr>
            </w:pPr>
            <w:r>
              <w:rPr>
                <w:rFonts w:ascii="宋体" w:hAnsi="宋体" w:cs="宋体"/>
                <w:color w:val="auto"/>
                <w:szCs w:val="21"/>
                <w:highlight w:val="none"/>
              </w:rPr>
              <w:t>6</w:t>
            </w:r>
          </w:p>
        </w:tc>
        <w:tc>
          <w:tcPr>
            <w:tcW w:w="1762" w:type="dxa"/>
            <w:tcBorders>
              <w:top w:val="single" w:color="auto" w:sz="4" w:space="0"/>
              <w:left w:val="single" w:color="auto" w:sz="4" w:space="0"/>
              <w:bottom w:val="single" w:color="auto" w:sz="4" w:space="0"/>
              <w:right w:val="single" w:color="auto" w:sz="4" w:space="0"/>
            </w:tcBorders>
            <w:vAlign w:val="center"/>
          </w:tcPr>
          <w:p w14:paraId="433B822D">
            <w:pPr>
              <w:keepNext w:val="0"/>
              <w:keepLines w:val="0"/>
              <w:pageBreakBefore w:val="0"/>
              <w:widowControl w:val="0"/>
              <w:kinsoku/>
              <w:wordWrap/>
              <w:overflowPunct w:val="0"/>
              <w:topLinePunct w:val="0"/>
              <w:autoSpaceDE/>
              <w:autoSpaceDN/>
              <w:bidi w:val="0"/>
              <w:adjustRightInd/>
              <w:spacing w:line="380" w:lineRule="exact"/>
              <w:jc w:val="center"/>
              <w:textAlignment w:val="auto"/>
              <w:rPr>
                <w:rFonts w:ascii="宋体" w:cs="宋体"/>
                <w:bCs/>
                <w:color w:val="auto"/>
                <w:szCs w:val="21"/>
                <w:highlight w:val="none"/>
              </w:rPr>
            </w:pPr>
            <w:r>
              <w:rPr>
                <w:rFonts w:hint="eastAsia" w:ascii="宋体" w:hAnsi="宋体" w:cs="宋体"/>
                <w:bCs/>
                <w:color w:val="auto"/>
                <w:szCs w:val="21"/>
                <w:highlight w:val="none"/>
              </w:rPr>
              <w:t>质疑及投诉</w:t>
            </w:r>
          </w:p>
        </w:tc>
        <w:tc>
          <w:tcPr>
            <w:tcW w:w="6453" w:type="dxa"/>
            <w:tcBorders>
              <w:top w:val="single" w:color="auto" w:sz="4" w:space="0"/>
              <w:left w:val="single" w:color="auto" w:sz="4" w:space="0"/>
              <w:bottom w:val="single" w:color="auto" w:sz="4" w:space="0"/>
            </w:tcBorders>
            <w:vAlign w:val="center"/>
          </w:tcPr>
          <w:p w14:paraId="0E6EDC43">
            <w:pPr>
              <w:keepNext w:val="0"/>
              <w:keepLines w:val="0"/>
              <w:pageBreakBefore w:val="0"/>
              <w:widowControl w:val="0"/>
              <w:kinsoku/>
              <w:wordWrap/>
              <w:overflowPunct w:val="0"/>
              <w:topLinePunct w:val="0"/>
              <w:autoSpaceDE/>
              <w:autoSpaceDN/>
              <w:bidi w:val="0"/>
              <w:adjustRightInd/>
              <w:spacing w:line="380" w:lineRule="exact"/>
              <w:textAlignment w:val="auto"/>
              <w:rPr>
                <w:rFonts w:asci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供应商认为采购文件、采购过程、成交或者成交结果使自己的权益受到损害的，可以在知道或者应知其权益受到损害之日起</w:t>
            </w:r>
            <w:r>
              <w:rPr>
                <w:rFonts w:ascii="宋体" w:hAnsi="宋体" w:cs="宋体"/>
                <w:color w:val="auto"/>
                <w:kern w:val="0"/>
                <w:szCs w:val="21"/>
                <w:highlight w:val="none"/>
              </w:rPr>
              <w:t>7</w:t>
            </w:r>
            <w:r>
              <w:rPr>
                <w:rFonts w:hint="eastAsia" w:ascii="宋体" w:hAnsi="宋体" w:cs="宋体"/>
                <w:color w:val="auto"/>
                <w:kern w:val="0"/>
                <w:szCs w:val="21"/>
                <w:highlight w:val="none"/>
              </w:rPr>
              <w:t>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76E908D1">
            <w:pPr>
              <w:keepNext w:val="0"/>
              <w:keepLines w:val="0"/>
              <w:pageBreakBefore w:val="0"/>
              <w:widowControl w:val="0"/>
              <w:kinsoku/>
              <w:wordWrap/>
              <w:overflowPunct w:val="0"/>
              <w:topLinePunct w:val="0"/>
              <w:autoSpaceDE/>
              <w:autoSpaceDN/>
              <w:bidi w:val="0"/>
              <w:adjustRightInd/>
              <w:spacing w:line="380" w:lineRule="exact"/>
              <w:textAlignment w:val="auto"/>
              <w:rPr>
                <w:rFonts w:ascii="宋体" w:cs="宋体"/>
                <w:color w:val="auto"/>
                <w:kern w:val="0"/>
                <w:szCs w:val="21"/>
                <w:highlight w:val="none"/>
              </w:rPr>
            </w:pPr>
            <w:r>
              <w:rPr>
                <w:rFonts w:hint="eastAsia" w:ascii="宋体" w:hAnsi="宋体" w:cs="宋体"/>
                <w:color w:val="auto"/>
                <w:kern w:val="0"/>
                <w:szCs w:val="21"/>
                <w:highlight w:val="none"/>
              </w:rPr>
              <w:t>质疑起算日期如下：</w:t>
            </w:r>
          </w:p>
          <w:p w14:paraId="6A89F23C">
            <w:pPr>
              <w:keepNext w:val="0"/>
              <w:keepLines w:val="0"/>
              <w:pageBreakBefore w:val="0"/>
              <w:widowControl w:val="0"/>
              <w:kinsoku/>
              <w:wordWrap/>
              <w:overflowPunct w:val="0"/>
              <w:topLinePunct w:val="0"/>
              <w:autoSpaceDE/>
              <w:autoSpaceDN/>
              <w:bidi w:val="0"/>
              <w:adjustRightInd/>
              <w:spacing w:line="380" w:lineRule="exact"/>
              <w:textAlignment w:val="auto"/>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）对可以质疑的采购文件提出质疑的，为收到采购文件之日或者采购文件公告期限届满之日（公告期限届满后获取采购文件的，以公告期限届满之日为准）；</w:t>
            </w:r>
          </w:p>
          <w:p w14:paraId="1E4D8B1E">
            <w:pPr>
              <w:keepNext w:val="0"/>
              <w:keepLines w:val="0"/>
              <w:pageBreakBefore w:val="0"/>
              <w:widowControl w:val="0"/>
              <w:kinsoku/>
              <w:wordWrap/>
              <w:overflowPunct w:val="0"/>
              <w:topLinePunct w:val="0"/>
              <w:autoSpaceDE/>
              <w:autoSpaceDN/>
              <w:bidi w:val="0"/>
              <w:adjustRightInd/>
              <w:spacing w:line="380" w:lineRule="exact"/>
              <w:textAlignment w:val="auto"/>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）对采购过程提出质疑的，为各采购程序环节结束之日；</w:t>
            </w:r>
          </w:p>
          <w:p w14:paraId="630A03A6">
            <w:pPr>
              <w:keepNext w:val="0"/>
              <w:keepLines w:val="0"/>
              <w:pageBreakBefore w:val="0"/>
              <w:widowControl w:val="0"/>
              <w:kinsoku/>
              <w:wordWrap/>
              <w:overflowPunct w:val="0"/>
              <w:topLinePunct w:val="0"/>
              <w:autoSpaceDE/>
              <w:autoSpaceDN/>
              <w:bidi w:val="0"/>
              <w:adjustRightInd/>
              <w:spacing w:line="380" w:lineRule="exact"/>
              <w:textAlignment w:val="auto"/>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）对成交结果提出质疑的，为成交结果公告期限届满之日。</w:t>
            </w:r>
          </w:p>
          <w:p w14:paraId="7EFA7030">
            <w:pPr>
              <w:keepNext w:val="0"/>
              <w:keepLines w:val="0"/>
              <w:pageBreakBefore w:val="0"/>
              <w:widowControl w:val="0"/>
              <w:kinsoku/>
              <w:wordWrap/>
              <w:overflowPunct w:val="0"/>
              <w:topLinePunct w:val="0"/>
              <w:autoSpaceDE/>
              <w:autoSpaceDN/>
              <w:bidi w:val="0"/>
              <w:adjustRightInd/>
              <w:spacing w:line="380" w:lineRule="exact"/>
              <w:textAlignment w:val="auto"/>
              <w:rPr>
                <w:rFonts w:asci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质疑和投诉按照《政府采购质疑和投诉办法》（财政部令第</w:t>
            </w:r>
            <w:r>
              <w:rPr>
                <w:rFonts w:ascii="宋体" w:hAnsi="宋体" w:cs="宋体"/>
                <w:color w:val="auto"/>
                <w:kern w:val="0"/>
                <w:szCs w:val="21"/>
                <w:highlight w:val="none"/>
              </w:rPr>
              <w:t>94</w:t>
            </w:r>
            <w:r>
              <w:rPr>
                <w:rFonts w:hint="eastAsia" w:ascii="宋体" w:hAnsi="宋体" w:cs="宋体"/>
                <w:color w:val="auto"/>
                <w:kern w:val="0"/>
                <w:szCs w:val="21"/>
                <w:highlight w:val="none"/>
              </w:rPr>
              <w:t>号）规定，范本在《浙江政府采购网》中“下载专区”内下载。质疑时要求供应商在法定质疑期内一次性提出针对同一采购程序环节的质疑。</w:t>
            </w:r>
          </w:p>
          <w:p w14:paraId="1271F295">
            <w:pPr>
              <w:keepNext w:val="0"/>
              <w:keepLines w:val="0"/>
              <w:pageBreakBefore w:val="0"/>
              <w:widowControl w:val="0"/>
              <w:kinsoku/>
              <w:wordWrap/>
              <w:overflowPunct w:val="0"/>
              <w:topLinePunct w:val="0"/>
              <w:autoSpaceDE/>
              <w:autoSpaceDN/>
              <w:bidi w:val="0"/>
              <w:adjustRightInd/>
              <w:spacing w:line="380" w:lineRule="exact"/>
              <w:textAlignment w:val="auto"/>
              <w:rPr>
                <w:rFonts w:asci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提出质疑的供应商应当是参与所质疑项目采购活动的供应商。潜在供应商已依法获取其可质疑的采购文件的，可以对该文件提出质疑。对采购文件提出质疑的，应当在获取采购文件或者采购文件公告期限届满之日起</w:t>
            </w:r>
            <w:r>
              <w:rPr>
                <w:rFonts w:ascii="宋体" w:hAnsi="宋体" w:cs="宋体"/>
                <w:color w:val="auto"/>
                <w:kern w:val="0"/>
                <w:szCs w:val="21"/>
                <w:highlight w:val="none"/>
              </w:rPr>
              <w:t>7</w:t>
            </w:r>
            <w:r>
              <w:rPr>
                <w:rFonts w:hint="eastAsia" w:ascii="宋体" w:hAnsi="宋体" w:cs="宋体"/>
                <w:color w:val="auto"/>
                <w:kern w:val="0"/>
                <w:szCs w:val="21"/>
                <w:highlight w:val="none"/>
              </w:rPr>
              <w:t>个工作日内提出。</w:t>
            </w:r>
          </w:p>
        </w:tc>
      </w:tr>
      <w:tr w14:paraId="4FC94B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7AFFDB63">
            <w:pPr>
              <w:keepNext w:val="0"/>
              <w:keepLines w:val="0"/>
              <w:pageBreakBefore w:val="0"/>
              <w:widowControl w:val="0"/>
              <w:kinsoku/>
              <w:wordWrap/>
              <w:overflowPunct w:val="0"/>
              <w:topLinePunct w:val="0"/>
              <w:autoSpaceDE/>
              <w:autoSpaceDN/>
              <w:bidi w:val="0"/>
              <w:adjustRightInd/>
              <w:spacing w:line="380" w:lineRule="exact"/>
              <w:jc w:val="center"/>
              <w:textAlignment w:val="auto"/>
              <w:rPr>
                <w:rFonts w:ascii="宋体" w:cs="宋体"/>
                <w:color w:val="auto"/>
                <w:szCs w:val="21"/>
                <w:highlight w:val="none"/>
              </w:rPr>
            </w:pPr>
            <w:r>
              <w:rPr>
                <w:rFonts w:ascii="宋体" w:hAnsi="宋体" w:cs="宋体"/>
                <w:color w:val="auto"/>
                <w:szCs w:val="21"/>
                <w:highlight w:val="none"/>
              </w:rPr>
              <w:t>7</w:t>
            </w:r>
          </w:p>
        </w:tc>
        <w:tc>
          <w:tcPr>
            <w:tcW w:w="1762" w:type="dxa"/>
            <w:tcBorders>
              <w:top w:val="single" w:color="auto" w:sz="4" w:space="0"/>
              <w:left w:val="single" w:color="auto" w:sz="4" w:space="0"/>
              <w:bottom w:val="single" w:color="auto" w:sz="4" w:space="0"/>
              <w:right w:val="single" w:color="auto" w:sz="4" w:space="0"/>
            </w:tcBorders>
            <w:vAlign w:val="center"/>
          </w:tcPr>
          <w:p w14:paraId="0EE95011">
            <w:pPr>
              <w:keepNext w:val="0"/>
              <w:keepLines w:val="0"/>
              <w:pageBreakBefore w:val="0"/>
              <w:widowControl w:val="0"/>
              <w:kinsoku/>
              <w:wordWrap/>
              <w:overflowPunct w:val="0"/>
              <w:topLinePunct w:val="0"/>
              <w:autoSpaceDE/>
              <w:autoSpaceDN/>
              <w:bidi w:val="0"/>
              <w:adjustRightInd/>
              <w:spacing w:line="380" w:lineRule="exact"/>
              <w:jc w:val="center"/>
              <w:textAlignment w:val="auto"/>
              <w:rPr>
                <w:rFonts w:ascii="宋体" w:cs="宋体"/>
                <w:bCs/>
                <w:color w:val="auto"/>
                <w:szCs w:val="21"/>
                <w:highlight w:val="none"/>
              </w:rPr>
            </w:pPr>
            <w:r>
              <w:rPr>
                <w:rFonts w:hint="eastAsia" w:ascii="宋体" w:hAnsi="宋体" w:cs="宋体"/>
                <w:bCs/>
                <w:color w:val="auto"/>
                <w:szCs w:val="21"/>
                <w:highlight w:val="none"/>
              </w:rPr>
              <w:t>磋商响应文件份数</w:t>
            </w:r>
          </w:p>
        </w:tc>
        <w:tc>
          <w:tcPr>
            <w:tcW w:w="6453" w:type="dxa"/>
            <w:tcBorders>
              <w:top w:val="single" w:color="auto" w:sz="4" w:space="0"/>
              <w:left w:val="single" w:color="auto" w:sz="4" w:space="0"/>
              <w:bottom w:val="single" w:color="auto" w:sz="4" w:space="0"/>
            </w:tcBorders>
            <w:vAlign w:val="center"/>
          </w:tcPr>
          <w:p w14:paraId="621D1879">
            <w:pPr>
              <w:keepNext w:val="0"/>
              <w:keepLines w:val="0"/>
              <w:pageBreakBefore w:val="0"/>
              <w:widowControl w:val="0"/>
              <w:kinsoku/>
              <w:wordWrap/>
              <w:overflowPunct w:val="0"/>
              <w:topLinePunct w:val="0"/>
              <w:autoSpaceDE/>
              <w:autoSpaceDN/>
              <w:bidi w:val="0"/>
              <w:adjustRightInd/>
              <w:spacing w:line="380" w:lineRule="exact"/>
              <w:textAlignment w:val="auto"/>
              <w:rPr>
                <w:rFonts w:ascii="宋体" w:cs="宋体"/>
                <w:color w:val="auto"/>
                <w:highlight w:val="none"/>
              </w:rPr>
            </w:pPr>
            <w:r>
              <w:rPr>
                <w:rFonts w:hint="eastAsia" w:ascii="宋体" w:hAnsi="宋体" w:cs="宋体"/>
                <w:color w:val="auto"/>
                <w:highlight w:val="none"/>
              </w:rPr>
              <w:t>磋商响应文件组成：</w:t>
            </w:r>
          </w:p>
          <w:p w14:paraId="3615FDDA">
            <w:pPr>
              <w:keepNext w:val="0"/>
              <w:keepLines w:val="0"/>
              <w:pageBreakBefore w:val="0"/>
              <w:widowControl w:val="0"/>
              <w:kinsoku/>
              <w:wordWrap/>
              <w:topLinePunct w:val="0"/>
              <w:autoSpaceDE/>
              <w:autoSpaceDN/>
              <w:bidi w:val="0"/>
              <w:adjustRightInd/>
              <w:spacing w:line="380" w:lineRule="exact"/>
              <w:textAlignment w:val="auto"/>
              <w:rPr>
                <w:rFonts w:ascii="宋体" w:cs="宋体"/>
                <w:color w:val="auto"/>
                <w:highlight w:val="none"/>
              </w:rPr>
            </w:pPr>
            <w:r>
              <w:rPr>
                <w:rFonts w:hint="eastAsia" w:ascii="宋体" w:hAnsi="宋体" w:cs="宋体"/>
                <w:color w:val="auto"/>
                <w:highlight w:val="none"/>
              </w:rPr>
              <w:t>磋商响应文件分资格证明文件、商务文件、技术文件、报价文件四部分。</w:t>
            </w:r>
            <w:r>
              <w:rPr>
                <w:rFonts w:hint="eastAsia" w:ascii="宋体" w:hAnsi="宋体" w:cs="宋体"/>
                <w:color w:val="auto"/>
                <w:kern w:val="0"/>
                <w:szCs w:val="21"/>
                <w:highlight w:val="none"/>
              </w:rPr>
              <w:t>资格证明文件装订成一册，商务文件、技术文件可以合并装订成一册，报价文件装订成一册。</w:t>
            </w:r>
          </w:p>
          <w:p w14:paraId="71B37F5B">
            <w:pPr>
              <w:pStyle w:val="12"/>
              <w:keepNext w:val="0"/>
              <w:keepLines w:val="0"/>
              <w:pageBreakBefore w:val="0"/>
              <w:widowControl w:val="0"/>
              <w:numPr>
                <w:ilvl w:val="0"/>
                <w:numId w:val="1"/>
              </w:numPr>
              <w:kinsoku/>
              <w:wordWrap/>
              <w:overflowPunct w:val="0"/>
              <w:topLinePunct w:val="0"/>
              <w:autoSpaceDE/>
              <w:autoSpaceDN/>
              <w:bidi w:val="0"/>
              <w:adjustRightInd/>
              <w:spacing w:before="0" w:beforeAutospacing="0" w:after="0" w:afterAutospacing="0" w:line="380" w:lineRule="exact"/>
              <w:textAlignment w:val="auto"/>
              <w:rPr>
                <w:color w:val="auto"/>
                <w:sz w:val="21"/>
                <w:szCs w:val="21"/>
                <w:highlight w:val="none"/>
              </w:rPr>
            </w:pPr>
            <w:r>
              <w:rPr>
                <w:rFonts w:hint="eastAsia"/>
                <w:color w:val="auto"/>
                <w:sz w:val="21"/>
                <w:szCs w:val="21"/>
                <w:highlight w:val="none"/>
              </w:rPr>
              <w:t>“电子加密响应文件”：在线上传递交、一份。</w:t>
            </w:r>
          </w:p>
          <w:p w14:paraId="423888E2">
            <w:pPr>
              <w:pStyle w:val="12"/>
              <w:keepNext w:val="0"/>
              <w:keepLines w:val="0"/>
              <w:pageBreakBefore w:val="0"/>
              <w:widowControl w:val="0"/>
              <w:numPr>
                <w:ilvl w:val="0"/>
                <w:numId w:val="1"/>
              </w:numPr>
              <w:kinsoku/>
              <w:wordWrap/>
              <w:overflowPunct w:val="0"/>
              <w:topLinePunct w:val="0"/>
              <w:autoSpaceDE/>
              <w:autoSpaceDN/>
              <w:bidi w:val="0"/>
              <w:adjustRightInd/>
              <w:spacing w:before="0" w:beforeAutospacing="0" w:after="0" w:afterAutospacing="0" w:line="380" w:lineRule="exact"/>
              <w:textAlignment w:val="auto"/>
              <w:rPr>
                <w:color w:val="auto"/>
                <w:sz w:val="21"/>
                <w:szCs w:val="21"/>
                <w:highlight w:val="none"/>
              </w:rPr>
            </w:pPr>
            <w:r>
              <w:rPr>
                <w:rFonts w:hint="eastAsia"/>
                <w:color w:val="auto"/>
                <w:sz w:val="21"/>
                <w:szCs w:val="21"/>
                <w:highlight w:val="none"/>
              </w:rPr>
              <w:t>“备份响应文件”：密封包装后投标截止时间前递交、一份</w:t>
            </w:r>
          </w:p>
          <w:p w14:paraId="412AC80E">
            <w:pPr>
              <w:pStyle w:val="12"/>
              <w:keepNext w:val="0"/>
              <w:keepLines w:val="0"/>
              <w:pageBreakBefore w:val="0"/>
              <w:widowControl w:val="0"/>
              <w:numPr>
                <w:ilvl w:val="0"/>
                <w:numId w:val="1"/>
              </w:numPr>
              <w:kinsoku/>
              <w:wordWrap/>
              <w:overflowPunct w:val="0"/>
              <w:topLinePunct w:val="0"/>
              <w:autoSpaceDE/>
              <w:autoSpaceDN/>
              <w:bidi w:val="0"/>
              <w:adjustRightInd/>
              <w:spacing w:before="0" w:beforeAutospacing="0" w:after="0" w:afterAutospacing="0" w:line="380" w:lineRule="exact"/>
              <w:textAlignment w:val="auto"/>
              <w:rPr>
                <w:color w:val="auto"/>
                <w:sz w:val="21"/>
                <w:szCs w:val="21"/>
                <w:highlight w:val="none"/>
              </w:rPr>
            </w:pPr>
            <w:r>
              <w:rPr>
                <w:rFonts w:hint="eastAsia"/>
                <w:color w:val="auto"/>
                <w:sz w:val="21"/>
                <w:szCs w:val="21"/>
                <w:highlight w:val="none"/>
              </w:rPr>
              <w:t>“纸质响应文件”：密封包装后投标截止时间前递交、一份。</w:t>
            </w:r>
          </w:p>
          <w:p w14:paraId="5D7ED3C8">
            <w:pPr>
              <w:pStyle w:val="12"/>
              <w:keepNext w:val="0"/>
              <w:keepLines w:val="0"/>
              <w:pageBreakBefore w:val="0"/>
              <w:widowControl w:val="0"/>
              <w:kinsoku/>
              <w:wordWrap/>
              <w:overflowPunct w:val="0"/>
              <w:topLinePunct w:val="0"/>
              <w:autoSpaceDE/>
              <w:autoSpaceDN/>
              <w:bidi w:val="0"/>
              <w:adjustRightInd/>
              <w:spacing w:before="0" w:beforeAutospacing="0" w:after="0" w:afterAutospacing="0" w:line="380" w:lineRule="exact"/>
              <w:textAlignment w:val="auto"/>
              <w:rPr>
                <w:color w:val="auto"/>
                <w:sz w:val="21"/>
                <w:szCs w:val="21"/>
                <w:highlight w:val="none"/>
              </w:rPr>
            </w:pPr>
            <w:r>
              <w:rPr>
                <w:rFonts w:hint="eastAsia"/>
                <w:color w:val="auto"/>
                <w:sz w:val="21"/>
                <w:szCs w:val="21"/>
                <w:highlight w:val="none"/>
              </w:rPr>
              <w:t>注：“备份响应文件”、“纸质响应文件”不强制提交。</w:t>
            </w:r>
          </w:p>
        </w:tc>
      </w:tr>
      <w:tr w14:paraId="36E07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48C17FBC">
            <w:pPr>
              <w:keepNext w:val="0"/>
              <w:keepLines w:val="0"/>
              <w:pageBreakBefore w:val="0"/>
              <w:widowControl w:val="0"/>
              <w:kinsoku/>
              <w:wordWrap/>
              <w:overflowPunct w:val="0"/>
              <w:topLinePunct w:val="0"/>
              <w:autoSpaceDE/>
              <w:autoSpaceDN/>
              <w:bidi w:val="0"/>
              <w:adjustRightInd/>
              <w:spacing w:line="380" w:lineRule="exact"/>
              <w:jc w:val="center"/>
              <w:textAlignment w:val="auto"/>
              <w:rPr>
                <w:rFonts w:ascii="宋体" w:cs="宋体"/>
                <w:color w:val="auto"/>
                <w:szCs w:val="21"/>
                <w:highlight w:val="none"/>
              </w:rPr>
            </w:pPr>
            <w:r>
              <w:rPr>
                <w:rFonts w:ascii="宋体" w:hAnsi="宋体" w:cs="宋体"/>
                <w:color w:val="auto"/>
                <w:szCs w:val="21"/>
                <w:highlight w:val="none"/>
              </w:rPr>
              <w:t>8</w:t>
            </w:r>
          </w:p>
        </w:tc>
        <w:tc>
          <w:tcPr>
            <w:tcW w:w="1762" w:type="dxa"/>
            <w:tcBorders>
              <w:top w:val="single" w:color="auto" w:sz="4" w:space="0"/>
              <w:left w:val="single" w:color="auto" w:sz="4" w:space="0"/>
              <w:bottom w:val="single" w:color="auto" w:sz="4" w:space="0"/>
              <w:right w:val="single" w:color="auto" w:sz="4" w:space="0"/>
            </w:tcBorders>
            <w:vAlign w:val="center"/>
          </w:tcPr>
          <w:p w14:paraId="1C779985">
            <w:pPr>
              <w:keepNext w:val="0"/>
              <w:keepLines w:val="0"/>
              <w:pageBreakBefore w:val="0"/>
              <w:widowControl w:val="0"/>
              <w:kinsoku/>
              <w:wordWrap/>
              <w:overflowPunct w:val="0"/>
              <w:topLinePunct w:val="0"/>
              <w:autoSpaceDE/>
              <w:autoSpaceDN/>
              <w:bidi w:val="0"/>
              <w:adjustRightInd/>
              <w:spacing w:line="380" w:lineRule="exact"/>
              <w:jc w:val="center"/>
              <w:textAlignment w:val="auto"/>
              <w:rPr>
                <w:rFonts w:ascii="宋体" w:cs="宋体"/>
                <w:bCs/>
                <w:color w:val="auto"/>
                <w:szCs w:val="21"/>
                <w:highlight w:val="none"/>
              </w:rPr>
            </w:pPr>
            <w:r>
              <w:rPr>
                <w:rFonts w:hint="eastAsia" w:ascii="宋体" w:hAnsi="宋体" w:cs="宋体"/>
                <w:bCs/>
                <w:color w:val="auto"/>
                <w:szCs w:val="21"/>
                <w:highlight w:val="none"/>
              </w:rPr>
              <w:t>磋商响应文件编制</w:t>
            </w:r>
          </w:p>
        </w:tc>
        <w:tc>
          <w:tcPr>
            <w:tcW w:w="6453" w:type="dxa"/>
            <w:tcBorders>
              <w:top w:val="single" w:color="auto" w:sz="4" w:space="0"/>
              <w:left w:val="single" w:color="auto" w:sz="4" w:space="0"/>
              <w:bottom w:val="single" w:color="auto" w:sz="4" w:space="0"/>
            </w:tcBorders>
            <w:vAlign w:val="center"/>
          </w:tcPr>
          <w:p w14:paraId="694D8400">
            <w:pPr>
              <w:keepNext w:val="0"/>
              <w:keepLines w:val="0"/>
              <w:pageBreakBefore w:val="0"/>
              <w:widowControl w:val="0"/>
              <w:kinsoku/>
              <w:wordWrap/>
              <w:overflowPunct w:val="0"/>
              <w:topLinePunct w:val="0"/>
              <w:autoSpaceDE/>
              <w:autoSpaceDN/>
              <w:bidi w:val="0"/>
              <w:adjustRightInd/>
              <w:spacing w:line="380" w:lineRule="exact"/>
              <w:textAlignment w:val="auto"/>
              <w:rPr>
                <w:rFonts w:ascii="宋体" w:cs="宋体"/>
                <w:color w:val="auto"/>
                <w:kern w:val="0"/>
                <w:szCs w:val="21"/>
                <w:highlight w:val="none"/>
              </w:rPr>
            </w:pPr>
            <w:r>
              <w:rPr>
                <w:rFonts w:hint="eastAsia" w:ascii="宋体" w:hAnsi="宋体" w:cs="宋体"/>
                <w:color w:val="auto"/>
                <w:kern w:val="0"/>
                <w:szCs w:val="21"/>
                <w:highlight w:val="none"/>
              </w:rPr>
              <w:t>供应商应先安装“政采云电子交易客户端”，并按照本磋商文件和“政府采购云平台”的要求，通过“政采云电子交易客户端”编制并加密响应文件。</w:t>
            </w:r>
          </w:p>
        </w:tc>
      </w:tr>
      <w:tr w14:paraId="12AF5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50BB59C2">
            <w:pPr>
              <w:keepNext w:val="0"/>
              <w:keepLines w:val="0"/>
              <w:pageBreakBefore w:val="0"/>
              <w:widowControl w:val="0"/>
              <w:kinsoku/>
              <w:wordWrap/>
              <w:overflowPunct w:val="0"/>
              <w:topLinePunct w:val="0"/>
              <w:autoSpaceDE/>
              <w:autoSpaceDN/>
              <w:bidi w:val="0"/>
              <w:adjustRightInd/>
              <w:spacing w:line="380" w:lineRule="exact"/>
              <w:jc w:val="center"/>
              <w:textAlignment w:val="auto"/>
              <w:rPr>
                <w:rFonts w:ascii="宋体" w:cs="宋体"/>
                <w:color w:val="auto"/>
                <w:szCs w:val="21"/>
                <w:highlight w:val="none"/>
              </w:rPr>
            </w:pPr>
            <w:r>
              <w:rPr>
                <w:rFonts w:ascii="宋体" w:hAnsi="宋体" w:cs="宋体"/>
                <w:color w:val="auto"/>
                <w:szCs w:val="21"/>
                <w:highlight w:val="none"/>
              </w:rPr>
              <w:t>9</w:t>
            </w:r>
          </w:p>
        </w:tc>
        <w:tc>
          <w:tcPr>
            <w:tcW w:w="1762" w:type="dxa"/>
            <w:tcBorders>
              <w:top w:val="single" w:color="auto" w:sz="4" w:space="0"/>
              <w:left w:val="single" w:color="auto" w:sz="4" w:space="0"/>
              <w:bottom w:val="single" w:color="auto" w:sz="4" w:space="0"/>
              <w:right w:val="single" w:color="auto" w:sz="4" w:space="0"/>
            </w:tcBorders>
            <w:vAlign w:val="center"/>
          </w:tcPr>
          <w:p w14:paraId="155939D5">
            <w:pPr>
              <w:keepNext w:val="0"/>
              <w:keepLines w:val="0"/>
              <w:pageBreakBefore w:val="0"/>
              <w:widowControl w:val="0"/>
              <w:kinsoku/>
              <w:wordWrap/>
              <w:overflowPunct w:val="0"/>
              <w:topLinePunct w:val="0"/>
              <w:autoSpaceDE/>
              <w:autoSpaceDN/>
              <w:bidi w:val="0"/>
              <w:adjustRightInd/>
              <w:spacing w:line="380" w:lineRule="exact"/>
              <w:jc w:val="center"/>
              <w:textAlignment w:val="auto"/>
              <w:rPr>
                <w:rFonts w:ascii="宋体" w:cs="宋体"/>
                <w:bCs/>
                <w:color w:val="auto"/>
                <w:szCs w:val="21"/>
                <w:highlight w:val="none"/>
              </w:rPr>
            </w:pPr>
            <w:r>
              <w:rPr>
                <w:rFonts w:hint="eastAsia" w:ascii="宋体" w:hAnsi="宋体" w:cs="宋体"/>
                <w:bCs/>
                <w:color w:val="auto"/>
                <w:szCs w:val="21"/>
                <w:highlight w:val="none"/>
              </w:rPr>
              <w:t>磋商响应文件签章</w:t>
            </w:r>
          </w:p>
        </w:tc>
        <w:tc>
          <w:tcPr>
            <w:tcW w:w="6453" w:type="dxa"/>
            <w:tcBorders>
              <w:top w:val="single" w:color="auto" w:sz="4" w:space="0"/>
              <w:left w:val="single" w:color="auto" w:sz="4" w:space="0"/>
              <w:bottom w:val="single" w:color="auto" w:sz="4" w:space="0"/>
            </w:tcBorders>
            <w:vAlign w:val="center"/>
          </w:tcPr>
          <w:p w14:paraId="75EC2FAB">
            <w:pPr>
              <w:keepNext w:val="0"/>
              <w:keepLines w:val="0"/>
              <w:pageBreakBefore w:val="0"/>
              <w:widowControl w:val="0"/>
              <w:kinsoku/>
              <w:wordWrap/>
              <w:overflowPunct w:val="0"/>
              <w:topLinePunct w:val="0"/>
              <w:autoSpaceDE/>
              <w:autoSpaceDN/>
              <w:bidi w:val="0"/>
              <w:adjustRightInd/>
              <w:spacing w:line="380" w:lineRule="exact"/>
              <w:textAlignment w:val="auto"/>
              <w:rPr>
                <w:rFonts w:ascii="宋体" w:cs="宋体"/>
                <w:color w:val="auto"/>
                <w:kern w:val="0"/>
                <w:szCs w:val="21"/>
                <w:highlight w:val="none"/>
              </w:rPr>
            </w:pPr>
            <w:r>
              <w:rPr>
                <w:rFonts w:hint="eastAsia" w:ascii="宋体" w:hAnsi="宋体" w:cs="宋体"/>
                <w:color w:val="auto"/>
                <w:kern w:val="0"/>
                <w:szCs w:val="21"/>
                <w:highlight w:val="none"/>
              </w:rPr>
              <w:t>电子签章</w:t>
            </w:r>
          </w:p>
        </w:tc>
      </w:tr>
      <w:tr w14:paraId="5AB03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2AB9096C">
            <w:pPr>
              <w:keepNext w:val="0"/>
              <w:keepLines w:val="0"/>
              <w:pageBreakBefore w:val="0"/>
              <w:widowControl w:val="0"/>
              <w:kinsoku/>
              <w:wordWrap/>
              <w:overflowPunct w:val="0"/>
              <w:topLinePunct w:val="0"/>
              <w:autoSpaceDE/>
              <w:autoSpaceDN/>
              <w:bidi w:val="0"/>
              <w:adjustRightInd/>
              <w:spacing w:line="380" w:lineRule="exact"/>
              <w:jc w:val="center"/>
              <w:textAlignment w:val="auto"/>
              <w:rPr>
                <w:rFonts w:ascii="宋体" w:cs="宋体"/>
                <w:color w:val="auto"/>
                <w:szCs w:val="21"/>
                <w:highlight w:val="none"/>
              </w:rPr>
            </w:pPr>
            <w:r>
              <w:rPr>
                <w:rFonts w:ascii="宋体" w:hAnsi="宋体" w:cs="宋体"/>
                <w:color w:val="auto"/>
                <w:szCs w:val="21"/>
                <w:highlight w:val="none"/>
              </w:rPr>
              <w:t>10</w:t>
            </w:r>
          </w:p>
        </w:tc>
        <w:tc>
          <w:tcPr>
            <w:tcW w:w="1762" w:type="dxa"/>
            <w:tcBorders>
              <w:top w:val="single" w:color="auto" w:sz="4" w:space="0"/>
              <w:left w:val="single" w:color="auto" w:sz="4" w:space="0"/>
              <w:bottom w:val="single" w:color="auto" w:sz="4" w:space="0"/>
              <w:right w:val="single" w:color="auto" w:sz="4" w:space="0"/>
            </w:tcBorders>
            <w:vAlign w:val="center"/>
          </w:tcPr>
          <w:p w14:paraId="27E49E7E">
            <w:pPr>
              <w:keepNext w:val="0"/>
              <w:keepLines w:val="0"/>
              <w:pageBreakBefore w:val="0"/>
              <w:widowControl w:val="0"/>
              <w:kinsoku/>
              <w:wordWrap/>
              <w:overflowPunct w:val="0"/>
              <w:topLinePunct w:val="0"/>
              <w:autoSpaceDE/>
              <w:autoSpaceDN/>
              <w:bidi w:val="0"/>
              <w:adjustRightInd/>
              <w:spacing w:line="380" w:lineRule="exact"/>
              <w:textAlignment w:val="auto"/>
              <w:rPr>
                <w:rFonts w:ascii="宋体" w:cs="宋体"/>
                <w:color w:val="auto"/>
                <w:highlight w:val="none"/>
              </w:rPr>
            </w:pPr>
            <w:r>
              <w:rPr>
                <w:rFonts w:hint="eastAsia" w:ascii="宋体" w:hAnsi="宋体" w:cs="宋体"/>
                <w:color w:val="auto"/>
                <w:highlight w:val="none"/>
              </w:rPr>
              <w:t>磋商响应文件的形式</w:t>
            </w:r>
          </w:p>
        </w:tc>
        <w:tc>
          <w:tcPr>
            <w:tcW w:w="6453" w:type="dxa"/>
            <w:tcBorders>
              <w:top w:val="single" w:color="auto" w:sz="4" w:space="0"/>
              <w:left w:val="single" w:color="auto" w:sz="4" w:space="0"/>
              <w:bottom w:val="single" w:color="auto" w:sz="4" w:space="0"/>
            </w:tcBorders>
            <w:vAlign w:val="center"/>
          </w:tcPr>
          <w:p w14:paraId="03FA22D1">
            <w:pPr>
              <w:keepNext w:val="0"/>
              <w:keepLines w:val="0"/>
              <w:pageBreakBefore w:val="0"/>
              <w:widowControl w:val="0"/>
              <w:kinsoku/>
              <w:wordWrap/>
              <w:overflowPunct w:val="0"/>
              <w:topLinePunct w:val="0"/>
              <w:autoSpaceDE/>
              <w:autoSpaceDN/>
              <w:bidi w:val="0"/>
              <w:adjustRightInd/>
              <w:spacing w:line="380" w:lineRule="exact"/>
              <w:textAlignment w:val="auto"/>
              <w:rPr>
                <w:rFonts w:ascii="宋体" w:cs="宋体"/>
                <w:color w:val="auto"/>
                <w:highlight w:val="none"/>
              </w:rPr>
            </w:pPr>
            <w:r>
              <w:rPr>
                <w:rFonts w:hint="eastAsia" w:ascii="MS Minchofalt" w:hAnsi="MS Minchofalt" w:eastAsia="MS Minchofalt" w:cs="MS Minchofalt"/>
                <w:color w:val="auto"/>
                <w:highlight w:val="none"/>
              </w:rPr>
              <w:t>☑</w:t>
            </w:r>
            <w:r>
              <w:rPr>
                <w:rFonts w:hint="eastAsia" w:ascii="宋体" w:hAnsi="宋体" w:cs="宋体"/>
                <w:color w:val="auto"/>
                <w:highlight w:val="none"/>
              </w:rPr>
              <w:t>电子响应文件（包括“电子加密响应文件”和“备份响应文件”，在响应文件编制完成后同时生成）及纸质响应文件；</w:t>
            </w:r>
          </w:p>
          <w:p w14:paraId="1B00B10B">
            <w:pPr>
              <w:keepNext w:val="0"/>
              <w:keepLines w:val="0"/>
              <w:pageBreakBefore w:val="0"/>
              <w:widowControl w:val="0"/>
              <w:kinsoku/>
              <w:wordWrap/>
              <w:overflowPunct w:val="0"/>
              <w:topLinePunct w:val="0"/>
              <w:autoSpaceDE/>
              <w:autoSpaceDN/>
              <w:bidi w:val="0"/>
              <w:adjustRightInd/>
              <w:spacing w:line="380" w:lineRule="exact"/>
              <w:textAlignment w:val="auto"/>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）“电子加密响应文件”是指通过“政采云电子交易客户端”完成响应文件编制后生成并加密的数据电文形式的响应文件。</w:t>
            </w:r>
          </w:p>
          <w:p w14:paraId="72603BA4">
            <w:pPr>
              <w:keepNext w:val="0"/>
              <w:keepLines w:val="0"/>
              <w:pageBreakBefore w:val="0"/>
              <w:widowControl w:val="0"/>
              <w:kinsoku/>
              <w:wordWrap/>
              <w:overflowPunct w:val="0"/>
              <w:topLinePunct w:val="0"/>
              <w:autoSpaceDE/>
              <w:autoSpaceDN/>
              <w:bidi w:val="0"/>
              <w:adjustRightInd/>
              <w:spacing w:line="380" w:lineRule="exact"/>
              <w:textAlignment w:val="auto"/>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）“备份响应文件”是指与“电子加密响应文件”同时生成的数据电文形式的电子文件（备份标书），其他方式编制的备份响应文件视为无效备份响应文件。</w:t>
            </w:r>
          </w:p>
          <w:p w14:paraId="03618F3A">
            <w:pPr>
              <w:keepNext w:val="0"/>
              <w:keepLines w:val="0"/>
              <w:pageBreakBefore w:val="0"/>
              <w:widowControl w:val="0"/>
              <w:kinsoku/>
              <w:wordWrap/>
              <w:overflowPunct w:val="0"/>
              <w:topLinePunct w:val="0"/>
              <w:autoSpaceDE/>
              <w:autoSpaceDN/>
              <w:bidi w:val="0"/>
              <w:adjustRightInd/>
              <w:spacing w:line="380" w:lineRule="exact"/>
              <w:textAlignment w:val="auto"/>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）“纸质响应文件”。</w:t>
            </w:r>
          </w:p>
        </w:tc>
      </w:tr>
      <w:tr w14:paraId="305DF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60B17090">
            <w:pPr>
              <w:keepNext w:val="0"/>
              <w:keepLines w:val="0"/>
              <w:pageBreakBefore w:val="0"/>
              <w:widowControl w:val="0"/>
              <w:kinsoku/>
              <w:wordWrap/>
              <w:overflowPunct w:val="0"/>
              <w:topLinePunct w:val="0"/>
              <w:autoSpaceDE/>
              <w:autoSpaceDN/>
              <w:bidi w:val="0"/>
              <w:adjustRightInd/>
              <w:spacing w:line="380" w:lineRule="exact"/>
              <w:jc w:val="center"/>
              <w:textAlignment w:val="auto"/>
              <w:rPr>
                <w:rFonts w:ascii="宋体" w:cs="宋体"/>
                <w:color w:val="auto"/>
                <w:szCs w:val="21"/>
                <w:highlight w:val="none"/>
              </w:rPr>
            </w:pPr>
            <w:r>
              <w:rPr>
                <w:rFonts w:ascii="宋体" w:hAnsi="宋体" w:cs="宋体"/>
                <w:color w:val="auto"/>
                <w:szCs w:val="21"/>
                <w:highlight w:val="none"/>
              </w:rPr>
              <w:t>11</w:t>
            </w:r>
          </w:p>
        </w:tc>
        <w:tc>
          <w:tcPr>
            <w:tcW w:w="1762" w:type="dxa"/>
            <w:tcBorders>
              <w:top w:val="single" w:color="auto" w:sz="4" w:space="0"/>
              <w:left w:val="single" w:color="auto" w:sz="4" w:space="0"/>
              <w:bottom w:val="single" w:color="auto" w:sz="4" w:space="0"/>
              <w:right w:val="single" w:color="auto" w:sz="4" w:space="0"/>
            </w:tcBorders>
            <w:vAlign w:val="center"/>
          </w:tcPr>
          <w:p w14:paraId="2C8BB6C4">
            <w:pPr>
              <w:keepNext w:val="0"/>
              <w:keepLines w:val="0"/>
              <w:pageBreakBefore w:val="0"/>
              <w:widowControl w:val="0"/>
              <w:kinsoku/>
              <w:wordWrap/>
              <w:overflowPunct w:val="0"/>
              <w:topLinePunct w:val="0"/>
              <w:autoSpaceDE/>
              <w:autoSpaceDN/>
              <w:bidi w:val="0"/>
              <w:adjustRightInd/>
              <w:spacing w:line="380" w:lineRule="exact"/>
              <w:jc w:val="center"/>
              <w:textAlignment w:val="auto"/>
              <w:rPr>
                <w:rFonts w:ascii="宋体" w:cs="宋体"/>
                <w:bCs/>
                <w:color w:val="auto"/>
                <w:szCs w:val="21"/>
                <w:highlight w:val="none"/>
              </w:rPr>
            </w:pPr>
            <w:r>
              <w:rPr>
                <w:rFonts w:hint="eastAsia" w:ascii="宋体" w:hAnsi="宋体" w:cs="宋体"/>
                <w:bCs/>
                <w:color w:val="auto"/>
                <w:szCs w:val="21"/>
                <w:highlight w:val="none"/>
              </w:rPr>
              <w:t>磋商响应文件的上传和递交</w:t>
            </w:r>
          </w:p>
        </w:tc>
        <w:tc>
          <w:tcPr>
            <w:tcW w:w="6453" w:type="dxa"/>
            <w:tcBorders>
              <w:top w:val="single" w:color="auto" w:sz="4" w:space="0"/>
              <w:left w:val="single" w:color="auto" w:sz="4" w:space="0"/>
              <w:bottom w:val="single" w:color="auto" w:sz="4" w:space="0"/>
            </w:tcBorders>
            <w:vAlign w:val="center"/>
          </w:tcPr>
          <w:p w14:paraId="23DC3661">
            <w:pPr>
              <w:keepNext w:val="0"/>
              <w:keepLines w:val="0"/>
              <w:pageBreakBefore w:val="0"/>
              <w:widowControl w:val="0"/>
              <w:kinsoku/>
              <w:wordWrap/>
              <w:overflowPunct w:val="0"/>
              <w:topLinePunct w:val="0"/>
              <w:autoSpaceDE/>
              <w:autoSpaceDN/>
              <w:bidi w:val="0"/>
              <w:adjustRightInd/>
              <w:spacing w:line="380" w:lineRule="exact"/>
              <w:textAlignment w:val="auto"/>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）“电子加密响应文件”的上传、递交：</w:t>
            </w:r>
          </w:p>
          <w:p w14:paraId="1C20A4EC">
            <w:pPr>
              <w:keepNext w:val="0"/>
              <w:keepLines w:val="0"/>
              <w:pageBreakBefore w:val="0"/>
              <w:widowControl w:val="0"/>
              <w:kinsoku/>
              <w:wordWrap/>
              <w:overflowPunct w:val="0"/>
              <w:topLinePunct w:val="0"/>
              <w:autoSpaceDE/>
              <w:autoSpaceDN/>
              <w:bidi w:val="0"/>
              <w:adjustRightInd/>
              <w:spacing w:line="380" w:lineRule="exact"/>
              <w:textAlignment w:val="auto"/>
              <w:rPr>
                <w:rFonts w:ascii="宋体" w:cs="宋体"/>
                <w:color w:val="auto"/>
                <w:highlight w:val="none"/>
              </w:rPr>
            </w:pPr>
            <w:r>
              <w:rPr>
                <w:rFonts w:ascii="宋体" w:hAnsi="宋体" w:cs="宋体"/>
                <w:color w:val="auto"/>
                <w:highlight w:val="none"/>
              </w:rPr>
              <w:t>a.</w:t>
            </w:r>
            <w:r>
              <w:rPr>
                <w:rFonts w:hint="eastAsia" w:ascii="宋体" w:hAnsi="宋体" w:cs="宋体"/>
                <w:color w:val="auto"/>
                <w:highlight w:val="none"/>
              </w:rPr>
              <w:t>供应商应在投标截止时间前将“电子加密响应文件”成功上传递交至“政府采购云平台”，否则投标无效。</w:t>
            </w:r>
          </w:p>
          <w:p w14:paraId="7F4E9A9A">
            <w:pPr>
              <w:keepNext w:val="0"/>
              <w:keepLines w:val="0"/>
              <w:pageBreakBefore w:val="0"/>
              <w:widowControl w:val="0"/>
              <w:kinsoku/>
              <w:wordWrap/>
              <w:overflowPunct w:val="0"/>
              <w:topLinePunct w:val="0"/>
              <w:autoSpaceDE/>
              <w:autoSpaceDN/>
              <w:bidi w:val="0"/>
              <w:adjustRightInd/>
              <w:spacing w:line="380" w:lineRule="exact"/>
              <w:textAlignment w:val="auto"/>
              <w:rPr>
                <w:rFonts w:ascii="宋体" w:cs="宋体"/>
                <w:color w:val="auto"/>
                <w:highlight w:val="none"/>
              </w:rPr>
            </w:pPr>
            <w:r>
              <w:rPr>
                <w:rFonts w:ascii="宋体" w:hAnsi="宋体" w:cs="宋体"/>
                <w:color w:val="auto"/>
                <w:highlight w:val="none"/>
              </w:rPr>
              <w:t>b.</w:t>
            </w:r>
            <w:r>
              <w:rPr>
                <w:rFonts w:hint="eastAsia" w:ascii="宋体" w:hAnsi="宋体" w:cs="宋体"/>
                <w:color w:val="auto"/>
                <w:highlight w:val="none"/>
              </w:rPr>
              <w:t>“电子加密响应文件”成功上传递交后，供应商可自行打印响应文件接收回执。</w:t>
            </w:r>
          </w:p>
          <w:p w14:paraId="387E8C74">
            <w:pPr>
              <w:keepNext w:val="0"/>
              <w:keepLines w:val="0"/>
              <w:pageBreakBefore w:val="0"/>
              <w:widowControl w:val="0"/>
              <w:kinsoku/>
              <w:wordWrap/>
              <w:overflowPunct w:val="0"/>
              <w:topLinePunct w:val="0"/>
              <w:autoSpaceDE/>
              <w:autoSpaceDN/>
              <w:bidi w:val="0"/>
              <w:adjustRightInd/>
              <w:spacing w:line="380" w:lineRule="exact"/>
              <w:textAlignment w:val="auto"/>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）“备份响应文件”的密封包装、递交：</w:t>
            </w:r>
            <w:r>
              <w:rPr>
                <w:rFonts w:hint="eastAsia" w:ascii="宋体" w:hAnsi="宋体" w:cs="宋体"/>
                <w:b/>
                <w:bCs/>
                <w:color w:val="auto"/>
                <w:highlight w:val="none"/>
              </w:rPr>
              <w:t>（不强制提交）</w:t>
            </w:r>
          </w:p>
          <w:p w14:paraId="4C69DB31">
            <w:pPr>
              <w:keepNext w:val="0"/>
              <w:keepLines w:val="0"/>
              <w:pageBreakBefore w:val="0"/>
              <w:widowControl w:val="0"/>
              <w:kinsoku/>
              <w:wordWrap/>
              <w:overflowPunct w:val="0"/>
              <w:topLinePunct w:val="0"/>
              <w:autoSpaceDE/>
              <w:autoSpaceDN/>
              <w:bidi w:val="0"/>
              <w:adjustRightInd/>
              <w:spacing w:line="380" w:lineRule="exact"/>
              <w:textAlignment w:val="auto"/>
              <w:rPr>
                <w:rFonts w:ascii="宋体" w:cs="宋体"/>
                <w:color w:val="auto"/>
                <w:highlight w:val="none"/>
              </w:rPr>
            </w:pPr>
            <w:r>
              <w:rPr>
                <w:rFonts w:ascii="宋体" w:hAnsi="宋体" w:cs="宋体"/>
                <w:color w:val="auto"/>
                <w:highlight w:val="none"/>
              </w:rPr>
              <w:t>a.</w:t>
            </w:r>
            <w:r>
              <w:rPr>
                <w:rFonts w:hint="eastAsia" w:ascii="宋体" w:hAnsi="宋体" w:cs="宋体"/>
                <w:color w:val="auto"/>
                <w:highlight w:val="none"/>
              </w:rPr>
              <w:t>供应商在“政府采购云平台”完成“电子加密响应文件”的上传递交后，在投标截止时间前递交以介质（</w:t>
            </w:r>
            <w:r>
              <w:rPr>
                <w:rFonts w:ascii="宋体" w:hAnsi="宋体" w:cs="宋体"/>
                <w:color w:val="auto"/>
                <w:highlight w:val="none"/>
              </w:rPr>
              <w:t>U</w:t>
            </w:r>
            <w:r>
              <w:rPr>
                <w:rFonts w:hint="eastAsia" w:ascii="宋体" w:hAnsi="宋体" w:cs="宋体"/>
                <w:color w:val="auto"/>
                <w:highlight w:val="none"/>
              </w:rPr>
              <w:t>盘）存储的</w:t>
            </w:r>
            <w:r>
              <w:rPr>
                <w:rFonts w:ascii="宋体" w:hAnsi="宋体" w:cs="宋体"/>
                <w:color w:val="auto"/>
                <w:highlight w:val="none"/>
              </w:rPr>
              <w:t xml:space="preserve"> </w:t>
            </w:r>
            <w:r>
              <w:rPr>
                <w:rFonts w:hint="eastAsia" w:ascii="宋体" w:hAnsi="宋体" w:cs="宋体"/>
                <w:color w:val="auto"/>
                <w:highlight w:val="none"/>
              </w:rPr>
              <w:t>“备份响应文件”（一份）；</w:t>
            </w:r>
          </w:p>
          <w:p w14:paraId="2E19469A">
            <w:pPr>
              <w:keepNext w:val="0"/>
              <w:keepLines w:val="0"/>
              <w:pageBreakBefore w:val="0"/>
              <w:widowControl w:val="0"/>
              <w:kinsoku/>
              <w:wordWrap/>
              <w:overflowPunct w:val="0"/>
              <w:topLinePunct w:val="0"/>
              <w:autoSpaceDE/>
              <w:autoSpaceDN/>
              <w:bidi w:val="0"/>
              <w:adjustRightInd/>
              <w:spacing w:line="380" w:lineRule="exact"/>
              <w:textAlignment w:val="auto"/>
              <w:rPr>
                <w:rFonts w:ascii="宋体" w:cs="宋体"/>
                <w:color w:val="auto"/>
                <w:highlight w:val="none"/>
              </w:rPr>
            </w:pPr>
            <w:r>
              <w:rPr>
                <w:rFonts w:ascii="宋体" w:hAnsi="宋体" w:cs="宋体"/>
                <w:color w:val="auto"/>
                <w:highlight w:val="none"/>
              </w:rPr>
              <w:t>b.</w:t>
            </w:r>
            <w:r>
              <w:rPr>
                <w:rFonts w:hint="eastAsia" w:ascii="宋体" w:hAnsi="宋体" w:cs="宋体"/>
                <w:color w:val="auto"/>
                <w:highlight w:val="none"/>
              </w:rPr>
              <w:t>“备份响应文件”应当密封包装，并在包装上标注项目名称、供应商名称并加盖公章。没有密封包装或者逾期送达至投标地点的“备份响应文件”将不予接收；</w:t>
            </w:r>
          </w:p>
          <w:p w14:paraId="7491C3B2">
            <w:pPr>
              <w:keepNext w:val="0"/>
              <w:keepLines w:val="0"/>
              <w:pageBreakBefore w:val="0"/>
              <w:widowControl w:val="0"/>
              <w:kinsoku/>
              <w:wordWrap/>
              <w:overflowPunct w:val="0"/>
              <w:topLinePunct w:val="0"/>
              <w:autoSpaceDE/>
              <w:autoSpaceDN/>
              <w:bidi w:val="0"/>
              <w:adjustRightInd/>
              <w:spacing w:line="380" w:lineRule="exact"/>
              <w:textAlignment w:val="auto"/>
              <w:rPr>
                <w:rFonts w:ascii="宋体" w:cs="宋体"/>
                <w:color w:val="auto"/>
                <w:highlight w:val="none"/>
              </w:rPr>
            </w:pPr>
            <w:r>
              <w:rPr>
                <w:rFonts w:ascii="宋体" w:hAnsi="宋体" w:cs="宋体"/>
                <w:color w:val="auto"/>
                <w:highlight w:val="none"/>
              </w:rPr>
              <w:t>c.</w:t>
            </w:r>
            <w:r>
              <w:rPr>
                <w:rFonts w:hint="eastAsia" w:ascii="宋体" w:hAnsi="宋体" w:cs="宋体"/>
                <w:color w:val="auto"/>
                <w:highlight w:val="none"/>
              </w:rPr>
              <w:t>通过“政府采购云平台”成功上传递交的“电子加密响应文件”已按时解密的，“备份响应文件”自动失效。投标截止时间前，投标供应商仅递交了“备份响应文件”而未将“电子加密响应文件”成功上传至“政府采购云平台”的，投标无效。</w:t>
            </w:r>
          </w:p>
          <w:p w14:paraId="7814ABB2">
            <w:pPr>
              <w:keepNext w:val="0"/>
              <w:keepLines w:val="0"/>
              <w:pageBreakBefore w:val="0"/>
              <w:widowControl w:val="0"/>
              <w:kinsoku/>
              <w:wordWrap/>
              <w:overflowPunct w:val="0"/>
              <w:topLinePunct w:val="0"/>
              <w:autoSpaceDE/>
              <w:autoSpaceDN/>
              <w:bidi w:val="0"/>
              <w:adjustRightInd/>
              <w:spacing w:line="380" w:lineRule="exact"/>
              <w:textAlignment w:val="auto"/>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）“纸质响应文件”的密封包装、递交：</w:t>
            </w:r>
            <w:r>
              <w:rPr>
                <w:rFonts w:hint="eastAsia" w:ascii="宋体" w:hAnsi="宋体" w:cs="宋体"/>
                <w:b/>
                <w:bCs/>
                <w:color w:val="auto"/>
                <w:highlight w:val="none"/>
              </w:rPr>
              <w:t>（不强制提交）</w:t>
            </w:r>
          </w:p>
          <w:p w14:paraId="2866B8AA">
            <w:pPr>
              <w:keepNext w:val="0"/>
              <w:keepLines w:val="0"/>
              <w:pageBreakBefore w:val="0"/>
              <w:widowControl w:val="0"/>
              <w:kinsoku/>
              <w:wordWrap/>
              <w:overflowPunct w:val="0"/>
              <w:topLinePunct w:val="0"/>
              <w:autoSpaceDE/>
              <w:autoSpaceDN/>
              <w:bidi w:val="0"/>
              <w:adjustRightInd/>
              <w:spacing w:line="380" w:lineRule="exact"/>
              <w:textAlignment w:val="auto"/>
              <w:rPr>
                <w:rFonts w:ascii="宋体" w:cs="宋体"/>
                <w:color w:val="auto"/>
                <w:highlight w:val="none"/>
              </w:rPr>
            </w:pPr>
            <w:r>
              <w:rPr>
                <w:rFonts w:ascii="宋体" w:hAnsi="宋体" w:cs="宋体"/>
                <w:color w:val="auto"/>
                <w:highlight w:val="none"/>
              </w:rPr>
              <w:t>a.</w:t>
            </w:r>
            <w:r>
              <w:rPr>
                <w:rFonts w:hint="eastAsia" w:ascii="宋体" w:hAnsi="宋体" w:cs="宋体"/>
                <w:color w:val="auto"/>
                <w:highlight w:val="none"/>
              </w:rPr>
              <w:t>供应商在“政府采购云平台”完成“电子加密响应文件”的上传递交后，在投标截止时间前递交“纸质响应文件”（一份）；</w:t>
            </w:r>
          </w:p>
          <w:p w14:paraId="50C5D3D8">
            <w:pPr>
              <w:keepNext w:val="0"/>
              <w:keepLines w:val="0"/>
              <w:pageBreakBefore w:val="0"/>
              <w:widowControl w:val="0"/>
              <w:kinsoku/>
              <w:wordWrap/>
              <w:overflowPunct w:val="0"/>
              <w:topLinePunct w:val="0"/>
              <w:autoSpaceDE/>
              <w:autoSpaceDN/>
              <w:bidi w:val="0"/>
              <w:adjustRightInd/>
              <w:spacing w:line="380" w:lineRule="exact"/>
              <w:textAlignment w:val="auto"/>
              <w:rPr>
                <w:rFonts w:ascii="宋体" w:cs="宋体"/>
                <w:color w:val="auto"/>
                <w:highlight w:val="none"/>
              </w:rPr>
            </w:pPr>
            <w:r>
              <w:rPr>
                <w:rFonts w:ascii="宋体" w:hAnsi="宋体" w:cs="宋体"/>
                <w:color w:val="auto"/>
                <w:highlight w:val="none"/>
              </w:rPr>
              <w:t>b.</w:t>
            </w:r>
            <w:r>
              <w:rPr>
                <w:rFonts w:hint="eastAsia" w:ascii="宋体" w:hAnsi="宋体" w:cs="宋体"/>
                <w:color w:val="auto"/>
                <w:highlight w:val="none"/>
              </w:rPr>
              <w:t>“纸质响应文件”应当密封包装，并在包装上标注项目名称、供应商名称并加盖公章。没有密封包装或者逾期送达至投标地点的“纸质响应文件”将不予接收；</w:t>
            </w:r>
          </w:p>
          <w:p w14:paraId="677E1471">
            <w:pPr>
              <w:keepNext w:val="0"/>
              <w:keepLines w:val="0"/>
              <w:pageBreakBefore w:val="0"/>
              <w:widowControl w:val="0"/>
              <w:kinsoku/>
              <w:wordWrap/>
              <w:overflowPunct w:val="0"/>
              <w:topLinePunct w:val="0"/>
              <w:autoSpaceDE/>
              <w:autoSpaceDN/>
              <w:bidi w:val="0"/>
              <w:adjustRightInd/>
              <w:spacing w:line="380" w:lineRule="exact"/>
              <w:textAlignment w:val="auto"/>
              <w:rPr>
                <w:rFonts w:ascii="宋体" w:cs="宋体"/>
                <w:color w:val="auto"/>
                <w:highlight w:val="none"/>
              </w:rPr>
            </w:pPr>
            <w:r>
              <w:rPr>
                <w:rFonts w:ascii="宋体" w:hAnsi="宋体" w:cs="宋体"/>
                <w:color w:val="auto"/>
                <w:highlight w:val="none"/>
              </w:rPr>
              <w:t>c.</w:t>
            </w:r>
            <w:r>
              <w:rPr>
                <w:rFonts w:hint="eastAsia" w:ascii="宋体" w:hAnsi="宋体" w:cs="宋体"/>
                <w:color w:val="auto"/>
                <w:highlight w:val="none"/>
              </w:rPr>
              <w:t>通过“政府采购云平台”成功上传递交的“电子加密响应文件”已按时解密的，“纸质响应文件”自动失效。投标截止时间前，投标供应商仅递交了“纸质响应文件”而未将“电子加密响应文件”成功上传至“政府采购云平台”的，投标无效。</w:t>
            </w:r>
          </w:p>
        </w:tc>
      </w:tr>
      <w:tr w14:paraId="121E2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7437FAAC">
            <w:pPr>
              <w:keepNext w:val="0"/>
              <w:keepLines w:val="0"/>
              <w:pageBreakBefore w:val="0"/>
              <w:widowControl w:val="0"/>
              <w:kinsoku/>
              <w:wordWrap/>
              <w:overflowPunct w:val="0"/>
              <w:topLinePunct w:val="0"/>
              <w:autoSpaceDE/>
              <w:autoSpaceDN/>
              <w:bidi w:val="0"/>
              <w:adjustRightInd/>
              <w:spacing w:line="380" w:lineRule="exact"/>
              <w:jc w:val="center"/>
              <w:textAlignment w:val="auto"/>
              <w:rPr>
                <w:rFonts w:ascii="宋体" w:cs="宋体"/>
                <w:color w:val="auto"/>
                <w:szCs w:val="21"/>
                <w:highlight w:val="none"/>
              </w:rPr>
            </w:pPr>
            <w:r>
              <w:rPr>
                <w:rFonts w:ascii="宋体" w:hAnsi="宋体" w:cs="宋体"/>
                <w:color w:val="auto"/>
                <w:szCs w:val="21"/>
                <w:highlight w:val="none"/>
              </w:rPr>
              <w:t>12</w:t>
            </w:r>
          </w:p>
        </w:tc>
        <w:tc>
          <w:tcPr>
            <w:tcW w:w="1762" w:type="dxa"/>
            <w:tcBorders>
              <w:top w:val="single" w:color="auto" w:sz="4" w:space="0"/>
              <w:left w:val="single" w:color="auto" w:sz="4" w:space="0"/>
              <w:bottom w:val="single" w:color="auto" w:sz="4" w:space="0"/>
              <w:right w:val="single" w:color="auto" w:sz="4" w:space="0"/>
            </w:tcBorders>
            <w:vAlign w:val="center"/>
          </w:tcPr>
          <w:p w14:paraId="3237410E">
            <w:pPr>
              <w:keepNext w:val="0"/>
              <w:keepLines w:val="0"/>
              <w:pageBreakBefore w:val="0"/>
              <w:widowControl w:val="0"/>
              <w:kinsoku/>
              <w:wordWrap/>
              <w:overflowPunct w:val="0"/>
              <w:topLinePunct w:val="0"/>
              <w:autoSpaceDE/>
              <w:autoSpaceDN/>
              <w:bidi w:val="0"/>
              <w:adjustRightInd/>
              <w:spacing w:line="380" w:lineRule="exact"/>
              <w:textAlignment w:val="auto"/>
              <w:rPr>
                <w:rFonts w:ascii="宋体" w:cs="宋体"/>
                <w:color w:val="auto"/>
                <w:highlight w:val="none"/>
              </w:rPr>
            </w:pPr>
            <w:r>
              <w:rPr>
                <w:rFonts w:hint="eastAsia" w:ascii="宋体" w:hAnsi="宋体" w:cs="宋体"/>
                <w:color w:val="auto"/>
                <w:highlight w:val="none"/>
              </w:rPr>
              <w:t>电子加密响应文件的解密和异常情况处理</w:t>
            </w:r>
          </w:p>
        </w:tc>
        <w:tc>
          <w:tcPr>
            <w:tcW w:w="6453" w:type="dxa"/>
            <w:tcBorders>
              <w:top w:val="single" w:color="auto" w:sz="4" w:space="0"/>
              <w:left w:val="single" w:color="auto" w:sz="4" w:space="0"/>
              <w:bottom w:val="single" w:color="auto" w:sz="4" w:space="0"/>
            </w:tcBorders>
            <w:vAlign w:val="center"/>
          </w:tcPr>
          <w:p w14:paraId="18F5C412">
            <w:pPr>
              <w:keepNext w:val="0"/>
              <w:keepLines w:val="0"/>
              <w:pageBreakBefore w:val="0"/>
              <w:widowControl w:val="0"/>
              <w:kinsoku/>
              <w:wordWrap/>
              <w:overflowPunct w:val="0"/>
              <w:topLinePunct w:val="0"/>
              <w:autoSpaceDE/>
              <w:autoSpaceDN/>
              <w:bidi w:val="0"/>
              <w:adjustRightInd/>
              <w:spacing w:line="380" w:lineRule="exact"/>
              <w:textAlignment w:val="auto"/>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）开标后，采购组织机构将向各供应商发出“电子加密响应文件”的解密通知，各供应商代表应当在接到解密通知后</w:t>
            </w:r>
            <w:r>
              <w:rPr>
                <w:rFonts w:ascii="宋体" w:hAnsi="宋体" w:cs="宋体"/>
                <w:color w:val="auto"/>
                <w:highlight w:val="none"/>
              </w:rPr>
              <w:t>30</w:t>
            </w:r>
            <w:r>
              <w:rPr>
                <w:rFonts w:hint="eastAsia" w:ascii="宋体" w:hAnsi="宋体" w:cs="宋体"/>
                <w:color w:val="auto"/>
                <w:highlight w:val="none"/>
              </w:rPr>
              <w:t>分钟内自行完成“电子加密响应文件”的在线解密。</w:t>
            </w:r>
          </w:p>
          <w:p w14:paraId="4B9BF691">
            <w:pPr>
              <w:keepNext w:val="0"/>
              <w:keepLines w:val="0"/>
              <w:pageBreakBefore w:val="0"/>
              <w:widowControl w:val="0"/>
              <w:kinsoku/>
              <w:wordWrap/>
              <w:overflowPunct w:val="0"/>
              <w:topLinePunct w:val="0"/>
              <w:autoSpaceDE/>
              <w:autoSpaceDN/>
              <w:bidi w:val="0"/>
              <w:adjustRightInd/>
              <w:spacing w:line="380" w:lineRule="exact"/>
              <w:textAlignment w:val="auto"/>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通过“政府采购云平台”成功上传递交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14:paraId="3502DB1B">
            <w:pPr>
              <w:pStyle w:val="12"/>
              <w:keepNext w:val="0"/>
              <w:keepLines w:val="0"/>
              <w:pageBreakBefore w:val="0"/>
              <w:widowControl w:val="0"/>
              <w:kinsoku/>
              <w:wordWrap/>
              <w:topLinePunct w:val="0"/>
              <w:autoSpaceDE/>
              <w:autoSpaceDN/>
              <w:bidi w:val="0"/>
              <w:adjustRightInd/>
              <w:spacing w:before="0" w:beforeAutospacing="0" w:after="0" w:afterAutospacing="0" w:line="380" w:lineRule="exact"/>
              <w:textAlignment w:val="auto"/>
              <w:rPr>
                <w:color w:val="auto"/>
                <w:kern w:val="2"/>
                <w:sz w:val="21"/>
                <w:highlight w:val="none"/>
              </w:rPr>
            </w:pPr>
            <w:r>
              <w:rPr>
                <w:rFonts w:hint="eastAsia"/>
                <w:color w:val="auto"/>
                <w:kern w:val="2"/>
                <w:sz w:val="21"/>
                <w:highlight w:val="none"/>
              </w:rPr>
              <w:t>（</w:t>
            </w:r>
            <w:r>
              <w:rPr>
                <w:color w:val="auto"/>
                <w:kern w:val="2"/>
                <w:sz w:val="21"/>
                <w:highlight w:val="none"/>
              </w:rPr>
              <w:t>3</w:t>
            </w:r>
            <w:r>
              <w:rPr>
                <w:rFonts w:hint="eastAsia"/>
                <w:color w:val="auto"/>
                <w:kern w:val="2"/>
                <w:sz w:val="21"/>
                <w:highlight w:val="none"/>
              </w:rPr>
              <w:t>）若由于电子交易平台发生故障而无法登录访问等解密异常情况无法在线解密全部供应商的“电子加密响应文件”及“备份响应文件”时，经采购人、采购代理机构、监管人员认定后以纸质响应文件为准进行线下投标。</w:t>
            </w:r>
          </w:p>
          <w:p w14:paraId="56139B32">
            <w:pPr>
              <w:keepNext w:val="0"/>
              <w:keepLines w:val="0"/>
              <w:pageBreakBefore w:val="0"/>
              <w:widowControl w:val="0"/>
              <w:kinsoku/>
              <w:wordWrap/>
              <w:overflowPunct w:val="0"/>
              <w:topLinePunct w:val="0"/>
              <w:autoSpaceDE/>
              <w:autoSpaceDN/>
              <w:bidi w:val="0"/>
              <w:adjustRightInd/>
              <w:spacing w:line="380" w:lineRule="exact"/>
              <w:textAlignment w:val="auto"/>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）投标截止时间前，供应商仅递交了“备份响应文件”、“纸质响应文件”而未将电子加密响应文件上传至“政府采购云平台”的，投标无效。</w:t>
            </w:r>
          </w:p>
        </w:tc>
      </w:tr>
      <w:tr w14:paraId="288E0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4B9A18D5">
            <w:pPr>
              <w:keepNext w:val="0"/>
              <w:keepLines w:val="0"/>
              <w:pageBreakBefore w:val="0"/>
              <w:widowControl w:val="0"/>
              <w:kinsoku/>
              <w:wordWrap/>
              <w:overflowPunct w:val="0"/>
              <w:topLinePunct w:val="0"/>
              <w:autoSpaceDE/>
              <w:autoSpaceDN/>
              <w:bidi w:val="0"/>
              <w:adjustRightInd/>
              <w:spacing w:line="380" w:lineRule="exact"/>
              <w:jc w:val="center"/>
              <w:textAlignment w:val="auto"/>
              <w:rPr>
                <w:rFonts w:ascii="宋体" w:cs="宋体"/>
                <w:color w:val="auto"/>
                <w:szCs w:val="21"/>
                <w:highlight w:val="none"/>
              </w:rPr>
            </w:pPr>
            <w:r>
              <w:rPr>
                <w:rFonts w:ascii="宋体" w:hAnsi="宋体" w:cs="宋体"/>
                <w:color w:val="auto"/>
                <w:szCs w:val="21"/>
                <w:highlight w:val="none"/>
              </w:rPr>
              <w:t>13</w:t>
            </w:r>
          </w:p>
        </w:tc>
        <w:tc>
          <w:tcPr>
            <w:tcW w:w="1762" w:type="dxa"/>
            <w:tcBorders>
              <w:top w:val="single" w:color="auto" w:sz="4" w:space="0"/>
              <w:left w:val="single" w:color="auto" w:sz="4" w:space="0"/>
              <w:bottom w:val="single" w:color="auto" w:sz="4" w:space="0"/>
              <w:right w:val="single" w:color="auto" w:sz="4" w:space="0"/>
            </w:tcBorders>
            <w:vAlign w:val="center"/>
          </w:tcPr>
          <w:p w14:paraId="4F0CCD97">
            <w:pPr>
              <w:keepNext w:val="0"/>
              <w:keepLines w:val="0"/>
              <w:pageBreakBefore w:val="0"/>
              <w:widowControl w:val="0"/>
              <w:kinsoku/>
              <w:wordWrap/>
              <w:overflowPunct w:val="0"/>
              <w:topLinePunct w:val="0"/>
              <w:autoSpaceDE/>
              <w:autoSpaceDN/>
              <w:bidi w:val="0"/>
              <w:adjustRightInd/>
              <w:spacing w:line="380" w:lineRule="exact"/>
              <w:jc w:val="center"/>
              <w:textAlignment w:val="auto"/>
              <w:rPr>
                <w:rFonts w:ascii="宋体" w:cs="宋体"/>
                <w:color w:val="auto"/>
                <w:szCs w:val="21"/>
                <w:highlight w:val="none"/>
              </w:rPr>
            </w:pPr>
            <w:r>
              <w:rPr>
                <w:rFonts w:hint="eastAsia" w:ascii="宋体" w:hAnsi="宋体" w:cs="宋体"/>
                <w:color w:val="auto"/>
                <w:szCs w:val="21"/>
                <w:highlight w:val="none"/>
              </w:rPr>
              <w:t>磋商响应文件提交截止时间</w:t>
            </w:r>
          </w:p>
        </w:tc>
        <w:tc>
          <w:tcPr>
            <w:tcW w:w="6453" w:type="dxa"/>
            <w:tcBorders>
              <w:top w:val="single" w:color="auto" w:sz="4" w:space="0"/>
              <w:left w:val="single" w:color="auto" w:sz="4" w:space="0"/>
              <w:bottom w:val="single" w:color="auto" w:sz="4" w:space="0"/>
            </w:tcBorders>
            <w:vAlign w:val="center"/>
          </w:tcPr>
          <w:p w14:paraId="035D1699">
            <w:pPr>
              <w:keepNext w:val="0"/>
              <w:keepLines w:val="0"/>
              <w:pageBreakBefore w:val="0"/>
              <w:widowControl w:val="0"/>
              <w:kinsoku/>
              <w:wordWrap/>
              <w:overflowPunct w:val="0"/>
              <w:topLinePunct w:val="0"/>
              <w:autoSpaceDE/>
              <w:autoSpaceDN/>
              <w:bidi w:val="0"/>
              <w:adjustRightInd/>
              <w:snapToGrid w:val="0"/>
              <w:spacing w:line="380" w:lineRule="exact"/>
              <w:textAlignment w:val="auto"/>
              <w:rPr>
                <w:rFonts w:ascii="宋体" w:cs="宋体"/>
                <w:color w:val="auto"/>
                <w:kern w:val="0"/>
                <w:szCs w:val="21"/>
                <w:highlight w:val="none"/>
              </w:rPr>
            </w:pPr>
            <w:r>
              <w:rPr>
                <w:rFonts w:hint="eastAsia" w:ascii="宋体" w:hAnsi="宋体" w:cs="宋体"/>
                <w:color w:val="auto"/>
                <w:kern w:val="0"/>
                <w:szCs w:val="21"/>
                <w:highlight w:val="none"/>
              </w:rPr>
              <w:t>202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日</w:t>
            </w:r>
            <w:r>
              <w:rPr>
                <w:rFonts w:hint="eastAsia" w:ascii="宋体" w:hAnsi="宋体" w:cs="宋体"/>
                <w:color w:val="auto"/>
                <w:kern w:val="0"/>
                <w:szCs w:val="21"/>
                <w:highlight w:val="none"/>
                <w:lang w:val="en-US" w:eastAsia="zh-CN"/>
              </w:rPr>
              <w:t xml:space="preserve"> 09</w:t>
            </w:r>
            <w:r>
              <w:rPr>
                <w:rFonts w:ascii="宋体" w:hAnsi="宋体" w:cs="宋体"/>
                <w:color w:val="auto"/>
                <w:kern w:val="0"/>
                <w:szCs w:val="21"/>
                <w:highlight w:val="none"/>
              </w:rPr>
              <w:t>:00</w:t>
            </w:r>
          </w:p>
        </w:tc>
      </w:tr>
      <w:tr w14:paraId="611E6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06FC7F74">
            <w:pPr>
              <w:keepNext w:val="0"/>
              <w:keepLines w:val="0"/>
              <w:pageBreakBefore w:val="0"/>
              <w:widowControl w:val="0"/>
              <w:kinsoku/>
              <w:wordWrap/>
              <w:overflowPunct w:val="0"/>
              <w:topLinePunct w:val="0"/>
              <w:autoSpaceDE/>
              <w:autoSpaceDN/>
              <w:bidi w:val="0"/>
              <w:adjustRightInd/>
              <w:spacing w:line="380" w:lineRule="exact"/>
              <w:jc w:val="center"/>
              <w:textAlignment w:val="auto"/>
              <w:rPr>
                <w:rFonts w:ascii="宋体" w:cs="宋体"/>
                <w:color w:val="auto"/>
                <w:szCs w:val="21"/>
                <w:highlight w:val="none"/>
              </w:rPr>
            </w:pPr>
            <w:r>
              <w:rPr>
                <w:rFonts w:ascii="宋体" w:hAnsi="宋体" w:cs="宋体"/>
                <w:color w:val="auto"/>
                <w:szCs w:val="21"/>
                <w:highlight w:val="none"/>
              </w:rPr>
              <w:t>14</w:t>
            </w:r>
          </w:p>
        </w:tc>
        <w:tc>
          <w:tcPr>
            <w:tcW w:w="1762" w:type="dxa"/>
            <w:tcBorders>
              <w:top w:val="single" w:color="auto" w:sz="4" w:space="0"/>
              <w:left w:val="single" w:color="auto" w:sz="4" w:space="0"/>
              <w:bottom w:val="single" w:color="auto" w:sz="4" w:space="0"/>
              <w:right w:val="single" w:color="auto" w:sz="4" w:space="0"/>
            </w:tcBorders>
            <w:vAlign w:val="center"/>
          </w:tcPr>
          <w:p w14:paraId="22F378CB">
            <w:pPr>
              <w:keepNext w:val="0"/>
              <w:keepLines w:val="0"/>
              <w:pageBreakBefore w:val="0"/>
              <w:widowControl w:val="0"/>
              <w:kinsoku/>
              <w:wordWrap/>
              <w:overflowPunct w:val="0"/>
              <w:topLinePunct w:val="0"/>
              <w:autoSpaceDE/>
              <w:autoSpaceDN/>
              <w:bidi w:val="0"/>
              <w:adjustRightInd/>
              <w:spacing w:line="380" w:lineRule="exact"/>
              <w:jc w:val="center"/>
              <w:textAlignment w:val="auto"/>
              <w:rPr>
                <w:rFonts w:ascii="宋体" w:cs="宋体"/>
                <w:color w:val="auto"/>
                <w:kern w:val="0"/>
                <w:szCs w:val="21"/>
                <w:highlight w:val="none"/>
              </w:rPr>
            </w:pPr>
            <w:r>
              <w:rPr>
                <w:rFonts w:hint="eastAsia" w:ascii="宋体" w:hAnsi="宋体" w:cs="宋体"/>
                <w:color w:val="auto"/>
                <w:kern w:val="0"/>
                <w:szCs w:val="21"/>
                <w:highlight w:val="none"/>
              </w:rPr>
              <w:t>磋商</w:t>
            </w:r>
            <w:r>
              <w:rPr>
                <w:rFonts w:hint="eastAsia" w:ascii="宋体" w:hAnsi="宋体" w:cs="宋体"/>
                <w:color w:val="auto"/>
                <w:szCs w:val="21"/>
                <w:highlight w:val="none"/>
              </w:rPr>
              <w:t>响应</w:t>
            </w:r>
            <w:r>
              <w:rPr>
                <w:rFonts w:hint="eastAsia" w:ascii="宋体" w:hAnsi="宋体" w:cs="宋体"/>
                <w:color w:val="auto"/>
                <w:kern w:val="0"/>
                <w:szCs w:val="21"/>
                <w:highlight w:val="none"/>
              </w:rPr>
              <w:t>文件提交地点</w:t>
            </w:r>
          </w:p>
        </w:tc>
        <w:tc>
          <w:tcPr>
            <w:tcW w:w="6453" w:type="dxa"/>
            <w:tcBorders>
              <w:top w:val="single" w:color="auto" w:sz="4" w:space="0"/>
              <w:left w:val="single" w:color="auto" w:sz="4" w:space="0"/>
              <w:bottom w:val="single" w:color="auto" w:sz="4" w:space="0"/>
            </w:tcBorders>
            <w:vAlign w:val="center"/>
          </w:tcPr>
          <w:p w14:paraId="51A2AB74">
            <w:pPr>
              <w:keepNext w:val="0"/>
              <w:keepLines w:val="0"/>
              <w:pageBreakBefore w:val="0"/>
              <w:widowControl w:val="0"/>
              <w:kinsoku/>
              <w:wordWrap/>
              <w:overflowPunct w:val="0"/>
              <w:topLinePunct w:val="0"/>
              <w:autoSpaceDE/>
              <w:autoSpaceDN/>
              <w:bidi w:val="0"/>
              <w:adjustRightInd/>
              <w:spacing w:line="380" w:lineRule="exact"/>
              <w:jc w:val="left"/>
              <w:textAlignment w:val="auto"/>
              <w:rPr>
                <w:rFonts w:ascii="宋体" w:cs="宋体"/>
                <w:color w:val="auto"/>
                <w:kern w:val="0"/>
                <w:szCs w:val="21"/>
                <w:highlight w:val="none"/>
              </w:rPr>
            </w:pPr>
            <w:r>
              <w:rPr>
                <w:rFonts w:hint="eastAsia" w:ascii="宋体" w:hAnsi="宋体" w:cs="宋体"/>
                <w:bCs/>
                <w:color w:val="auto"/>
                <w:kern w:val="0"/>
                <w:szCs w:val="21"/>
                <w:highlight w:val="none"/>
              </w:rPr>
              <w:t>“政府采购云平台（</w:t>
            </w:r>
            <w:r>
              <w:rPr>
                <w:rFonts w:ascii="宋体" w:hAnsi="宋体" w:cs="宋体"/>
                <w:bCs/>
                <w:color w:val="auto"/>
                <w:kern w:val="0"/>
                <w:szCs w:val="21"/>
                <w:highlight w:val="none"/>
              </w:rPr>
              <w:t>www.zcygov.cn</w:t>
            </w:r>
            <w:r>
              <w:rPr>
                <w:rFonts w:hint="eastAsia" w:ascii="宋体" w:hAnsi="宋体" w:cs="宋体"/>
                <w:bCs/>
                <w:color w:val="auto"/>
                <w:kern w:val="0"/>
                <w:szCs w:val="21"/>
                <w:highlight w:val="none"/>
              </w:rPr>
              <w:t>）”在线响应及评审</w:t>
            </w:r>
          </w:p>
        </w:tc>
      </w:tr>
      <w:tr w14:paraId="0C2BE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3FF0E0DA">
            <w:pPr>
              <w:keepNext w:val="0"/>
              <w:keepLines w:val="0"/>
              <w:pageBreakBefore w:val="0"/>
              <w:widowControl w:val="0"/>
              <w:kinsoku/>
              <w:wordWrap/>
              <w:overflowPunct w:val="0"/>
              <w:topLinePunct w:val="0"/>
              <w:autoSpaceDE/>
              <w:autoSpaceDN/>
              <w:bidi w:val="0"/>
              <w:adjustRightInd/>
              <w:spacing w:line="380" w:lineRule="exact"/>
              <w:jc w:val="center"/>
              <w:textAlignment w:val="auto"/>
              <w:rPr>
                <w:rFonts w:ascii="宋体" w:cs="宋体"/>
                <w:color w:val="auto"/>
                <w:szCs w:val="21"/>
                <w:highlight w:val="none"/>
              </w:rPr>
            </w:pPr>
            <w:r>
              <w:rPr>
                <w:rFonts w:ascii="宋体" w:hAnsi="宋体" w:cs="宋体"/>
                <w:color w:val="auto"/>
                <w:szCs w:val="21"/>
                <w:highlight w:val="none"/>
              </w:rPr>
              <w:t>15</w:t>
            </w:r>
          </w:p>
        </w:tc>
        <w:tc>
          <w:tcPr>
            <w:tcW w:w="1762" w:type="dxa"/>
            <w:tcBorders>
              <w:top w:val="single" w:color="auto" w:sz="4" w:space="0"/>
              <w:left w:val="single" w:color="auto" w:sz="4" w:space="0"/>
              <w:bottom w:val="single" w:color="auto" w:sz="4" w:space="0"/>
              <w:right w:val="single" w:color="auto" w:sz="4" w:space="0"/>
            </w:tcBorders>
            <w:vAlign w:val="center"/>
          </w:tcPr>
          <w:p w14:paraId="35458EDE">
            <w:pPr>
              <w:keepNext w:val="0"/>
              <w:keepLines w:val="0"/>
              <w:pageBreakBefore w:val="0"/>
              <w:widowControl w:val="0"/>
              <w:kinsoku/>
              <w:wordWrap/>
              <w:overflowPunct w:val="0"/>
              <w:topLinePunct w:val="0"/>
              <w:autoSpaceDE/>
              <w:autoSpaceDN/>
              <w:bidi w:val="0"/>
              <w:adjustRightInd/>
              <w:spacing w:line="380" w:lineRule="exact"/>
              <w:jc w:val="center"/>
              <w:textAlignment w:val="auto"/>
              <w:rPr>
                <w:rFonts w:ascii="宋体" w:cs="宋体"/>
                <w:color w:val="auto"/>
                <w:szCs w:val="21"/>
                <w:highlight w:val="none"/>
              </w:rPr>
            </w:pPr>
            <w:r>
              <w:rPr>
                <w:rFonts w:hint="eastAsia" w:ascii="宋体" w:hAnsi="宋体" w:cs="宋体"/>
                <w:color w:val="auto"/>
                <w:szCs w:val="21"/>
                <w:highlight w:val="none"/>
              </w:rPr>
              <w:t>磋商时间（磋商截止时间）</w:t>
            </w:r>
          </w:p>
        </w:tc>
        <w:tc>
          <w:tcPr>
            <w:tcW w:w="6453" w:type="dxa"/>
            <w:tcBorders>
              <w:top w:val="single" w:color="auto" w:sz="4" w:space="0"/>
              <w:left w:val="single" w:color="auto" w:sz="4" w:space="0"/>
              <w:bottom w:val="single" w:color="auto" w:sz="4" w:space="0"/>
            </w:tcBorders>
            <w:vAlign w:val="center"/>
          </w:tcPr>
          <w:p w14:paraId="333FC92E">
            <w:pPr>
              <w:keepNext w:val="0"/>
              <w:keepLines w:val="0"/>
              <w:pageBreakBefore w:val="0"/>
              <w:widowControl w:val="0"/>
              <w:kinsoku/>
              <w:wordWrap/>
              <w:overflowPunct w:val="0"/>
              <w:topLinePunct w:val="0"/>
              <w:autoSpaceDE/>
              <w:autoSpaceDN/>
              <w:bidi w:val="0"/>
              <w:adjustRightInd/>
              <w:snapToGrid w:val="0"/>
              <w:spacing w:line="380" w:lineRule="exact"/>
              <w:textAlignment w:val="auto"/>
              <w:rPr>
                <w:rFonts w:ascii="宋体" w:cs="宋体"/>
                <w:color w:val="auto"/>
                <w:kern w:val="0"/>
                <w:szCs w:val="21"/>
                <w:highlight w:val="none"/>
              </w:rPr>
            </w:pPr>
            <w:r>
              <w:rPr>
                <w:rFonts w:hint="eastAsia" w:ascii="宋体" w:hAnsi="宋体" w:cs="宋体"/>
                <w:color w:val="auto"/>
                <w:kern w:val="0"/>
                <w:szCs w:val="21"/>
                <w:highlight w:val="none"/>
              </w:rPr>
              <w:t>202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 xml:space="preserve">日 </w:t>
            </w:r>
            <w:r>
              <w:rPr>
                <w:rFonts w:hint="eastAsia" w:ascii="宋体" w:hAnsi="宋体" w:cs="宋体"/>
                <w:color w:val="auto"/>
                <w:kern w:val="0"/>
                <w:szCs w:val="21"/>
                <w:highlight w:val="none"/>
                <w:lang w:val="en-US" w:eastAsia="zh-CN"/>
              </w:rPr>
              <w:t>09</w:t>
            </w:r>
            <w:r>
              <w:rPr>
                <w:rFonts w:ascii="宋体" w:hAnsi="宋体" w:cs="宋体"/>
                <w:color w:val="auto"/>
                <w:kern w:val="0"/>
                <w:szCs w:val="21"/>
                <w:highlight w:val="none"/>
              </w:rPr>
              <w:t>:00</w:t>
            </w:r>
          </w:p>
        </w:tc>
      </w:tr>
      <w:tr w14:paraId="0B4ED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5AE7B9F8">
            <w:pPr>
              <w:keepNext w:val="0"/>
              <w:keepLines w:val="0"/>
              <w:pageBreakBefore w:val="0"/>
              <w:widowControl w:val="0"/>
              <w:kinsoku/>
              <w:wordWrap/>
              <w:overflowPunct w:val="0"/>
              <w:topLinePunct w:val="0"/>
              <w:autoSpaceDE/>
              <w:autoSpaceDN/>
              <w:bidi w:val="0"/>
              <w:adjustRightInd/>
              <w:spacing w:line="380" w:lineRule="exact"/>
              <w:jc w:val="center"/>
              <w:textAlignment w:val="auto"/>
              <w:rPr>
                <w:rFonts w:ascii="宋体" w:cs="宋体"/>
                <w:color w:val="auto"/>
                <w:szCs w:val="21"/>
                <w:highlight w:val="none"/>
              </w:rPr>
            </w:pPr>
            <w:r>
              <w:rPr>
                <w:rFonts w:ascii="宋体" w:hAnsi="宋体" w:cs="宋体"/>
                <w:color w:val="auto"/>
                <w:szCs w:val="21"/>
                <w:highlight w:val="none"/>
              </w:rPr>
              <w:t>16</w:t>
            </w:r>
          </w:p>
        </w:tc>
        <w:tc>
          <w:tcPr>
            <w:tcW w:w="1762" w:type="dxa"/>
            <w:tcBorders>
              <w:top w:val="single" w:color="auto" w:sz="4" w:space="0"/>
              <w:left w:val="single" w:color="auto" w:sz="4" w:space="0"/>
              <w:bottom w:val="single" w:color="auto" w:sz="4" w:space="0"/>
              <w:right w:val="single" w:color="auto" w:sz="4" w:space="0"/>
            </w:tcBorders>
            <w:vAlign w:val="center"/>
          </w:tcPr>
          <w:p w14:paraId="21105060">
            <w:pPr>
              <w:keepNext w:val="0"/>
              <w:keepLines w:val="0"/>
              <w:pageBreakBefore w:val="0"/>
              <w:widowControl w:val="0"/>
              <w:kinsoku/>
              <w:wordWrap/>
              <w:overflowPunct w:val="0"/>
              <w:topLinePunct w:val="0"/>
              <w:autoSpaceDE/>
              <w:autoSpaceDN/>
              <w:bidi w:val="0"/>
              <w:adjustRightInd/>
              <w:spacing w:line="380" w:lineRule="exact"/>
              <w:jc w:val="center"/>
              <w:textAlignment w:val="auto"/>
              <w:rPr>
                <w:rFonts w:ascii="宋体" w:cs="宋体"/>
                <w:color w:val="auto"/>
                <w:kern w:val="0"/>
                <w:szCs w:val="21"/>
                <w:highlight w:val="none"/>
              </w:rPr>
            </w:pPr>
            <w:r>
              <w:rPr>
                <w:rFonts w:hint="eastAsia" w:ascii="宋体" w:hAnsi="宋体" w:cs="宋体"/>
                <w:color w:val="auto"/>
                <w:kern w:val="0"/>
                <w:szCs w:val="21"/>
                <w:highlight w:val="none"/>
              </w:rPr>
              <w:t>磋商地点</w:t>
            </w:r>
          </w:p>
        </w:tc>
        <w:tc>
          <w:tcPr>
            <w:tcW w:w="6453" w:type="dxa"/>
            <w:tcBorders>
              <w:top w:val="single" w:color="auto" w:sz="4" w:space="0"/>
              <w:left w:val="single" w:color="auto" w:sz="4" w:space="0"/>
              <w:bottom w:val="single" w:color="auto" w:sz="4" w:space="0"/>
            </w:tcBorders>
            <w:vAlign w:val="center"/>
          </w:tcPr>
          <w:p w14:paraId="79561924">
            <w:pPr>
              <w:keepNext w:val="0"/>
              <w:keepLines w:val="0"/>
              <w:pageBreakBefore w:val="0"/>
              <w:widowControl w:val="0"/>
              <w:kinsoku/>
              <w:wordWrap/>
              <w:overflowPunct w:val="0"/>
              <w:topLinePunct w:val="0"/>
              <w:autoSpaceDE/>
              <w:autoSpaceDN/>
              <w:bidi w:val="0"/>
              <w:adjustRightInd/>
              <w:spacing w:line="380" w:lineRule="exact"/>
              <w:textAlignment w:val="auto"/>
              <w:rPr>
                <w:rFonts w:ascii="宋体" w:cs="宋体"/>
                <w:color w:val="auto"/>
                <w:kern w:val="0"/>
                <w:szCs w:val="21"/>
                <w:highlight w:val="none"/>
              </w:rPr>
            </w:pPr>
            <w:r>
              <w:rPr>
                <w:rFonts w:hint="eastAsia" w:ascii="宋体" w:hAnsi="宋体" w:cs="宋体"/>
                <w:color w:val="auto"/>
                <w:kern w:val="0"/>
                <w:szCs w:val="21"/>
                <w:highlight w:val="none"/>
              </w:rPr>
              <w:t>“政府采购云平台（</w:t>
            </w:r>
            <w:r>
              <w:rPr>
                <w:rFonts w:ascii="宋体" w:hAnsi="宋体" w:cs="宋体"/>
                <w:color w:val="auto"/>
                <w:kern w:val="0"/>
                <w:szCs w:val="21"/>
                <w:highlight w:val="none"/>
              </w:rPr>
              <w:t>www.zcygov.cn</w:t>
            </w:r>
            <w:r>
              <w:rPr>
                <w:rFonts w:hint="eastAsia" w:ascii="宋体" w:hAnsi="宋体" w:cs="宋体"/>
                <w:color w:val="auto"/>
                <w:kern w:val="0"/>
                <w:szCs w:val="21"/>
                <w:highlight w:val="none"/>
              </w:rPr>
              <w:t>）”在线响应及评审</w:t>
            </w:r>
          </w:p>
        </w:tc>
      </w:tr>
      <w:tr w14:paraId="7B0CF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7F0EC04E">
            <w:pPr>
              <w:keepNext w:val="0"/>
              <w:keepLines w:val="0"/>
              <w:pageBreakBefore w:val="0"/>
              <w:widowControl w:val="0"/>
              <w:kinsoku/>
              <w:wordWrap/>
              <w:overflowPunct w:val="0"/>
              <w:topLinePunct w:val="0"/>
              <w:autoSpaceDE/>
              <w:autoSpaceDN/>
              <w:bidi w:val="0"/>
              <w:adjustRightInd/>
              <w:spacing w:line="380" w:lineRule="exact"/>
              <w:jc w:val="center"/>
              <w:textAlignment w:val="auto"/>
              <w:rPr>
                <w:rFonts w:ascii="宋体" w:cs="宋体"/>
                <w:color w:val="auto"/>
                <w:szCs w:val="21"/>
                <w:highlight w:val="none"/>
              </w:rPr>
            </w:pPr>
            <w:r>
              <w:rPr>
                <w:rFonts w:ascii="宋体" w:hAnsi="宋体" w:cs="宋体"/>
                <w:color w:val="auto"/>
                <w:szCs w:val="21"/>
                <w:highlight w:val="none"/>
              </w:rPr>
              <w:t>17</w:t>
            </w:r>
          </w:p>
        </w:tc>
        <w:tc>
          <w:tcPr>
            <w:tcW w:w="1762" w:type="dxa"/>
            <w:tcBorders>
              <w:top w:val="single" w:color="auto" w:sz="4" w:space="0"/>
              <w:left w:val="single" w:color="auto" w:sz="4" w:space="0"/>
              <w:bottom w:val="single" w:color="auto" w:sz="4" w:space="0"/>
              <w:right w:val="single" w:color="auto" w:sz="4" w:space="0"/>
            </w:tcBorders>
            <w:vAlign w:val="center"/>
          </w:tcPr>
          <w:p w14:paraId="1F3DEAC6">
            <w:pPr>
              <w:keepNext w:val="0"/>
              <w:keepLines w:val="0"/>
              <w:pageBreakBefore w:val="0"/>
              <w:widowControl w:val="0"/>
              <w:kinsoku/>
              <w:wordWrap/>
              <w:overflowPunct w:val="0"/>
              <w:topLinePunct w:val="0"/>
              <w:autoSpaceDE/>
              <w:autoSpaceDN/>
              <w:bidi w:val="0"/>
              <w:adjustRightInd/>
              <w:spacing w:line="380" w:lineRule="exact"/>
              <w:jc w:val="center"/>
              <w:textAlignment w:val="auto"/>
              <w:rPr>
                <w:rFonts w:ascii="宋体" w:cs="宋体"/>
                <w:color w:val="auto"/>
                <w:kern w:val="0"/>
                <w:szCs w:val="21"/>
                <w:highlight w:val="none"/>
              </w:rPr>
            </w:pPr>
            <w:r>
              <w:rPr>
                <w:rFonts w:hint="eastAsia" w:ascii="宋体" w:hAnsi="宋体" w:cs="宋体"/>
                <w:color w:val="auto"/>
                <w:kern w:val="0"/>
                <w:szCs w:val="21"/>
                <w:highlight w:val="none"/>
              </w:rPr>
              <w:t>磋商响应文件有效期</w:t>
            </w:r>
          </w:p>
        </w:tc>
        <w:tc>
          <w:tcPr>
            <w:tcW w:w="6453" w:type="dxa"/>
            <w:tcBorders>
              <w:top w:val="single" w:color="auto" w:sz="4" w:space="0"/>
              <w:left w:val="single" w:color="auto" w:sz="4" w:space="0"/>
              <w:bottom w:val="single" w:color="auto" w:sz="4" w:space="0"/>
            </w:tcBorders>
            <w:vAlign w:val="center"/>
          </w:tcPr>
          <w:p w14:paraId="0E05BD71">
            <w:pPr>
              <w:keepNext w:val="0"/>
              <w:keepLines w:val="0"/>
              <w:pageBreakBefore w:val="0"/>
              <w:widowControl w:val="0"/>
              <w:kinsoku/>
              <w:wordWrap/>
              <w:overflowPunct w:val="0"/>
              <w:topLinePunct w:val="0"/>
              <w:autoSpaceDE/>
              <w:autoSpaceDN/>
              <w:bidi w:val="0"/>
              <w:adjustRightInd/>
              <w:spacing w:line="380" w:lineRule="exact"/>
              <w:textAlignment w:val="auto"/>
              <w:rPr>
                <w:rFonts w:ascii="宋体" w:cs="宋体"/>
                <w:color w:val="auto"/>
                <w:szCs w:val="21"/>
                <w:highlight w:val="none"/>
              </w:rPr>
            </w:pPr>
            <w:r>
              <w:rPr>
                <w:rFonts w:ascii="宋体" w:hAnsi="宋体" w:cs="宋体"/>
                <w:color w:val="auto"/>
                <w:szCs w:val="21"/>
                <w:highlight w:val="none"/>
              </w:rPr>
              <w:t>90</w:t>
            </w:r>
            <w:r>
              <w:rPr>
                <w:rFonts w:hint="eastAsia" w:ascii="宋体" w:hAnsi="宋体" w:cs="宋体"/>
                <w:color w:val="auto"/>
                <w:szCs w:val="21"/>
                <w:highlight w:val="none"/>
              </w:rPr>
              <w:t>天（日历天）</w:t>
            </w:r>
          </w:p>
        </w:tc>
      </w:tr>
      <w:tr w14:paraId="2C64E8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585C0495">
            <w:pPr>
              <w:keepNext w:val="0"/>
              <w:keepLines w:val="0"/>
              <w:pageBreakBefore w:val="0"/>
              <w:widowControl w:val="0"/>
              <w:kinsoku/>
              <w:wordWrap/>
              <w:overflowPunct w:val="0"/>
              <w:topLinePunct w:val="0"/>
              <w:autoSpaceDE/>
              <w:autoSpaceDN/>
              <w:bidi w:val="0"/>
              <w:adjustRightInd/>
              <w:spacing w:line="380" w:lineRule="exact"/>
              <w:jc w:val="center"/>
              <w:textAlignment w:val="auto"/>
              <w:rPr>
                <w:rFonts w:ascii="宋体" w:cs="宋体"/>
                <w:color w:val="auto"/>
                <w:szCs w:val="21"/>
                <w:highlight w:val="none"/>
              </w:rPr>
            </w:pPr>
            <w:r>
              <w:rPr>
                <w:rFonts w:ascii="宋体" w:hAnsi="宋体" w:cs="宋体"/>
                <w:color w:val="auto"/>
                <w:szCs w:val="21"/>
                <w:highlight w:val="none"/>
              </w:rPr>
              <w:t>18</w:t>
            </w:r>
          </w:p>
        </w:tc>
        <w:tc>
          <w:tcPr>
            <w:tcW w:w="1762" w:type="dxa"/>
            <w:tcBorders>
              <w:top w:val="single" w:color="auto" w:sz="4" w:space="0"/>
              <w:left w:val="single" w:color="auto" w:sz="4" w:space="0"/>
              <w:bottom w:val="single" w:color="auto" w:sz="4" w:space="0"/>
              <w:right w:val="single" w:color="auto" w:sz="4" w:space="0"/>
            </w:tcBorders>
            <w:vAlign w:val="center"/>
          </w:tcPr>
          <w:p w14:paraId="049D198D">
            <w:pPr>
              <w:keepNext w:val="0"/>
              <w:keepLines w:val="0"/>
              <w:pageBreakBefore w:val="0"/>
              <w:widowControl w:val="0"/>
              <w:kinsoku/>
              <w:wordWrap/>
              <w:overflowPunct w:val="0"/>
              <w:topLinePunct w:val="0"/>
              <w:autoSpaceDE/>
              <w:autoSpaceDN/>
              <w:bidi w:val="0"/>
              <w:adjustRightInd/>
              <w:spacing w:line="380" w:lineRule="exact"/>
              <w:jc w:val="center"/>
              <w:textAlignment w:val="auto"/>
              <w:rPr>
                <w:rFonts w:ascii="宋体" w:cs="宋体"/>
                <w:color w:val="auto"/>
                <w:szCs w:val="21"/>
                <w:highlight w:val="none"/>
              </w:rPr>
            </w:pPr>
            <w:r>
              <w:rPr>
                <w:rFonts w:hint="eastAsia" w:ascii="宋体" w:hAnsi="宋体" w:cs="宋体"/>
                <w:color w:val="auto"/>
                <w:szCs w:val="21"/>
                <w:highlight w:val="none"/>
              </w:rPr>
              <w:t>签订合同</w:t>
            </w:r>
          </w:p>
        </w:tc>
        <w:tc>
          <w:tcPr>
            <w:tcW w:w="6453" w:type="dxa"/>
            <w:tcBorders>
              <w:top w:val="single" w:color="auto" w:sz="4" w:space="0"/>
              <w:left w:val="single" w:color="auto" w:sz="4" w:space="0"/>
              <w:bottom w:val="single" w:color="auto" w:sz="4" w:space="0"/>
            </w:tcBorders>
            <w:vAlign w:val="center"/>
          </w:tcPr>
          <w:p w14:paraId="029D0A2F">
            <w:pPr>
              <w:keepNext w:val="0"/>
              <w:keepLines w:val="0"/>
              <w:pageBreakBefore w:val="0"/>
              <w:widowControl w:val="0"/>
              <w:kinsoku/>
              <w:wordWrap/>
              <w:overflowPunct w:val="0"/>
              <w:topLinePunct w:val="0"/>
              <w:autoSpaceDE/>
              <w:autoSpaceDN/>
              <w:bidi w:val="0"/>
              <w:adjustRightInd/>
              <w:spacing w:line="380" w:lineRule="exact"/>
              <w:textAlignment w:val="auto"/>
              <w:rPr>
                <w:rFonts w:ascii="宋体" w:cs="宋体"/>
                <w:color w:val="auto"/>
                <w:szCs w:val="21"/>
                <w:highlight w:val="none"/>
              </w:rPr>
            </w:pPr>
            <w:r>
              <w:rPr>
                <w:rFonts w:hint="eastAsia" w:ascii="宋体" w:hAnsi="宋体" w:cs="宋体"/>
                <w:color w:val="auto"/>
                <w:szCs w:val="21"/>
                <w:highlight w:val="none"/>
              </w:rPr>
              <w:t>成交通知书发出后</w:t>
            </w:r>
            <w:r>
              <w:rPr>
                <w:rFonts w:ascii="宋体" w:hAnsi="宋体" w:cs="宋体"/>
                <w:color w:val="auto"/>
                <w:szCs w:val="21"/>
                <w:highlight w:val="none"/>
              </w:rPr>
              <w:t>30</w:t>
            </w:r>
            <w:r>
              <w:rPr>
                <w:rFonts w:hint="eastAsia" w:ascii="宋体" w:hAnsi="宋体" w:cs="宋体"/>
                <w:color w:val="auto"/>
                <w:szCs w:val="21"/>
                <w:highlight w:val="none"/>
              </w:rPr>
              <w:t>天内</w:t>
            </w:r>
          </w:p>
        </w:tc>
      </w:tr>
      <w:tr w14:paraId="00E8FB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299BEDB4">
            <w:pPr>
              <w:keepNext w:val="0"/>
              <w:keepLines w:val="0"/>
              <w:pageBreakBefore w:val="0"/>
              <w:widowControl w:val="0"/>
              <w:kinsoku/>
              <w:wordWrap/>
              <w:overflowPunct w:val="0"/>
              <w:topLinePunct w:val="0"/>
              <w:autoSpaceDE/>
              <w:autoSpaceDN/>
              <w:bidi w:val="0"/>
              <w:adjustRightInd/>
              <w:spacing w:line="380" w:lineRule="exact"/>
              <w:jc w:val="center"/>
              <w:textAlignment w:val="auto"/>
              <w:rPr>
                <w:rFonts w:ascii="宋体" w:cs="宋体"/>
                <w:color w:val="auto"/>
                <w:szCs w:val="21"/>
                <w:highlight w:val="none"/>
              </w:rPr>
            </w:pPr>
            <w:r>
              <w:rPr>
                <w:rFonts w:ascii="宋体" w:hAnsi="宋体" w:cs="宋体"/>
                <w:color w:val="auto"/>
                <w:szCs w:val="21"/>
                <w:highlight w:val="none"/>
              </w:rPr>
              <w:t>19</w:t>
            </w:r>
          </w:p>
        </w:tc>
        <w:tc>
          <w:tcPr>
            <w:tcW w:w="1762" w:type="dxa"/>
            <w:tcBorders>
              <w:top w:val="single" w:color="auto" w:sz="4" w:space="0"/>
              <w:left w:val="single" w:color="auto" w:sz="4" w:space="0"/>
              <w:bottom w:val="single" w:color="auto" w:sz="4" w:space="0"/>
              <w:right w:val="single" w:color="auto" w:sz="4" w:space="0"/>
            </w:tcBorders>
            <w:vAlign w:val="center"/>
          </w:tcPr>
          <w:p w14:paraId="0475C5D2">
            <w:pPr>
              <w:keepNext w:val="0"/>
              <w:keepLines w:val="0"/>
              <w:pageBreakBefore w:val="0"/>
              <w:widowControl w:val="0"/>
              <w:kinsoku/>
              <w:wordWrap/>
              <w:overflowPunct w:val="0"/>
              <w:topLinePunct w:val="0"/>
              <w:autoSpaceDE/>
              <w:autoSpaceDN/>
              <w:bidi w:val="0"/>
              <w:adjustRightInd/>
              <w:spacing w:line="380" w:lineRule="exact"/>
              <w:jc w:val="center"/>
              <w:textAlignment w:val="auto"/>
              <w:rPr>
                <w:rFonts w:ascii="宋体" w:cs="宋体"/>
                <w:bCs/>
                <w:color w:val="auto"/>
                <w:szCs w:val="21"/>
                <w:highlight w:val="none"/>
              </w:rPr>
            </w:pPr>
            <w:r>
              <w:rPr>
                <w:rFonts w:hint="eastAsia" w:ascii="宋体" w:hAnsi="宋体" w:cs="宋体"/>
                <w:color w:val="auto"/>
                <w:szCs w:val="21"/>
                <w:highlight w:val="none"/>
              </w:rPr>
              <w:t>履约保证金</w:t>
            </w:r>
          </w:p>
        </w:tc>
        <w:tc>
          <w:tcPr>
            <w:tcW w:w="6453" w:type="dxa"/>
            <w:tcBorders>
              <w:top w:val="single" w:color="auto" w:sz="4" w:space="0"/>
              <w:left w:val="single" w:color="auto" w:sz="4" w:space="0"/>
              <w:bottom w:val="single" w:color="auto" w:sz="4" w:space="0"/>
            </w:tcBorders>
            <w:vAlign w:val="center"/>
          </w:tcPr>
          <w:p w14:paraId="37DBCB2C">
            <w:pPr>
              <w:keepNext w:val="0"/>
              <w:keepLines w:val="0"/>
              <w:pageBreakBefore w:val="0"/>
              <w:widowControl w:val="0"/>
              <w:kinsoku/>
              <w:wordWrap/>
              <w:overflowPunct w:val="0"/>
              <w:topLinePunct w:val="0"/>
              <w:autoSpaceDE/>
              <w:autoSpaceDN/>
              <w:bidi w:val="0"/>
              <w:adjustRightInd/>
              <w:spacing w:line="380" w:lineRule="exact"/>
              <w:textAlignment w:val="auto"/>
              <w:rPr>
                <w:rFonts w:ascii="宋体" w:cs="宋体"/>
                <w:bCs/>
                <w:color w:val="auto"/>
                <w:szCs w:val="21"/>
                <w:highlight w:val="none"/>
              </w:rPr>
            </w:pPr>
            <w:r>
              <w:rPr>
                <w:rFonts w:hint="eastAsia" w:ascii="宋体" w:cs="宋体"/>
                <w:bCs/>
                <w:color w:val="auto"/>
                <w:szCs w:val="21"/>
                <w:highlight w:val="none"/>
              </w:rPr>
              <w:t>无</w:t>
            </w:r>
          </w:p>
        </w:tc>
      </w:tr>
      <w:tr w14:paraId="25835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4C3A6B13">
            <w:pPr>
              <w:keepNext w:val="0"/>
              <w:keepLines w:val="0"/>
              <w:pageBreakBefore w:val="0"/>
              <w:widowControl w:val="0"/>
              <w:kinsoku/>
              <w:wordWrap/>
              <w:overflowPunct w:val="0"/>
              <w:topLinePunct w:val="0"/>
              <w:autoSpaceDE/>
              <w:autoSpaceDN/>
              <w:bidi w:val="0"/>
              <w:adjustRightInd/>
              <w:spacing w:line="380" w:lineRule="exact"/>
              <w:jc w:val="center"/>
              <w:textAlignment w:val="auto"/>
              <w:rPr>
                <w:rFonts w:ascii="宋体" w:cs="宋体"/>
                <w:color w:val="auto"/>
                <w:szCs w:val="21"/>
                <w:highlight w:val="none"/>
              </w:rPr>
            </w:pPr>
            <w:r>
              <w:rPr>
                <w:rFonts w:ascii="宋体" w:hAnsi="宋体" w:cs="宋体"/>
                <w:color w:val="auto"/>
                <w:szCs w:val="21"/>
                <w:highlight w:val="none"/>
              </w:rPr>
              <w:t>20</w:t>
            </w:r>
          </w:p>
        </w:tc>
        <w:tc>
          <w:tcPr>
            <w:tcW w:w="1762" w:type="dxa"/>
            <w:tcBorders>
              <w:top w:val="single" w:color="auto" w:sz="4" w:space="0"/>
              <w:left w:val="single" w:color="auto" w:sz="4" w:space="0"/>
              <w:bottom w:val="single" w:color="auto" w:sz="4" w:space="0"/>
              <w:right w:val="single" w:color="auto" w:sz="4" w:space="0"/>
            </w:tcBorders>
            <w:vAlign w:val="center"/>
          </w:tcPr>
          <w:p w14:paraId="446AE051">
            <w:pPr>
              <w:keepNext w:val="0"/>
              <w:keepLines w:val="0"/>
              <w:pageBreakBefore w:val="0"/>
              <w:widowControl w:val="0"/>
              <w:kinsoku/>
              <w:wordWrap/>
              <w:overflowPunct w:val="0"/>
              <w:topLinePunct w:val="0"/>
              <w:autoSpaceDE/>
              <w:autoSpaceDN/>
              <w:bidi w:val="0"/>
              <w:adjustRightInd/>
              <w:spacing w:line="380" w:lineRule="exact"/>
              <w:jc w:val="center"/>
              <w:textAlignment w:val="auto"/>
              <w:rPr>
                <w:rFonts w:ascii="宋体" w:cs="宋体"/>
                <w:bCs/>
                <w:color w:val="auto"/>
                <w:szCs w:val="21"/>
                <w:highlight w:val="none"/>
              </w:rPr>
            </w:pPr>
            <w:r>
              <w:rPr>
                <w:rFonts w:hint="eastAsia" w:ascii="宋体" w:hAnsi="宋体" w:cs="宋体"/>
                <w:bCs/>
                <w:color w:val="auto"/>
                <w:szCs w:val="21"/>
                <w:highlight w:val="none"/>
              </w:rPr>
              <w:t>磋商办法及标准</w:t>
            </w:r>
          </w:p>
        </w:tc>
        <w:tc>
          <w:tcPr>
            <w:tcW w:w="6453" w:type="dxa"/>
            <w:tcBorders>
              <w:top w:val="single" w:color="auto" w:sz="4" w:space="0"/>
              <w:left w:val="single" w:color="auto" w:sz="4" w:space="0"/>
              <w:bottom w:val="single" w:color="auto" w:sz="4" w:space="0"/>
            </w:tcBorders>
            <w:vAlign w:val="center"/>
          </w:tcPr>
          <w:p w14:paraId="1559FF67">
            <w:pPr>
              <w:keepNext w:val="0"/>
              <w:keepLines w:val="0"/>
              <w:pageBreakBefore w:val="0"/>
              <w:widowControl w:val="0"/>
              <w:kinsoku/>
              <w:wordWrap/>
              <w:overflowPunct w:val="0"/>
              <w:topLinePunct w:val="0"/>
              <w:autoSpaceDE/>
              <w:autoSpaceDN/>
              <w:bidi w:val="0"/>
              <w:adjustRightInd/>
              <w:spacing w:line="380" w:lineRule="exact"/>
              <w:textAlignment w:val="auto"/>
              <w:rPr>
                <w:rFonts w:ascii="宋体" w:cs="宋体"/>
                <w:bCs/>
                <w:color w:val="auto"/>
                <w:szCs w:val="21"/>
                <w:highlight w:val="none"/>
              </w:rPr>
            </w:pPr>
            <w:r>
              <w:rPr>
                <w:rFonts w:hint="eastAsia" w:ascii="宋体" w:hAnsi="宋体" w:cs="宋体"/>
                <w:bCs/>
                <w:color w:val="auto"/>
                <w:szCs w:val="21"/>
                <w:highlight w:val="none"/>
              </w:rPr>
              <w:t>详见磋商文件第五章</w:t>
            </w:r>
          </w:p>
        </w:tc>
      </w:tr>
      <w:tr w14:paraId="555840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37D96318">
            <w:pPr>
              <w:keepNext w:val="0"/>
              <w:keepLines w:val="0"/>
              <w:pageBreakBefore w:val="0"/>
              <w:widowControl w:val="0"/>
              <w:kinsoku/>
              <w:wordWrap/>
              <w:overflowPunct w:val="0"/>
              <w:topLinePunct w:val="0"/>
              <w:autoSpaceDE/>
              <w:autoSpaceDN/>
              <w:bidi w:val="0"/>
              <w:adjustRightInd/>
              <w:spacing w:line="380" w:lineRule="exact"/>
              <w:jc w:val="center"/>
              <w:textAlignment w:val="auto"/>
              <w:rPr>
                <w:rFonts w:ascii="宋体" w:cs="宋体"/>
                <w:color w:val="auto"/>
                <w:szCs w:val="21"/>
                <w:highlight w:val="none"/>
              </w:rPr>
            </w:pPr>
            <w:r>
              <w:rPr>
                <w:rFonts w:ascii="宋体" w:hAnsi="宋体" w:cs="宋体"/>
                <w:color w:val="auto"/>
                <w:szCs w:val="21"/>
                <w:highlight w:val="none"/>
              </w:rPr>
              <w:t>21</w:t>
            </w:r>
          </w:p>
        </w:tc>
        <w:tc>
          <w:tcPr>
            <w:tcW w:w="1762" w:type="dxa"/>
            <w:tcBorders>
              <w:top w:val="single" w:color="auto" w:sz="4" w:space="0"/>
              <w:left w:val="single" w:color="auto" w:sz="4" w:space="0"/>
              <w:bottom w:val="single" w:color="auto" w:sz="4" w:space="0"/>
              <w:right w:val="single" w:color="auto" w:sz="4" w:space="0"/>
            </w:tcBorders>
            <w:vAlign w:val="center"/>
          </w:tcPr>
          <w:p w14:paraId="248FDF4E">
            <w:pPr>
              <w:keepNext w:val="0"/>
              <w:keepLines w:val="0"/>
              <w:pageBreakBefore w:val="0"/>
              <w:widowControl w:val="0"/>
              <w:kinsoku/>
              <w:wordWrap/>
              <w:overflowPunct w:val="0"/>
              <w:topLinePunct w:val="0"/>
              <w:autoSpaceDE/>
              <w:autoSpaceDN/>
              <w:bidi w:val="0"/>
              <w:adjustRightInd/>
              <w:spacing w:line="380" w:lineRule="exact"/>
              <w:jc w:val="center"/>
              <w:textAlignment w:val="auto"/>
              <w:rPr>
                <w:rFonts w:ascii="宋体" w:cs="宋体"/>
                <w:bCs/>
                <w:color w:val="auto"/>
                <w:szCs w:val="21"/>
                <w:highlight w:val="none"/>
              </w:rPr>
            </w:pPr>
            <w:r>
              <w:rPr>
                <w:rFonts w:hint="eastAsia" w:ascii="宋体" w:hAnsi="宋体" w:cs="宋体"/>
                <w:bCs/>
                <w:color w:val="auto"/>
                <w:szCs w:val="21"/>
                <w:highlight w:val="none"/>
              </w:rPr>
              <w:t>采购单位</w:t>
            </w:r>
          </w:p>
        </w:tc>
        <w:tc>
          <w:tcPr>
            <w:tcW w:w="6453" w:type="dxa"/>
            <w:tcBorders>
              <w:top w:val="single" w:color="auto" w:sz="4" w:space="0"/>
              <w:left w:val="single" w:color="auto" w:sz="4" w:space="0"/>
              <w:bottom w:val="single" w:color="auto" w:sz="4" w:space="0"/>
            </w:tcBorders>
            <w:vAlign w:val="center"/>
          </w:tcPr>
          <w:p w14:paraId="6E08C093">
            <w:pPr>
              <w:keepNext w:val="0"/>
              <w:keepLines w:val="0"/>
              <w:pageBreakBefore w:val="0"/>
              <w:widowControl w:val="0"/>
              <w:kinsoku/>
              <w:wordWrap/>
              <w:overflowPunct w:val="0"/>
              <w:topLinePunct w:val="0"/>
              <w:autoSpaceDE/>
              <w:autoSpaceDN/>
              <w:bidi w:val="0"/>
              <w:adjustRightInd/>
              <w:spacing w:line="380" w:lineRule="exact"/>
              <w:textAlignment w:val="auto"/>
              <w:rPr>
                <w:rFonts w:ascii="宋体" w:cs="宋体"/>
                <w:bCs/>
                <w:color w:val="auto"/>
                <w:szCs w:val="21"/>
                <w:highlight w:val="none"/>
              </w:rPr>
            </w:pPr>
            <w:r>
              <w:rPr>
                <w:rFonts w:hint="eastAsia" w:ascii="宋体" w:hAnsi="宋体" w:cs="宋体"/>
                <w:bCs/>
                <w:color w:val="auto"/>
                <w:szCs w:val="21"/>
                <w:highlight w:val="none"/>
              </w:rPr>
              <w:t>详见磋商公告</w:t>
            </w:r>
          </w:p>
        </w:tc>
      </w:tr>
      <w:tr w14:paraId="2EA93E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47D4C8C6">
            <w:pPr>
              <w:keepNext w:val="0"/>
              <w:keepLines w:val="0"/>
              <w:pageBreakBefore w:val="0"/>
              <w:widowControl w:val="0"/>
              <w:kinsoku/>
              <w:wordWrap/>
              <w:overflowPunct w:val="0"/>
              <w:topLinePunct w:val="0"/>
              <w:autoSpaceDE/>
              <w:autoSpaceDN/>
              <w:bidi w:val="0"/>
              <w:adjustRightInd/>
              <w:spacing w:line="380" w:lineRule="exact"/>
              <w:jc w:val="center"/>
              <w:textAlignment w:val="auto"/>
              <w:rPr>
                <w:rFonts w:ascii="宋体" w:cs="宋体"/>
                <w:bCs/>
                <w:color w:val="auto"/>
                <w:szCs w:val="21"/>
                <w:highlight w:val="none"/>
              </w:rPr>
            </w:pPr>
            <w:r>
              <w:rPr>
                <w:rFonts w:ascii="宋体" w:hAnsi="宋体" w:cs="宋体"/>
                <w:bCs/>
                <w:color w:val="auto"/>
                <w:szCs w:val="21"/>
                <w:highlight w:val="none"/>
              </w:rPr>
              <w:t>22</w:t>
            </w:r>
          </w:p>
        </w:tc>
        <w:tc>
          <w:tcPr>
            <w:tcW w:w="1762" w:type="dxa"/>
            <w:tcBorders>
              <w:top w:val="single" w:color="auto" w:sz="4" w:space="0"/>
              <w:left w:val="single" w:color="auto" w:sz="4" w:space="0"/>
              <w:bottom w:val="single" w:color="auto" w:sz="4" w:space="0"/>
              <w:right w:val="single" w:color="auto" w:sz="4" w:space="0"/>
            </w:tcBorders>
            <w:vAlign w:val="center"/>
          </w:tcPr>
          <w:p w14:paraId="057B70C8">
            <w:pPr>
              <w:keepNext w:val="0"/>
              <w:keepLines w:val="0"/>
              <w:pageBreakBefore w:val="0"/>
              <w:widowControl w:val="0"/>
              <w:kinsoku/>
              <w:wordWrap/>
              <w:overflowPunct w:val="0"/>
              <w:topLinePunct w:val="0"/>
              <w:autoSpaceDE/>
              <w:autoSpaceDN/>
              <w:bidi w:val="0"/>
              <w:adjustRightInd/>
              <w:spacing w:line="380" w:lineRule="exact"/>
              <w:jc w:val="center"/>
              <w:textAlignment w:val="auto"/>
              <w:rPr>
                <w:rFonts w:ascii="宋体" w:cs="宋体"/>
                <w:bCs/>
                <w:color w:val="auto"/>
                <w:szCs w:val="21"/>
                <w:highlight w:val="none"/>
              </w:rPr>
            </w:pPr>
            <w:r>
              <w:rPr>
                <w:rFonts w:hint="eastAsia" w:ascii="宋体" w:hAnsi="宋体" w:cs="宋体"/>
                <w:bCs/>
                <w:color w:val="auto"/>
                <w:szCs w:val="21"/>
                <w:highlight w:val="none"/>
              </w:rPr>
              <w:t>招标采购单位</w:t>
            </w:r>
          </w:p>
        </w:tc>
        <w:tc>
          <w:tcPr>
            <w:tcW w:w="6453" w:type="dxa"/>
            <w:tcBorders>
              <w:top w:val="single" w:color="auto" w:sz="4" w:space="0"/>
              <w:left w:val="single" w:color="auto" w:sz="4" w:space="0"/>
              <w:bottom w:val="single" w:color="auto" w:sz="4" w:space="0"/>
            </w:tcBorders>
            <w:vAlign w:val="center"/>
          </w:tcPr>
          <w:p w14:paraId="4BB801E2">
            <w:pPr>
              <w:keepNext w:val="0"/>
              <w:keepLines w:val="0"/>
              <w:pageBreakBefore w:val="0"/>
              <w:widowControl w:val="0"/>
              <w:kinsoku/>
              <w:wordWrap/>
              <w:overflowPunct w:val="0"/>
              <w:topLinePunct w:val="0"/>
              <w:autoSpaceDE/>
              <w:autoSpaceDN/>
              <w:bidi w:val="0"/>
              <w:adjustRightInd/>
              <w:spacing w:line="380" w:lineRule="exact"/>
              <w:textAlignment w:val="auto"/>
              <w:rPr>
                <w:rFonts w:ascii="宋体" w:cs="宋体"/>
                <w:bCs/>
                <w:color w:val="auto"/>
                <w:szCs w:val="21"/>
                <w:highlight w:val="none"/>
              </w:rPr>
            </w:pPr>
            <w:r>
              <w:rPr>
                <w:rFonts w:hint="eastAsia" w:ascii="宋体" w:hAnsi="宋体" w:cs="宋体"/>
                <w:bCs/>
                <w:color w:val="auto"/>
                <w:szCs w:val="21"/>
                <w:highlight w:val="none"/>
              </w:rPr>
              <w:t>采购单位与采购代理机构的统称</w:t>
            </w:r>
          </w:p>
        </w:tc>
      </w:tr>
      <w:tr w14:paraId="7A86E2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79FE78D8">
            <w:pPr>
              <w:keepNext w:val="0"/>
              <w:keepLines w:val="0"/>
              <w:pageBreakBefore w:val="0"/>
              <w:widowControl w:val="0"/>
              <w:kinsoku/>
              <w:wordWrap/>
              <w:overflowPunct w:val="0"/>
              <w:topLinePunct w:val="0"/>
              <w:autoSpaceDE/>
              <w:autoSpaceDN/>
              <w:bidi w:val="0"/>
              <w:adjustRightInd/>
              <w:spacing w:line="380" w:lineRule="exact"/>
              <w:jc w:val="center"/>
              <w:textAlignment w:val="auto"/>
              <w:rPr>
                <w:rFonts w:ascii="宋体" w:cs="宋体"/>
                <w:bCs/>
                <w:color w:val="auto"/>
                <w:szCs w:val="21"/>
                <w:highlight w:val="none"/>
              </w:rPr>
            </w:pPr>
            <w:r>
              <w:rPr>
                <w:rFonts w:ascii="宋体" w:hAnsi="宋体" w:cs="宋体"/>
                <w:bCs/>
                <w:color w:val="auto"/>
                <w:szCs w:val="21"/>
                <w:highlight w:val="none"/>
              </w:rPr>
              <w:t>23</w:t>
            </w:r>
          </w:p>
        </w:tc>
        <w:tc>
          <w:tcPr>
            <w:tcW w:w="1762" w:type="dxa"/>
            <w:tcBorders>
              <w:top w:val="single" w:color="auto" w:sz="4" w:space="0"/>
              <w:left w:val="single" w:color="auto" w:sz="4" w:space="0"/>
              <w:bottom w:val="single" w:color="auto" w:sz="4" w:space="0"/>
              <w:right w:val="single" w:color="auto" w:sz="4" w:space="0"/>
            </w:tcBorders>
            <w:vAlign w:val="center"/>
          </w:tcPr>
          <w:p w14:paraId="41B4462D">
            <w:pPr>
              <w:keepNext w:val="0"/>
              <w:keepLines w:val="0"/>
              <w:pageBreakBefore w:val="0"/>
              <w:widowControl w:val="0"/>
              <w:kinsoku/>
              <w:wordWrap/>
              <w:overflowPunct w:val="0"/>
              <w:topLinePunct w:val="0"/>
              <w:autoSpaceDE/>
              <w:autoSpaceDN/>
              <w:bidi w:val="0"/>
              <w:adjustRightInd/>
              <w:spacing w:line="380" w:lineRule="exact"/>
              <w:jc w:val="center"/>
              <w:textAlignment w:val="auto"/>
              <w:rPr>
                <w:rFonts w:ascii="宋体" w:cs="宋体"/>
                <w:bCs/>
                <w:color w:val="auto"/>
                <w:szCs w:val="21"/>
                <w:highlight w:val="none"/>
              </w:rPr>
            </w:pPr>
            <w:r>
              <w:rPr>
                <w:rFonts w:hint="eastAsia" w:ascii="宋体" w:hAnsi="宋体" w:cs="宋体"/>
                <w:bCs/>
                <w:color w:val="auto"/>
                <w:szCs w:val="21"/>
                <w:highlight w:val="none"/>
              </w:rPr>
              <w:t>解释</w:t>
            </w:r>
          </w:p>
        </w:tc>
        <w:tc>
          <w:tcPr>
            <w:tcW w:w="6453" w:type="dxa"/>
            <w:tcBorders>
              <w:top w:val="single" w:color="auto" w:sz="4" w:space="0"/>
              <w:left w:val="single" w:color="auto" w:sz="4" w:space="0"/>
              <w:bottom w:val="single" w:color="auto" w:sz="4" w:space="0"/>
            </w:tcBorders>
            <w:vAlign w:val="center"/>
          </w:tcPr>
          <w:p w14:paraId="7B1385BE">
            <w:pPr>
              <w:keepNext w:val="0"/>
              <w:keepLines w:val="0"/>
              <w:pageBreakBefore w:val="0"/>
              <w:widowControl w:val="0"/>
              <w:kinsoku/>
              <w:wordWrap/>
              <w:overflowPunct w:val="0"/>
              <w:topLinePunct w:val="0"/>
              <w:autoSpaceDE/>
              <w:autoSpaceDN/>
              <w:bidi w:val="0"/>
              <w:adjustRightInd/>
              <w:spacing w:line="380" w:lineRule="exact"/>
              <w:textAlignment w:val="auto"/>
              <w:rPr>
                <w:rFonts w:ascii="宋体" w:cs="宋体"/>
                <w:bCs/>
                <w:color w:val="auto"/>
                <w:szCs w:val="21"/>
                <w:highlight w:val="none"/>
              </w:rPr>
            </w:pPr>
            <w:r>
              <w:rPr>
                <w:rFonts w:hint="eastAsia" w:ascii="宋体" w:hAnsi="宋体" w:cs="宋体"/>
                <w:bCs/>
                <w:color w:val="auto"/>
                <w:szCs w:val="21"/>
                <w:highlight w:val="none"/>
              </w:rPr>
              <w:t>本磋商文件的解释权属于招标采购单位</w:t>
            </w:r>
          </w:p>
        </w:tc>
      </w:tr>
      <w:tr w14:paraId="1126BA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0" w:type="dxa"/>
            <w:tcBorders>
              <w:top w:val="single" w:color="auto" w:sz="4" w:space="0"/>
              <w:bottom w:val="single" w:color="auto" w:sz="4" w:space="0"/>
              <w:right w:val="single" w:color="auto" w:sz="4" w:space="0"/>
            </w:tcBorders>
            <w:vAlign w:val="center"/>
          </w:tcPr>
          <w:p w14:paraId="484CBDC7">
            <w:pPr>
              <w:keepNext w:val="0"/>
              <w:keepLines w:val="0"/>
              <w:pageBreakBefore w:val="0"/>
              <w:widowControl w:val="0"/>
              <w:kinsoku/>
              <w:wordWrap/>
              <w:overflowPunct w:val="0"/>
              <w:topLinePunct w:val="0"/>
              <w:autoSpaceDE/>
              <w:autoSpaceDN/>
              <w:bidi w:val="0"/>
              <w:adjustRightInd/>
              <w:spacing w:line="380" w:lineRule="exact"/>
              <w:jc w:val="center"/>
              <w:textAlignment w:val="auto"/>
              <w:rPr>
                <w:rFonts w:ascii="宋体" w:cs="宋体"/>
                <w:bCs/>
                <w:color w:val="auto"/>
                <w:szCs w:val="21"/>
                <w:highlight w:val="none"/>
              </w:rPr>
            </w:pPr>
            <w:r>
              <w:rPr>
                <w:rFonts w:ascii="宋体" w:hAnsi="宋体" w:cs="宋体"/>
                <w:bCs/>
                <w:color w:val="auto"/>
                <w:szCs w:val="21"/>
                <w:highlight w:val="none"/>
              </w:rPr>
              <w:t>24</w:t>
            </w:r>
          </w:p>
        </w:tc>
        <w:tc>
          <w:tcPr>
            <w:tcW w:w="1762" w:type="dxa"/>
            <w:tcBorders>
              <w:top w:val="single" w:color="auto" w:sz="4" w:space="0"/>
              <w:left w:val="single" w:color="auto" w:sz="4" w:space="0"/>
              <w:bottom w:val="single" w:color="auto" w:sz="4" w:space="0"/>
              <w:right w:val="single" w:color="auto" w:sz="4" w:space="0"/>
            </w:tcBorders>
            <w:vAlign w:val="center"/>
          </w:tcPr>
          <w:p w14:paraId="50231825">
            <w:pPr>
              <w:keepNext w:val="0"/>
              <w:keepLines w:val="0"/>
              <w:pageBreakBefore w:val="0"/>
              <w:widowControl w:val="0"/>
              <w:kinsoku/>
              <w:wordWrap/>
              <w:overflowPunct w:val="0"/>
              <w:topLinePunct w:val="0"/>
              <w:autoSpaceDE/>
              <w:autoSpaceDN/>
              <w:bidi w:val="0"/>
              <w:adjustRightInd/>
              <w:spacing w:line="380" w:lineRule="exact"/>
              <w:jc w:val="center"/>
              <w:textAlignment w:val="auto"/>
              <w:rPr>
                <w:rFonts w:ascii="宋体" w:cs="宋体"/>
                <w:bCs/>
                <w:color w:val="auto"/>
                <w:szCs w:val="21"/>
                <w:highlight w:val="none"/>
              </w:rPr>
            </w:pPr>
            <w:r>
              <w:rPr>
                <w:rFonts w:hint="eastAsia" w:ascii="宋体" w:hAnsi="宋体" w:cs="宋体"/>
                <w:bCs/>
                <w:color w:val="auto"/>
                <w:szCs w:val="21"/>
                <w:highlight w:val="none"/>
              </w:rPr>
              <w:t>其他</w:t>
            </w:r>
          </w:p>
        </w:tc>
        <w:tc>
          <w:tcPr>
            <w:tcW w:w="6453" w:type="dxa"/>
            <w:tcBorders>
              <w:top w:val="single" w:color="auto" w:sz="4" w:space="0"/>
              <w:left w:val="single" w:color="auto" w:sz="4" w:space="0"/>
              <w:bottom w:val="single" w:color="auto" w:sz="4" w:space="0"/>
            </w:tcBorders>
            <w:vAlign w:val="center"/>
          </w:tcPr>
          <w:p w14:paraId="141149AA">
            <w:pPr>
              <w:keepNext w:val="0"/>
              <w:keepLines w:val="0"/>
              <w:pageBreakBefore w:val="0"/>
              <w:widowControl w:val="0"/>
              <w:kinsoku/>
              <w:wordWrap/>
              <w:overflowPunct w:val="0"/>
              <w:topLinePunct w:val="0"/>
              <w:autoSpaceDE/>
              <w:autoSpaceDN/>
              <w:bidi w:val="0"/>
              <w:adjustRightInd/>
              <w:spacing w:line="380" w:lineRule="exact"/>
              <w:textAlignment w:val="auto"/>
              <w:rPr>
                <w:rFonts w:ascii="宋体" w:cs="宋体"/>
                <w:bCs/>
                <w:color w:val="auto"/>
                <w:szCs w:val="21"/>
                <w:highlight w:val="none"/>
              </w:rPr>
            </w:pPr>
            <w:r>
              <w:rPr>
                <w:rFonts w:hint="eastAsia" w:ascii="宋体" w:hAnsi="宋体" w:cs="宋体"/>
                <w:color w:val="auto"/>
                <w:highlight w:val="none"/>
              </w:rPr>
              <w:t>若供应商不能</w:t>
            </w:r>
            <w:r>
              <w:rPr>
                <w:rFonts w:hint="eastAsia" w:ascii="宋体" w:hAnsi="宋体" w:cs="宋体"/>
                <w:bCs/>
                <w:color w:val="auto"/>
                <w:kern w:val="0"/>
                <w:szCs w:val="21"/>
                <w:highlight w:val="none"/>
              </w:rPr>
              <w:t>参加现场开评标活动</w:t>
            </w:r>
            <w:r>
              <w:rPr>
                <w:rFonts w:hint="eastAsia" w:ascii="宋体" w:hAnsi="宋体" w:cs="宋体"/>
                <w:color w:val="auto"/>
                <w:szCs w:val="21"/>
                <w:highlight w:val="none"/>
              </w:rPr>
              <w:t>，可以将</w:t>
            </w:r>
            <w:r>
              <w:rPr>
                <w:rFonts w:hint="eastAsia" w:ascii="宋体" w:hAnsi="宋体" w:cs="宋体"/>
                <w:color w:val="auto"/>
                <w:highlight w:val="none"/>
              </w:rPr>
              <w:t>“备份响应文件”、“纸质响应文件”密封包装后（邮寄形式）</w:t>
            </w:r>
            <w:r>
              <w:rPr>
                <w:rFonts w:hint="eastAsia" w:ascii="宋体" w:hAnsi="宋体" w:cs="宋体"/>
                <w:color w:val="auto"/>
                <w:szCs w:val="21"/>
                <w:highlight w:val="none"/>
              </w:rPr>
              <w:t>磋商截止时间</w:t>
            </w:r>
            <w:r>
              <w:rPr>
                <w:rFonts w:hint="eastAsia" w:ascii="宋体" w:hAnsi="宋体" w:cs="宋体"/>
                <w:color w:val="auto"/>
                <w:highlight w:val="none"/>
              </w:rPr>
              <w:t>前递交、各一份（邮寄地址：安吉县昌硕街道天目中路</w:t>
            </w:r>
            <w:r>
              <w:rPr>
                <w:rFonts w:ascii="宋体" w:hAnsi="宋体" w:cs="宋体"/>
                <w:color w:val="auto"/>
                <w:highlight w:val="none"/>
              </w:rPr>
              <w:t>771</w:t>
            </w:r>
            <w:r>
              <w:rPr>
                <w:rFonts w:hint="eastAsia" w:ascii="宋体" w:hAnsi="宋体" w:cs="宋体"/>
                <w:color w:val="auto"/>
                <w:highlight w:val="none"/>
              </w:rPr>
              <w:t>号</w:t>
            </w:r>
            <w:r>
              <w:rPr>
                <w:rFonts w:ascii="宋体" w:hAnsi="宋体" w:cs="宋体"/>
                <w:color w:val="auto"/>
                <w:highlight w:val="none"/>
              </w:rPr>
              <w:t>310</w:t>
            </w:r>
            <w:r>
              <w:rPr>
                <w:rFonts w:hint="eastAsia" w:ascii="宋体" w:hAnsi="宋体" w:cs="宋体"/>
                <w:color w:val="auto"/>
                <w:highlight w:val="none"/>
              </w:rPr>
              <w:t>室，联系人：陈晨，联系电话：</w:t>
            </w:r>
            <w:r>
              <w:rPr>
                <w:rFonts w:ascii="宋体" w:hAnsi="宋体" w:cs="宋体"/>
                <w:color w:val="auto"/>
                <w:highlight w:val="none"/>
              </w:rPr>
              <w:t>0572-5601977</w:t>
            </w:r>
            <w:r>
              <w:rPr>
                <w:rFonts w:hint="eastAsia" w:ascii="宋体" w:hAnsi="宋体" w:cs="宋体"/>
                <w:color w:val="auto"/>
                <w:highlight w:val="none"/>
              </w:rPr>
              <w:t>），逾期寄达或未按要求密封将被拒收。</w:t>
            </w:r>
          </w:p>
        </w:tc>
      </w:tr>
    </w:tbl>
    <w:p w14:paraId="4A26AAE7">
      <w:pPr>
        <w:overflowPunct w:val="0"/>
        <w:spacing w:line="400" w:lineRule="exact"/>
        <w:jc w:val="left"/>
        <w:rPr>
          <w:rFonts w:ascii="宋体" w:cs="宋体"/>
          <w:b/>
          <w:color w:val="auto"/>
          <w:szCs w:val="21"/>
          <w:highlight w:val="none"/>
        </w:rPr>
      </w:pPr>
      <w:bookmarkStart w:id="11" w:name="_Toc282640696"/>
      <w:bookmarkStart w:id="12" w:name="_Toc23399"/>
      <w:bookmarkStart w:id="13" w:name="_Toc15998"/>
      <w:r>
        <w:rPr>
          <w:rFonts w:hint="eastAsia" w:ascii="宋体" w:hAnsi="宋体" w:cs="宋体"/>
          <w:b/>
          <w:color w:val="auto"/>
          <w:szCs w:val="21"/>
          <w:highlight w:val="none"/>
        </w:rPr>
        <w:t>一、适用范围</w:t>
      </w:r>
      <w:bookmarkEnd w:id="11"/>
      <w:bookmarkEnd w:id="12"/>
      <w:bookmarkEnd w:id="13"/>
    </w:p>
    <w:p w14:paraId="71C82958">
      <w:pPr>
        <w:overflowPunct w:val="0"/>
        <w:spacing w:line="400" w:lineRule="exact"/>
        <w:ind w:firstLine="420" w:firstLineChars="200"/>
        <w:jc w:val="left"/>
        <w:rPr>
          <w:rFonts w:ascii="宋体" w:cs="宋体"/>
          <w:bCs/>
          <w:color w:val="auto"/>
          <w:szCs w:val="21"/>
          <w:highlight w:val="none"/>
        </w:rPr>
      </w:pPr>
      <w:r>
        <w:rPr>
          <w:rFonts w:hint="eastAsia" w:ascii="宋体" w:hAnsi="宋体" w:cs="宋体"/>
          <w:bCs/>
          <w:color w:val="auto"/>
          <w:szCs w:val="21"/>
          <w:highlight w:val="none"/>
        </w:rPr>
        <w:t>仅适用于本次竞争性磋商采购所叙述的工程、货物和服务。</w:t>
      </w:r>
      <w:bookmarkStart w:id="14" w:name="_Toc282640697"/>
    </w:p>
    <w:p w14:paraId="688739E8">
      <w:pPr>
        <w:overflowPunct w:val="0"/>
        <w:spacing w:line="400" w:lineRule="exact"/>
        <w:jc w:val="left"/>
        <w:rPr>
          <w:rFonts w:ascii="宋体" w:cs="宋体"/>
          <w:b/>
          <w:color w:val="auto"/>
          <w:szCs w:val="21"/>
          <w:highlight w:val="none"/>
        </w:rPr>
      </w:pPr>
      <w:r>
        <w:rPr>
          <w:rFonts w:hint="eastAsia" w:ascii="宋体" w:hAnsi="宋体" w:cs="宋体"/>
          <w:bCs/>
          <w:color w:val="auto"/>
          <w:szCs w:val="21"/>
          <w:highlight w:val="none"/>
        </w:rPr>
        <w:t>二、</w:t>
      </w:r>
      <w:r>
        <w:rPr>
          <w:rFonts w:hint="eastAsia" w:ascii="宋体" w:hAnsi="宋体" w:cs="宋体"/>
          <w:b/>
          <w:color w:val="auto"/>
          <w:szCs w:val="21"/>
          <w:highlight w:val="none"/>
        </w:rPr>
        <w:t>定义</w:t>
      </w:r>
      <w:bookmarkEnd w:id="14"/>
    </w:p>
    <w:p w14:paraId="4DE41EA2">
      <w:pPr>
        <w:overflowPunct w:val="0"/>
        <w:spacing w:line="400" w:lineRule="exact"/>
        <w:ind w:firstLine="420" w:firstLineChars="200"/>
        <w:jc w:val="left"/>
        <w:rPr>
          <w:rFonts w:asci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、“采购人”系指安吉技师学院。</w:t>
      </w:r>
    </w:p>
    <w:p w14:paraId="53391267">
      <w:pPr>
        <w:overflowPunct w:val="0"/>
        <w:spacing w:line="400" w:lineRule="exact"/>
        <w:ind w:firstLine="420" w:firstLineChars="200"/>
        <w:jc w:val="left"/>
        <w:rPr>
          <w:rFonts w:asci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、“采购代理机构”系指浙江华夏工程管理有限公司。</w:t>
      </w:r>
    </w:p>
    <w:p w14:paraId="6A5B3D6C">
      <w:pPr>
        <w:overflowPunct w:val="0"/>
        <w:spacing w:line="400" w:lineRule="exact"/>
        <w:ind w:firstLine="420" w:firstLineChars="200"/>
        <w:jc w:val="left"/>
        <w:rPr>
          <w:rFonts w:ascii="宋体" w:cs="宋体"/>
          <w:bCs/>
          <w:color w:val="auto"/>
          <w:szCs w:val="21"/>
          <w:highlight w:val="none"/>
        </w:rPr>
      </w:pPr>
      <w:r>
        <w:rPr>
          <w:rFonts w:ascii="宋体" w:hAnsi="宋体" w:cs="宋体"/>
          <w:bCs/>
          <w:color w:val="auto"/>
          <w:szCs w:val="21"/>
          <w:highlight w:val="none"/>
        </w:rPr>
        <w:t>3</w:t>
      </w:r>
      <w:r>
        <w:rPr>
          <w:rFonts w:hint="eastAsia" w:ascii="宋体" w:hAnsi="宋体" w:cs="宋体"/>
          <w:bCs/>
          <w:color w:val="auto"/>
          <w:szCs w:val="21"/>
          <w:highlight w:val="none"/>
        </w:rPr>
        <w:t>、“供应商”系指向采购代理机构提交磋商响应文件的供应商。</w:t>
      </w:r>
    </w:p>
    <w:p w14:paraId="7E546A74">
      <w:pPr>
        <w:overflowPunct w:val="0"/>
        <w:spacing w:line="400" w:lineRule="exact"/>
        <w:ind w:firstLine="420" w:firstLineChars="200"/>
        <w:jc w:val="left"/>
        <w:rPr>
          <w:rFonts w:ascii="宋体" w:cs="宋体"/>
          <w:bCs/>
          <w:color w:val="auto"/>
          <w:szCs w:val="21"/>
          <w:highlight w:val="none"/>
        </w:rPr>
      </w:pPr>
      <w:r>
        <w:rPr>
          <w:rFonts w:ascii="宋体" w:hAnsi="宋体" w:cs="宋体"/>
          <w:bCs/>
          <w:color w:val="auto"/>
          <w:szCs w:val="21"/>
          <w:highlight w:val="none"/>
        </w:rPr>
        <w:t>4</w:t>
      </w:r>
      <w:r>
        <w:rPr>
          <w:rFonts w:hint="eastAsia" w:ascii="宋体" w:hAnsi="宋体" w:cs="宋体"/>
          <w:bCs/>
          <w:color w:val="auto"/>
          <w:szCs w:val="21"/>
          <w:highlight w:val="none"/>
        </w:rPr>
        <w:t>、“服务”系指按竞争性磋商文件要求提供的本项目的所有工作内容。</w:t>
      </w:r>
    </w:p>
    <w:p w14:paraId="0383058E">
      <w:pPr>
        <w:overflowPunct w:val="0"/>
        <w:spacing w:line="400" w:lineRule="exact"/>
        <w:ind w:firstLine="420" w:firstLineChars="200"/>
        <w:jc w:val="left"/>
        <w:rPr>
          <w:rFonts w:ascii="宋体" w:cs="宋体"/>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rPr>
        <w:t>、“招标采购单位”系指组织本次磋商的“采购代理机构”和“采购人”</w:t>
      </w:r>
    </w:p>
    <w:p w14:paraId="5D26596E">
      <w:pPr>
        <w:overflowPunct w:val="0"/>
        <w:spacing w:line="400" w:lineRule="exact"/>
        <w:jc w:val="left"/>
        <w:rPr>
          <w:rFonts w:ascii="宋体" w:cs="宋体"/>
          <w:b/>
          <w:color w:val="auto"/>
          <w:szCs w:val="21"/>
          <w:highlight w:val="none"/>
        </w:rPr>
      </w:pPr>
      <w:bookmarkStart w:id="15" w:name="_Toc282640698"/>
      <w:bookmarkStart w:id="16" w:name="_Toc31441"/>
      <w:bookmarkStart w:id="17" w:name="_Toc2086"/>
      <w:r>
        <w:rPr>
          <w:rFonts w:hint="eastAsia" w:ascii="宋体" w:hAnsi="宋体" w:cs="宋体"/>
          <w:b/>
          <w:color w:val="auto"/>
          <w:szCs w:val="21"/>
          <w:highlight w:val="none"/>
        </w:rPr>
        <w:t>三、供应商的资格要求</w:t>
      </w:r>
      <w:bookmarkEnd w:id="15"/>
      <w:bookmarkEnd w:id="16"/>
      <w:bookmarkEnd w:id="17"/>
    </w:p>
    <w:p w14:paraId="08B3B011">
      <w:pPr>
        <w:overflowPunct w:val="0"/>
        <w:spacing w:line="400" w:lineRule="exact"/>
        <w:ind w:firstLine="420" w:firstLineChars="200"/>
        <w:rPr>
          <w:rFonts w:ascii="宋体" w:cs="宋体"/>
          <w:bCs/>
          <w:color w:val="auto"/>
          <w:szCs w:val="21"/>
          <w:highlight w:val="none"/>
        </w:rPr>
      </w:pPr>
      <w:bookmarkStart w:id="18" w:name="_Toc282640699"/>
      <w:r>
        <w:rPr>
          <w:rFonts w:hint="eastAsia" w:ascii="宋体" w:hAnsi="宋体" w:cs="宋体"/>
          <w:bCs/>
          <w:color w:val="auto"/>
          <w:szCs w:val="21"/>
          <w:highlight w:val="none"/>
        </w:rPr>
        <w:t>符合竞争性磋商公告第二条供应商资格要求。</w:t>
      </w:r>
    </w:p>
    <w:p w14:paraId="76CBBFBF">
      <w:pPr>
        <w:overflowPunct w:val="0"/>
        <w:spacing w:line="400" w:lineRule="exact"/>
        <w:jc w:val="left"/>
        <w:rPr>
          <w:rFonts w:ascii="宋体" w:cs="宋体"/>
          <w:b/>
          <w:color w:val="auto"/>
          <w:szCs w:val="21"/>
          <w:highlight w:val="none"/>
        </w:rPr>
      </w:pPr>
      <w:bookmarkStart w:id="19" w:name="_Toc12662"/>
      <w:bookmarkStart w:id="20" w:name="_Toc19212"/>
      <w:r>
        <w:rPr>
          <w:rFonts w:hint="eastAsia" w:ascii="宋体" w:hAnsi="宋体" w:cs="宋体"/>
          <w:b/>
          <w:color w:val="auto"/>
          <w:szCs w:val="21"/>
          <w:highlight w:val="none"/>
        </w:rPr>
        <w:t>四、磋商费用</w:t>
      </w:r>
      <w:bookmarkEnd w:id="18"/>
      <w:bookmarkEnd w:id="19"/>
      <w:bookmarkEnd w:id="20"/>
    </w:p>
    <w:p w14:paraId="2DD9F3D2">
      <w:pPr>
        <w:overflowPunct w:val="0"/>
        <w:spacing w:line="400" w:lineRule="exact"/>
        <w:ind w:firstLine="420" w:firstLineChars="200"/>
        <w:jc w:val="left"/>
        <w:rPr>
          <w:rFonts w:ascii="宋体" w:cs="宋体"/>
          <w:bCs/>
          <w:color w:val="auto"/>
          <w:szCs w:val="21"/>
          <w:highlight w:val="none"/>
        </w:rPr>
      </w:pPr>
      <w:r>
        <w:rPr>
          <w:rFonts w:hint="eastAsia" w:ascii="宋体" w:hAnsi="宋体" w:cs="宋体"/>
          <w:bCs/>
          <w:color w:val="auto"/>
          <w:szCs w:val="21"/>
          <w:highlight w:val="none"/>
        </w:rPr>
        <w:t>无论竞争性磋商过程和结果如何，供应商自行承担与磋商响应有关的全部费用。</w:t>
      </w:r>
    </w:p>
    <w:p w14:paraId="315A815C">
      <w:pPr>
        <w:overflowPunct w:val="0"/>
        <w:spacing w:line="400" w:lineRule="exact"/>
        <w:jc w:val="left"/>
        <w:rPr>
          <w:rFonts w:ascii="宋体" w:cs="宋体"/>
          <w:b/>
          <w:color w:val="auto"/>
          <w:szCs w:val="21"/>
          <w:highlight w:val="none"/>
        </w:rPr>
      </w:pPr>
      <w:bookmarkStart w:id="21" w:name="_Toc282640700"/>
      <w:bookmarkStart w:id="22" w:name="_Toc14194"/>
      <w:bookmarkStart w:id="23" w:name="_Toc26958"/>
      <w:bookmarkStart w:id="24" w:name="_Toc282640701"/>
      <w:r>
        <w:rPr>
          <w:rFonts w:hint="eastAsia" w:ascii="宋体" w:hAnsi="宋体" w:cs="宋体"/>
          <w:b/>
          <w:color w:val="auto"/>
          <w:szCs w:val="21"/>
          <w:highlight w:val="none"/>
        </w:rPr>
        <w:t>五、竞争性磋商报价</w:t>
      </w:r>
      <w:bookmarkEnd w:id="21"/>
      <w:bookmarkEnd w:id="22"/>
      <w:bookmarkEnd w:id="23"/>
    </w:p>
    <w:bookmarkEnd w:id="24"/>
    <w:p w14:paraId="0BA0572E">
      <w:pPr>
        <w:overflowPunct w:val="0"/>
        <w:spacing w:line="400" w:lineRule="exact"/>
        <w:ind w:firstLine="420" w:firstLineChars="200"/>
        <w:rPr>
          <w:rFonts w:ascii="宋体" w:cs="宋体"/>
          <w:bCs/>
          <w:color w:val="auto"/>
          <w:szCs w:val="21"/>
          <w:highlight w:val="none"/>
        </w:rPr>
      </w:pPr>
      <w:bookmarkStart w:id="25" w:name="_Toc15229"/>
      <w:bookmarkStart w:id="26" w:name="_Toc9887"/>
      <w:r>
        <w:rPr>
          <w:rFonts w:ascii="宋体" w:hAnsi="宋体" w:cs="宋体"/>
          <w:bCs/>
          <w:color w:val="auto"/>
          <w:szCs w:val="21"/>
          <w:highlight w:val="none"/>
        </w:rPr>
        <w:t>1</w:t>
      </w:r>
      <w:r>
        <w:rPr>
          <w:rFonts w:hint="eastAsia" w:ascii="宋体" w:hAnsi="宋体" w:cs="宋体"/>
          <w:bCs/>
          <w:color w:val="auto"/>
          <w:szCs w:val="21"/>
          <w:highlight w:val="none"/>
        </w:rPr>
        <w:t>、竞争性磋商报价以人民币为结算货币。</w:t>
      </w:r>
    </w:p>
    <w:p w14:paraId="511BBFE0">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供应商应按竞争性磋商文件的要求认真填写相应材料，磋商响应文件的大写金额和小写金额不一致的，以大写金额为准；总价金额与按单价汇总金额不一致的，以单价金额计算结果为准；单价金额小数点有明显错位的，应以总价为准，并修改单价。磋商响应文件只允许有一个报价，任何有选择性的报价将不予接受。</w:t>
      </w:r>
    </w:p>
    <w:p w14:paraId="0263EB97">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3</w:t>
      </w:r>
      <w:r>
        <w:rPr>
          <w:rFonts w:hint="eastAsia" w:ascii="宋体" w:hAnsi="宋体" w:cs="宋体"/>
          <w:bCs/>
          <w:color w:val="auto"/>
          <w:szCs w:val="21"/>
          <w:highlight w:val="none"/>
        </w:rPr>
        <w:t>、▲磋商报价应包括</w:t>
      </w:r>
      <w:r>
        <w:rPr>
          <w:rFonts w:hint="eastAsia" w:ascii="宋体" w:hAnsi="宋体" w:cs="宋体"/>
          <w:bCs/>
          <w:color w:val="auto"/>
          <w:kern w:val="0"/>
          <w:szCs w:val="21"/>
          <w:highlight w:val="none"/>
        </w:rPr>
        <w:t>整个服务项目所有费用，包括材料打印装订、图书出版、验收、专家评审、磋商代理费、技术支持和税费等一切费用</w:t>
      </w:r>
      <w:r>
        <w:rPr>
          <w:rFonts w:hint="eastAsia" w:ascii="宋体" w:hAnsi="宋体" w:cs="宋体"/>
          <w:bCs/>
          <w:color w:val="auto"/>
          <w:szCs w:val="21"/>
          <w:highlight w:val="none"/>
        </w:rPr>
        <w:t>。</w:t>
      </w:r>
    </w:p>
    <w:p w14:paraId="0B0A608F">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4</w:t>
      </w:r>
      <w:r>
        <w:rPr>
          <w:rFonts w:hint="eastAsia" w:ascii="宋体" w:hAnsi="宋体" w:cs="宋体"/>
          <w:bCs/>
          <w:color w:val="auto"/>
          <w:szCs w:val="21"/>
          <w:highlight w:val="none"/>
        </w:rPr>
        <w:t>、供应商应充分考虑因各种原因可能发生的费用。对没有填报的费用，采购人认为所有费用已包含在总价中，除合同条款另有规定外，不得进行调整。</w:t>
      </w:r>
    </w:p>
    <w:p w14:paraId="46F82512">
      <w:pPr>
        <w:overflowPunct w:val="0"/>
        <w:spacing w:line="400" w:lineRule="exact"/>
        <w:jc w:val="left"/>
        <w:rPr>
          <w:rFonts w:ascii="宋体" w:cs="宋体"/>
          <w:b/>
          <w:color w:val="auto"/>
          <w:szCs w:val="21"/>
          <w:highlight w:val="none"/>
        </w:rPr>
      </w:pPr>
      <w:r>
        <w:rPr>
          <w:rFonts w:hint="eastAsia" w:ascii="宋体" w:hAnsi="宋体" w:cs="宋体"/>
          <w:b/>
          <w:color w:val="auto"/>
          <w:szCs w:val="21"/>
          <w:highlight w:val="none"/>
        </w:rPr>
        <w:t>六、履约保证金</w:t>
      </w:r>
      <w:bookmarkEnd w:id="25"/>
      <w:bookmarkEnd w:id="26"/>
    </w:p>
    <w:p w14:paraId="4E1D9CC1">
      <w:pPr>
        <w:overflowPunct w:val="0"/>
        <w:spacing w:line="400" w:lineRule="exact"/>
        <w:ind w:firstLine="420" w:firstLineChars="200"/>
        <w:jc w:val="left"/>
        <w:rPr>
          <w:rFonts w:ascii="宋体" w:cs="宋体"/>
          <w:color w:val="auto"/>
          <w:szCs w:val="21"/>
          <w:highlight w:val="none"/>
        </w:rPr>
      </w:pPr>
      <w:bookmarkStart w:id="27" w:name="_Toc27409"/>
      <w:bookmarkStart w:id="28" w:name="_Toc31890"/>
      <w:r>
        <w:rPr>
          <w:rFonts w:hint="eastAsia" w:ascii="宋体" w:hAnsi="宋体" w:cs="宋体"/>
          <w:color w:val="auto"/>
          <w:szCs w:val="21"/>
          <w:highlight w:val="none"/>
          <w:lang w:val="zh-TW"/>
        </w:rPr>
        <w:t>无</w:t>
      </w:r>
      <w:r>
        <w:rPr>
          <w:rFonts w:hint="eastAsia" w:ascii="宋体" w:hAnsi="宋体" w:cs="宋体"/>
          <w:color w:val="auto"/>
          <w:szCs w:val="21"/>
          <w:highlight w:val="none"/>
        </w:rPr>
        <w:t>。</w:t>
      </w:r>
    </w:p>
    <w:p w14:paraId="1B6628BC">
      <w:pPr>
        <w:overflowPunct w:val="0"/>
        <w:spacing w:line="400" w:lineRule="exact"/>
        <w:jc w:val="left"/>
        <w:rPr>
          <w:rFonts w:ascii="宋体" w:cs="宋体"/>
          <w:b/>
          <w:color w:val="auto"/>
          <w:szCs w:val="21"/>
          <w:highlight w:val="none"/>
        </w:rPr>
      </w:pPr>
      <w:r>
        <w:rPr>
          <w:rFonts w:hint="eastAsia" w:ascii="宋体" w:hAnsi="宋体" w:cs="宋体"/>
          <w:b/>
          <w:color w:val="auto"/>
          <w:szCs w:val="21"/>
          <w:highlight w:val="none"/>
        </w:rPr>
        <w:t>七、磋商文件有效期</w:t>
      </w:r>
      <w:bookmarkEnd w:id="27"/>
      <w:bookmarkEnd w:id="28"/>
    </w:p>
    <w:p w14:paraId="256DE53D">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、响应文件从磋商之日起，有效期为</w:t>
      </w:r>
      <w:r>
        <w:rPr>
          <w:rFonts w:ascii="宋体" w:hAnsi="宋体" w:cs="宋体"/>
          <w:bCs/>
          <w:color w:val="auto"/>
          <w:szCs w:val="21"/>
          <w:highlight w:val="none"/>
        </w:rPr>
        <w:t>90</w:t>
      </w:r>
      <w:r>
        <w:rPr>
          <w:rFonts w:hint="eastAsia" w:ascii="宋体" w:hAnsi="宋体" w:cs="宋体"/>
          <w:bCs/>
          <w:color w:val="auto"/>
          <w:szCs w:val="21"/>
          <w:highlight w:val="none"/>
        </w:rPr>
        <w:t>天。</w:t>
      </w:r>
    </w:p>
    <w:p w14:paraId="3553C01E">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、特殊情况下，采购人可与供应商协商延缓响应文件的有效期，这种要求和答复均以书面形式进行。</w:t>
      </w:r>
    </w:p>
    <w:p w14:paraId="4F3A47B8">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3</w:t>
      </w:r>
      <w:r>
        <w:rPr>
          <w:rFonts w:hint="eastAsia" w:ascii="宋体" w:hAnsi="宋体" w:cs="宋体"/>
          <w:bCs/>
          <w:color w:val="auto"/>
          <w:szCs w:val="21"/>
          <w:highlight w:val="none"/>
        </w:rPr>
        <w:t>、供应商可拒绝接受延期要求。同意延长有效期的供应商不能修改磋商响应文件。</w:t>
      </w:r>
      <w:bookmarkStart w:id="29" w:name="_Toc282640702"/>
    </w:p>
    <w:p w14:paraId="0ED62FC3">
      <w:pPr>
        <w:overflowPunct w:val="0"/>
        <w:spacing w:line="400" w:lineRule="exact"/>
        <w:rPr>
          <w:rFonts w:ascii="宋体" w:cs="宋体"/>
          <w:b/>
          <w:color w:val="auto"/>
          <w:szCs w:val="21"/>
          <w:highlight w:val="none"/>
        </w:rPr>
      </w:pPr>
      <w:r>
        <w:rPr>
          <w:rFonts w:hint="eastAsia" w:ascii="宋体" w:hAnsi="宋体" w:cs="宋体"/>
          <w:b/>
          <w:color w:val="auto"/>
          <w:szCs w:val="21"/>
          <w:highlight w:val="none"/>
        </w:rPr>
        <w:t>八、响应文件的组成</w:t>
      </w:r>
      <w:bookmarkEnd w:id="29"/>
    </w:p>
    <w:p w14:paraId="5AA604FD">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供应商应仔细阅读竞争性磋商文件中的所有内容，按照磋商文件及采购服务要求，详细编制响应文件。并对磋商文件的要求做出实质上的响应。未实质上响应的响应文件将可能导致被拒绝，但允许报价在满足并优于采购要求的前提下出现的微小差异。</w:t>
      </w:r>
    </w:p>
    <w:p w14:paraId="2637D890">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供应商必须按竞争性磋商文件的要求提供相关技术文件、资料，包括采用的计量单位，并保证响应文件的正确性和真实性，响应文件全部内容应保持一致，否则可能导致不利于其磋商的评定甚至被拒绝。技术和商务如有偏离均应填写偏离表。</w:t>
      </w:r>
    </w:p>
    <w:p w14:paraId="00456738">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3</w:t>
      </w:r>
      <w:r>
        <w:rPr>
          <w:rFonts w:hint="eastAsia" w:ascii="宋体" w:hAnsi="宋体" w:cs="宋体"/>
          <w:bCs/>
          <w:color w:val="auto"/>
          <w:szCs w:val="21"/>
          <w:highlight w:val="none"/>
        </w:rPr>
        <w:t>、响应文件的组成</w:t>
      </w:r>
    </w:p>
    <w:p w14:paraId="3AAF9999">
      <w:pPr>
        <w:overflowPunct w:val="0"/>
        <w:autoSpaceDE w:val="0"/>
        <w:autoSpaceDN w:val="0"/>
        <w:adjustRightInd w:val="0"/>
        <w:snapToGrid w:val="0"/>
        <w:spacing w:line="400" w:lineRule="exact"/>
        <w:ind w:firstLine="422" w:firstLineChars="200"/>
        <w:textAlignment w:val="bottom"/>
        <w:rPr>
          <w:rFonts w:ascii="宋体" w:cs="宋体"/>
          <w:b/>
          <w:color w:val="auto"/>
          <w:szCs w:val="21"/>
          <w:highlight w:val="none"/>
        </w:rPr>
      </w:pPr>
      <w:r>
        <w:rPr>
          <w:rFonts w:ascii="宋体" w:hAnsi="宋体" w:cs="宋体"/>
          <w:b/>
          <w:color w:val="auto"/>
          <w:szCs w:val="21"/>
          <w:highlight w:val="none"/>
        </w:rPr>
        <w:t xml:space="preserve">3.1 </w:t>
      </w:r>
      <w:r>
        <w:rPr>
          <w:rFonts w:hint="eastAsia" w:ascii="宋体" w:hAnsi="宋体" w:cs="宋体"/>
          <w:b/>
          <w:color w:val="auto"/>
          <w:szCs w:val="21"/>
          <w:highlight w:val="none"/>
        </w:rPr>
        <w:t>资格证明文件</w:t>
      </w:r>
    </w:p>
    <w:p w14:paraId="59705B02">
      <w:pPr>
        <w:numPr>
          <w:ilvl w:val="0"/>
          <w:numId w:val="2"/>
        </w:numPr>
        <w:overflowPunct w:val="0"/>
        <w:autoSpaceDE w:val="0"/>
        <w:autoSpaceDN w:val="0"/>
        <w:snapToGrid w:val="0"/>
        <w:spacing w:line="400" w:lineRule="exact"/>
        <w:ind w:left="0" w:firstLine="420" w:firstLineChars="200"/>
        <w:textAlignment w:val="bottom"/>
        <w:rPr>
          <w:rFonts w:ascii="宋体" w:cs="宋体"/>
          <w:bCs/>
          <w:color w:val="auto"/>
          <w:szCs w:val="21"/>
          <w:highlight w:val="none"/>
        </w:rPr>
      </w:pPr>
      <w:r>
        <w:rPr>
          <w:rFonts w:hint="eastAsia" w:ascii="宋体"/>
          <w:color w:val="auto"/>
          <w:szCs w:val="21"/>
          <w:highlight w:val="none"/>
        </w:rPr>
        <w:t>符合参加政府采购活动应当具备的一般条件的承诺函</w:t>
      </w:r>
      <w:r>
        <w:rPr>
          <w:rFonts w:hint="eastAsia" w:ascii="宋体" w:hAnsi="宋体" w:cs="宋体"/>
          <w:bCs/>
          <w:color w:val="auto"/>
          <w:szCs w:val="21"/>
          <w:highlight w:val="none"/>
        </w:rPr>
        <w:t>（格式见附件）；</w:t>
      </w:r>
    </w:p>
    <w:p w14:paraId="215A470B">
      <w:pPr>
        <w:numPr>
          <w:ilvl w:val="0"/>
          <w:numId w:val="2"/>
        </w:numPr>
        <w:overflowPunct w:val="0"/>
        <w:autoSpaceDE w:val="0"/>
        <w:autoSpaceDN w:val="0"/>
        <w:snapToGrid w:val="0"/>
        <w:spacing w:line="400" w:lineRule="exact"/>
        <w:ind w:left="0"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营业执照复印件；</w:t>
      </w:r>
    </w:p>
    <w:p w14:paraId="086D5754">
      <w:pPr>
        <w:numPr>
          <w:ilvl w:val="0"/>
          <w:numId w:val="2"/>
        </w:numPr>
        <w:overflowPunct w:val="0"/>
        <w:autoSpaceDE w:val="0"/>
        <w:autoSpaceDN w:val="0"/>
        <w:snapToGrid w:val="0"/>
        <w:spacing w:line="400" w:lineRule="exact"/>
        <w:ind w:left="0"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中小企业声明函（格式见附件）；</w:t>
      </w:r>
    </w:p>
    <w:p w14:paraId="5766BD17">
      <w:pPr>
        <w:numPr>
          <w:ilvl w:val="0"/>
          <w:numId w:val="2"/>
        </w:numPr>
        <w:overflowPunct w:val="0"/>
        <w:autoSpaceDE w:val="0"/>
        <w:autoSpaceDN w:val="0"/>
        <w:snapToGrid w:val="0"/>
        <w:spacing w:line="400" w:lineRule="exact"/>
        <w:ind w:left="0"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法定代表人身份证明书（格式见附件）；</w:t>
      </w:r>
    </w:p>
    <w:p w14:paraId="245B1A3C">
      <w:pPr>
        <w:numPr>
          <w:ilvl w:val="0"/>
          <w:numId w:val="2"/>
        </w:numPr>
        <w:overflowPunct w:val="0"/>
        <w:autoSpaceDE w:val="0"/>
        <w:autoSpaceDN w:val="0"/>
        <w:snapToGrid w:val="0"/>
        <w:spacing w:line="400" w:lineRule="exact"/>
        <w:ind w:left="0"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法定代表人授权委托书及授权代理人有效身份证明（格式见附件）；</w:t>
      </w:r>
    </w:p>
    <w:p w14:paraId="14C54883">
      <w:pPr>
        <w:overflowPunct w:val="0"/>
        <w:autoSpaceDE w:val="0"/>
        <w:autoSpaceDN w:val="0"/>
        <w:adjustRightInd w:val="0"/>
        <w:snapToGrid w:val="0"/>
        <w:spacing w:line="400" w:lineRule="exact"/>
        <w:ind w:firstLine="422" w:firstLineChars="200"/>
        <w:textAlignment w:val="bottom"/>
        <w:rPr>
          <w:rFonts w:ascii="宋体" w:cs="宋体"/>
          <w:b/>
          <w:color w:val="auto"/>
          <w:szCs w:val="21"/>
          <w:highlight w:val="none"/>
        </w:rPr>
      </w:pPr>
      <w:r>
        <w:rPr>
          <w:rFonts w:ascii="宋体" w:hAnsi="宋体" w:cs="宋体"/>
          <w:b/>
          <w:color w:val="auto"/>
          <w:szCs w:val="21"/>
          <w:highlight w:val="none"/>
        </w:rPr>
        <w:t xml:space="preserve">3.2 </w:t>
      </w:r>
      <w:r>
        <w:rPr>
          <w:rFonts w:hint="eastAsia" w:ascii="宋体" w:hAnsi="宋体" w:cs="宋体"/>
          <w:b/>
          <w:color w:val="auto"/>
          <w:szCs w:val="21"/>
          <w:highlight w:val="none"/>
        </w:rPr>
        <w:t>商务技术文件</w:t>
      </w:r>
    </w:p>
    <w:p w14:paraId="0E42105B">
      <w:pPr>
        <w:numPr>
          <w:ilvl w:val="0"/>
          <w:numId w:val="3"/>
        </w:numPr>
        <w:autoSpaceDE w:val="0"/>
        <w:autoSpaceDN w:val="0"/>
        <w:snapToGrid w:val="0"/>
        <w:spacing w:line="400" w:lineRule="exact"/>
        <w:ind w:left="0"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磋商声明书（格式见附件）；</w:t>
      </w:r>
    </w:p>
    <w:p w14:paraId="1D433ED8">
      <w:pPr>
        <w:numPr>
          <w:ilvl w:val="0"/>
          <w:numId w:val="3"/>
        </w:numPr>
        <w:autoSpaceDE w:val="0"/>
        <w:autoSpaceDN w:val="0"/>
        <w:snapToGrid w:val="0"/>
        <w:spacing w:line="400" w:lineRule="exact"/>
        <w:ind w:left="0"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营业执照复印件；</w:t>
      </w:r>
    </w:p>
    <w:p w14:paraId="7486E778">
      <w:pPr>
        <w:numPr>
          <w:ilvl w:val="0"/>
          <w:numId w:val="3"/>
        </w:numPr>
        <w:autoSpaceDE w:val="0"/>
        <w:autoSpaceDN w:val="0"/>
        <w:snapToGrid w:val="0"/>
        <w:spacing w:line="400" w:lineRule="exact"/>
        <w:ind w:left="0"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供应商情况一览表（格式见附件）；</w:t>
      </w:r>
    </w:p>
    <w:p w14:paraId="5BCF0AD9">
      <w:pPr>
        <w:numPr>
          <w:ilvl w:val="0"/>
          <w:numId w:val="3"/>
        </w:numPr>
        <w:autoSpaceDE w:val="0"/>
        <w:autoSpaceDN w:val="0"/>
        <w:snapToGrid w:val="0"/>
        <w:spacing w:line="400" w:lineRule="exact"/>
        <w:ind w:left="0"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成功案例及业绩（同类项目实施情况一览表）（格式见附件）；</w:t>
      </w:r>
    </w:p>
    <w:p w14:paraId="107FA9EC">
      <w:pPr>
        <w:numPr>
          <w:ilvl w:val="0"/>
          <w:numId w:val="3"/>
        </w:numPr>
        <w:autoSpaceDE w:val="0"/>
        <w:autoSpaceDN w:val="0"/>
        <w:snapToGrid w:val="0"/>
        <w:spacing w:line="400" w:lineRule="exact"/>
        <w:ind w:left="0"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商务响应表（格式见附件）；</w:t>
      </w:r>
    </w:p>
    <w:p w14:paraId="36995CCE">
      <w:pPr>
        <w:numPr>
          <w:ilvl w:val="0"/>
          <w:numId w:val="3"/>
        </w:numPr>
        <w:autoSpaceDE w:val="0"/>
        <w:autoSpaceDN w:val="0"/>
        <w:snapToGrid w:val="0"/>
        <w:spacing w:line="400" w:lineRule="exact"/>
        <w:ind w:left="0"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技术响应表（格式见附件）；</w:t>
      </w:r>
    </w:p>
    <w:p w14:paraId="2B6765AD">
      <w:pPr>
        <w:numPr>
          <w:ilvl w:val="0"/>
          <w:numId w:val="3"/>
        </w:numPr>
        <w:autoSpaceDE w:val="0"/>
        <w:autoSpaceDN w:val="0"/>
        <w:snapToGrid w:val="0"/>
        <w:spacing w:line="400" w:lineRule="exact"/>
        <w:ind w:left="0" w:firstLine="420" w:firstLineChars="200"/>
        <w:textAlignment w:val="bottom"/>
        <w:rPr>
          <w:rFonts w:ascii="宋体" w:hAnsi="宋体" w:cs="宋体"/>
          <w:bCs/>
          <w:color w:val="auto"/>
          <w:szCs w:val="21"/>
          <w:highlight w:val="none"/>
        </w:rPr>
      </w:pPr>
      <w:r>
        <w:rPr>
          <w:rFonts w:hint="eastAsia" w:ascii="宋体" w:hAnsi="宋体" w:cs="仿宋"/>
          <w:bCs/>
          <w:color w:val="auto"/>
          <w:szCs w:val="21"/>
          <w:highlight w:val="none"/>
        </w:rPr>
        <w:t>项目实施方案</w:t>
      </w:r>
      <w:r>
        <w:rPr>
          <w:rFonts w:hint="eastAsia" w:ascii="宋体" w:hAnsi="宋体" w:cs="宋体"/>
          <w:bCs/>
          <w:color w:val="auto"/>
          <w:szCs w:val="21"/>
          <w:highlight w:val="none"/>
        </w:rPr>
        <w:t>；</w:t>
      </w:r>
    </w:p>
    <w:p w14:paraId="3A344C8B">
      <w:pPr>
        <w:numPr>
          <w:ilvl w:val="0"/>
          <w:numId w:val="3"/>
        </w:numPr>
        <w:autoSpaceDE w:val="0"/>
        <w:autoSpaceDN w:val="0"/>
        <w:snapToGrid w:val="0"/>
        <w:spacing w:line="400" w:lineRule="exact"/>
        <w:ind w:left="0" w:firstLine="420" w:firstLineChars="200"/>
        <w:textAlignment w:val="bottom"/>
        <w:rPr>
          <w:rFonts w:ascii="宋体" w:hAnsi="宋体" w:cs="宋体"/>
          <w:bCs/>
          <w:color w:val="auto"/>
          <w:szCs w:val="21"/>
          <w:highlight w:val="none"/>
        </w:rPr>
      </w:pPr>
      <w:r>
        <w:rPr>
          <w:rFonts w:hint="eastAsia" w:ascii="宋体" w:hAnsi="宋体" w:eastAsia="宋体" w:cs="宋体"/>
          <w:color w:val="auto"/>
          <w:kern w:val="2"/>
          <w:sz w:val="21"/>
          <w:szCs w:val="21"/>
          <w:highlight w:val="none"/>
          <w:lang w:val="en-US" w:eastAsia="zh-CN"/>
        </w:rPr>
        <w:t>工学一体服务能力</w:t>
      </w:r>
      <w:r>
        <w:rPr>
          <w:rFonts w:hint="eastAsia" w:ascii="宋体" w:hAnsi="宋体" w:cs="宋体"/>
          <w:color w:val="auto"/>
          <w:szCs w:val="21"/>
          <w:highlight w:val="none"/>
        </w:rPr>
        <w:t>；</w:t>
      </w:r>
    </w:p>
    <w:p w14:paraId="7072B131">
      <w:pPr>
        <w:numPr>
          <w:ilvl w:val="0"/>
          <w:numId w:val="3"/>
        </w:numPr>
        <w:autoSpaceDE w:val="0"/>
        <w:autoSpaceDN w:val="0"/>
        <w:snapToGrid w:val="0"/>
        <w:spacing w:line="400" w:lineRule="exact"/>
        <w:ind w:left="0" w:firstLine="420" w:firstLineChars="200"/>
        <w:textAlignment w:val="bottom"/>
        <w:rPr>
          <w:rFonts w:ascii="宋体" w:hAnsi="宋体" w:cs="宋体"/>
          <w:bCs/>
          <w:color w:val="auto"/>
          <w:szCs w:val="21"/>
          <w:highlight w:val="none"/>
        </w:rPr>
      </w:pPr>
      <w:r>
        <w:rPr>
          <w:rFonts w:hint="eastAsia" w:ascii="宋体" w:hAnsi="宋体" w:cs="宋体"/>
          <w:color w:val="auto"/>
          <w:szCs w:val="21"/>
          <w:highlight w:val="none"/>
        </w:rPr>
        <w:t>重点难点分析和解决措施</w:t>
      </w:r>
      <w:r>
        <w:rPr>
          <w:rFonts w:hint="eastAsia" w:ascii="宋体" w:hAnsi="宋体"/>
          <w:color w:val="auto"/>
          <w:szCs w:val="21"/>
          <w:highlight w:val="none"/>
        </w:rPr>
        <w:t>；</w:t>
      </w:r>
    </w:p>
    <w:p w14:paraId="3D595528">
      <w:pPr>
        <w:numPr>
          <w:ilvl w:val="0"/>
          <w:numId w:val="3"/>
        </w:numPr>
        <w:autoSpaceDE w:val="0"/>
        <w:autoSpaceDN w:val="0"/>
        <w:snapToGrid w:val="0"/>
        <w:spacing w:line="400" w:lineRule="exact"/>
        <w:ind w:left="0" w:firstLine="420" w:firstLineChars="200"/>
        <w:textAlignment w:val="bottom"/>
        <w:rPr>
          <w:rFonts w:ascii="宋体" w:hAnsi="宋体" w:cs="宋体"/>
          <w:bCs/>
          <w:color w:val="auto"/>
          <w:szCs w:val="21"/>
          <w:highlight w:val="none"/>
        </w:rPr>
      </w:pPr>
      <w:r>
        <w:rPr>
          <w:rFonts w:hint="eastAsia" w:ascii="宋体" w:hAnsi="宋体" w:cs="宋体"/>
          <w:color w:val="auto"/>
          <w:szCs w:val="21"/>
          <w:highlight w:val="none"/>
        </w:rPr>
        <w:t>质量保障措施；</w:t>
      </w:r>
    </w:p>
    <w:p w14:paraId="7FE8EB19">
      <w:pPr>
        <w:numPr>
          <w:ilvl w:val="0"/>
          <w:numId w:val="3"/>
        </w:numPr>
        <w:autoSpaceDE w:val="0"/>
        <w:autoSpaceDN w:val="0"/>
        <w:snapToGrid w:val="0"/>
        <w:spacing w:line="400" w:lineRule="exact"/>
        <w:ind w:left="0" w:firstLine="420" w:firstLineChars="200"/>
        <w:textAlignment w:val="bottom"/>
        <w:rPr>
          <w:rFonts w:ascii="宋体" w:hAnsi="宋体" w:cs="宋体"/>
          <w:bCs/>
          <w:color w:val="auto"/>
          <w:szCs w:val="21"/>
          <w:highlight w:val="none"/>
        </w:rPr>
      </w:pPr>
      <w:r>
        <w:rPr>
          <w:rFonts w:hint="eastAsia" w:ascii="宋体" w:hAnsi="宋体" w:cs="宋体"/>
          <w:color w:val="auto"/>
          <w:kern w:val="0"/>
          <w:szCs w:val="21"/>
          <w:highlight w:val="none"/>
          <w:lang w:val="zh-TW"/>
        </w:rPr>
        <w:t>安全与保密措施</w:t>
      </w:r>
      <w:r>
        <w:rPr>
          <w:rFonts w:hint="eastAsia" w:ascii="宋体" w:hAnsi="宋体" w:cs="宋体"/>
          <w:bCs/>
          <w:color w:val="auto"/>
          <w:szCs w:val="21"/>
          <w:highlight w:val="none"/>
        </w:rPr>
        <w:t>；</w:t>
      </w:r>
    </w:p>
    <w:p w14:paraId="599C874F">
      <w:pPr>
        <w:numPr>
          <w:ilvl w:val="0"/>
          <w:numId w:val="3"/>
        </w:numPr>
        <w:autoSpaceDE w:val="0"/>
        <w:autoSpaceDN w:val="0"/>
        <w:snapToGrid w:val="0"/>
        <w:spacing w:line="400" w:lineRule="exact"/>
        <w:ind w:left="0"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项目实施人员一览表（格式见附件）；</w:t>
      </w:r>
    </w:p>
    <w:p w14:paraId="62FDB283">
      <w:pPr>
        <w:numPr>
          <w:ilvl w:val="0"/>
          <w:numId w:val="3"/>
        </w:numPr>
        <w:autoSpaceDE w:val="0"/>
        <w:autoSpaceDN w:val="0"/>
        <w:snapToGrid w:val="0"/>
        <w:spacing w:line="400" w:lineRule="exact"/>
        <w:ind w:left="0" w:firstLine="420" w:firstLineChars="200"/>
        <w:textAlignment w:val="bottom"/>
        <w:rPr>
          <w:rFonts w:ascii="宋体" w:hAnsi="宋体" w:cs="宋体"/>
          <w:bCs/>
          <w:color w:val="auto"/>
          <w:szCs w:val="21"/>
          <w:highlight w:val="none"/>
        </w:rPr>
      </w:pPr>
      <w:r>
        <w:rPr>
          <w:rFonts w:hint="eastAsia" w:ascii="宋体" w:hAnsi="宋体" w:cs="宋体"/>
          <w:color w:val="auto"/>
          <w:szCs w:val="21"/>
          <w:highlight w:val="none"/>
        </w:rPr>
        <w:t>项目团队人员</w:t>
      </w:r>
      <w:r>
        <w:rPr>
          <w:rFonts w:hint="eastAsia" w:ascii="宋体" w:hAnsi="宋体" w:cs="宋体"/>
          <w:bCs/>
          <w:color w:val="auto"/>
          <w:szCs w:val="21"/>
          <w:highlight w:val="none"/>
        </w:rPr>
        <w:t>；</w:t>
      </w:r>
    </w:p>
    <w:p w14:paraId="1C83D1B0">
      <w:pPr>
        <w:numPr>
          <w:ilvl w:val="0"/>
          <w:numId w:val="3"/>
        </w:numPr>
        <w:autoSpaceDE w:val="0"/>
        <w:autoSpaceDN w:val="0"/>
        <w:snapToGrid w:val="0"/>
        <w:spacing w:line="400" w:lineRule="exact"/>
        <w:ind w:left="0" w:firstLine="420" w:firstLineChars="200"/>
        <w:textAlignment w:val="bottom"/>
        <w:rPr>
          <w:rFonts w:ascii="宋体" w:hAnsi="宋体" w:cs="宋体"/>
          <w:bCs/>
          <w:color w:val="auto"/>
          <w:szCs w:val="21"/>
          <w:highlight w:val="none"/>
        </w:rPr>
      </w:pPr>
      <w:r>
        <w:rPr>
          <w:rFonts w:hint="eastAsia" w:ascii="宋体" w:hAnsi="宋体" w:cs="仿宋"/>
          <w:bCs/>
          <w:color w:val="auto"/>
          <w:szCs w:val="21"/>
          <w:highlight w:val="none"/>
        </w:rPr>
        <w:t>售后服务</w:t>
      </w:r>
      <w:r>
        <w:rPr>
          <w:rFonts w:hint="eastAsia" w:ascii="宋体" w:hAnsi="宋体" w:cs="宋体"/>
          <w:bCs/>
          <w:color w:val="auto"/>
          <w:szCs w:val="21"/>
          <w:highlight w:val="none"/>
        </w:rPr>
        <w:t>；</w:t>
      </w:r>
    </w:p>
    <w:p w14:paraId="679F3C74">
      <w:pPr>
        <w:numPr>
          <w:ilvl w:val="0"/>
          <w:numId w:val="3"/>
        </w:numPr>
        <w:autoSpaceDE w:val="0"/>
        <w:autoSpaceDN w:val="0"/>
        <w:snapToGrid w:val="0"/>
        <w:spacing w:line="400" w:lineRule="exact"/>
        <w:ind w:left="0" w:firstLine="420" w:firstLineChars="200"/>
        <w:textAlignment w:val="bottom"/>
        <w:rPr>
          <w:rFonts w:ascii="宋体" w:hAnsi="宋体" w:cs="宋体"/>
          <w:bCs/>
          <w:color w:val="auto"/>
          <w:szCs w:val="21"/>
          <w:highlight w:val="none"/>
        </w:rPr>
      </w:pPr>
      <w:r>
        <w:rPr>
          <w:rFonts w:hint="eastAsia" w:ascii="宋体" w:hAnsi="宋体" w:cs="仿宋"/>
          <w:bCs/>
          <w:color w:val="auto"/>
          <w:szCs w:val="21"/>
          <w:highlight w:val="none"/>
        </w:rPr>
        <w:t>权威认证、经营许可</w:t>
      </w:r>
      <w:r>
        <w:rPr>
          <w:rFonts w:hint="eastAsia" w:ascii="宋体" w:hAnsi="宋体" w:cs="宋体"/>
          <w:bCs/>
          <w:color w:val="auto"/>
          <w:szCs w:val="21"/>
          <w:highlight w:val="none"/>
        </w:rPr>
        <w:t>；</w:t>
      </w:r>
    </w:p>
    <w:p w14:paraId="49B0844B">
      <w:pPr>
        <w:numPr>
          <w:ilvl w:val="0"/>
          <w:numId w:val="3"/>
        </w:numPr>
        <w:autoSpaceDE w:val="0"/>
        <w:autoSpaceDN w:val="0"/>
        <w:snapToGrid w:val="0"/>
        <w:spacing w:line="400" w:lineRule="exact"/>
        <w:ind w:left="0"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采购文件要求的及供应商认为可能需要的其他文件资料。</w:t>
      </w:r>
    </w:p>
    <w:p w14:paraId="61822898">
      <w:pPr>
        <w:overflowPunct w:val="0"/>
        <w:autoSpaceDE w:val="0"/>
        <w:autoSpaceDN w:val="0"/>
        <w:adjustRightInd w:val="0"/>
        <w:snapToGrid w:val="0"/>
        <w:spacing w:line="400" w:lineRule="exact"/>
        <w:ind w:firstLine="422" w:firstLineChars="200"/>
        <w:textAlignment w:val="bottom"/>
        <w:rPr>
          <w:rFonts w:ascii="宋体" w:hAnsi="宋体" w:cs="宋体"/>
          <w:b/>
          <w:color w:val="auto"/>
          <w:szCs w:val="21"/>
          <w:highlight w:val="none"/>
        </w:rPr>
      </w:pPr>
      <w:r>
        <w:rPr>
          <w:rFonts w:ascii="宋体" w:hAnsi="宋体" w:cs="宋体"/>
          <w:b/>
          <w:color w:val="auto"/>
          <w:szCs w:val="21"/>
          <w:highlight w:val="none"/>
        </w:rPr>
        <w:t xml:space="preserve">3.3 </w:t>
      </w:r>
      <w:r>
        <w:rPr>
          <w:rFonts w:hint="eastAsia" w:ascii="宋体" w:hAnsi="宋体" w:cs="宋体"/>
          <w:b/>
          <w:color w:val="auto"/>
          <w:szCs w:val="21"/>
          <w:highlight w:val="none"/>
        </w:rPr>
        <w:t>报价文件</w:t>
      </w:r>
      <w:r>
        <w:rPr>
          <w:rFonts w:ascii="宋体" w:hAnsi="宋体" w:cs="宋体"/>
          <w:b/>
          <w:color w:val="auto"/>
          <w:szCs w:val="21"/>
          <w:highlight w:val="none"/>
        </w:rPr>
        <w:t xml:space="preserve"> </w:t>
      </w:r>
    </w:p>
    <w:p w14:paraId="2DF4191D">
      <w:pPr>
        <w:numPr>
          <w:ilvl w:val="0"/>
          <w:numId w:val="4"/>
        </w:numPr>
        <w:autoSpaceDE w:val="0"/>
        <w:autoSpaceDN w:val="0"/>
        <w:snapToGrid w:val="0"/>
        <w:spacing w:line="400" w:lineRule="exact"/>
        <w:ind w:left="0"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初次报价表（格式见附件）；</w:t>
      </w:r>
    </w:p>
    <w:p w14:paraId="16042DF5">
      <w:pPr>
        <w:overflowPunct w:val="0"/>
        <w:spacing w:line="400" w:lineRule="exact"/>
        <w:ind w:firstLine="422" w:firstLineChars="200"/>
        <w:rPr>
          <w:rFonts w:ascii="宋体" w:cs="宋体"/>
          <w:b/>
          <w:color w:val="auto"/>
          <w:szCs w:val="21"/>
          <w:highlight w:val="none"/>
        </w:rPr>
      </w:pPr>
      <w:r>
        <w:rPr>
          <w:rFonts w:hint="eastAsia" w:ascii="宋体" w:hAnsi="宋体" w:cs="宋体"/>
          <w:b/>
          <w:color w:val="auto"/>
          <w:szCs w:val="21"/>
          <w:highlight w:val="none"/>
        </w:rPr>
        <w:t>以上磋商响应文件组成内容中的复印件或扫描件均须加盖供应商电子公章。</w:t>
      </w:r>
    </w:p>
    <w:p w14:paraId="4114513B">
      <w:pPr>
        <w:overflowPunct w:val="0"/>
        <w:spacing w:line="400" w:lineRule="exact"/>
        <w:jc w:val="left"/>
        <w:rPr>
          <w:rFonts w:ascii="宋体" w:cs="宋体"/>
          <w:b/>
          <w:color w:val="auto"/>
          <w:szCs w:val="21"/>
          <w:highlight w:val="none"/>
        </w:rPr>
      </w:pPr>
      <w:bookmarkStart w:id="30" w:name="_Toc32090"/>
      <w:bookmarkStart w:id="31" w:name="_Toc282640705"/>
      <w:bookmarkStart w:id="32" w:name="_Toc21469"/>
      <w:r>
        <w:rPr>
          <w:rFonts w:hint="eastAsia" w:ascii="宋体" w:hAnsi="宋体" w:cs="宋体"/>
          <w:b/>
          <w:color w:val="auto"/>
          <w:szCs w:val="21"/>
          <w:highlight w:val="none"/>
        </w:rPr>
        <w:t>九、响应文件</w:t>
      </w:r>
      <w:bookmarkEnd w:id="30"/>
      <w:bookmarkEnd w:id="31"/>
      <w:bookmarkEnd w:id="32"/>
      <w:r>
        <w:rPr>
          <w:rFonts w:hint="eastAsia" w:ascii="宋体" w:hAnsi="宋体" w:cs="宋体"/>
          <w:b/>
          <w:color w:val="auto"/>
          <w:szCs w:val="21"/>
          <w:highlight w:val="none"/>
        </w:rPr>
        <w:t>编制</w:t>
      </w:r>
    </w:p>
    <w:p w14:paraId="783E972D">
      <w:pPr>
        <w:overflowPunct w:val="0"/>
        <w:autoSpaceDE w:val="0"/>
        <w:autoSpaceDN w:val="0"/>
        <w:adjustRightInd w:val="0"/>
        <w:snapToGrid w:val="0"/>
        <w:spacing w:line="400" w:lineRule="exact"/>
        <w:ind w:firstLine="420" w:firstLineChars="200"/>
        <w:textAlignment w:val="bottom"/>
        <w:rPr>
          <w:rFonts w:ascii="宋体" w:cs="宋体"/>
          <w:bCs/>
          <w:color w:val="auto"/>
          <w:szCs w:val="21"/>
          <w:highlight w:val="none"/>
        </w:rPr>
      </w:pPr>
      <w:bookmarkStart w:id="33" w:name="_Toc282640706"/>
      <w:bookmarkStart w:id="34" w:name="_Toc414960351"/>
      <w:r>
        <w:rPr>
          <w:rFonts w:ascii="宋体" w:hAnsi="宋体" w:cs="宋体"/>
          <w:bCs/>
          <w:color w:val="auto"/>
          <w:szCs w:val="21"/>
          <w:highlight w:val="none"/>
        </w:rPr>
        <w:t>1</w:t>
      </w:r>
      <w:r>
        <w:rPr>
          <w:rFonts w:hint="eastAsia" w:ascii="宋体" w:hAnsi="宋体" w:cs="宋体"/>
          <w:bCs/>
          <w:color w:val="auto"/>
          <w:szCs w:val="21"/>
          <w:highlight w:val="none"/>
        </w:rPr>
        <w:t>、本项目通过“政府采购云平台（</w:t>
      </w:r>
      <w:r>
        <w:rPr>
          <w:rFonts w:ascii="宋体" w:hAnsi="宋体" w:cs="宋体"/>
          <w:bCs/>
          <w:color w:val="auto"/>
          <w:szCs w:val="21"/>
          <w:highlight w:val="none"/>
        </w:rPr>
        <w:t>www.zcygov.cn</w:t>
      </w:r>
      <w:r>
        <w:rPr>
          <w:rFonts w:hint="eastAsia" w:ascii="宋体" w:hAnsi="宋体" w:cs="宋体"/>
          <w:bCs/>
          <w:color w:val="auto"/>
          <w:szCs w:val="21"/>
          <w:highlight w:val="none"/>
        </w:rPr>
        <w:t>）”实行在线投标响应（电子投标）。供应商应通过“政采云电子交易客户端”，并按照本磋商文件和“政府采购云平台”的要求编制并加密响应文件。</w:t>
      </w:r>
      <w:bookmarkEnd w:id="33"/>
      <w:bookmarkEnd w:id="34"/>
      <w:bookmarkStart w:id="35" w:name="_Toc282640707"/>
    </w:p>
    <w:p w14:paraId="7CD2B9FB">
      <w:pPr>
        <w:overflowPunct w:val="0"/>
        <w:autoSpaceDE w:val="0"/>
        <w:autoSpaceDN w:val="0"/>
        <w:adjustRightInd w:val="0"/>
        <w:snapToGrid w:val="0"/>
        <w:spacing w:line="400" w:lineRule="exact"/>
        <w:ind w:firstLine="420" w:firstLineChars="200"/>
        <w:textAlignment w:val="bottom"/>
        <w:rPr>
          <w:rFonts w:ascii="宋体" w:cs="宋体"/>
          <w:bCs/>
          <w:color w:val="auto"/>
          <w:szCs w:val="21"/>
          <w:highlight w:val="none"/>
        </w:rPr>
      </w:pPr>
      <w:bookmarkStart w:id="36" w:name="_Toc414960352"/>
      <w:r>
        <w:rPr>
          <w:rFonts w:ascii="宋体" w:hAnsi="宋体" w:cs="宋体"/>
          <w:bCs/>
          <w:color w:val="auto"/>
          <w:szCs w:val="21"/>
          <w:highlight w:val="none"/>
        </w:rPr>
        <w:t>2</w:t>
      </w:r>
      <w:r>
        <w:rPr>
          <w:rFonts w:hint="eastAsia" w:ascii="宋体" w:hAnsi="宋体" w:cs="宋体"/>
          <w:bCs/>
          <w:color w:val="auto"/>
          <w:szCs w:val="21"/>
          <w:highlight w:val="none"/>
        </w:rPr>
        <w:t>、供应商应当按照本章节</w:t>
      </w:r>
      <w:r>
        <w:rPr>
          <w:rFonts w:ascii="宋体" w:hAnsi="宋体" w:cs="宋体"/>
          <w:bCs/>
          <w:color w:val="auto"/>
          <w:szCs w:val="21"/>
          <w:highlight w:val="none"/>
        </w:rPr>
        <w:t xml:space="preserve"> </w:t>
      </w:r>
      <w:r>
        <w:rPr>
          <w:rFonts w:hint="eastAsia" w:ascii="宋体" w:hAnsi="宋体" w:cs="宋体"/>
          <w:bCs/>
          <w:color w:val="auto"/>
          <w:szCs w:val="21"/>
          <w:highlight w:val="none"/>
        </w:rPr>
        <w:t>“响应文件组成”规定的内容及顺序在“政采云电子交易客户端”编制响应文件。</w:t>
      </w:r>
      <w:bookmarkEnd w:id="35"/>
      <w:bookmarkEnd w:id="36"/>
      <w:bookmarkStart w:id="37" w:name="_Toc282640708"/>
    </w:p>
    <w:p w14:paraId="57F3034E">
      <w:pPr>
        <w:overflowPunct w:val="0"/>
        <w:autoSpaceDE w:val="0"/>
        <w:autoSpaceDN w:val="0"/>
        <w:adjustRightInd w:val="0"/>
        <w:spacing w:line="400" w:lineRule="exact"/>
        <w:ind w:firstLine="420" w:firstLineChars="200"/>
        <w:textAlignment w:val="bottom"/>
        <w:rPr>
          <w:rFonts w:ascii="宋体" w:cs="宋体"/>
          <w:bCs/>
          <w:color w:val="auto"/>
          <w:szCs w:val="21"/>
          <w:highlight w:val="none"/>
        </w:rPr>
      </w:pPr>
      <w:bookmarkStart w:id="38" w:name="_Toc414960353"/>
      <w:r>
        <w:rPr>
          <w:rFonts w:ascii="宋体" w:hAnsi="宋体" w:cs="宋体"/>
          <w:bCs/>
          <w:color w:val="auto"/>
          <w:szCs w:val="21"/>
          <w:highlight w:val="none"/>
        </w:rPr>
        <w:t>3</w:t>
      </w:r>
      <w:r>
        <w:rPr>
          <w:rFonts w:hint="eastAsia" w:ascii="宋体" w:hAnsi="宋体" w:cs="宋体"/>
          <w:bCs/>
          <w:color w:val="auto"/>
          <w:szCs w:val="21"/>
          <w:highlight w:val="none"/>
        </w:rPr>
        <w:t>、本文件《响应文件的组成》中有提供格式的，供应商须参照格式进行编制（格式中要求提供相关证明材料的还需后附相关证明材料），并按格式要求在指定位置根据要求进行签章，否则视为未提供；本文件《响应文件的组成》未提供格式的，请各供应商自行拟定格式，并加盖单位电子公章并由法定代表人或其授权代表签署（签字或盖章），否则视为未提供。</w:t>
      </w:r>
      <w:bookmarkEnd w:id="37"/>
      <w:bookmarkEnd w:id="38"/>
    </w:p>
    <w:p w14:paraId="488B77ED">
      <w:pPr>
        <w:pStyle w:val="12"/>
        <w:widowControl w:val="0"/>
        <w:overflowPunct w:val="0"/>
        <w:spacing w:before="0" w:beforeAutospacing="0" w:after="0" w:afterAutospacing="0" w:line="400" w:lineRule="exact"/>
        <w:ind w:firstLine="420" w:firstLineChars="200"/>
        <w:rPr>
          <w:bCs/>
          <w:color w:val="auto"/>
          <w:kern w:val="2"/>
          <w:sz w:val="21"/>
          <w:szCs w:val="21"/>
          <w:highlight w:val="none"/>
        </w:rPr>
      </w:pPr>
      <w:r>
        <w:rPr>
          <w:bCs/>
          <w:color w:val="auto"/>
          <w:kern w:val="2"/>
          <w:sz w:val="21"/>
          <w:szCs w:val="21"/>
          <w:highlight w:val="none"/>
        </w:rPr>
        <w:t>4</w:t>
      </w:r>
      <w:r>
        <w:rPr>
          <w:rFonts w:hint="eastAsia"/>
          <w:bCs/>
          <w:color w:val="auto"/>
          <w:kern w:val="2"/>
          <w:sz w:val="21"/>
          <w:szCs w:val="21"/>
          <w:highlight w:val="none"/>
        </w:rPr>
        <w:t>、响应文件内容不完整、编排混乱导致响应文件被误读、漏读或者查找不到相关内容的，是投标供应商的责任。</w:t>
      </w:r>
    </w:p>
    <w:p w14:paraId="1B02098C">
      <w:pPr>
        <w:pStyle w:val="12"/>
        <w:widowControl w:val="0"/>
        <w:overflowPunct w:val="0"/>
        <w:spacing w:before="0" w:beforeAutospacing="0" w:after="0" w:afterAutospacing="0" w:line="400" w:lineRule="exact"/>
        <w:ind w:firstLine="420" w:firstLineChars="200"/>
        <w:rPr>
          <w:bCs/>
          <w:color w:val="auto"/>
          <w:kern w:val="2"/>
          <w:sz w:val="21"/>
          <w:szCs w:val="21"/>
          <w:highlight w:val="none"/>
        </w:rPr>
      </w:pPr>
      <w:r>
        <w:rPr>
          <w:bCs/>
          <w:color w:val="auto"/>
          <w:kern w:val="2"/>
          <w:sz w:val="21"/>
          <w:szCs w:val="21"/>
          <w:highlight w:val="none"/>
        </w:rPr>
        <w:t>5</w:t>
      </w:r>
      <w:r>
        <w:rPr>
          <w:rFonts w:hint="eastAsia"/>
          <w:bCs/>
          <w:color w:val="auto"/>
          <w:kern w:val="2"/>
          <w:sz w:val="21"/>
          <w:szCs w:val="21"/>
          <w:highlight w:val="none"/>
        </w:rPr>
        <w:t>、响应文件因字迹潦草或表达不清所引起的后果由投标供应商负责。</w:t>
      </w:r>
    </w:p>
    <w:p w14:paraId="188A92DE">
      <w:pPr>
        <w:pStyle w:val="12"/>
        <w:widowControl w:val="0"/>
        <w:overflowPunct w:val="0"/>
        <w:spacing w:before="0" w:beforeAutospacing="0" w:after="0" w:afterAutospacing="0" w:line="400" w:lineRule="exact"/>
        <w:ind w:firstLine="420" w:firstLineChars="200"/>
        <w:rPr>
          <w:bCs/>
          <w:color w:val="auto"/>
          <w:kern w:val="2"/>
          <w:sz w:val="21"/>
          <w:szCs w:val="21"/>
          <w:highlight w:val="none"/>
        </w:rPr>
      </w:pPr>
      <w:r>
        <w:rPr>
          <w:bCs/>
          <w:color w:val="auto"/>
          <w:kern w:val="2"/>
          <w:sz w:val="21"/>
          <w:szCs w:val="21"/>
          <w:highlight w:val="none"/>
        </w:rPr>
        <w:t>6</w:t>
      </w:r>
      <w:r>
        <w:rPr>
          <w:rFonts w:hint="eastAsia"/>
          <w:bCs/>
          <w:color w:val="auto"/>
          <w:kern w:val="2"/>
          <w:sz w:val="21"/>
          <w:szCs w:val="21"/>
          <w:highlight w:val="none"/>
        </w:rPr>
        <w:t>、供应商没有按照本章节“响应文件的组成”要求提供全部资料，或者没有仔细阅读磋商文件，或者没有对磋商文件在各方面的要求作出实质性响应是供应商的风险，由此造成的一切后果由供应商自行承担。</w:t>
      </w:r>
    </w:p>
    <w:p w14:paraId="4567E08B">
      <w:pPr>
        <w:overflowPunct w:val="0"/>
        <w:spacing w:line="400" w:lineRule="exact"/>
        <w:jc w:val="left"/>
        <w:rPr>
          <w:rFonts w:ascii="宋体" w:cs="宋体"/>
          <w:b/>
          <w:color w:val="auto"/>
          <w:szCs w:val="21"/>
          <w:highlight w:val="none"/>
        </w:rPr>
      </w:pPr>
      <w:bookmarkStart w:id="39" w:name="_Toc25232"/>
      <w:bookmarkStart w:id="40" w:name="_Toc282640709"/>
      <w:bookmarkStart w:id="41" w:name="_Toc2064"/>
      <w:r>
        <w:rPr>
          <w:rFonts w:hint="eastAsia" w:ascii="宋体" w:hAnsi="宋体" w:cs="宋体"/>
          <w:b/>
          <w:color w:val="auto"/>
          <w:szCs w:val="21"/>
          <w:highlight w:val="none"/>
        </w:rPr>
        <w:t>十、响应文件的上传和递交</w:t>
      </w:r>
      <w:bookmarkEnd w:id="39"/>
      <w:bookmarkEnd w:id="40"/>
      <w:bookmarkEnd w:id="41"/>
    </w:p>
    <w:p w14:paraId="41DFE101">
      <w:pPr>
        <w:overflowPunct w:val="0"/>
        <w:spacing w:line="400" w:lineRule="exact"/>
        <w:ind w:firstLine="420" w:firstLineChars="200"/>
        <w:jc w:val="left"/>
        <w:rPr>
          <w:rFonts w:ascii="宋体" w:cs="宋体"/>
          <w:bCs/>
          <w:color w:val="auto"/>
          <w:szCs w:val="21"/>
          <w:highlight w:val="none"/>
        </w:rPr>
      </w:pPr>
      <w:bookmarkStart w:id="42" w:name="_Toc16881"/>
      <w:bookmarkStart w:id="43" w:name="_Toc3104"/>
      <w:r>
        <w:rPr>
          <w:rFonts w:ascii="宋体" w:hAnsi="宋体" w:cs="宋体"/>
          <w:bCs/>
          <w:color w:val="auto"/>
          <w:szCs w:val="21"/>
          <w:highlight w:val="none"/>
        </w:rPr>
        <w:t>1</w:t>
      </w:r>
      <w:r>
        <w:rPr>
          <w:rFonts w:hint="eastAsia" w:ascii="宋体" w:hAnsi="宋体" w:cs="宋体"/>
          <w:bCs/>
          <w:color w:val="auto"/>
          <w:szCs w:val="21"/>
          <w:highlight w:val="none"/>
        </w:rPr>
        <w:t>、响应文件的上传、递交：</w:t>
      </w:r>
      <w:bookmarkEnd w:id="42"/>
      <w:bookmarkEnd w:id="43"/>
      <w:r>
        <w:rPr>
          <w:rFonts w:hint="eastAsia" w:ascii="宋体" w:hAnsi="宋体" w:cs="宋体"/>
          <w:bCs/>
          <w:color w:val="auto"/>
          <w:szCs w:val="21"/>
          <w:highlight w:val="none"/>
        </w:rPr>
        <w:t>见《前附表》。</w:t>
      </w:r>
    </w:p>
    <w:p w14:paraId="585555C8">
      <w:pPr>
        <w:overflowPunct w:val="0"/>
        <w:autoSpaceDE w:val="0"/>
        <w:autoSpaceDN w:val="0"/>
        <w:adjustRightInd w:val="0"/>
        <w:snapToGrid w:val="0"/>
        <w:spacing w:line="400" w:lineRule="exact"/>
        <w:ind w:firstLine="420" w:firstLineChars="200"/>
        <w:textAlignment w:val="bottom"/>
        <w:rPr>
          <w:rFonts w:asci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、响应文件的补充和修改：</w:t>
      </w:r>
    </w:p>
    <w:p w14:paraId="2EC0AEF3">
      <w:pPr>
        <w:overflowPunct w:val="0"/>
        <w:autoSpaceDE w:val="0"/>
        <w:autoSpaceDN w:val="0"/>
        <w:adjustRightInd w:val="0"/>
        <w:snapToGrid w:val="0"/>
        <w:spacing w:line="400" w:lineRule="exact"/>
        <w:ind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供应商应当在投标截止时间前完成响应文件的上传、递交，并可以补充、修改或者撤回响应文件。补充或者修改响应文件的，应当先行撤回原文件，补充、修改后重新上传、递交。投标截止时间前未完成上传、递交的，视为撤回响应文件。投标截止时间后递交的响应文件，“政府采购云平台”将予以拒收。投标截止时间后，供应商不得撤回、修改《响应文件》</w:t>
      </w:r>
    </w:p>
    <w:p w14:paraId="575F67EA">
      <w:pPr>
        <w:overflowPunct w:val="0"/>
        <w:autoSpaceDE w:val="0"/>
        <w:autoSpaceDN w:val="0"/>
        <w:adjustRightInd w:val="0"/>
        <w:snapToGrid w:val="0"/>
        <w:spacing w:line="400" w:lineRule="exact"/>
        <w:ind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3、响应文件填写字迹必须清楚、工整，对在响应文件中的不同文字文本的解释发生异议的，以中文文本为准。</w:t>
      </w:r>
    </w:p>
    <w:p w14:paraId="55DEC336">
      <w:pPr>
        <w:pStyle w:val="12"/>
        <w:widowControl w:val="0"/>
        <w:overflowPunct w:val="0"/>
        <w:spacing w:before="0" w:beforeAutospacing="0" w:after="0" w:afterAutospacing="0" w:line="400" w:lineRule="exact"/>
        <w:ind w:firstLine="420" w:firstLineChars="200"/>
        <w:rPr>
          <w:bCs/>
          <w:color w:val="auto"/>
          <w:kern w:val="2"/>
          <w:sz w:val="21"/>
          <w:szCs w:val="21"/>
          <w:highlight w:val="none"/>
        </w:rPr>
      </w:pPr>
      <w:r>
        <w:rPr>
          <w:rFonts w:hint="eastAsia"/>
          <w:bCs/>
          <w:color w:val="auto"/>
          <w:kern w:val="2"/>
          <w:sz w:val="21"/>
          <w:szCs w:val="21"/>
          <w:highlight w:val="none"/>
        </w:rPr>
        <w:t>4、供应商不得递交任何的投标备选（替代）方案，否则其响应文件将作无效标处理。与“电子加密响应文件”同时生成的“备份响应文件”及“纸质备选响应文件”不是投标备选（替代）方案。</w:t>
      </w:r>
    </w:p>
    <w:p w14:paraId="4E78AC6A">
      <w:pPr>
        <w:overflowPunct w:val="0"/>
        <w:spacing w:line="400" w:lineRule="exact"/>
        <w:jc w:val="left"/>
        <w:rPr>
          <w:rFonts w:ascii="宋体" w:cs="宋体"/>
          <w:b/>
          <w:color w:val="auto"/>
          <w:szCs w:val="21"/>
          <w:highlight w:val="none"/>
        </w:rPr>
      </w:pPr>
      <w:bookmarkStart w:id="44" w:name="_Toc282640710"/>
      <w:bookmarkStart w:id="45" w:name="_Toc15269"/>
      <w:bookmarkStart w:id="46" w:name="_Toc17074"/>
      <w:r>
        <w:rPr>
          <w:rFonts w:hint="eastAsia" w:ascii="宋体" w:hAnsi="宋体" w:cs="宋体"/>
          <w:b/>
          <w:color w:val="auto"/>
          <w:szCs w:val="21"/>
          <w:highlight w:val="none"/>
        </w:rPr>
        <w:t>十一、无效响应文件</w:t>
      </w:r>
      <w:bookmarkEnd w:id="44"/>
      <w:bookmarkEnd w:id="45"/>
      <w:bookmarkEnd w:id="46"/>
    </w:p>
    <w:p w14:paraId="60587875">
      <w:pPr>
        <w:overflowPunct w:val="0"/>
        <w:spacing w:line="400" w:lineRule="exact"/>
        <w:ind w:firstLine="420" w:firstLineChars="200"/>
        <w:rPr>
          <w:rFonts w:ascii="宋体" w:hAnsi="宋体" w:cs="宋体"/>
          <w:bCs/>
          <w:color w:val="auto"/>
          <w:szCs w:val="21"/>
          <w:highlight w:val="none"/>
        </w:rPr>
      </w:pPr>
      <w:bookmarkStart w:id="47" w:name="_Toc282640720"/>
      <w:r>
        <w:rPr>
          <w:rFonts w:hint="eastAsia" w:ascii="宋体" w:hAnsi="宋体" w:cs="宋体"/>
          <w:bCs/>
          <w:color w:val="auto"/>
          <w:szCs w:val="21"/>
          <w:highlight w:val="none"/>
        </w:rPr>
        <w:t>1、响应文件逾期送达或未按规定的地点送达的；</w:t>
      </w:r>
    </w:p>
    <w:p w14:paraId="5CA67AA1">
      <w:pPr>
        <w:overflowPunct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2、电子响应文件解密失败的，且未在规定时间内提交备份响应文件的；</w:t>
      </w:r>
    </w:p>
    <w:p w14:paraId="12B5C6A7">
      <w:pPr>
        <w:overflowPunct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3、供应商仅递交了“备份响应文件”、“纸质响应文件”而未将电子加密响应文件上传至“政府采购云平台”的；</w:t>
      </w:r>
    </w:p>
    <w:p w14:paraId="770C036C">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4</w:t>
      </w:r>
      <w:r>
        <w:rPr>
          <w:rFonts w:hint="eastAsia" w:ascii="宋体" w:hAnsi="宋体" w:cs="宋体"/>
          <w:bCs/>
          <w:color w:val="auto"/>
          <w:szCs w:val="21"/>
          <w:highlight w:val="none"/>
        </w:rPr>
        <w:t>、不具备磋商文件中规定的资格条件要求的；</w:t>
      </w:r>
    </w:p>
    <w:p w14:paraId="329E0022">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rPr>
        <w:t>、供应商提交两份或两份以上内容不同的磋商响应文件，或在一份磋商响应文件中对同一采购项目有两个或两个以上报价的；</w:t>
      </w:r>
    </w:p>
    <w:p w14:paraId="222CBE1F">
      <w:pPr>
        <w:overflowPunct w:val="0"/>
        <w:spacing w:line="400" w:lineRule="exact"/>
        <w:ind w:firstLine="420" w:firstLineChars="200"/>
        <w:rPr>
          <w:rFonts w:ascii="宋体" w:cs="宋体"/>
          <w:bCs/>
          <w:color w:val="auto"/>
          <w:szCs w:val="21"/>
          <w:highlight w:val="none"/>
        </w:rPr>
      </w:pPr>
      <w:r>
        <w:rPr>
          <w:rFonts w:hint="eastAsia" w:ascii="宋体" w:hAnsi="宋体" w:cs="宋体"/>
          <w:bCs/>
          <w:color w:val="auto"/>
          <w:szCs w:val="21"/>
          <w:highlight w:val="none"/>
        </w:rPr>
        <w:t>6、磋商货物的技术规范、技术标准明显不符合国家强制性要求的；</w:t>
      </w:r>
    </w:p>
    <w:p w14:paraId="0B3A11E5">
      <w:pPr>
        <w:overflowPunct w:val="0"/>
        <w:spacing w:line="400" w:lineRule="exact"/>
        <w:ind w:firstLine="420" w:firstLineChars="200"/>
        <w:rPr>
          <w:rFonts w:ascii="宋体" w:cs="宋体"/>
          <w:bCs/>
          <w:color w:val="auto"/>
          <w:szCs w:val="21"/>
          <w:highlight w:val="none"/>
        </w:rPr>
      </w:pPr>
      <w:r>
        <w:rPr>
          <w:rFonts w:hint="eastAsia" w:ascii="宋体" w:hAnsi="宋体" w:cs="宋体"/>
          <w:bCs/>
          <w:color w:val="auto"/>
          <w:szCs w:val="21"/>
          <w:highlight w:val="none"/>
        </w:rPr>
        <w:t>7、提供不真实资料的；</w:t>
      </w:r>
    </w:p>
    <w:p w14:paraId="47F14250">
      <w:pPr>
        <w:overflowPunct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、《中小企业声明函》填写出现以下错误的，投标（响应）文件无效：</w:t>
      </w:r>
    </w:p>
    <w:p w14:paraId="2BD29F3C">
      <w:pPr>
        <w:overflowPunct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（1）中小企业声明函的行业填写错误（错填为“采购文件确定的行业”、或未填写行业全称经评审小组认定为明显笔误的除外）或者未填写行业的；</w:t>
      </w:r>
    </w:p>
    <w:p w14:paraId="27DD917F">
      <w:pPr>
        <w:overflowPunct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（2）供应商填写的行业不是采购文件明确的行业的（如采购文件明确的行业类型是租赁和商务服务业，供应商填写为制造业或其他行业的）；</w:t>
      </w:r>
    </w:p>
    <w:p w14:paraId="01844EE0">
      <w:pPr>
        <w:overflowPunct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（3）供应商填写的类型正确、但数据错误的，供应商对填报的数据来源不能作出合理解释或解释不合理磋商小组不认可的；</w:t>
      </w:r>
    </w:p>
    <w:p w14:paraId="6F7CC690">
      <w:pPr>
        <w:overflowPunct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（4）供应商填写的类型错误，大型企业填写为中型、或小型、或微型企业的。</w:t>
      </w:r>
    </w:p>
    <w:p w14:paraId="37E99BAA">
      <w:pPr>
        <w:overflowPunct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rPr>
        <w:t>、在电子交易中，出现以下情形的，相关供应商的投标（响应）文件均无效：</w:t>
      </w:r>
    </w:p>
    <w:p w14:paraId="126BF8A6">
      <w:pPr>
        <w:overflowPunct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(1)不同供应商的电子投标(响应)文件上传计算机的网卡MAC地址、CPU序列号和硬盘序本系统别号等硬件信息相同的;</w:t>
      </w:r>
    </w:p>
    <w:p w14:paraId="74F2C542">
      <w:pPr>
        <w:overflowPunct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(2)上传的电子投标(响应)文件若出现使用本项目其他投标(响应)供应商的数字证书加密的，或者加盖本项目其他投标(响应)供应商的电子印章的;</w:t>
      </w:r>
    </w:p>
    <w:p w14:paraId="6D895D84">
      <w:pPr>
        <w:overflowPunct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(3)不同供应商的投标(响应)文件的内容存在三处(含)以上错误一致，且无法合理解释的;</w:t>
      </w:r>
    </w:p>
    <w:p w14:paraId="2D1BD36A">
      <w:pPr>
        <w:overflowPunct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(4)不同供应商联系人为同一人或不同联系人的联系电话一致，且无法合理解释的</w:t>
      </w:r>
    </w:p>
    <w:p w14:paraId="57E1B126">
      <w:pPr>
        <w:overflowPunct w:val="0"/>
        <w:spacing w:line="400" w:lineRule="exact"/>
        <w:ind w:firstLine="420" w:firstLineChars="200"/>
        <w:rPr>
          <w:rFonts w:ascii="宋体" w:cs="宋体"/>
          <w:bCs/>
          <w:color w:val="auto"/>
          <w:szCs w:val="21"/>
          <w:highlight w:val="none"/>
        </w:rPr>
      </w:pP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、不符合法律、法规和磋商文件规定的其他实质性要求（磋商小组一致认定）的；</w:t>
      </w:r>
    </w:p>
    <w:p w14:paraId="4832D180">
      <w:pPr>
        <w:overflowPunct w:val="0"/>
        <w:spacing w:line="400" w:lineRule="exact"/>
        <w:ind w:firstLine="420" w:firstLineChars="200"/>
        <w:rPr>
          <w:rFonts w:ascii="宋体" w:cs="宋体"/>
          <w:bCs/>
          <w:color w:val="auto"/>
          <w:szCs w:val="21"/>
          <w:highlight w:val="none"/>
        </w:rPr>
      </w:pPr>
      <w:r>
        <w:rPr>
          <w:rFonts w:hint="eastAsia" w:ascii="宋体" w:hAnsi="宋体" w:cs="宋体"/>
          <w:bCs/>
          <w:color w:val="auto"/>
          <w:szCs w:val="21"/>
          <w:highlight w:val="none"/>
          <w:lang w:val="en-US" w:eastAsia="zh-CN"/>
        </w:rPr>
        <w:t>11</w:t>
      </w:r>
      <w:r>
        <w:rPr>
          <w:rFonts w:hint="eastAsia" w:ascii="宋体" w:hAnsi="宋体" w:cs="宋体"/>
          <w:bCs/>
          <w:color w:val="auto"/>
          <w:szCs w:val="21"/>
          <w:highlight w:val="none"/>
        </w:rPr>
        <w:t>、磋商服务的服务指标、参数等存在实质性偏离（磋商小组一致认定）的；</w:t>
      </w:r>
    </w:p>
    <w:p w14:paraId="6B8CE88A">
      <w:pPr>
        <w:overflowPunct w:val="0"/>
        <w:spacing w:line="400" w:lineRule="exact"/>
        <w:ind w:firstLine="420" w:firstLineChars="200"/>
        <w:rPr>
          <w:rFonts w:ascii="宋体" w:cs="宋体"/>
          <w:bCs/>
          <w:color w:val="auto"/>
          <w:szCs w:val="21"/>
          <w:highlight w:val="none"/>
        </w:rPr>
      </w:pPr>
      <w:r>
        <w:rPr>
          <w:rFonts w:hint="eastAsia" w:ascii="宋体" w:hAnsi="宋体" w:cs="宋体"/>
          <w:bCs/>
          <w:color w:val="auto"/>
          <w:szCs w:val="21"/>
          <w:highlight w:val="none"/>
          <w:lang w:val="en-US" w:eastAsia="zh-CN"/>
        </w:rPr>
        <w:t>12</w:t>
      </w:r>
      <w:r>
        <w:rPr>
          <w:rFonts w:hint="eastAsia" w:ascii="宋体" w:hAnsi="宋体" w:cs="宋体"/>
          <w:bCs/>
          <w:color w:val="auto"/>
          <w:szCs w:val="21"/>
          <w:highlight w:val="none"/>
        </w:rPr>
        <w:t>、法律、法规、规章及省级以上规范性文件等规定的其他情形。</w:t>
      </w:r>
    </w:p>
    <w:p w14:paraId="261CAA57">
      <w:pPr>
        <w:overflowPunct w:val="0"/>
        <w:spacing w:line="400" w:lineRule="exact"/>
        <w:jc w:val="left"/>
        <w:rPr>
          <w:rFonts w:ascii="宋体" w:cs="宋体"/>
          <w:b/>
          <w:color w:val="auto"/>
          <w:szCs w:val="21"/>
          <w:highlight w:val="none"/>
        </w:rPr>
      </w:pPr>
      <w:bookmarkStart w:id="48" w:name="_Toc24811"/>
      <w:bookmarkStart w:id="49" w:name="_Toc16373"/>
      <w:r>
        <w:rPr>
          <w:rFonts w:hint="eastAsia" w:ascii="宋体" w:hAnsi="宋体" w:cs="宋体"/>
          <w:b/>
          <w:color w:val="auto"/>
          <w:szCs w:val="21"/>
          <w:highlight w:val="none"/>
        </w:rPr>
        <w:t>十二、废标</w:t>
      </w:r>
      <w:bookmarkEnd w:id="48"/>
      <w:bookmarkEnd w:id="49"/>
    </w:p>
    <w:p w14:paraId="77A3AEAA">
      <w:pPr>
        <w:overflowPunct w:val="0"/>
        <w:spacing w:line="400" w:lineRule="exact"/>
        <w:ind w:firstLine="420" w:firstLineChars="200"/>
        <w:rPr>
          <w:rFonts w:ascii="宋体" w:cs="宋体"/>
          <w:bCs/>
          <w:color w:val="auto"/>
          <w:szCs w:val="21"/>
          <w:highlight w:val="none"/>
        </w:rPr>
      </w:pPr>
      <w:r>
        <w:rPr>
          <w:rFonts w:hint="eastAsia" w:ascii="宋体" w:hAnsi="宋体" w:cs="宋体"/>
          <w:bCs/>
          <w:color w:val="auto"/>
          <w:szCs w:val="21"/>
          <w:highlight w:val="none"/>
        </w:rPr>
        <w:t>在磋商中，出现下列情形之一的，应予废标：</w:t>
      </w:r>
    </w:p>
    <w:p w14:paraId="14395EEE">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、符合专业条件的供应商或者对磋商文件作实质响应的供应商不足三家的（特殊情况经审批同意的除外）；</w:t>
      </w:r>
    </w:p>
    <w:p w14:paraId="276028F1">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）出现影响采购公正的违法、违规行为的；</w:t>
      </w:r>
    </w:p>
    <w:p w14:paraId="04BD1828">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）因重大变故，采购任务取消的；</w:t>
      </w:r>
    </w:p>
    <w:p w14:paraId="10C6D0E6">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3</w:t>
      </w:r>
      <w:r>
        <w:rPr>
          <w:rFonts w:hint="eastAsia" w:ascii="宋体" w:hAnsi="宋体" w:cs="宋体"/>
          <w:bCs/>
          <w:color w:val="auto"/>
          <w:szCs w:val="21"/>
          <w:highlight w:val="none"/>
        </w:rPr>
        <w:t>）供应商的报价均超最高限价的，采购人不能支付的；</w:t>
      </w:r>
    </w:p>
    <w:p w14:paraId="238EEEBC">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4</w:t>
      </w:r>
      <w:r>
        <w:rPr>
          <w:rFonts w:hint="eastAsia" w:ascii="宋体" w:hAnsi="宋体" w:cs="宋体"/>
          <w:bCs/>
          <w:color w:val="auto"/>
          <w:szCs w:val="21"/>
          <w:highlight w:val="none"/>
        </w:rPr>
        <w:t>）法律、法规、规章等规定的其他情形除外；</w:t>
      </w:r>
    </w:p>
    <w:p w14:paraId="717B70C7">
      <w:pPr>
        <w:overflowPunct w:val="0"/>
        <w:spacing w:line="400" w:lineRule="exact"/>
        <w:ind w:firstLine="420" w:firstLineChars="200"/>
        <w:rPr>
          <w:rFonts w:ascii="宋体" w:cs="宋体"/>
          <w:bCs/>
          <w:color w:val="auto"/>
          <w:szCs w:val="21"/>
          <w:highlight w:val="none"/>
        </w:rPr>
      </w:pPr>
      <w:r>
        <w:rPr>
          <w:rFonts w:hint="eastAsia" w:ascii="宋体" w:hAnsi="宋体" w:cs="宋体"/>
          <w:bCs/>
          <w:color w:val="auto"/>
          <w:szCs w:val="21"/>
          <w:highlight w:val="none"/>
        </w:rPr>
        <w:t>5）废标后，招标采购单位将废标理由通知所有供应商。</w:t>
      </w:r>
    </w:p>
    <w:p w14:paraId="1826BF10">
      <w:pPr>
        <w:overflowPunct w:val="0"/>
        <w:spacing w:line="400" w:lineRule="exact"/>
        <w:ind w:firstLine="420" w:firstLineChars="200"/>
        <w:rPr>
          <w:rFonts w:ascii="宋体" w:cs="宋体"/>
          <w:bCs/>
          <w:color w:val="auto"/>
          <w:szCs w:val="21"/>
          <w:highlight w:val="none"/>
        </w:rPr>
      </w:pPr>
      <w:r>
        <w:rPr>
          <w:rFonts w:hint="eastAsia" w:ascii="宋体" w:hAnsi="宋体" w:cs="宋体"/>
          <w:bCs/>
          <w:color w:val="auto"/>
          <w:szCs w:val="21"/>
          <w:highlight w:val="none"/>
        </w:rPr>
        <w:t>本磋商规则及程序只适用于“浙江华夏工程管理有限公司磋商文件”。</w:t>
      </w:r>
    </w:p>
    <w:bookmarkEnd w:id="47"/>
    <w:p w14:paraId="1FFA5BDB">
      <w:pPr>
        <w:overflowPunct w:val="0"/>
        <w:spacing w:line="400" w:lineRule="exact"/>
        <w:jc w:val="left"/>
        <w:rPr>
          <w:rFonts w:ascii="宋体" w:cs="宋体"/>
          <w:b/>
          <w:color w:val="auto"/>
          <w:szCs w:val="21"/>
          <w:highlight w:val="none"/>
        </w:rPr>
      </w:pPr>
      <w:bookmarkStart w:id="50" w:name="串通投标的情形"/>
      <w:bookmarkStart w:id="51" w:name="_Toc27014"/>
      <w:bookmarkStart w:id="52" w:name="_Toc27719"/>
      <w:r>
        <w:rPr>
          <w:rFonts w:hint="eastAsia" w:ascii="宋体" w:hAnsi="宋体" w:cs="宋体"/>
          <w:b/>
          <w:color w:val="auto"/>
          <w:szCs w:val="21"/>
          <w:highlight w:val="none"/>
        </w:rPr>
        <w:t>十三、串通磋商的情形</w:t>
      </w:r>
    </w:p>
    <w:bookmarkEnd w:id="50"/>
    <w:p w14:paraId="2AA1B098">
      <w:pPr>
        <w:spacing w:line="360" w:lineRule="exact"/>
        <w:rPr>
          <w:rFonts w:ascii="宋体" w:cs="宋体"/>
          <w:bCs/>
          <w:vanish/>
          <w:color w:val="auto"/>
          <w:szCs w:val="21"/>
          <w:highlight w:val="none"/>
        </w:rPr>
      </w:pPr>
    </w:p>
    <w:p w14:paraId="14C6AA78">
      <w:pPr>
        <w:spacing w:line="360" w:lineRule="exact"/>
        <w:rPr>
          <w:rFonts w:ascii="宋体" w:cs="宋体"/>
          <w:bCs/>
          <w:vanish/>
          <w:color w:val="auto"/>
          <w:szCs w:val="21"/>
          <w:highlight w:val="none"/>
        </w:rPr>
      </w:pPr>
    </w:p>
    <w:p w14:paraId="392CB306">
      <w:pPr>
        <w:spacing w:line="360" w:lineRule="exact"/>
        <w:rPr>
          <w:rFonts w:ascii="宋体" w:cs="宋体"/>
          <w:bCs/>
          <w:vanish/>
          <w:color w:val="auto"/>
          <w:szCs w:val="21"/>
          <w:highlight w:val="none"/>
        </w:rPr>
      </w:pPr>
    </w:p>
    <w:p w14:paraId="1C332871">
      <w:pPr>
        <w:spacing w:line="360" w:lineRule="exact"/>
        <w:rPr>
          <w:rFonts w:ascii="宋体" w:cs="宋体"/>
          <w:bCs/>
          <w:vanish/>
          <w:color w:val="auto"/>
          <w:szCs w:val="21"/>
          <w:highlight w:val="none"/>
        </w:rPr>
      </w:pPr>
    </w:p>
    <w:p w14:paraId="4C76DC8B">
      <w:pPr>
        <w:spacing w:line="360" w:lineRule="exact"/>
        <w:rPr>
          <w:rFonts w:ascii="宋体" w:cs="宋体"/>
          <w:bCs/>
          <w:vanish/>
          <w:color w:val="auto"/>
          <w:szCs w:val="21"/>
          <w:highlight w:val="none"/>
        </w:rPr>
      </w:pPr>
    </w:p>
    <w:p w14:paraId="056F3818">
      <w:pPr>
        <w:spacing w:line="360" w:lineRule="exact"/>
        <w:rPr>
          <w:rFonts w:ascii="宋体" w:cs="宋体"/>
          <w:bCs/>
          <w:vanish/>
          <w:color w:val="auto"/>
          <w:szCs w:val="21"/>
          <w:highlight w:val="none"/>
        </w:rPr>
      </w:pPr>
    </w:p>
    <w:p w14:paraId="0FE668F1">
      <w:pPr>
        <w:spacing w:line="360" w:lineRule="exact"/>
        <w:rPr>
          <w:rFonts w:ascii="宋体" w:cs="宋体"/>
          <w:bCs/>
          <w:vanish/>
          <w:color w:val="auto"/>
          <w:szCs w:val="21"/>
          <w:highlight w:val="none"/>
        </w:rPr>
      </w:pPr>
    </w:p>
    <w:p w14:paraId="55A077E9">
      <w:pPr>
        <w:spacing w:line="360" w:lineRule="exact"/>
        <w:rPr>
          <w:rFonts w:ascii="宋体" w:cs="宋体"/>
          <w:bCs/>
          <w:vanish/>
          <w:color w:val="auto"/>
          <w:szCs w:val="21"/>
          <w:highlight w:val="none"/>
        </w:rPr>
      </w:pPr>
    </w:p>
    <w:p w14:paraId="2F36BF3D">
      <w:pPr>
        <w:spacing w:line="360" w:lineRule="exact"/>
        <w:rPr>
          <w:rFonts w:ascii="宋体" w:cs="宋体"/>
          <w:bCs/>
          <w:vanish/>
          <w:color w:val="auto"/>
          <w:szCs w:val="21"/>
          <w:highlight w:val="none"/>
        </w:rPr>
      </w:pPr>
    </w:p>
    <w:p w14:paraId="0F975C4B">
      <w:pPr>
        <w:spacing w:line="360" w:lineRule="exact"/>
        <w:rPr>
          <w:rFonts w:ascii="宋体" w:cs="宋体"/>
          <w:bCs/>
          <w:vanish/>
          <w:color w:val="auto"/>
          <w:szCs w:val="21"/>
          <w:highlight w:val="none"/>
        </w:rPr>
      </w:pPr>
    </w:p>
    <w:p w14:paraId="62CFE563">
      <w:pPr>
        <w:spacing w:line="360" w:lineRule="exact"/>
        <w:rPr>
          <w:rFonts w:ascii="宋体" w:cs="宋体"/>
          <w:bCs/>
          <w:vanish/>
          <w:color w:val="auto"/>
          <w:szCs w:val="21"/>
          <w:highlight w:val="none"/>
        </w:rPr>
      </w:pPr>
    </w:p>
    <w:p w14:paraId="38A0E52A">
      <w:pPr>
        <w:spacing w:line="360" w:lineRule="exact"/>
        <w:rPr>
          <w:rFonts w:ascii="宋体" w:cs="宋体"/>
          <w:bCs/>
          <w:vanish/>
          <w:color w:val="auto"/>
          <w:szCs w:val="21"/>
          <w:highlight w:val="none"/>
        </w:rPr>
      </w:pPr>
    </w:p>
    <w:p w14:paraId="1427E867">
      <w:pPr>
        <w:spacing w:line="360" w:lineRule="exact"/>
        <w:rPr>
          <w:rFonts w:ascii="宋体" w:cs="宋体"/>
          <w:bCs/>
          <w:vanish/>
          <w:color w:val="auto"/>
          <w:szCs w:val="21"/>
          <w:highlight w:val="none"/>
        </w:rPr>
      </w:pPr>
    </w:p>
    <w:p w14:paraId="575B20E3">
      <w:pPr>
        <w:spacing w:line="360" w:lineRule="exact"/>
        <w:rPr>
          <w:rFonts w:ascii="宋体" w:cs="宋体"/>
          <w:bCs/>
          <w:vanish/>
          <w:color w:val="auto"/>
          <w:szCs w:val="21"/>
          <w:highlight w:val="none"/>
        </w:rPr>
      </w:pPr>
    </w:p>
    <w:p w14:paraId="4CBBB185">
      <w:pPr>
        <w:spacing w:line="360" w:lineRule="exact"/>
        <w:rPr>
          <w:rFonts w:ascii="宋体" w:cs="宋体"/>
          <w:bCs/>
          <w:vanish/>
          <w:color w:val="auto"/>
          <w:szCs w:val="21"/>
          <w:highlight w:val="none"/>
        </w:rPr>
      </w:pPr>
    </w:p>
    <w:p w14:paraId="506FBEA5">
      <w:pPr>
        <w:spacing w:line="360" w:lineRule="exact"/>
        <w:rPr>
          <w:rFonts w:ascii="宋体" w:cs="宋体"/>
          <w:bCs/>
          <w:vanish/>
          <w:color w:val="auto"/>
          <w:szCs w:val="21"/>
          <w:highlight w:val="none"/>
        </w:rPr>
      </w:pPr>
    </w:p>
    <w:p w14:paraId="5A643A6A">
      <w:pPr>
        <w:spacing w:line="360" w:lineRule="exact"/>
        <w:rPr>
          <w:rFonts w:ascii="宋体" w:cs="宋体"/>
          <w:bCs/>
          <w:vanish/>
          <w:color w:val="auto"/>
          <w:szCs w:val="21"/>
          <w:highlight w:val="none"/>
        </w:rPr>
      </w:pPr>
    </w:p>
    <w:p w14:paraId="794F6891">
      <w:pPr>
        <w:spacing w:line="360" w:lineRule="exact"/>
        <w:rPr>
          <w:rFonts w:ascii="宋体" w:cs="宋体"/>
          <w:bCs/>
          <w:vanish/>
          <w:color w:val="auto"/>
          <w:szCs w:val="21"/>
          <w:highlight w:val="none"/>
        </w:rPr>
      </w:pPr>
    </w:p>
    <w:p w14:paraId="553C2141">
      <w:pPr>
        <w:spacing w:line="360" w:lineRule="exact"/>
        <w:rPr>
          <w:rFonts w:ascii="宋体" w:cs="宋体"/>
          <w:bCs/>
          <w:vanish/>
          <w:color w:val="auto"/>
          <w:szCs w:val="21"/>
          <w:highlight w:val="none"/>
        </w:rPr>
      </w:pPr>
    </w:p>
    <w:p w14:paraId="579E7EF8">
      <w:pPr>
        <w:spacing w:line="360" w:lineRule="exact"/>
        <w:rPr>
          <w:rFonts w:ascii="宋体" w:cs="宋体"/>
          <w:bCs/>
          <w:vanish/>
          <w:color w:val="auto"/>
          <w:szCs w:val="21"/>
          <w:highlight w:val="none"/>
        </w:rPr>
      </w:pPr>
    </w:p>
    <w:p w14:paraId="59EA84F9">
      <w:pPr>
        <w:spacing w:line="360" w:lineRule="exact"/>
        <w:rPr>
          <w:rFonts w:ascii="宋体" w:cs="宋体"/>
          <w:bCs/>
          <w:vanish/>
          <w:color w:val="auto"/>
          <w:szCs w:val="21"/>
          <w:highlight w:val="none"/>
        </w:rPr>
      </w:pPr>
    </w:p>
    <w:p w14:paraId="79EB42BA">
      <w:pPr>
        <w:spacing w:line="360" w:lineRule="exact"/>
        <w:rPr>
          <w:rFonts w:ascii="宋体" w:cs="宋体"/>
          <w:bCs/>
          <w:vanish/>
          <w:color w:val="auto"/>
          <w:szCs w:val="21"/>
          <w:highlight w:val="none"/>
        </w:rPr>
      </w:pPr>
    </w:p>
    <w:p w14:paraId="759022C4">
      <w:pPr>
        <w:spacing w:line="360" w:lineRule="exact"/>
        <w:rPr>
          <w:rFonts w:ascii="宋体" w:cs="宋体"/>
          <w:bCs/>
          <w:vanish/>
          <w:color w:val="auto"/>
          <w:szCs w:val="21"/>
          <w:highlight w:val="none"/>
        </w:rPr>
      </w:pPr>
    </w:p>
    <w:p w14:paraId="10B018D1">
      <w:pPr>
        <w:spacing w:line="360" w:lineRule="exact"/>
        <w:rPr>
          <w:rFonts w:ascii="宋体" w:cs="宋体"/>
          <w:bCs/>
          <w:vanish/>
          <w:color w:val="auto"/>
          <w:szCs w:val="21"/>
          <w:highlight w:val="none"/>
        </w:rPr>
      </w:pPr>
    </w:p>
    <w:p w14:paraId="58D74BCD">
      <w:pPr>
        <w:spacing w:line="360" w:lineRule="exact"/>
        <w:rPr>
          <w:rFonts w:ascii="宋体" w:cs="宋体"/>
          <w:bCs/>
          <w:vanish/>
          <w:color w:val="auto"/>
          <w:szCs w:val="21"/>
          <w:highlight w:val="none"/>
        </w:rPr>
      </w:pPr>
    </w:p>
    <w:p w14:paraId="2C5ED01B">
      <w:pPr>
        <w:spacing w:line="360" w:lineRule="exact"/>
        <w:rPr>
          <w:rFonts w:ascii="宋体" w:cs="宋体"/>
          <w:bCs/>
          <w:vanish/>
          <w:color w:val="auto"/>
          <w:szCs w:val="21"/>
          <w:highlight w:val="none"/>
        </w:rPr>
      </w:pPr>
    </w:p>
    <w:p w14:paraId="408F6C1E">
      <w:pPr>
        <w:spacing w:line="360" w:lineRule="exact"/>
        <w:rPr>
          <w:rFonts w:ascii="宋体" w:cs="宋体"/>
          <w:bCs/>
          <w:vanish/>
          <w:color w:val="auto"/>
          <w:szCs w:val="21"/>
          <w:highlight w:val="none"/>
        </w:rPr>
      </w:pPr>
    </w:p>
    <w:p w14:paraId="1922ABD2">
      <w:pPr>
        <w:spacing w:line="360" w:lineRule="exact"/>
        <w:rPr>
          <w:rFonts w:ascii="宋体" w:cs="宋体"/>
          <w:bCs/>
          <w:vanish/>
          <w:color w:val="auto"/>
          <w:szCs w:val="21"/>
          <w:highlight w:val="none"/>
        </w:rPr>
      </w:pPr>
    </w:p>
    <w:p w14:paraId="6870987A">
      <w:pPr>
        <w:spacing w:line="360" w:lineRule="exact"/>
        <w:rPr>
          <w:rFonts w:ascii="宋体" w:cs="宋体"/>
          <w:bCs/>
          <w:vanish/>
          <w:color w:val="auto"/>
          <w:szCs w:val="21"/>
          <w:highlight w:val="none"/>
        </w:rPr>
      </w:pPr>
    </w:p>
    <w:p w14:paraId="22C45323">
      <w:pPr>
        <w:spacing w:line="360" w:lineRule="exact"/>
        <w:rPr>
          <w:rFonts w:ascii="宋体" w:cs="宋体"/>
          <w:bCs/>
          <w:vanish/>
          <w:color w:val="auto"/>
          <w:szCs w:val="21"/>
          <w:highlight w:val="none"/>
        </w:rPr>
      </w:pPr>
    </w:p>
    <w:p w14:paraId="088A4C99">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、不同供应商的响应文件由同一单位或者个人编制；</w:t>
      </w:r>
    </w:p>
    <w:p w14:paraId="58A198BB">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、不同供应商委托同一单位或者个人办理磋商事宜；</w:t>
      </w:r>
    </w:p>
    <w:p w14:paraId="5284F717">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3</w:t>
      </w:r>
      <w:r>
        <w:rPr>
          <w:rFonts w:hint="eastAsia" w:ascii="宋体" w:hAnsi="宋体" w:cs="宋体"/>
          <w:bCs/>
          <w:color w:val="auto"/>
          <w:szCs w:val="21"/>
          <w:highlight w:val="none"/>
        </w:rPr>
        <w:t>、不同供应商的响应文件载明的项目管理成员或者联系人员为同一人；</w:t>
      </w:r>
    </w:p>
    <w:p w14:paraId="6E569393">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4</w:t>
      </w:r>
      <w:r>
        <w:rPr>
          <w:rFonts w:hint="eastAsia" w:ascii="宋体" w:hAnsi="宋体" w:cs="宋体"/>
          <w:bCs/>
          <w:color w:val="auto"/>
          <w:szCs w:val="21"/>
          <w:highlight w:val="none"/>
        </w:rPr>
        <w:t>、不同供应商的响应文件异常一致或者磋商报价呈规律性差异；</w:t>
      </w:r>
    </w:p>
    <w:p w14:paraId="158AD1BA">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rPr>
        <w:t>、不同供应商的响应文件相互混装；</w:t>
      </w:r>
    </w:p>
    <w:p w14:paraId="207C401F">
      <w:pPr>
        <w:overflowPunct w:val="0"/>
        <w:spacing w:line="400" w:lineRule="exact"/>
        <w:jc w:val="left"/>
        <w:rPr>
          <w:rFonts w:ascii="宋体" w:cs="宋体"/>
          <w:b/>
          <w:color w:val="auto"/>
          <w:szCs w:val="21"/>
          <w:highlight w:val="none"/>
        </w:rPr>
      </w:pPr>
      <w:r>
        <w:rPr>
          <w:rFonts w:hint="eastAsia" w:ascii="宋体" w:hAnsi="宋体" w:cs="宋体"/>
          <w:b/>
          <w:color w:val="auto"/>
          <w:szCs w:val="21"/>
          <w:highlight w:val="none"/>
        </w:rPr>
        <w:t>十四、出现以下情形，导致电子交易平台无法正常运行，或者无法保证电子交易的公平、公正和安全时，中止电子交易活动：</w:t>
      </w:r>
    </w:p>
    <w:p w14:paraId="19F77ACD">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、电子交易平台发生故障而无法登录访问的；</w:t>
      </w:r>
    </w:p>
    <w:p w14:paraId="797CA1F5">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、电子交易平台应用或数据库出现错误，不能进行正常操作的；</w:t>
      </w:r>
    </w:p>
    <w:p w14:paraId="2E21E31D">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3</w:t>
      </w:r>
      <w:r>
        <w:rPr>
          <w:rFonts w:hint="eastAsia" w:ascii="宋体" w:hAnsi="宋体" w:cs="宋体"/>
          <w:bCs/>
          <w:color w:val="auto"/>
          <w:szCs w:val="21"/>
          <w:highlight w:val="none"/>
        </w:rPr>
        <w:t>、电子交易平台发现严重安全漏洞，有潜在泄密危险的；</w:t>
      </w:r>
    </w:p>
    <w:p w14:paraId="405E5FD1">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4</w:t>
      </w:r>
      <w:r>
        <w:rPr>
          <w:rFonts w:hint="eastAsia" w:ascii="宋体" w:hAnsi="宋体" w:cs="宋体"/>
          <w:bCs/>
          <w:color w:val="auto"/>
          <w:szCs w:val="21"/>
          <w:highlight w:val="none"/>
        </w:rPr>
        <w:t>、病毒发作导致不能进行正常操作的；</w:t>
      </w:r>
    </w:p>
    <w:p w14:paraId="2089CF79">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rPr>
        <w:t>、其他无法保证电子交易的公平、公正和安全的情况。</w:t>
      </w:r>
    </w:p>
    <w:p w14:paraId="58C97BA0">
      <w:pPr>
        <w:overflowPunct w:val="0"/>
        <w:spacing w:line="400" w:lineRule="exact"/>
        <w:ind w:firstLine="420" w:firstLineChars="200"/>
        <w:rPr>
          <w:rFonts w:ascii="宋体" w:cs="宋体"/>
          <w:bCs/>
          <w:color w:val="auto"/>
          <w:szCs w:val="21"/>
          <w:highlight w:val="none"/>
        </w:rPr>
      </w:pPr>
      <w:r>
        <w:rPr>
          <w:rFonts w:hint="eastAsia" w:ascii="宋体" w:hAnsi="宋体" w:cs="宋体"/>
          <w:bCs/>
          <w:color w:val="auto"/>
          <w:szCs w:val="21"/>
          <w:highlight w:val="none"/>
        </w:rPr>
        <w:t>出现前款规定情形，不影响采购公平、公正性的，采购代理机构可以待上述情形消除后继续组织电子交易活动，也可以决定某些环节以纸质形式进行；影响或可能影响采购公平、公正性的，重新采购。</w:t>
      </w:r>
    </w:p>
    <w:bookmarkEnd w:id="51"/>
    <w:bookmarkEnd w:id="52"/>
    <w:p w14:paraId="17A88E27">
      <w:pPr>
        <w:overflowPunct w:val="0"/>
        <w:spacing w:line="400" w:lineRule="exact"/>
        <w:jc w:val="left"/>
        <w:rPr>
          <w:rFonts w:ascii="宋体" w:cs="宋体"/>
          <w:b/>
          <w:color w:val="auto"/>
          <w:szCs w:val="21"/>
          <w:highlight w:val="none"/>
        </w:rPr>
      </w:pPr>
      <w:bookmarkStart w:id="53" w:name="_Toc282640721"/>
      <w:bookmarkStart w:id="54" w:name="_Toc21657"/>
      <w:bookmarkStart w:id="55" w:name="_Toc26868"/>
      <w:r>
        <w:rPr>
          <w:rFonts w:hint="eastAsia" w:ascii="宋体" w:hAnsi="宋体" w:cs="宋体"/>
          <w:b/>
          <w:color w:val="auto"/>
          <w:szCs w:val="21"/>
          <w:highlight w:val="none"/>
        </w:rPr>
        <w:t>十五、确定成交供应商方法</w:t>
      </w:r>
      <w:bookmarkEnd w:id="53"/>
      <w:bookmarkEnd w:id="54"/>
      <w:bookmarkEnd w:id="55"/>
    </w:p>
    <w:p w14:paraId="548790CA">
      <w:pPr>
        <w:overflowPunct w:val="0"/>
        <w:spacing w:line="400" w:lineRule="exact"/>
        <w:ind w:firstLine="420" w:firstLineChars="200"/>
        <w:jc w:val="left"/>
        <w:rPr>
          <w:rFonts w:ascii="宋体" w:cs="宋体"/>
          <w:bCs/>
          <w:color w:val="auto"/>
          <w:szCs w:val="21"/>
          <w:highlight w:val="none"/>
        </w:rPr>
      </w:pPr>
      <w:bookmarkStart w:id="56" w:name="_Toc282640722"/>
      <w:bookmarkStart w:id="57" w:name="_Toc18596"/>
      <w:bookmarkStart w:id="58" w:name="_Toc5559"/>
      <w:r>
        <w:rPr>
          <w:rFonts w:hint="eastAsia" w:ascii="宋体" w:hAnsi="宋体" w:cs="宋体"/>
          <w:bCs/>
          <w:color w:val="auto"/>
          <w:szCs w:val="21"/>
          <w:highlight w:val="none"/>
        </w:rPr>
        <w:t>在质量与服务均能满足采购项目要求的前提下，以综合得分由高到低的原则确定成交供应商，详细的磋商程序见竞争性磋商文件第四章内容。</w:t>
      </w:r>
      <w:bookmarkEnd w:id="56"/>
      <w:bookmarkEnd w:id="57"/>
      <w:bookmarkEnd w:id="58"/>
    </w:p>
    <w:p w14:paraId="465441CD">
      <w:pPr>
        <w:overflowPunct w:val="0"/>
        <w:spacing w:line="400" w:lineRule="exact"/>
        <w:jc w:val="left"/>
        <w:rPr>
          <w:rFonts w:ascii="宋体" w:cs="宋体"/>
          <w:b/>
          <w:color w:val="auto"/>
          <w:szCs w:val="21"/>
          <w:highlight w:val="none"/>
        </w:rPr>
      </w:pPr>
      <w:bookmarkStart w:id="59" w:name="_Toc16626"/>
      <w:bookmarkStart w:id="60" w:name="_Toc28666"/>
      <w:r>
        <w:rPr>
          <w:rFonts w:hint="eastAsia" w:ascii="宋体" w:hAnsi="宋体" w:cs="宋体"/>
          <w:b/>
          <w:color w:val="auto"/>
          <w:szCs w:val="21"/>
          <w:highlight w:val="none"/>
        </w:rPr>
        <w:t>十六、授予合同</w:t>
      </w:r>
      <w:bookmarkEnd w:id="59"/>
      <w:bookmarkEnd w:id="60"/>
    </w:p>
    <w:p w14:paraId="522BD08C">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、授予合同的依据</w:t>
      </w:r>
    </w:p>
    <w:p w14:paraId="1424447F">
      <w:pPr>
        <w:overflowPunct w:val="0"/>
        <w:spacing w:line="400" w:lineRule="exact"/>
        <w:ind w:firstLine="420" w:firstLineChars="200"/>
        <w:rPr>
          <w:rFonts w:ascii="宋体" w:cs="宋体"/>
          <w:bCs/>
          <w:color w:val="auto"/>
          <w:szCs w:val="21"/>
          <w:highlight w:val="none"/>
        </w:rPr>
      </w:pPr>
      <w:r>
        <w:rPr>
          <w:rFonts w:hint="eastAsia" w:ascii="宋体" w:hAnsi="宋体" w:cs="宋体"/>
          <w:bCs/>
          <w:color w:val="auto"/>
          <w:szCs w:val="21"/>
          <w:highlight w:val="none"/>
        </w:rPr>
        <w:t>招标采购单位签发的成交通知书；</w:t>
      </w:r>
    </w:p>
    <w:p w14:paraId="6770FEAF">
      <w:pPr>
        <w:overflowPunct w:val="0"/>
        <w:spacing w:line="400" w:lineRule="exact"/>
        <w:ind w:firstLine="420" w:firstLineChars="200"/>
        <w:rPr>
          <w:rFonts w:ascii="宋体" w:cs="宋体"/>
          <w:bCs/>
          <w:color w:val="auto"/>
          <w:szCs w:val="21"/>
          <w:highlight w:val="none"/>
        </w:rPr>
      </w:pPr>
      <w:r>
        <w:rPr>
          <w:rFonts w:hint="eastAsia" w:ascii="宋体" w:hAnsi="宋体" w:cs="宋体"/>
          <w:bCs/>
          <w:color w:val="auto"/>
          <w:szCs w:val="21"/>
          <w:highlight w:val="none"/>
        </w:rPr>
        <w:t>磋商文件、磋商文件的修改及补充通知（函）；</w:t>
      </w:r>
    </w:p>
    <w:p w14:paraId="66790CDF">
      <w:pPr>
        <w:overflowPunct w:val="0"/>
        <w:spacing w:line="400" w:lineRule="exact"/>
        <w:ind w:firstLine="420" w:firstLineChars="200"/>
        <w:rPr>
          <w:rFonts w:ascii="宋体" w:cs="宋体"/>
          <w:bCs/>
          <w:color w:val="auto"/>
          <w:szCs w:val="21"/>
          <w:highlight w:val="none"/>
        </w:rPr>
      </w:pPr>
      <w:r>
        <w:rPr>
          <w:rFonts w:hint="eastAsia" w:ascii="宋体" w:hAnsi="宋体" w:cs="宋体"/>
          <w:bCs/>
          <w:color w:val="auto"/>
          <w:szCs w:val="21"/>
          <w:highlight w:val="none"/>
        </w:rPr>
        <w:t>响应文件和磋商时供应商作出的书面澄清、说明、纠正、承诺等；</w:t>
      </w:r>
    </w:p>
    <w:p w14:paraId="01EF5D5E">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、合同签订</w:t>
      </w:r>
    </w:p>
    <w:p w14:paraId="7D7DF090">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 xml:space="preserve">2.1 </w:t>
      </w:r>
      <w:r>
        <w:rPr>
          <w:rFonts w:hint="eastAsia" w:ascii="宋体" w:hAnsi="宋体" w:cs="宋体"/>
          <w:bCs/>
          <w:color w:val="auto"/>
          <w:szCs w:val="21"/>
          <w:highlight w:val="none"/>
        </w:rPr>
        <w:t>成交供应商与采购人应按成交通知书中规定的时间、地点签订合同，否则应承担相应的法律责任。</w:t>
      </w:r>
    </w:p>
    <w:p w14:paraId="05E6C84C">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 xml:space="preserve">2.2 </w:t>
      </w:r>
      <w:r>
        <w:rPr>
          <w:rFonts w:hint="eastAsia" w:ascii="宋体" w:hAnsi="宋体" w:cs="宋体"/>
          <w:bCs/>
          <w:color w:val="auto"/>
          <w:szCs w:val="21"/>
          <w:highlight w:val="none"/>
        </w:rPr>
        <w:t>磋商文件、成交供应商的响应文件及磋商过程中有关澄清文件和承诺均为合同附件。</w:t>
      </w:r>
    </w:p>
    <w:p w14:paraId="3977E4DB">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 xml:space="preserve">2.3 </w:t>
      </w:r>
      <w:r>
        <w:rPr>
          <w:rFonts w:hint="eastAsia" w:ascii="宋体" w:hAnsi="宋体" w:cs="宋体"/>
          <w:bCs/>
          <w:color w:val="auto"/>
          <w:szCs w:val="21"/>
          <w:highlight w:val="none"/>
        </w:rPr>
        <w:t>采购人与成交供应商将根据《中华人民共和国民法典》的规定，依据磋商文件和成交供应商的响应文件签订书面合同。</w:t>
      </w:r>
    </w:p>
    <w:p w14:paraId="3046552F">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 xml:space="preserve">2.4 </w:t>
      </w:r>
      <w:r>
        <w:rPr>
          <w:rFonts w:hint="eastAsia" w:ascii="宋体" w:hAnsi="宋体" w:cs="宋体"/>
          <w:bCs/>
          <w:color w:val="auto"/>
          <w:szCs w:val="21"/>
          <w:highlight w:val="none"/>
        </w:rPr>
        <w:t>采购人如不与成交供应商订立合同，或者采购人、成交供应商订立背离合同实质性内容的协议，由政府有关部门责令改正，同时依法承担相应法律责任。</w:t>
      </w:r>
    </w:p>
    <w:p w14:paraId="4F9B11E1">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 xml:space="preserve">2.5 </w:t>
      </w:r>
      <w:r>
        <w:rPr>
          <w:rFonts w:hint="eastAsia" w:ascii="宋体" w:hAnsi="宋体" w:cs="宋体"/>
          <w:bCs/>
          <w:color w:val="auto"/>
          <w:szCs w:val="21"/>
          <w:highlight w:val="none"/>
        </w:rPr>
        <w:t>成交供应商如不按规定与采购人订立合同，则招标采购单位将废除授标，给招标采购单位造成的损失超过磋商担保数额的，还应当对超过部分予以赔偿，同时依法承担相应法律责任。</w:t>
      </w:r>
    </w:p>
    <w:p w14:paraId="16C7E0D6">
      <w:pPr>
        <w:overflowPunct w:val="0"/>
        <w:spacing w:line="400" w:lineRule="exact"/>
        <w:ind w:firstLine="420" w:firstLineChars="200"/>
        <w:rPr>
          <w:rFonts w:ascii="宋体" w:cs="宋体"/>
          <w:bCs/>
          <w:color w:val="auto"/>
          <w:szCs w:val="21"/>
          <w:highlight w:val="none"/>
        </w:rPr>
      </w:pPr>
      <w:r>
        <w:rPr>
          <w:rFonts w:ascii="宋体" w:hAnsi="宋体" w:cs="宋体"/>
          <w:bCs/>
          <w:color w:val="auto"/>
          <w:szCs w:val="21"/>
          <w:highlight w:val="none"/>
        </w:rPr>
        <w:t xml:space="preserve">2.6 </w:t>
      </w:r>
      <w:r>
        <w:rPr>
          <w:rFonts w:hint="eastAsia" w:ascii="宋体" w:hAnsi="宋体" w:cs="宋体"/>
          <w:bCs/>
          <w:color w:val="auto"/>
          <w:szCs w:val="21"/>
          <w:highlight w:val="none"/>
        </w:rPr>
        <w:t>成交供应商应当按照合同约定履行义务，完成成交项目各项工作，不得将成交项目违法转让（转包）给他人。</w:t>
      </w:r>
    </w:p>
    <w:p w14:paraId="496960CB">
      <w:pPr>
        <w:overflowPunct w:val="0"/>
        <w:spacing w:line="400" w:lineRule="exact"/>
        <w:ind w:firstLine="420" w:firstLineChars="200"/>
        <w:rPr>
          <w:rFonts w:hint="eastAsia" w:ascii="宋体" w:hAnsi="宋体" w:cs="宋体"/>
          <w:bCs/>
          <w:color w:val="auto"/>
          <w:szCs w:val="21"/>
          <w:highlight w:val="none"/>
        </w:rPr>
      </w:pPr>
      <w:r>
        <w:rPr>
          <w:rFonts w:ascii="宋体" w:hAnsi="宋体" w:cs="宋体"/>
          <w:bCs/>
          <w:color w:val="auto"/>
          <w:szCs w:val="21"/>
          <w:highlight w:val="none"/>
        </w:rPr>
        <w:t xml:space="preserve">2.7 </w:t>
      </w:r>
      <w:r>
        <w:rPr>
          <w:rFonts w:hint="eastAsia" w:ascii="宋体" w:hAnsi="宋体" w:cs="宋体"/>
          <w:bCs/>
          <w:color w:val="auto"/>
          <w:szCs w:val="21"/>
          <w:highlight w:val="none"/>
        </w:rPr>
        <w:t>如果成交供应商未能遵守上述</w:t>
      </w:r>
      <w:r>
        <w:rPr>
          <w:rFonts w:ascii="宋体" w:hAnsi="宋体" w:cs="宋体"/>
          <w:bCs/>
          <w:color w:val="auto"/>
          <w:szCs w:val="21"/>
          <w:highlight w:val="none"/>
        </w:rPr>
        <w:t>2.5</w:t>
      </w:r>
      <w:r>
        <w:rPr>
          <w:rFonts w:hint="eastAsia" w:ascii="宋体" w:hAnsi="宋体" w:cs="宋体"/>
          <w:bCs/>
          <w:color w:val="auto"/>
          <w:szCs w:val="21"/>
          <w:highlight w:val="none"/>
        </w:rPr>
        <w:t>条的规定，则可取消其成交资格。在此情况下，可将合同授予排序在成交供应商之后的第一位成交候选供应商。</w:t>
      </w:r>
    </w:p>
    <w:p w14:paraId="12062C21">
      <w:pPr>
        <w:rPr>
          <w:rFonts w:hint="eastAsia" w:ascii="宋体" w:hAnsi="宋体" w:cs="宋体"/>
          <w:bCs/>
          <w:color w:val="auto"/>
          <w:szCs w:val="21"/>
          <w:highlight w:val="none"/>
        </w:rPr>
      </w:pPr>
      <w:r>
        <w:rPr>
          <w:rFonts w:hint="eastAsia" w:ascii="宋体" w:hAnsi="宋体" w:cs="宋体"/>
          <w:bCs/>
          <w:color w:val="auto"/>
          <w:szCs w:val="21"/>
          <w:highlight w:val="none"/>
        </w:rPr>
        <w:br w:type="page"/>
      </w:r>
    </w:p>
    <w:p w14:paraId="5F19F592">
      <w:pPr>
        <w:pStyle w:val="3"/>
        <w:keepNext w:val="0"/>
        <w:keepLines w:val="0"/>
        <w:overflowPunct w:val="0"/>
        <w:spacing w:before="0" w:after="0" w:line="600" w:lineRule="exact"/>
        <w:jc w:val="center"/>
        <w:rPr>
          <w:rFonts w:ascii="宋体" w:cs="宋体"/>
          <w:color w:val="auto"/>
          <w:sz w:val="32"/>
          <w:szCs w:val="32"/>
          <w:highlight w:val="none"/>
        </w:rPr>
      </w:pPr>
      <w:bookmarkStart w:id="61" w:name="_Toc19324"/>
      <w:bookmarkStart w:id="62" w:name="_Toc6288"/>
      <w:bookmarkStart w:id="63" w:name="_Toc20741"/>
      <w:bookmarkStart w:id="64" w:name="_Toc26242"/>
      <w:r>
        <w:rPr>
          <w:rFonts w:hint="eastAsia" w:ascii="宋体" w:hAnsi="宋体" w:cs="宋体"/>
          <w:color w:val="auto"/>
          <w:sz w:val="32"/>
          <w:szCs w:val="32"/>
          <w:highlight w:val="none"/>
        </w:rPr>
        <w:t>第三章</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磋商项目服务内容及要求</w:t>
      </w:r>
      <w:bookmarkEnd w:id="61"/>
      <w:bookmarkEnd w:id="62"/>
      <w:bookmarkEnd w:id="63"/>
      <w:bookmarkEnd w:id="64"/>
    </w:p>
    <w:p w14:paraId="4B30444F">
      <w:pPr>
        <w:overflowPunct w:val="0"/>
        <w:spacing w:line="400" w:lineRule="exact"/>
        <w:ind w:firstLine="420" w:firstLineChars="200"/>
        <w:rPr>
          <w:rFonts w:ascii="宋体" w:cs="宋体"/>
          <w:bCs/>
          <w:color w:val="auto"/>
          <w:szCs w:val="21"/>
          <w:highlight w:val="none"/>
        </w:rPr>
      </w:pPr>
      <w:r>
        <w:rPr>
          <w:rFonts w:hint="eastAsia" w:ascii="宋体" w:hAnsi="宋体" w:cs="宋体"/>
          <w:bCs/>
          <w:color w:val="auto"/>
          <w:szCs w:val="21"/>
          <w:highlight w:val="none"/>
        </w:rPr>
        <w:t>本技术要求适用于</w:t>
      </w:r>
      <w:r>
        <w:rPr>
          <w:rFonts w:hint="eastAsia" w:ascii="宋体" w:hAnsi="宋体" w:cs="宋体"/>
          <w:bCs/>
          <w:color w:val="auto"/>
          <w:szCs w:val="21"/>
          <w:highlight w:val="none"/>
          <w:lang w:eastAsia="zh-CN"/>
        </w:rPr>
        <w:t>安吉技师学院工学一体化课程建设采购项目（第二次）</w:t>
      </w:r>
      <w:r>
        <w:rPr>
          <w:rFonts w:hint="eastAsia" w:ascii="宋体" w:hAnsi="宋体" w:cs="宋体"/>
          <w:bCs/>
          <w:color w:val="auto"/>
          <w:szCs w:val="21"/>
          <w:highlight w:val="none"/>
        </w:rPr>
        <w:t>，是采购人为该项目的供应商提出的技术规范要求，为供应商完成响应文件的依据。本章所提出的内容为本项目的最低要求，供应商必须认真阅读以下内容，以免造成磋商损失。</w:t>
      </w:r>
    </w:p>
    <w:p w14:paraId="35084E76">
      <w:pPr>
        <w:numPr>
          <w:ilvl w:val="0"/>
          <w:numId w:val="5"/>
        </w:numPr>
        <w:overflowPunct w:val="0"/>
        <w:spacing w:line="400" w:lineRule="exact"/>
        <w:outlineLvl w:val="1"/>
        <w:rPr>
          <w:rFonts w:ascii="宋体" w:cs="宋体"/>
          <w:b/>
          <w:color w:val="auto"/>
          <w:szCs w:val="21"/>
          <w:highlight w:val="none"/>
        </w:rPr>
      </w:pPr>
      <w:bookmarkStart w:id="65" w:name="_Toc9146"/>
      <w:bookmarkStart w:id="66" w:name="_Toc5043"/>
      <w:bookmarkStart w:id="67" w:name="_Toc5222"/>
      <w:bookmarkStart w:id="68" w:name="_Toc17284"/>
      <w:bookmarkStart w:id="69" w:name="_Toc424544530"/>
      <w:bookmarkStart w:id="70" w:name="_Toc424544809"/>
      <w:r>
        <w:rPr>
          <w:rFonts w:hint="eastAsia" w:ascii="宋体" w:hAnsi="宋体" w:cs="宋体"/>
          <w:b/>
          <w:color w:val="auto"/>
          <w:sz w:val="24"/>
          <w:highlight w:val="none"/>
        </w:rPr>
        <w:t>项目概况</w:t>
      </w:r>
      <w:bookmarkEnd w:id="65"/>
      <w:bookmarkEnd w:id="66"/>
      <w:bookmarkEnd w:id="67"/>
      <w:bookmarkEnd w:id="68"/>
    </w:p>
    <w:p w14:paraId="4DB7707C">
      <w:pPr>
        <w:snapToGrid w:val="0"/>
        <w:spacing w:line="400" w:lineRule="exact"/>
        <w:ind w:firstLine="420" w:firstLineChars="200"/>
        <w:rPr>
          <w:rFonts w:hint="eastAsia" w:ascii="宋体" w:hAnsi="宋体" w:eastAsia="宋体" w:cs="宋体"/>
          <w:color w:val="auto"/>
          <w:szCs w:val="21"/>
          <w:highlight w:val="none"/>
          <w:lang w:eastAsia="zh-CN"/>
        </w:rPr>
      </w:pPr>
      <w:bookmarkStart w:id="71" w:name="_Toc14480"/>
      <w:r>
        <w:rPr>
          <w:rFonts w:hint="eastAsia" w:ascii="宋体" w:hAnsi="宋体" w:cs="宋体"/>
          <w:color w:val="auto"/>
          <w:szCs w:val="21"/>
          <w:highlight w:val="none"/>
        </w:rPr>
        <w:t>1、项目编号：</w:t>
      </w:r>
      <w:r>
        <w:rPr>
          <w:rFonts w:hint="eastAsia" w:ascii="宋体" w:hAnsi="宋体" w:cs="宋体"/>
          <w:color w:val="auto"/>
          <w:szCs w:val="21"/>
          <w:highlight w:val="none"/>
          <w:lang w:eastAsia="zh-CN"/>
        </w:rPr>
        <w:t>HXCG-ZF-2025-013-2</w:t>
      </w:r>
    </w:p>
    <w:p w14:paraId="40DFF27E">
      <w:pPr>
        <w:snapToGrid w:val="0"/>
        <w:spacing w:line="400" w:lineRule="exact"/>
        <w:ind w:firstLine="420" w:firstLineChars="200"/>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rPr>
        <w:t>2、项目名称：</w:t>
      </w:r>
      <w:r>
        <w:rPr>
          <w:rFonts w:hint="eastAsia" w:ascii="宋体" w:hAnsi="宋体" w:cs="宋体"/>
          <w:color w:val="auto"/>
          <w:szCs w:val="21"/>
          <w:highlight w:val="none"/>
          <w:lang w:eastAsia="zh-CN"/>
        </w:rPr>
        <w:t>安吉技师学院工学一体化课程建设采购项目（第二次）</w:t>
      </w:r>
    </w:p>
    <w:p w14:paraId="458BA03C">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3、预算金额：80万元，报价时不得超预算，否则响应文件无效。</w:t>
      </w:r>
    </w:p>
    <w:p w14:paraId="6751FA72">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4、采购内容：</w:t>
      </w:r>
    </w:p>
    <w:bookmarkEnd w:id="71"/>
    <w:tbl>
      <w:tblPr>
        <w:tblStyle w:val="31"/>
        <w:tblpPr w:leftFromText="180" w:rightFromText="180" w:vertAnchor="text" w:horzAnchor="page" w:tblpXSpec="center" w:tblpY="57"/>
        <w:tblOverlap w:val="never"/>
        <w:tblW w:w="8725" w:type="dxa"/>
        <w:jc w:val="center"/>
        <w:tblLayout w:type="fixed"/>
        <w:tblCellMar>
          <w:top w:w="0" w:type="dxa"/>
          <w:left w:w="108" w:type="dxa"/>
          <w:bottom w:w="0" w:type="dxa"/>
          <w:right w:w="108" w:type="dxa"/>
        </w:tblCellMar>
      </w:tblPr>
      <w:tblGrid>
        <w:gridCol w:w="901"/>
        <w:gridCol w:w="5423"/>
        <w:gridCol w:w="1250"/>
        <w:gridCol w:w="1151"/>
      </w:tblGrid>
      <w:tr w14:paraId="0668711D">
        <w:tblPrEx>
          <w:tblCellMar>
            <w:top w:w="0" w:type="dxa"/>
            <w:left w:w="108" w:type="dxa"/>
            <w:bottom w:w="0" w:type="dxa"/>
            <w:right w:w="108" w:type="dxa"/>
          </w:tblCellMar>
        </w:tblPrEx>
        <w:trPr>
          <w:trHeight w:val="567" w:hRule="atLeast"/>
          <w:jc w:val="center"/>
        </w:trPr>
        <w:tc>
          <w:tcPr>
            <w:tcW w:w="901" w:type="dxa"/>
            <w:tcBorders>
              <w:top w:val="single" w:color="000000" w:sz="4" w:space="0"/>
              <w:left w:val="single" w:color="000000" w:sz="4" w:space="0"/>
              <w:bottom w:val="single" w:color="000000" w:sz="4" w:space="0"/>
              <w:right w:val="single" w:color="auto" w:sz="4" w:space="0"/>
            </w:tcBorders>
            <w:vAlign w:val="center"/>
          </w:tcPr>
          <w:p w14:paraId="7F049476">
            <w:pPr>
              <w:widowControl/>
              <w:adjustRightInd w:val="0"/>
              <w:snapToGrid w:val="0"/>
              <w:spacing w:line="400" w:lineRule="exact"/>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5423" w:type="dxa"/>
            <w:tcBorders>
              <w:top w:val="single" w:color="000000" w:sz="4" w:space="0"/>
              <w:left w:val="single" w:color="auto" w:sz="4" w:space="0"/>
              <w:bottom w:val="single" w:color="000000" w:sz="4" w:space="0"/>
              <w:right w:val="single" w:color="000000" w:sz="4" w:space="0"/>
            </w:tcBorders>
            <w:vAlign w:val="center"/>
          </w:tcPr>
          <w:p w14:paraId="03C9B98F">
            <w:pPr>
              <w:widowControl/>
              <w:adjustRightInd w:val="0"/>
              <w:snapToGrid w:val="0"/>
              <w:spacing w:line="400" w:lineRule="exact"/>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名称</w:t>
            </w:r>
          </w:p>
        </w:tc>
        <w:tc>
          <w:tcPr>
            <w:tcW w:w="1250" w:type="dxa"/>
            <w:tcBorders>
              <w:top w:val="single" w:color="000000" w:sz="4" w:space="0"/>
              <w:left w:val="nil"/>
              <w:bottom w:val="single" w:color="000000" w:sz="4" w:space="0"/>
              <w:right w:val="single" w:color="000000" w:sz="4" w:space="0"/>
            </w:tcBorders>
            <w:vAlign w:val="center"/>
          </w:tcPr>
          <w:p w14:paraId="4E388820">
            <w:pPr>
              <w:widowControl/>
              <w:adjustRightInd w:val="0"/>
              <w:snapToGrid w:val="0"/>
              <w:spacing w:line="400" w:lineRule="exact"/>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w:t>
            </w:r>
          </w:p>
        </w:tc>
        <w:tc>
          <w:tcPr>
            <w:tcW w:w="1151" w:type="dxa"/>
            <w:tcBorders>
              <w:top w:val="single" w:color="000000" w:sz="4" w:space="0"/>
              <w:left w:val="nil"/>
              <w:bottom w:val="single" w:color="000000" w:sz="4" w:space="0"/>
              <w:right w:val="single" w:color="000000" w:sz="4" w:space="0"/>
            </w:tcBorders>
            <w:vAlign w:val="center"/>
          </w:tcPr>
          <w:p w14:paraId="2A1C5918">
            <w:pPr>
              <w:widowControl/>
              <w:adjustRightInd w:val="0"/>
              <w:snapToGrid w:val="0"/>
              <w:spacing w:line="400" w:lineRule="exact"/>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w:t>
            </w:r>
          </w:p>
        </w:tc>
      </w:tr>
      <w:tr w14:paraId="0B9C9FD4">
        <w:tblPrEx>
          <w:tblCellMar>
            <w:top w:w="0" w:type="dxa"/>
            <w:left w:w="108" w:type="dxa"/>
            <w:bottom w:w="0" w:type="dxa"/>
            <w:right w:w="108" w:type="dxa"/>
          </w:tblCellMar>
        </w:tblPrEx>
        <w:trPr>
          <w:trHeight w:val="567" w:hRule="atLeast"/>
          <w:jc w:val="center"/>
        </w:trPr>
        <w:tc>
          <w:tcPr>
            <w:tcW w:w="901" w:type="dxa"/>
            <w:tcBorders>
              <w:top w:val="single" w:color="000000" w:sz="4" w:space="0"/>
              <w:left w:val="single" w:color="000000" w:sz="4" w:space="0"/>
              <w:bottom w:val="single" w:color="000000" w:sz="4" w:space="0"/>
              <w:right w:val="single" w:color="auto" w:sz="4" w:space="0"/>
            </w:tcBorders>
            <w:vAlign w:val="center"/>
          </w:tcPr>
          <w:p w14:paraId="6E09A5E0">
            <w:pPr>
              <w:widowControl/>
              <w:adjustRightInd w:val="0"/>
              <w:snapToGrid w:val="0"/>
              <w:spacing w:line="400" w:lineRule="exact"/>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5423" w:type="dxa"/>
            <w:tcBorders>
              <w:top w:val="single" w:color="000000" w:sz="4" w:space="0"/>
              <w:left w:val="single" w:color="auto" w:sz="4" w:space="0"/>
              <w:bottom w:val="single" w:color="000000" w:sz="4" w:space="0"/>
              <w:right w:val="single" w:color="000000" w:sz="4" w:space="0"/>
            </w:tcBorders>
            <w:shd w:val="clear" w:color="auto" w:fill="auto"/>
            <w:vAlign w:val="center"/>
          </w:tcPr>
          <w:p w14:paraId="5B3B2B8C">
            <w:pPr>
              <w:widowControl/>
              <w:adjustRightInd w:val="0"/>
              <w:snapToGrid w:val="0"/>
              <w:spacing w:line="400" w:lineRule="exact"/>
              <w:jc w:val="center"/>
              <w:textAlignment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工学一体在线精品课程建设指导</w:t>
            </w:r>
          </w:p>
        </w:tc>
        <w:tc>
          <w:tcPr>
            <w:tcW w:w="1250" w:type="dxa"/>
            <w:tcBorders>
              <w:top w:val="single" w:color="000000" w:sz="4" w:space="0"/>
              <w:left w:val="nil"/>
              <w:bottom w:val="single" w:color="000000" w:sz="4" w:space="0"/>
              <w:right w:val="single" w:color="000000" w:sz="4" w:space="0"/>
            </w:tcBorders>
            <w:shd w:val="clear" w:color="auto" w:fill="auto"/>
            <w:vAlign w:val="center"/>
          </w:tcPr>
          <w:p w14:paraId="0BD2E65D">
            <w:pPr>
              <w:widowControl/>
              <w:adjustRightInd w:val="0"/>
              <w:snapToGrid w:val="0"/>
              <w:spacing w:line="400" w:lineRule="exact"/>
              <w:jc w:val="center"/>
              <w:textAlignment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项</w:t>
            </w:r>
          </w:p>
        </w:tc>
        <w:tc>
          <w:tcPr>
            <w:tcW w:w="1151" w:type="dxa"/>
            <w:tcBorders>
              <w:top w:val="single" w:color="000000" w:sz="4" w:space="0"/>
              <w:left w:val="nil"/>
              <w:bottom w:val="single" w:color="000000" w:sz="4" w:space="0"/>
              <w:right w:val="single" w:color="000000" w:sz="4" w:space="0"/>
            </w:tcBorders>
            <w:shd w:val="clear" w:color="auto" w:fill="auto"/>
            <w:vAlign w:val="center"/>
          </w:tcPr>
          <w:p w14:paraId="6D991142">
            <w:pPr>
              <w:widowControl/>
              <w:adjustRightInd w:val="0"/>
              <w:snapToGrid w:val="0"/>
              <w:spacing w:line="400" w:lineRule="exact"/>
              <w:jc w:val="center"/>
              <w:textAlignment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1</w:t>
            </w:r>
          </w:p>
        </w:tc>
      </w:tr>
      <w:tr w14:paraId="34425EAF">
        <w:tblPrEx>
          <w:tblCellMar>
            <w:top w:w="0" w:type="dxa"/>
            <w:left w:w="108" w:type="dxa"/>
            <w:bottom w:w="0" w:type="dxa"/>
            <w:right w:w="108" w:type="dxa"/>
          </w:tblCellMar>
        </w:tblPrEx>
        <w:trPr>
          <w:trHeight w:val="567" w:hRule="atLeast"/>
          <w:jc w:val="center"/>
        </w:trPr>
        <w:tc>
          <w:tcPr>
            <w:tcW w:w="901" w:type="dxa"/>
            <w:tcBorders>
              <w:top w:val="single" w:color="000000" w:sz="4" w:space="0"/>
              <w:left w:val="single" w:color="000000" w:sz="4" w:space="0"/>
              <w:bottom w:val="single" w:color="000000" w:sz="4" w:space="0"/>
              <w:right w:val="single" w:color="auto" w:sz="4" w:space="0"/>
            </w:tcBorders>
            <w:vAlign w:val="center"/>
          </w:tcPr>
          <w:p w14:paraId="092934F5">
            <w:pPr>
              <w:widowControl/>
              <w:adjustRightInd w:val="0"/>
              <w:snapToGrid w:val="0"/>
              <w:spacing w:line="400" w:lineRule="exact"/>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5423" w:type="dxa"/>
            <w:tcBorders>
              <w:top w:val="single" w:color="000000" w:sz="4" w:space="0"/>
              <w:left w:val="single" w:color="auto" w:sz="4" w:space="0"/>
              <w:bottom w:val="single" w:color="000000" w:sz="4" w:space="0"/>
              <w:right w:val="single" w:color="000000" w:sz="4" w:space="0"/>
            </w:tcBorders>
            <w:shd w:val="clear" w:color="auto" w:fill="auto"/>
            <w:vAlign w:val="center"/>
          </w:tcPr>
          <w:p w14:paraId="6B4FC830">
            <w:pPr>
              <w:widowControl/>
              <w:adjustRightInd w:val="0"/>
              <w:snapToGrid w:val="0"/>
              <w:spacing w:line="400" w:lineRule="exact"/>
              <w:jc w:val="center"/>
              <w:textAlignment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工学一体立体化教学资源开发服务</w:t>
            </w:r>
          </w:p>
        </w:tc>
        <w:tc>
          <w:tcPr>
            <w:tcW w:w="1250" w:type="dxa"/>
            <w:tcBorders>
              <w:top w:val="single" w:color="000000" w:sz="4" w:space="0"/>
              <w:left w:val="nil"/>
              <w:bottom w:val="single" w:color="000000" w:sz="4" w:space="0"/>
              <w:right w:val="single" w:color="000000" w:sz="4" w:space="0"/>
            </w:tcBorders>
            <w:shd w:val="clear" w:color="auto" w:fill="auto"/>
            <w:vAlign w:val="center"/>
          </w:tcPr>
          <w:p w14:paraId="54BA5ADB">
            <w:pPr>
              <w:widowControl/>
              <w:adjustRightInd w:val="0"/>
              <w:snapToGrid w:val="0"/>
              <w:spacing w:line="400" w:lineRule="exact"/>
              <w:jc w:val="center"/>
              <w:textAlignment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门</w:t>
            </w:r>
          </w:p>
        </w:tc>
        <w:tc>
          <w:tcPr>
            <w:tcW w:w="1151" w:type="dxa"/>
            <w:tcBorders>
              <w:top w:val="single" w:color="000000" w:sz="4" w:space="0"/>
              <w:left w:val="nil"/>
              <w:bottom w:val="single" w:color="000000" w:sz="4" w:space="0"/>
              <w:right w:val="single" w:color="000000" w:sz="4" w:space="0"/>
            </w:tcBorders>
            <w:shd w:val="clear" w:color="auto" w:fill="auto"/>
            <w:vAlign w:val="center"/>
          </w:tcPr>
          <w:p w14:paraId="52A516A0">
            <w:pPr>
              <w:widowControl/>
              <w:adjustRightInd w:val="0"/>
              <w:snapToGrid w:val="0"/>
              <w:spacing w:line="400" w:lineRule="exact"/>
              <w:jc w:val="center"/>
              <w:textAlignment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5</w:t>
            </w:r>
          </w:p>
        </w:tc>
      </w:tr>
      <w:tr w14:paraId="3CE3EF1C">
        <w:tblPrEx>
          <w:tblCellMar>
            <w:top w:w="0" w:type="dxa"/>
            <w:left w:w="108" w:type="dxa"/>
            <w:bottom w:w="0" w:type="dxa"/>
            <w:right w:w="108" w:type="dxa"/>
          </w:tblCellMar>
        </w:tblPrEx>
        <w:trPr>
          <w:trHeight w:val="567" w:hRule="atLeast"/>
          <w:jc w:val="center"/>
        </w:trPr>
        <w:tc>
          <w:tcPr>
            <w:tcW w:w="901" w:type="dxa"/>
            <w:tcBorders>
              <w:top w:val="single" w:color="000000" w:sz="4" w:space="0"/>
              <w:left w:val="single" w:color="000000" w:sz="4" w:space="0"/>
              <w:bottom w:val="single" w:color="000000" w:sz="4" w:space="0"/>
              <w:right w:val="single" w:color="auto" w:sz="4" w:space="0"/>
            </w:tcBorders>
            <w:vAlign w:val="center"/>
          </w:tcPr>
          <w:p w14:paraId="39960081">
            <w:pPr>
              <w:widowControl/>
              <w:adjustRightInd w:val="0"/>
              <w:snapToGrid w:val="0"/>
              <w:spacing w:line="400" w:lineRule="exact"/>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5423" w:type="dxa"/>
            <w:tcBorders>
              <w:top w:val="single" w:color="000000" w:sz="4" w:space="0"/>
              <w:left w:val="single" w:color="auto" w:sz="4" w:space="0"/>
              <w:bottom w:val="single" w:color="000000" w:sz="4" w:space="0"/>
              <w:right w:val="single" w:color="000000" w:sz="4" w:space="0"/>
            </w:tcBorders>
            <w:shd w:val="clear" w:color="auto" w:fill="auto"/>
            <w:vAlign w:val="center"/>
          </w:tcPr>
          <w:p w14:paraId="4F77D7E8">
            <w:pPr>
              <w:widowControl/>
              <w:adjustRightInd w:val="0"/>
              <w:snapToGrid w:val="0"/>
              <w:spacing w:line="400" w:lineRule="exact"/>
              <w:jc w:val="center"/>
              <w:textAlignment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工学一体精品课程开发</w:t>
            </w:r>
          </w:p>
        </w:tc>
        <w:tc>
          <w:tcPr>
            <w:tcW w:w="1250" w:type="dxa"/>
            <w:tcBorders>
              <w:top w:val="single" w:color="000000" w:sz="4" w:space="0"/>
              <w:left w:val="nil"/>
              <w:bottom w:val="single" w:color="000000" w:sz="4" w:space="0"/>
              <w:right w:val="single" w:color="000000" w:sz="4" w:space="0"/>
            </w:tcBorders>
            <w:shd w:val="clear" w:color="auto" w:fill="auto"/>
            <w:vAlign w:val="center"/>
          </w:tcPr>
          <w:p w14:paraId="1B6F9105">
            <w:pPr>
              <w:widowControl/>
              <w:adjustRightInd w:val="0"/>
              <w:snapToGrid w:val="0"/>
              <w:spacing w:line="400" w:lineRule="exact"/>
              <w:jc w:val="center"/>
              <w:textAlignment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门</w:t>
            </w:r>
          </w:p>
        </w:tc>
        <w:tc>
          <w:tcPr>
            <w:tcW w:w="1151" w:type="dxa"/>
            <w:tcBorders>
              <w:top w:val="single" w:color="000000" w:sz="4" w:space="0"/>
              <w:left w:val="nil"/>
              <w:bottom w:val="single" w:color="000000" w:sz="4" w:space="0"/>
              <w:right w:val="single" w:color="000000" w:sz="4" w:space="0"/>
            </w:tcBorders>
            <w:shd w:val="clear" w:color="auto" w:fill="auto"/>
            <w:vAlign w:val="center"/>
          </w:tcPr>
          <w:p w14:paraId="3A76B4EC">
            <w:pPr>
              <w:widowControl/>
              <w:adjustRightInd w:val="0"/>
              <w:snapToGrid w:val="0"/>
              <w:spacing w:line="400" w:lineRule="exact"/>
              <w:jc w:val="center"/>
              <w:textAlignment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5</w:t>
            </w:r>
          </w:p>
        </w:tc>
      </w:tr>
      <w:tr w14:paraId="62A798F7">
        <w:tblPrEx>
          <w:tblCellMar>
            <w:top w:w="0" w:type="dxa"/>
            <w:left w:w="108" w:type="dxa"/>
            <w:bottom w:w="0" w:type="dxa"/>
            <w:right w:w="108" w:type="dxa"/>
          </w:tblCellMar>
        </w:tblPrEx>
        <w:trPr>
          <w:trHeight w:val="567" w:hRule="atLeast"/>
          <w:jc w:val="center"/>
        </w:trPr>
        <w:tc>
          <w:tcPr>
            <w:tcW w:w="901" w:type="dxa"/>
            <w:tcBorders>
              <w:top w:val="single" w:color="000000" w:sz="4" w:space="0"/>
              <w:left w:val="single" w:color="000000" w:sz="4" w:space="0"/>
              <w:bottom w:val="single" w:color="000000" w:sz="4" w:space="0"/>
              <w:right w:val="single" w:color="auto" w:sz="4" w:space="0"/>
            </w:tcBorders>
            <w:vAlign w:val="center"/>
          </w:tcPr>
          <w:p w14:paraId="050081A2">
            <w:pPr>
              <w:widowControl/>
              <w:adjustRightInd w:val="0"/>
              <w:snapToGrid w:val="0"/>
              <w:spacing w:line="400" w:lineRule="exact"/>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5423" w:type="dxa"/>
            <w:tcBorders>
              <w:top w:val="single" w:color="000000" w:sz="4" w:space="0"/>
              <w:left w:val="single" w:color="auto" w:sz="4" w:space="0"/>
              <w:bottom w:val="single" w:color="000000" w:sz="4" w:space="0"/>
              <w:right w:val="single" w:color="000000" w:sz="4" w:space="0"/>
            </w:tcBorders>
            <w:shd w:val="clear" w:color="auto" w:fill="auto"/>
            <w:vAlign w:val="center"/>
          </w:tcPr>
          <w:p w14:paraId="5D660026">
            <w:pPr>
              <w:widowControl/>
              <w:adjustRightInd w:val="0"/>
              <w:snapToGrid w:val="0"/>
              <w:spacing w:line="400" w:lineRule="exact"/>
              <w:jc w:val="center"/>
              <w:textAlignment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教材出版（国家一级出版社）</w:t>
            </w:r>
          </w:p>
        </w:tc>
        <w:tc>
          <w:tcPr>
            <w:tcW w:w="1250" w:type="dxa"/>
            <w:tcBorders>
              <w:top w:val="single" w:color="000000" w:sz="4" w:space="0"/>
              <w:left w:val="nil"/>
              <w:bottom w:val="single" w:color="000000" w:sz="4" w:space="0"/>
              <w:right w:val="single" w:color="000000" w:sz="4" w:space="0"/>
            </w:tcBorders>
            <w:shd w:val="clear" w:color="auto" w:fill="auto"/>
            <w:vAlign w:val="center"/>
          </w:tcPr>
          <w:p w14:paraId="01B7D0A2">
            <w:pPr>
              <w:widowControl/>
              <w:adjustRightInd w:val="0"/>
              <w:snapToGrid w:val="0"/>
              <w:spacing w:line="400" w:lineRule="exact"/>
              <w:jc w:val="center"/>
              <w:textAlignment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本</w:t>
            </w:r>
          </w:p>
        </w:tc>
        <w:tc>
          <w:tcPr>
            <w:tcW w:w="1151" w:type="dxa"/>
            <w:tcBorders>
              <w:top w:val="single" w:color="000000" w:sz="4" w:space="0"/>
              <w:left w:val="nil"/>
              <w:bottom w:val="single" w:color="000000" w:sz="4" w:space="0"/>
              <w:right w:val="single" w:color="000000" w:sz="4" w:space="0"/>
            </w:tcBorders>
            <w:shd w:val="clear" w:color="auto" w:fill="auto"/>
            <w:vAlign w:val="center"/>
          </w:tcPr>
          <w:p w14:paraId="61109664">
            <w:pPr>
              <w:widowControl/>
              <w:adjustRightInd w:val="0"/>
              <w:snapToGrid w:val="0"/>
              <w:spacing w:line="400" w:lineRule="exact"/>
              <w:jc w:val="center"/>
              <w:textAlignment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2</w:t>
            </w:r>
          </w:p>
        </w:tc>
      </w:tr>
      <w:tr w14:paraId="77E91CCD">
        <w:tblPrEx>
          <w:tblCellMar>
            <w:top w:w="0" w:type="dxa"/>
            <w:left w:w="108" w:type="dxa"/>
            <w:bottom w:w="0" w:type="dxa"/>
            <w:right w:w="108" w:type="dxa"/>
          </w:tblCellMar>
        </w:tblPrEx>
        <w:trPr>
          <w:trHeight w:val="567" w:hRule="atLeast"/>
          <w:jc w:val="center"/>
        </w:trPr>
        <w:tc>
          <w:tcPr>
            <w:tcW w:w="901" w:type="dxa"/>
            <w:tcBorders>
              <w:top w:val="single" w:color="000000" w:sz="4" w:space="0"/>
              <w:left w:val="single" w:color="000000" w:sz="4" w:space="0"/>
              <w:bottom w:val="single" w:color="000000" w:sz="4" w:space="0"/>
              <w:right w:val="single" w:color="auto" w:sz="4" w:space="0"/>
            </w:tcBorders>
            <w:vAlign w:val="center"/>
          </w:tcPr>
          <w:p w14:paraId="238E9FD1">
            <w:pPr>
              <w:widowControl/>
              <w:adjustRightInd w:val="0"/>
              <w:snapToGrid w:val="0"/>
              <w:spacing w:line="400" w:lineRule="exact"/>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5423" w:type="dxa"/>
            <w:tcBorders>
              <w:top w:val="single" w:color="000000" w:sz="4" w:space="0"/>
              <w:left w:val="single" w:color="auto" w:sz="4" w:space="0"/>
              <w:bottom w:val="single" w:color="000000" w:sz="4" w:space="0"/>
              <w:right w:val="single" w:color="000000" w:sz="4" w:space="0"/>
            </w:tcBorders>
            <w:shd w:val="clear" w:color="auto" w:fill="auto"/>
            <w:vAlign w:val="center"/>
          </w:tcPr>
          <w:p w14:paraId="6B90E2B4">
            <w:pPr>
              <w:widowControl/>
              <w:adjustRightInd w:val="0"/>
              <w:snapToGrid w:val="0"/>
              <w:spacing w:line="400" w:lineRule="exact"/>
              <w:jc w:val="center"/>
              <w:textAlignment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教学支撑平台</w:t>
            </w:r>
          </w:p>
        </w:tc>
        <w:tc>
          <w:tcPr>
            <w:tcW w:w="1250" w:type="dxa"/>
            <w:tcBorders>
              <w:top w:val="single" w:color="000000" w:sz="4" w:space="0"/>
              <w:left w:val="nil"/>
              <w:bottom w:val="single" w:color="000000" w:sz="4" w:space="0"/>
              <w:right w:val="single" w:color="000000" w:sz="4" w:space="0"/>
            </w:tcBorders>
            <w:shd w:val="clear" w:color="auto" w:fill="auto"/>
            <w:vAlign w:val="center"/>
          </w:tcPr>
          <w:p w14:paraId="7C33E3F9">
            <w:pPr>
              <w:widowControl/>
              <w:adjustRightInd w:val="0"/>
              <w:snapToGrid w:val="0"/>
              <w:spacing w:line="400" w:lineRule="exact"/>
              <w:jc w:val="center"/>
              <w:textAlignment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个</w:t>
            </w:r>
          </w:p>
        </w:tc>
        <w:tc>
          <w:tcPr>
            <w:tcW w:w="1151" w:type="dxa"/>
            <w:tcBorders>
              <w:top w:val="single" w:color="000000" w:sz="4" w:space="0"/>
              <w:left w:val="nil"/>
              <w:bottom w:val="single" w:color="000000" w:sz="4" w:space="0"/>
              <w:right w:val="single" w:color="000000" w:sz="4" w:space="0"/>
            </w:tcBorders>
            <w:shd w:val="clear" w:color="auto" w:fill="auto"/>
            <w:vAlign w:val="center"/>
          </w:tcPr>
          <w:p w14:paraId="78B9213F">
            <w:pPr>
              <w:widowControl/>
              <w:adjustRightInd w:val="0"/>
              <w:snapToGrid w:val="0"/>
              <w:spacing w:line="400" w:lineRule="exact"/>
              <w:jc w:val="center"/>
              <w:textAlignment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3</w:t>
            </w:r>
          </w:p>
        </w:tc>
      </w:tr>
      <w:tr w14:paraId="2BF86CB6">
        <w:tblPrEx>
          <w:tblCellMar>
            <w:top w:w="0" w:type="dxa"/>
            <w:left w:w="108" w:type="dxa"/>
            <w:bottom w:w="0" w:type="dxa"/>
            <w:right w:w="108" w:type="dxa"/>
          </w:tblCellMar>
        </w:tblPrEx>
        <w:trPr>
          <w:trHeight w:val="567" w:hRule="atLeast"/>
          <w:jc w:val="center"/>
        </w:trPr>
        <w:tc>
          <w:tcPr>
            <w:tcW w:w="901" w:type="dxa"/>
            <w:tcBorders>
              <w:top w:val="single" w:color="000000" w:sz="4" w:space="0"/>
              <w:left w:val="single" w:color="000000" w:sz="4" w:space="0"/>
              <w:bottom w:val="single" w:color="000000" w:sz="4" w:space="0"/>
              <w:right w:val="single" w:color="auto" w:sz="4" w:space="0"/>
            </w:tcBorders>
            <w:vAlign w:val="center"/>
          </w:tcPr>
          <w:p w14:paraId="3D5E7074">
            <w:pPr>
              <w:widowControl/>
              <w:adjustRightInd w:val="0"/>
              <w:snapToGrid w:val="0"/>
              <w:spacing w:line="400" w:lineRule="exact"/>
              <w:jc w:val="center"/>
              <w:textAlignment w:val="center"/>
              <w:rPr>
                <w:rFonts w:hint="eastAsia" w:asciiTheme="minorEastAsia" w:hAnsiTheme="minorEastAsia" w:eastAsiaTheme="minorEastAsia" w:cstheme="minorEastAsia"/>
                <w:color w:val="auto"/>
                <w:szCs w:val="21"/>
                <w:highlight w:val="none"/>
                <w:lang w:val="en-US" w:eastAsia="zh-CN"/>
              </w:rPr>
            </w:pPr>
            <w:bookmarkStart w:id="72" w:name="_Toc1242"/>
            <w:r>
              <w:rPr>
                <w:rFonts w:hint="eastAsia" w:asciiTheme="minorEastAsia" w:hAnsiTheme="minorEastAsia" w:eastAsiaTheme="minorEastAsia" w:cstheme="minorEastAsia"/>
                <w:color w:val="auto"/>
                <w:szCs w:val="21"/>
                <w:highlight w:val="none"/>
                <w:lang w:val="en-US" w:eastAsia="zh-CN"/>
              </w:rPr>
              <w:t>6</w:t>
            </w:r>
          </w:p>
        </w:tc>
        <w:tc>
          <w:tcPr>
            <w:tcW w:w="5423" w:type="dxa"/>
            <w:tcBorders>
              <w:top w:val="single" w:color="000000" w:sz="4" w:space="0"/>
              <w:left w:val="single" w:color="auto" w:sz="4" w:space="0"/>
              <w:bottom w:val="single" w:color="000000" w:sz="4" w:space="0"/>
              <w:right w:val="single" w:color="000000" w:sz="4" w:space="0"/>
            </w:tcBorders>
            <w:shd w:val="clear" w:color="auto" w:fill="auto"/>
            <w:vAlign w:val="center"/>
          </w:tcPr>
          <w:p w14:paraId="19369813">
            <w:pPr>
              <w:widowControl/>
              <w:adjustRightInd w:val="0"/>
              <w:snapToGrid w:val="0"/>
              <w:spacing w:line="400" w:lineRule="exact"/>
              <w:jc w:val="center"/>
              <w:textAlignment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优质课堂创建</w:t>
            </w:r>
          </w:p>
        </w:tc>
        <w:tc>
          <w:tcPr>
            <w:tcW w:w="1250" w:type="dxa"/>
            <w:tcBorders>
              <w:top w:val="single" w:color="000000" w:sz="4" w:space="0"/>
              <w:left w:val="nil"/>
              <w:bottom w:val="single" w:color="000000" w:sz="4" w:space="0"/>
              <w:right w:val="single" w:color="000000" w:sz="4" w:space="0"/>
            </w:tcBorders>
            <w:shd w:val="clear" w:color="auto" w:fill="auto"/>
            <w:vAlign w:val="center"/>
          </w:tcPr>
          <w:p w14:paraId="7280EFED">
            <w:pPr>
              <w:widowControl/>
              <w:adjustRightInd w:val="0"/>
              <w:snapToGrid w:val="0"/>
              <w:spacing w:line="400" w:lineRule="exact"/>
              <w:jc w:val="center"/>
              <w:textAlignment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门</w:t>
            </w:r>
          </w:p>
        </w:tc>
        <w:tc>
          <w:tcPr>
            <w:tcW w:w="1151" w:type="dxa"/>
            <w:tcBorders>
              <w:top w:val="single" w:color="000000" w:sz="4" w:space="0"/>
              <w:left w:val="nil"/>
              <w:bottom w:val="single" w:color="000000" w:sz="4" w:space="0"/>
              <w:right w:val="single" w:color="000000" w:sz="4" w:space="0"/>
            </w:tcBorders>
            <w:shd w:val="clear" w:color="auto" w:fill="auto"/>
            <w:vAlign w:val="center"/>
          </w:tcPr>
          <w:p w14:paraId="22B31992">
            <w:pPr>
              <w:widowControl/>
              <w:adjustRightInd w:val="0"/>
              <w:snapToGrid w:val="0"/>
              <w:spacing w:line="400" w:lineRule="exact"/>
              <w:jc w:val="center"/>
              <w:textAlignment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1</w:t>
            </w:r>
          </w:p>
        </w:tc>
      </w:tr>
    </w:tbl>
    <w:p w14:paraId="05570010">
      <w:pPr>
        <w:numPr>
          <w:ilvl w:val="0"/>
          <w:numId w:val="5"/>
        </w:numPr>
        <w:overflowPunct w:val="0"/>
        <w:spacing w:line="400" w:lineRule="exact"/>
        <w:outlineLvl w:val="1"/>
        <w:rPr>
          <w:rFonts w:ascii="宋体"/>
          <w:b/>
          <w:color w:val="auto"/>
          <w:sz w:val="24"/>
          <w:highlight w:val="none"/>
        </w:rPr>
      </w:pPr>
      <w:r>
        <w:rPr>
          <w:rFonts w:hint="eastAsia" w:ascii="宋体" w:hAnsi="宋体"/>
          <w:b/>
          <w:color w:val="auto"/>
          <w:sz w:val="24"/>
          <w:highlight w:val="none"/>
        </w:rPr>
        <w:t>项目内容及要求</w:t>
      </w:r>
      <w:bookmarkEnd w:id="72"/>
    </w:p>
    <w:p w14:paraId="051AF0BF">
      <w:pPr>
        <w:pStyle w:val="50"/>
        <w:keepNext w:val="0"/>
        <w:keepLines w:val="0"/>
        <w:pageBreakBefore w:val="0"/>
        <w:widowControl w:val="0"/>
        <w:kinsoku/>
        <w:wordWrap/>
        <w:overflowPunct/>
        <w:topLinePunct w:val="0"/>
        <w:autoSpaceDE/>
        <w:autoSpaceDN/>
        <w:bidi w:val="0"/>
        <w:adjustRightInd/>
        <w:snapToGrid/>
        <w:spacing w:after="0" w:line="400" w:lineRule="exact"/>
        <w:ind w:firstLine="422" w:firstLineChars="200"/>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lang w:eastAsia="zh-CN"/>
        </w:rPr>
        <w:t>（一）</w:t>
      </w:r>
      <w:r>
        <w:rPr>
          <w:rFonts w:hint="eastAsia" w:ascii="宋体" w:hAnsi="宋体" w:cs="宋体"/>
          <w:b/>
          <w:bCs/>
          <w:color w:val="auto"/>
          <w:sz w:val="21"/>
          <w:szCs w:val="21"/>
          <w:highlight w:val="none"/>
        </w:rPr>
        <w:t>工学一体在线精品课程建设指导</w:t>
      </w:r>
    </w:p>
    <w:p w14:paraId="2207827A">
      <w:pPr>
        <w:pStyle w:val="4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专题讲座：提供在线精品课程建设专家讲座、精品课程建设指导、精品课程建设材料评审的过程环节的专业指导及咨询服务。主要内容：</w:t>
      </w:r>
    </w:p>
    <w:p w14:paraId="0E916886">
      <w:pPr>
        <w:pStyle w:val="4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提供3名专家指导开展在线精品课程建设，开展专题讲座，审核相关申报材料，指导开展网络精品课程建设等工作。</w:t>
      </w:r>
    </w:p>
    <w:p w14:paraId="0837241F">
      <w:pPr>
        <w:pStyle w:val="4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提供全流程的工学一体化培训服务，团队驻校时间不少于2个月。团队负责人因具有高级及以上职称，团队构成学科多元，具有丰富的工学一体化实践经验，提供相关证书证明，同时提供工学一体化具体全过程服务方案及经验证明材料。</w:t>
      </w:r>
    </w:p>
    <w:p w14:paraId="18054231">
      <w:pPr>
        <w:pStyle w:val="4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2.提供3名专家，具备副高及以上职称，有精品课程建设或评审经验。投标文件提供相关证明材料。</w:t>
      </w:r>
    </w:p>
    <w:p w14:paraId="514204EA">
      <w:pPr>
        <w:pStyle w:val="4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召开不少于3场精品课程建设专题讲座。邀请具有较高水平和经验的评委专家开展精品课程建设辅导，内容包括精品课程建设赛项文件解读，评分标准分析，优秀案例介绍，比赛材料准备，设置交流环节，随时解答参赛师生对参加精品课程建设过程中的各类疑问。</w:t>
      </w:r>
    </w:p>
    <w:p w14:paraId="67FF8960">
      <w:pPr>
        <w:pStyle w:val="4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4.开展在线精品课程建设过程指导。</w:t>
      </w:r>
    </w:p>
    <w:p w14:paraId="5D4B1E31">
      <w:pPr>
        <w:pStyle w:val="4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color w:val="auto"/>
          <w:highlight w:val="none"/>
        </w:rPr>
      </w:pPr>
      <w:r>
        <w:rPr>
          <w:rFonts w:hint="eastAsia" w:ascii="宋体" w:hAnsi="宋体" w:cs="宋体"/>
          <w:color w:val="auto"/>
          <w:kern w:val="0"/>
          <w:szCs w:val="21"/>
          <w:highlight w:val="none"/>
        </w:rPr>
        <w:t>5.负责在线精品课程主要申报材料审核。对每门课程的课程定位、课程标准、教学设计、申报材料进行审核以及辅导工作。投标文件提供样例和详细培训方案</w:t>
      </w:r>
      <w:r>
        <w:rPr>
          <w:rFonts w:hint="default" w:ascii="宋体" w:hAnsi="宋体" w:cs="宋体"/>
          <w:color w:val="auto"/>
          <w:kern w:val="0"/>
          <w:szCs w:val="21"/>
          <w:highlight w:val="none"/>
        </w:rPr>
        <w:t>。</w:t>
      </w:r>
    </w:p>
    <w:p w14:paraId="2FA94A7C">
      <w:pPr>
        <w:pStyle w:val="50"/>
        <w:keepNext w:val="0"/>
        <w:keepLines w:val="0"/>
        <w:pageBreakBefore w:val="0"/>
        <w:widowControl w:val="0"/>
        <w:kinsoku/>
        <w:wordWrap/>
        <w:overflowPunct/>
        <w:topLinePunct w:val="0"/>
        <w:autoSpaceDE/>
        <w:autoSpaceDN/>
        <w:bidi w:val="0"/>
        <w:adjustRightInd/>
        <w:snapToGrid/>
        <w:spacing w:after="0" w:line="400" w:lineRule="exact"/>
        <w:ind w:firstLine="422" w:firstLineChars="200"/>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lang w:eastAsia="zh-CN"/>
        </w:rPr>
        <w:t>（二）</w:t>
      </w:r>
      <w:r>
        <w:rPr>
          <w:rFonts w:hint="eastAsia" w:ascii="宋体" w:hAnsi="宋体" w:cs="宋体"/>
          <w:b/>
          <w:bCs/>
          <w:color w:val="auto"/>
          <w:sz w:val="21"/>
          <w:szCs w:val="21"/>
          <w:highlight w:val="none"/>
        </w:rPr>
        <w:t>工学一体立体化教学资源开发服务（5门）</w:t>
      </w:r>
    </w:p>
    <w:p w14:paraId="716D982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1.工学一体教材开发5门</w:t>
      </w:r>
    </w:p>
    <w:p w14:paraId="7FB77DF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（1）学习环境结合学校现有场地设备，提供驻校开发，学习目标反映学生职业能力与职业素养的要求，明确、具体且可操作性强。投标文件提供5门教材的开发方案。</w:t>
      </w:r>
    </w:p>
    <w:p w14:paraId="0AE8ADA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学习内容包括理论知识和实践知识及工作的各项要素要求，与企业生产过程紧密相关。投标文件提供自主知识产权开发的不同学科、跨学科的工学一体化学习任务开发案例的业绩合同、详细说明及3个任务案例的现场演示。</w:t>
      </w:r>
    </w:p>
    <w:p w14:paraId="729B484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教学方法体现以学生为中心、行动导向的教学理念。教学手段利用多种教学媒体以及信息化手段和数字化资源，有效支持学习活动的开展。方法和手段选择与组合适当，与教学内容相符合。投标文件提供工学一体化教学设计案例。</w:t>
      </w:r>
    </w:p>
    <w:p w14:paraId="3BEB138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（4）学习评价方式方法合理，易于操作，能有效解决实际教学问题，注重学业成果展示。</w:t>
      </w:r>
    </w:p>
    <w:p w14:paraId="28832EF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（5）按照国家工学一体化课程建设标准相关要求进行开发。</w:t>
      </w:r>
    </w:p>
    <w:p w14:paraId="33C04CF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6）在国家一级出版社出版2本教材，投标文件提供教材开发及出版方案，开发过程中产生的成果协助学校进行论文、专利、课题、典型案例的成果孵化不少于各2项。投标文件提供成果孵化相关业绩案例详细说明的证明材料。</w:t>
      </w:r>
    </w:p>
    <w:p w14:paraId="64B1C3F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2.工学一体立体化教学资源5门</w:t>
      </w:r>
    </w:p>
    <w:tbl>
      <w:tblPr>
        <w:tblStyle w:val="32"/>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075"/>
        <w:gridCol w:w="6291"/>
        <w:gridCol w:w="725"/>
      </w:tblGrid>
      <w:tr w14:paraId="48F7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14:paraId="69C9A99F">
            <w:pPr>
              <w:adjustRightInd w:val="0"/>
              <w:snapToGrid w:val="0"/>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lang w:bidi="ar"/>
              </w:rPr>
              <w:t>序号</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1D6AC75E">
            <w:pPr>
              <w:adjustRightInd w:val="0"/>
              <w:snapToGrid w:val="0"/>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lang w:bidi="ar"/>
              </w:rPr>
              <w:t>课程名称</w:t>
            </w:r>
          </w:p>
        </w:tc>
        <w:tc>
          <w:tcPr>
            <w:tcW w:w="6291" w:type="dxa"/>
            <w:tcBorders>
              <w:top w:val="single" w:color="auto" w:sz="4" w:space="0"/>
              <w:left w:val="single" w:color="auto" w:sz="4" w:space="0"/>
              <w:bottom w:val="single" w:color="auto" w:sz="4" w:space="0"/>
              <w:right w:val="single" w:color="auto" w:sz="4" w:space="0"/>
            </w:tcBorders>
            <w:shd w:val="clear" w:color="auto" w:fill="auto"/>
            <w:vAlign w:val="center"/>
          </w:tcPr>
          <w:p w14:paraId="7948CF7D">
            <w:pPr>
              <w:adjustRightInd w:val="0"/>
              <w:snapToGrid w:val="0"/>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lang w:bidi="ar"/>
              </w:rPr>
              <w:t>技术要求</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424F0A2A">
            <w:pPr>
              <w:adjustRightInd w:val="0"/>
              <w:snapToGrid w:val="0"/>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lang w:bidi="ar"/>
              </w:rPr>
              <w:t>数量</w:t>
            </w:r>
          </w:p>
        </w:tc>
      </w:tr>
      <w:tr w14:paraId="7AB7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3C3C6E">
            <w:pPr>
              <w:adjustRightInd w:val="0"/>
              <w:snapToGrid w:val="0"/>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lang w:bidi="ar"/>
              </w:rPr>
              <w:t>1</w:t>
            </w:r>
          </w:p>
        </w:tc>
        <w:tc>
          <w:tcPr>
            <w:tcW w:w="10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C95459">
            <w:pPr>
              <w:adjustRightInd w:val="0"/>
              <w:snapToGrid w:val="0"/>
              <w:spacing w:line="400" w:lineRule="exact"/>
              <w:jc w:val="center"/>
              <w:rPr>
                <w:rFonts w:ascii="宋体" w:hAnsi="宋体" w:cs="宋体"/>
                <w:bCs/>
                <w:color w:val="auto"/>
                <w:szCs w:val="21"/>
                <w:highlight w:val="none"/>
              </w:rPr>
            </w:pPr>
            <w:r>
              <w:rPr>
                <w:rFonts w:hint="eastAsia" w:ascii="宋体" w:hAnsi="宋体" w:cs="宋体"/>
                <w:color w:val="auto"/>
                <w:szCs w:val="21"/>
                <w:highlight w:val="none"/>
              </w:rPr>
              <w:t>电气自动化设备安装与维修专业精品课程1门</w:t>
            </w:r>
          </w:p>
        </w:tc>
        <w:tc>
          <w:tcPr>
            <w:tcW w:w="6291" w:type="dxa"/>
            <w:tcBorders>
              <w:top w:val="single" w:color="auto" w:sz="4" w:space="0"/>
              <w:left w:val="single" w:color="auto" w:sz="4" w:space="0"/>
              <w:bottom w:val="single" w:color="auto" w:sz="4" w:space="0"/>
              <w:right w:val="single" w:color="auto" w:sz="4" w:space="0"/>
            </w:tcBorders>
            <w:shd w:val="clear" w:color="auto" w:fill="auto"/>
            <w:vAlign w:val="center"/>
          </w:tcPr>
          <w:p w14:paraId="2A6D483B">
            <w:pPr>
              <w:pStyle w:val="8"/>
              <w:widowControl/>
              <w:adjustRightInd w:val="0"/>
              <w:snapToGrid w:val="0"/>
              <w:spacing w:after="0" w:line="400" w:lineRule="exact"/>
              <w:rPr>
                <w:rFonts w:ascii="宋体" w:hAnsi="宋体" w:cs="宋体"/>
                <w:b/>
                <w:color w:val="auto"/>
                <w:sz w:val="21"/>
                <w:szCs w:val="21"/>
                <w:highlight w:val="none"/>
              </w:rPr>
            </w:pPr>
            <w:r>
              <w:rPr>
                <w:rFonts w:hint="eastAsia" w:ascii="宋体" w:hAnsi="宋体" w:cs="宋体"/>
                <w:b/>
                <w:color w:val="auto"/>
                <w:sz w:val="21"/>
                <w:szCs w:val="21"/>
                <w:highlight w:val="none"/>
              </w:rPr>
              <w:t>教学设计：</w:t>
            </w:r>
          </w:p>
          <w:p w14:paraId="50285726">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1.学习目标反映学生职业能力与职业素养的要求，明确、具体且可操作性强。</w:t>
            </w:r>
          </w:p>
          <w:p w14:paraId="5649B549">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2.学习内容包括理论知识和实践知识及工作的各项要素要求，与企业生产过程紧密相关。</w:t>
            </w:r>
          </w:p>
          <w:p w14:paraId="1522AD2B">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3.教学方法体现以学生为中心、行动导向的教学理念。教学手段利用多种教学媒体以及信息化手段和数字化资源，有效支持学习活动的开展。方法和手段选择与组合适当，与教学内容相符合。</w:t>
            </w:r>
          </w:p>
          <w:p w14:paraId="79FC4832">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4.学习评价方式方法合理，易于操作，能有效解决实际教学问题，注重学业成果展示。</w:t>
            </w:r>
          </w:p>
          <w:p w14:paraId="2252F907">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5.按照工学一体化课程建设理念对教学设计的具体内容进行优化提升。</w:t>
            </w:r>
          </w:p>
          <w:p w14:paraId="20FA66B3">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对已做好的教学设计进行系统优化，要求格式规范、风格统一、简约、美观。</w:t>
            </w:r>
          </w:p>
          <w:p w14:paraId="5E4EFD59">
            <w:pPr>
              <w:pStyle w:val="8"/>
              <w:widowControl/>
              <w:adjustRightInd w:val="0"/>
              <w:snapToGrid w:val="0"/>
              <w:spacing w:after="0" w:line="400" w:lineRule="exact"/>
              <w:rPr>
                <w:rFonts w:ascii="宋体" w:hAnsi="宋体" w:cs="宋体"/>
                <w:color w:val="auto"/>
                <w:sz w:val="21"/>
                <w:szCs w:val="21"/>
                <w:highlight w:val="none"/>
              </w:rPr>
            </w:pPr>
            <w:r>
              <w:rPr>
                <w:rFonts w:hint="eastAsia" w:ascii="宋体" w:hAnsi="宋体" w:cs="宋体"/>
                <w:color w:val="auto"/>
                <w:sz w:val="21"/>
                <w:szCs w:val="21"/>
                <w:highlight w:val="none"/>
              </w:rPr>
              <w:t>7.投标文件提供相关教学设计案例说明。</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4A670671">
            <w:pPr>
              <w:adjustRightInd w:val="0"/>
              <w:snapToGrid w:val="0"/>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1门</w:t>
            </w:r>
          </w:p>
        </w:tc>
      </w:tr>
      <w:tr w14:paraId="33E12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2" w:type="dxa"/>
            <w:vMerge w:val="continue"/>
            <w:tcBorders>
              <w:left w:val="single" w:color="auto" w:sz="4" w:space="0"/>
              <w:right w:val="single" w:color="auto" w:sz="4" w:space="0"/>
            </w:tcBorders>
            <w:shd w:val="clear" w:color="auto" w:fill="auto"/>
            <w:vAlign w:val="center"/>
          </w:tcPr>
          <w:p w14:paraId="211B644D">
            <w:pPr>
              <w:adjustRightInd w:val="0"/>
              <w:snapToGrid w:val="0"/>
              <w:spacing w:line="400" w:lineRule="exact"/>
              <w:jc w:val="center"/>
              <w:rPr>
                <w:rFonts w:ascii="宋体" w:hAnsi="宋体" w:cs="宋体"/>
                <w:bCs/>
                <w:color w:val="auto"/>
                <w:szCs w:val="21"/>
                <w:highlight w:val="none"/>
                <w:lang w:bidi="ar"/>
              </w:rPr>
            </w:pPr>
          </w:p>
        </w:tc>
        <w:tc>
          <w:tcPr>
            <w:tcW w:w="1075" w:type="dxa"/>
            <w:vMerge w:val="continue"/>
            <w:tcBorders>
              <w:left w:val="single" w:color="auto" w:sz="4" w:space="0"/>
              <w:right w:val="single" w:color="auto" w:sz="4" w:space="0"/>
            </w:tcBorders>
            <w:shd w:val="clear" w:color="auto" w:fill="auto"/>
            <w:vAlign w:val="center"/>
          </w:tcPr>
          <w:p w14:paraId="7CFF757C">
            <w:pPr>
              <w:adjustRightInd w:val="0"/>
              <w:snapToGrid w:val="0"/>
              <w:spacing w:line="400" w:lineRule="exact"/>
              <w:jc w:val="center"/>
              <w:rPr>
                <w:rFonts w:ascii="宋体" w:hAnsi="宋体" w:cs="宋体"/>
                <w:color w:val="auto"/>
                <w:szCs w:val="21"/>
                <w:highlight w:val="none"/>
              </w:rPr>
            </w:pPr>
          </w:p>
        </w:tc>
        <w:tc>
          <w:tcPr>
            <w:tcW w:w="6291" w:type="dxa"/>
            <w:tcBorders>
              <w:top w:val="single" w:color="auto" w:sz="4" w:space="0"/>
              <w:left w:val="single" w:color="auto" w:sz="4" w:space="0"/>
              <w:bottom w:val="single" w:color="auto" w:sz="4" w:space="0"/>
              <w:right w:val="single" w:color="auto" w:sz="4" w:space="0"/>
            </w:tcBorders>
            <w:shd w:val="clear" w:color="auto" w:fill="auto"/>
            <w:vAlign w:val="center"/>
          </w:tcPr>
          <w:p w14:paraId="538F6D62">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b/>
                <w:bCs/>
                <w:color w:val="auto"/>
                <w:sz w:val="21"/>
                <w:szCs w:val="21"/>
                <w:highlight w:val="none"/>
              </w:rPr>
              <w:t>配套开发内容：</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1.微课视频≥10个，时长3-8分钟，总时长≥100分钟</w:t>
            </w:r>
          </w:p>
          <w:p w14:paraId="7578BD2E">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2.PPT课件≥10个，页数≥20页/个</w:t>
            </w:r>
          </w:p>
          <w:p w14:paraId="45274967">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3.教学设计（教案）≥1份</w:t>
            </w:r>
          </w:p>
          <w:p w14:paraId="2F1CA4AF">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4.工作页≥1本，总页数≥100页，投标人有能力协助学校开发，提供相关案例说明。</w:t>
            </w:r>
          </w:p>
          <w:p w14:paraId="1851EBDE">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5.习题库≥1份，数量≥100题</w:t>
            </w:r>
          </w:p>
          <w:p w14:paraId="6CA5BBDE">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6.知识点思维导图≥1份</w:t>
            </w:r>
          </w:p>
          <w:p w14:paraId="04D88D91">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7.工学一体化教材≥1本，总字数≥50000字</w:t>
            </w:r>
          </w:p>
          <w:p w14:paraId="005527E1">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8.一体化学习工作站建设报告1份</w:t>
            </w:r>
          </w:p>
          <w:p w14:paraId="2F819172">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9.工学一体化课程标准开发计划及成果1份，根据国标调整控制在30%以内。</w:t>
            </w:r>
          </w:p>
          <w:p w14:paraId="1A7DF730">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10.专业工学一体化教学改革方案1份</w:t>
            </w:r>
          </w:p>
          <w:p w14:paraId="6856C2F3">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11.形成《构建职业核心能力培养教学体系的研究》报告</w:t>
            </w:r>
          </w:p>
          <w:p w14:paraId="69EA73C1">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12.协助完成实训室信息化升级建设方案1份</w:t>
            </w:r>
          </w:p>
          <w:p w14:paraId="7599FAA1">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13.协助科研合作、科研成果转化、课程建设、研修项目开发各1项</w:t>
            </w:r>
          </w:p>
          <w:p w14:paraId="36CCC962">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14.国外职业资格转化内容1份</w:t>
            </w:r>
          </w:p>
          <w:p w14:paraId="5A66FD74">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15.企业人才需求调研报告1份</w:t>
            </w:r>
          </w:p>
          <w:p w14:paraId="32E9686B">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16.典型案例提炼1项</w:t>
            </w:r>
          </w:p>
          <w:p w14:paraId="0295BEF5">
            <w:pPr>
              <w:pStyle w:val="8"/>
              <w:widowControl/>
              <w:adjustRightInd w:val="0"/>
              <w:snapToGrid w:val="0"/>
              <w:spacing w:after="0" w:line="400" w:lineRule="exact"/>
              <w:rPr>
                <w:rFonts w:ascii="宋体" w:hAnsi="宋体" w:cs="宋体"/>
                <w:color w:val="auto"/>
                <w:sz w:val="21"/>
                <w:szCs w:val="21"/>
                <w:highlight w:val="none"/>
              </w:rPr>
            </w:pPr>
            <w:r>
              <w:rPr>
                <w:rFonts w:hint="eastAsia" w:ascii="宋体" w:hAnsi="宋体" w:cs="宋体"/>
                <w:color w:val="auto"/>
                <w:sz w:val="21"/>
                <w:szCs w:val="21"/>
                <w:highlight w:val="none"/>
              </w:rPr>
              <w:t>投标文件提供以上相关内容的工作方案及经验证明。</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15AA76C2">
            <w:pPr>
              <w:adjustRightInd w:val="0"/>
              <w:snapToGrid w:val="0"/>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1门</w:t>
            </w:r>
          </w:p>
        </w:tc>
      </w:tr>
      <w:tr w14:paraId="076EC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437776">
            <w:pPr>
              <w:adjustRightInd w:val="0"/>
              <w:snapToGrid w:val="0"/>
              <w:spacing w:line="400" w:lineRule="exact"/>
              <w:jc w:val="center"/>
              <w:rPr>
                <w:rFonts w:ascii="宋体" w:hAnsi="宋体" w:cs="宋体"/>
                <w:color w:val="auto"/>
                <w:szCs w:val="21"/>
                <w:highlight w:val="none"/>
              </w:rPr>
            </w:pPr>
          </w:p>
        </w:tc>
        <w:tc>
          <w:tcPr>
            <w:tcW w:w="10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529725">
            <w:pPr>
              <w:adjustRightInd w:val="0"/>
              <w:snapToGrid w:val="0"/>
              <w:spacing w:line="400" w:lineRule="exact"/>
              <w:jc w:val="center"/>
              <w:rPr>
                <w:rFonts w:ascii="宋体" w:hAnsi="宋体" w:cs="宋体"/>
                <w:color w:val="auto"/>
                <w:szCs w:val="21"/>
                <w:highlight w:val="none"/>
              </w:rPr>
            </w:pPr>
          </w:p>
        </w:tc>
        <w:tc>
          <w:tcPr>
            <w:tcW w:w="6291" w:type="dxa"/>
            <w:tcBorders>
              <w:top w:val="single" w:color="auto" w:sz="4" w:space="0"/>
              <w:left w:val="single" w:color="auto" w:sz="4" w:space="0"/>
              <w:bottom w:val="single" w:color="auto" w:sz="4" w:space="0"/>
              <w:right w:val="single" w:color="auto" w:sz="4" w:space="0"/>
            </w:tcBorders>
            <w:shd w:val="clear" w:color="auto" w:fill="auto"/>
            <w:vAlign w:val="center"/>
          </w:tcPr>
          <w:p w14:paraId="14817AFB">
            <w:pPr>
              <w:widowControl/>
              <w:adjustRightInd w:val="0"/>
              <w:snapToGrid w:val="0"/>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lang w:bidi="ar"/>
              </w:rPr>
              <w:t>教学课件：</w:t>
            </w:r>
          </w:p>
          <w:p w14:paraId="24A64184">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1.配置富媒体化教学素材，提供不少于3套优质、简约的PPT模板，内有较为完善的图标、动画效果、封面及目录页模板等内容；</w:t>
            </w:r>
          </w:p>
          <w:p w14:paraId="19EE265D">
            <w:pPr>
              <w:pStyle w:val="8"/>
              <w:widowControl/>
              <w:adjustRightInd w:val="0"/>
              <w:snapToGrid w:val="0"/>
              <w:spacing w:after="0" w:line="400" w:lineRule="exact"/>
              <w:rPr>
                <w:rFonts w:ascii="宋体" w:hAnsi="宋体" w:cs="宋体"/>
                <w:color w:val="auto"/>
                <w:sz w:val="21"/>
                <w:szCs w:val="21"/>
                <w:highlight w:val="none"/>
              </w:rPr>
            </w:pPr>
            <w:r>
              <w:rPr>
                <w:rFonts w:hint="eastAsia" w:ascii="宋体" w:hAnsi="宋体" w:cs="宋体"/>
                <w:color w:val="auto"/>
                <w:sz w:val="21"/>
                <w:szCs w:val="21"/>
                <w:highlight w:val="none"/>
              </w:rPr>
              <w:t>2.对已做好的课件进行系统优化，要求格式规范、风格统一、简约、美观。总页数不超过200页。</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722E251F">
            <w:pPr>
              <w:adjustRightInd w:val="0"/>
              <w:snapToGrid w:val="0"/>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1门</w:t>
            </w:r>
          </w:p>
        </w:tc>
      </w:tr>
      <w:tr w14:paraId="3862D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2" w:type="dxa"/>
            <w:vMerge w:val="restart"/>
            <w:tcBorders>
              <w:top w:val="single" w:color="auto" w:sz="4" w:space="0"/>
              <w:left w:val="single" w:color="auto" w:sz="4" w:space="0"/>
              <w:right w:val="single" w:color="auto" w:sz="4" w:space="0"/>
            </w:tcBorders>
            <w:shd w:val="clear" w:color="auto" w:fill="auto"/>
            <w:vAlign w:val="center"/>
          </w:tcPr>
          <w:p w14:paraId="16D824B0">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075" w:type="dxa"/>
            <w:vMerge w:val="restart"/>
            <w:tcBorders>
              <w:top w:val="single" w:color="auto" w:sz="4" w:space="0"/>
              <w:left w:val="single" w:color="auto" w:sz="4" w:space="0"/>
              <w:right w:val="single" w:color="auto" w:sz="4" w:space="0"/>
            </w:tcBorders>
            <w:shd w:val="clear" w:color="auto" w:fill="auto"/>
            <w:vAlign w:val="center"/>
          </w:tcPr>
          <w:p w14:paraId="1DC1A43E">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工业机器人应用与维护专业精品课程1门</w:t>
            </w:r>
          </w:p>
        </w:tc>
        <w:tc>
          <w:tcPr>
            <w:tcW w:w="6291" w:type="dxa"/>
            <w:tcBorders>
              <w:top w:val="single" w:color="auto" w:sz="4" w:space="0"/>
              <w:left w:val="single" w:color="auto" w:sz="4" w:space="0"/>
              <w:bottom w:val="single" w:color="auto" w:sz="4" w:space="0"/>
              <w:right w:val="single" w:color="auto" w:sz="4" w:space="0"/>
            </w:tcBorders>
            <w:shd w:val="clear" w:color="auto" w:fill="auto"/>
            <w:vAlign w:val="center"/>
          </w:tcPr>
          <w:p w14:paraId="65A7F1E7">
            <w:pPr>
              <w:pStyle w:val="8"/>
              <w:widowControl/>
              <w:adjustRightInd w:val="0"/>
              <w:snapToGrid w:val="0"/>
              <w:spacing w:after="0" w:line="400" w:lineRule="exact"/>
              <w:rPr>
                <w:rFonts w:ascii="宋体" w:hAnsi="宋体" w:cs="宋体"/>
                <w:b/>
                <w:color w:val="auto"/>
                <w:sz w:val="21"/>
                <w:szCs w:val="21"/>
                <w:highlight w:val="none"/>
              </w:rPr>
            </w:pPr>
            <w:r>
              <w:rPr>
                <w:rFonts w:hint="eastAsia" w:ascii="宋体" w:hAnsi="宋体" w:cs="宋体"/>
                <w:b/>
                <w:color w:val="auto"/>
                <w:sz w:val="21"/>
                <w:szCs w:val="21"/>
                <w:highlight w:val="none"/>
              </w:rPr>
              <w:t>教学设计：</w:t>
            </w:r>
          </w:p>
          <w:p w14:paraId="26D2F15E">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1.学习目标反映学生职业能力与职业素养的要求，明确、具体且可操作性强。</w:t>
            </w:r>
          </w:p>
          <w:p w14:paraId="3A8928F2">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2.学习内容包括理论知识和实践知识及工作的各项要素要求，与企业生产过程紧密相关。</w:t>
            </w:r>
          </w:p>
          <w:p w14:paraId="5F3E2EB3">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3.教学方法体现以学生为中心、行动导向的教学理念。教学手段利用多种教学媒体以及信息化手段和数字化资源，有效支持学习活动的开展。方法和手段选择与组合适当，与教学内容相符合。</w:t>
            </w:r>
          </w:p>
          <w:p w14:paraId="643E63F1">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4.学习评价方式方法合理，易于操作，能有效解决实际教学问题，注重学业成果展示。</w:t>
            </w:r>
          </w:p>
          <w:p w14:paraId="4164F931">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5.按照工学一体化课程建设理念对教学设计的具体内容进行优化提升。</w:t>
            </w:r>
          </w:p>
          <w:p w14:paraId="68642481">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对已做好的教学设计进行系统优化，要求格式规范、风格统一、简约、美观。</w:t>
            </w:r>
          </w:p>
          <w:p w14:paraId="7B22408E">
            <w:pPr>
              <w:pStyle w:val="8"/>
              <w:widowControl/>
              <w:adjustRightInd w:val="0"/>
              <w:snapToGrid w:val="0"/>
              <w:spacing w:after="0" w:line="400" w:lineRule="exact"/>
              <w:rPr>
                <w:rFonts w:ascii="宋体" w:hAnsi="宋体" w:cs="宋体"/>
                <w:color w:val="auto"/>
                <w:sz w:val="21"/>
                <w:szCs w:val="21"/>
                <w:highlight w:val="none"/>
              </w:rPr>
            </w:pPr>
            <w:r>
              <w:rPr>
                <w:rFonts w:hint="eastAsia" w:ascii="宋体" w:hAnsi="宋体" w:cs="宋体"/>
                <w:color w:val="auto"/>
                <w:sz w:val="21"/>
                <w:szCs w:val="21"/>
                <w:highlight w:val="none"/>
              </w:rPr>
              <w:t>7.投标文件提供工作站模式的教学创新设计案例。</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52ABB29B">
            <w:pPr>
              <w:adjustRightInd w:val="0"/>
              <w:snapToGrid w:val="0"/>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1门</w:t>
            </w:r>
          </w:p>
        </w:tc>
      </w:tr>
      <w:tr w14:paraId="03632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2" w:type="dxa"/>
            <w:vMerge w:val="continue"/>
            <w:tcBorders>
              <w:left w:val="single" w:color="auto" w:sz="4" w:space="0"/>
              <w:right w:val="single" w:color="auto" w:sz="4" w:space="0"/>
            </w:tcBorders>
            <w:shd w:val="clear" w:color="auto" w:fill="auto"/>
            <w:vAlign w:val="center"/>
          </w:tcPr>
          <w:p w14:paraId="27FEAF4F">
            <w:pPr>
              <w:adjustRightInd w:val="0"/>
              <w:snapToGrid w:val="0"/>
              <w:spacing w:line="400" w:lineRule="exact"/>
              <w:jc w:val="center"/>
              <w:rPr>
                <w:rFonts w:ascii="宋体" w:hAnsi="宋体" w:cs="宋体"/>
                <w:color w:val="auto"/>
                <w:szCs w:val="21"/>
                <w:highlight w:val="none"/>
              </w:rPr>
            </w:pPr>
          </w:p>
        </w:tc>
        <w:tc>
          <w:tcPr>
            <w:tcW w:w="1075" w:type="dxa"/>
            <w:vMerge w:val="continue"/>
            <w:tcBorders>
              <w:left w:val="single" w:color="auto" w:sz="4" w:space="0"/>
              <w:right w:val="single" w:color="auto" w:sz="4" w:space="0"/>
            </w:tcBorders>
            <w:shd w:val="clear" w:color="auto" w:fill="auto"/>
            <w:vAlign w:val="center"/>
          </w:tcPr>
          <w:p w14:paraId="4AF608A3">
            <w:pPr>
              <w:adjustRightInd w:val="0"/>
              <w:snapToGrid w:val="0"/>
              <w:spacing w:line="400" w:lineRule="exact"/>
              <w:jc w:val="center"/>
              <w:rPr>
                <w:rFonts w:ascii="宋体" w:hAnsi="宋体" w:cs="宋体"/>
                <w:color w:val="auto"/>
                <w:szCs w:val="21"/>
                <w:highlight w:val="none"/>
              </w:rPr>
            </w:pPr>
          </w:p>
        </w:tc>
        <w:tc>
          <w:tcPr>
            <w:tcW w:w="6291" w:type="dxa"/>
            <w:tcBorders>
              <w:top w:val="single" w:color="auto" w:sz="4" w:space="0"/>
              <w:left w:val="single" w:color="auto" w:sz="4" w:space="0"/>
              <w:bottom w:val="single" w:color="auto" w:sz="4" w:space="0"/>
              <w:right w:val="single" w:color="auto" w:sz="4" w:space="0"/>
            </w:tcBorders>
            <w:shd w:val="clear" w:color="auto" w:fill="auto"/>
            <w:vAlign w:val="center"/>
          </w:tcPr>
          <w:p w14:paraId="5C75B5C3">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b/>
                <w:bCs/>
                <w:color w:val="auto"/>
                <w:sz w:val="21"/>
                <w:szCs w:val="21"/>
                <w:highlight w:val="none"/>
              </w:rPr>
              <w:t>配套开发内容：</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1.微课视频≥10个，时长3-8分钟，总时长≥100分钟</w:t>
            </w:r>
          </w:p>
          <w:p w14:paraId="7AFA4A3B">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2.PPT课件≥10个，页数≥20页/个</w:t>
            </w:r>
          </w:p>
          <w:p w14:paraId="659F5D80">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3.教学设计（教案）≥1份</w:t>
            </w:r>
          </w:p>
          <w:p w14:paraId="5E05E9BA">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4.工作页≥1本，总页数≥100页，投标人有能力协助学校开发，提供相关案例说明。</w:t>
            </w:r>
          </w:p>
          <w:p w14:paraId="1585C1A2">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5.习题库≥1份，数量≥100题</w:t>
            </w:r>
          </w:p>
          <w:p w14:paraId="7BBB8115">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6.知识点思维导图≥1份</w:t>
            </w:r>
          </w:p>
          <w:p w14:paraId="3047C01F">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7.工学一体化教材≥1本，总字数≥50000字</w:t>
            </w:r>
          </w:p>
          <w:p w14:paraId="5311DAED">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8.一体化学习工作站建设报告1份</w:t>
            </w:r>
          </w:p>
          <w:p w14:paraId="133FC63F">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9.工学一体化课程标准开发计划及成果1份，根据国标调整控制在30%以内。</w:t>
            </w:r>
          </w:p>
          <w:p w14:paraId="1B0B1A0A">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10.专业工学一体化教学改革方案1份</w:t>
            </w:r>
          </w:p>
          <w:p w14:paraId="592D8E67">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11.形成《构建职业核心能力培养教学体系的研究》报告</w:t>
            </w:r>
          </w:p>
          <w:p w14:paraId="3F0D5736">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12.协助完成实训室信息化升级建设方案1份</w:t>
            </w:r>
          </w:p>
          <w:p w14:paraId="6D137885">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13.协助科研合作、科研成果转化、课程建设、研修项目开发各1项</w:t>
            </w:r>
          </w:p>
          <w:p w14:paraId="6C54555A">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14.国外职业资格转化内容1份</w:t>
            </w:r>
          </w:p>
          <w:p w14:paraId="2CADE976">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15.企业人才需求调研报告1份</w:t>
            </w:r>
          </w:p>
          <w:p w14:paraId="7AF57445">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16.典型案例提炼1项</w:t>
            </w:r>
          </w:p>
          <w:p w14:paraId="6A6EA09B">
            <w:pPr>
              <w:pStyle w:val="8"/>
              <w:widowControl/>
              <w:adjustRightInd w:val="0"/>
              <w:snapToGrid w:val="0"/>
              <w:spacing w:after="0" w:line="400" w:lineRule="exact"/>
              <w:rPr>
                <w:rFonts w:ascii="宋体" w:hAnsi="宋体" w:cs="宋体"/>
                <w:color w:val="auto"/>
                <w:sz w:val="21"/>
                <w:szCs w:val="21"/>
                <w:highlight w:val="none"/>
              </w:rPr>
            </w:pPr>
            <w:r>
              <w:rPr>
                <w:rFonts w:hint="eastAsia" w:ascii="宋体" w:hAnsi="宋体" w:cs="宋体"/>
                <w:color w:val="auto"/>
                <w:sz w:val="21"/>
                <w:szCs w:val="21"/>
                <w:highlight w:val="none"/>
              </w:rPr>
              <w:t>投标文件提供以上相关内容的工作方案及经验证明。</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5CD3BF57">
            <w:pPr>
              <w:adjustRightInd w:val="0"/>
              <w:snapToGrid w:val="0"/>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1门</w:t>
            </w:r>
          </w:p>
        </w:tc>
      </w:tr>
      <w:tr w14:paraId="306E7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2" w:type="dxa"/>
            <w:vMerge w:val="continue"/>
            <w:tcBorders>
              <w:left w:val="single" w:color="auto" w:sz="4" w:space="0"/>
              <w:bottom w:val="single" w:color="auto" w:sz="4" w:space="0"/>
              <w:right w:val="single" w:color="auto" w:sz="4" w:space="0"/>
            </w:tcBorders>
            <w:shd w:val="clear" w:color="auto" w:fill="auto"/>
            <w:vAlign w:val="center"/>
          </w:tcPr>
          <w:p w14:paraId="763B69E8">
            <w:pPr>
              <w:adjustRightInd w:val="0"/>
              <w:snapToGrid w:val="0"/>
              <w:spacing w:line="400" w:lineRule="exact"/>
              <w:jc w:val="center"/>
              <w:rPr>
                <w:rFonts w:ascii="宋体" w:hAnsi="宋体" w:cs="宋体"/>
                <w:color w:val="auto"/>
                <w:szCs w:val="21"/>
                <w:highlight w:val="none"/>
              </w:rPr>
            </w:pPr>
          </w:p>
        </w:tc>
        <w:tc>
          <w:tcPr>
            <w:tcW w:w="1075" w:type="dxa"/>
            <w:vMerge w:val="continue"/>
            <w:tcBorders>
              <w:left w:val="single" w:color="auto" w:sz="4" w:space="0"/>
              <w:bottom w:val="single" w:color="auto" w:sz="4" w:space="0"/>
              <w:right w:val="single" w:color="auto" w:sz="4" w:space="0"/>
            </w:tcBorders>
            <w:shd w:val="clear" w:color="auto" w:fill="auto"/>
            <w:vAlign w:val="center"/>
          </w:tcPr>
          <w:p w14:paraId="458DFAF3">
            <w:pPr>
              <w:adjustRightInd w:val="0"/>
              <w:snapToGrid w:val="0"/>
              <w:spacing w:line="400" w:lineRule="exact"/>
              <w:jc w:val="center"/>
              <w:rPr>
                <w:rFonts w:ascii="宋体" w:hAnsi="宋体" w:cs="宋体"/>
                <w:color w:val="auto"/>
                <w:szCs w:val="21"/>
                <w:highlight w:val="none"/>
              </w:rPr>
            </w:pPr>
          </w:p>
        </w:tc>
        <w:tc>
          <w:tcPr>
            <w:tcW w:w="6291" w:type="dxa"/>
            <w:tcBorders>
              <w:top w:val="single" w:color="auto" w:sz="4" w:space="0"/>
              <w:left w:val="single" w:color="auto" w:sz="4" w:space="0"/>
              <w:bottom w:val="single" w:color="auto" w:sz="4" w:space="0"/>
              <w:right w:val="single" w:color="auto" w:sz="4" w:space="0"/>
            </w:tcBorders>
            <w:shd w:val="clear" w:color="auto" w:fill="auto"/>
            <w:vAlign w:val="center"/>
          </w:tcPr>
          <w:p w14:paraId="16C57D47">
            <w:pPr>
              <w:adjustRightInd w:val="0"/>
              <w:snapToGrid w:val="0"/>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lang w:bidi="ar"/>
              </w:rPr>
              <w:t>教学课件：</w:t>
            </w:r>
          </w:p>
          <w:p w14:paraId="6F9A1F8A">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1.配置富媒体化教学素材，提供不少于3套优质、简约的PPT模板，内有较为完善的图标、动画效果、封面及目录页模板等内容；</w:t>
            </w:r>
          </w:p>
          <w:p w14:paraId="5B8545AD">
            <w:pPr>
              <w:pStyle w:val="8"/>
              <w:widowControl/>
              <w:adjustRightInd w:val="0"/>
              <w:snapToGrid w:val="0"/>
              <w:spacing w:after="0" w:line="400" w:lineRule="exact"/>
              <w:rPr>
                <w:rFonts w:ascii="宋体" w:hAnsi="宋体" w:cs="宋体"/>
                <w:color w:val="auto"/>
                <w:sz w:val="21"/>
                <w:szCs w:val="21"/>
                <w:highlight w:val="none"/>
              </w:rPr>
            </w:pPr>
            <w:r>
              <w:rPr>
                <w:rFonts w:hint="eastAsia" w:ascii="宋体" w:hAnsi="宋体" w:cs="宋体"/>
                <w:color w:val="auto"/>
                <w:sz w:val="21"/>
                <w:szCs w:val="21"/>
                <w:highlight w:val="none"/>
              </w:rPr>
              <w:t>2.对已做好的课件进行系统优化，要求格式规范、风格统一、简约、美观。总页数不超过200页。</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1B824E80">
            <w:pPr>
              <w:adjustRightInd w:val="0"/>
              <w:snapToGrid w:val="0"/>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1门</w:t>
            </w:r>
          </w:p>
        </w:tc>
      </w:tr>
      <w:tr w14:paraId="26826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2" w:type="dxa"/>
            <w:vMerge w:val="restart"/>
            <w:tcBorders>
              <w:top w:val="single" w:color="auto" w:sz="4" w:space="0"/>
              <w:left w:val="single" w:color="auto" w:sz="4" w:space="0"/>
              <w:right w:val="single" w:color="auto" w:sz="4" w:space="0"/>
            </w:tcBorders>
            <w:shd w:val="clear" w:color="auto" w:fill="auto"/>
            <w:vAlign w:val="center"/>
          </w:tcPr>
          <w:p w14:paraId="24F553F5">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075" w:type="dxa"/>
            <w:vMerge w:val="restart"/>
            <w:tcBorders>
              <w:top w:val="single" w:color="auto" w:sz="4" w:space="0"/>
              <w:left w:val="single" w:color="auto" w:sz="4" w:space="0"/>
              <w:right w:val="single" w:color="auto" w:sz="4" w:space="0"/>
            </w:tcBorders>
            <w:shd w:val="clear" w:color="auto" w:fill="auto"/>
            <w:vAlign w:val="center"/>
          </w:tcPr>
          <w:p w14:paraId="17689FEE">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机电设备安装与维修专业精品课程1门</w:t>
            </w:r>
          </w:p>
        </w:tc>
        <w:tc>
          <w:tcPr>
            <w:tcW w:w="6291" w:type="dxa"/>
            <w:tcBorders>
              <w:top w:val="single" w:color="auto" w:sz="4" w:space="0"/>
              <w:left w:val="single" w:color="auto" w:sz="4" w:space="0"/>
              <w:bottom w:val="single" w:color="auto" w:sz="4" w:space="0"/>
              <w:right w:val="single" w:color="auto" w:sz="4" w:space="0"/>
            </w:tcBorders>
            <w:shd w:val="clear" w:color="auto" w:fill="auto"/>
            <w:vAlign w:val="center"/>
          </w:tcPr>
          <w:p w14:paraId="2B0B47BF">
            <w:pPr>
              <w:pStyle w:val="8"/>
              <w:widowControl/>
              <w:adjustRightInd w:val="0"/>
              <w:snapToGrid w:val="0"/>
              <w:spacing w:after="0" w:line="400" w:lineRule="exact"/>
              <w:rPr>
                <w:rFonts w:ascii="宋体" w:hAnsi="宋体" w:cs="宋体"/>
                <w:b/>
                <w:color w:val="auto"/>
                <w:sz w:val="21"/>
                <w:szCs w:val="21"/>
                <w:highlight w:val="none"/>
              </w:rPr>
            </w:pPr>
            <w:r>
              <w:rPr>
                <w:rFonts w:hint="eastAsia" w:ascii="宋体" w:hAnsi="宋体" w:cs="宋体"/>
                <w:b/>
                <w:color w:val="auto"/>
                <w:sz w:val="21"/>
                <w:szCs w:val="21"/>
                <w:highlight w:val="none"/>
              </w:rPr>
              <w:t>教学设计：</w:t>
            </w:r>
          </w:p>
          <w:p w14:paraId="11ED594F">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1.学习目标反映学生职业能力与职业素养的要求，明确、具体且可操作性强。</w:t>
            </w:r>
          </w:p>
          <w:p w14:paraId="78FAE4B0">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2.学习内容包括理论知识和实践知识及工作的各项要素要求，与企业生产过程紧密相关。</w:t>
            </w:r>
          </w:p>
          <w:p w14:paraId="4A534121">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3.教学方法体现以学生为中心、行动导向的教学理念。教学手段利用多种教学媒体以及信息化手段和数字化资源，有效支持学习活动的开展。方法和手段选择与组合适当，与教学内容相符合。</w:t>
            </w:r>
          </w:p>
          <w:p w14:paraId="4B15DCBD">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4.学习评价方式方法合理，易于操作，能有效解决实际教学问题，注重学业成果展示。</w:t>
            </w:r>
          </w:p>
          <w:p w14:paraId="773BADB5">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5.按照工学一体化课程建设理念对教学设计的具体内容进行优化提升。</w:t>
            </w:r>
          </w:p>
          <w:p w14:paraId="22839A9F">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对已做好的教学设计进行系统优化，要求格式规范、风格统一、简约、美观。</w:t>
            </w:r>
          </w:p>
          <w:p w14:paraId="13A3BA76">
            <w:pPr>
              <w:pStyle w:val="8"/>
              <w:widowControl/>
              <w:adjustRightInd w:val="0"/>
              <w:snapToGrid w:val="0"/>
              <w:spacing w:after="0" w:line="400" w:lineRule="exact"/>
              <w:rPr>
                <w:rFonts w:ascii="宋体" w:hAnsi="宋体" w:cs="宋体"/>
                <w:color w:val="auto"/>
                <w:sz w:val="21"/>
                <w:szCs w:val="21"/>
                <w:highlight w:val="none"/>
              </w:rPr>
            </w:pPr>
            <w:r>
              <w:rPr>
                <w:rFonts w:hint="eastAsia" w:ascii="宋体" w:hAnsi="宋体" w:cs="宋体"/>
                <w:color w:val="auto"/>
                <w:sz w:val="21"/>
                <w:szCs w:val="21"/>
                <w:highlight w:val="none"/>
              </w:rPr>
              <w:t>7.投标文件提供相关教学设计案例说明。</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3CAF96A9">
            <w:pPr>
              <w:adjustRightInd w:val="0"/>
              <w:snapToGrid w:val="0"/>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1门</w:t>
            </w:r>
          </w:p>
        </w:tc>
      </w:tr>
      <w:tr w14:paraId="716C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2" w:type="dxa"/>
            <w:vMerge w:val="continue"/>
            <w:tcBorders>
              <w:left w:val="single" w:color="auto" w:sz="4" w:space="0"/>
              <w:right w:val="single" w:color="auto" w:sz="4" w:space="0"/>
            </w:tcBorders>
            <w:shd w:val="clear" w:color="auto" w:fill="auto"/>
            <w:vAlign w:val="center"/>
          </w:tcPr>
          <w:p w14:paraId="1DA9F079">
            <w:pPr>
              <w:adjustRightInd w:val="0"/>
              <w:snapToGrid w:val="0"/>
              <w:spacing w:line="400" w:lineRule="exact"/>
              <w:jc w:val="center"/>
              <w:rPr>
                <w:rFonts w:ascii="宋体" w:hAnsi="宋体" w:cs="宋体"/>
                <w:color w:val="auto"/>
                <w:szCs w:val="21"/>
                <w:highlight w:val="none"/>
              </w:rPr>
            </w:pPr>
          </w:p>
        </w:tc>
        <w:tc>
          <w:tcPr>
            <w:tcW w:w="1075" w:type="dxa"/>
            <w:vMerge w:val="continue"/>
            <w:tcBorders>
              <w:left w:val="single" w:color="auto" w:sz="4" w:space="0"/>
              <w:right w:val="single" w:color="auto" w:sz="4" w:space="0"/>
            </w:tcBorders>
            <w:shd w:val="clear" w:color="auto" w:fill="auto"/>
            <w:vAlign w:val="center"/>
          </w:tcPr>
          <w:p w14:paraId="69A2527F">
            <w:pPr>
              <w:adjustRightInd w:val="0"/>
              <w:snapToGrid w:val="0"/>
              <w:spacing w:line="400" w:lineRule="exact"/>
              <w:jc w:val="center"/>
              <w:rPr>
                <w:rFonts w:ascii="宋体" w:hAnsi="宋体" w:cs="宋体"/>
                <w:color w:val="auto"/>
                <w:szCs w:val="21"/>
                <w:highlight w:val="none"/>
              </w:rPr>
            </w:pPr>
          </w:p>
        </w:tc>
        <w:tc>
          <w:tcPr>
            <w:tcW w:w="6291" w:type="dxa"/>
            <w:tcBorders>
              <w:top w:val="single" w:color="auto" w:sz="4" w:space="0"/>
              <w:left w:val="single" w:color="auto" w:sz="4" w:space="0"/>
              <w:bottom w:val="single" w:color="auto" w:sz="4" w:space="0"/>
              <w:right w:val="single" w:color="auto" w:sz="4" w:space="0"/>
            </w:tcBorders>
            <w:shd w:val="clear" w:color="auto" w:fill="auto"/>
            <w:vAlign w:val="center"/>
          </w:tcPr>
          <w:p w14:paraId="7ED4BB38">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b/>
                <w:bCs/>
                <w:color w:val="auto"/>
                <w:sz w:val="21"/>
                <w:szCs w:val="21"/>
                <w:highlight w:val="none"/>
              </w:rPr>
              <w:t>配套开发内容：</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1.微课视频≥10个，时长3-8分钟，总时长≥100分钟</w:t>
            </w:r>
          </w:p>
          <w:p w14:paraId="30ADEC90">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2.PPT课件≥10个，页数≥20页/个</w:t>
            </w:r>
          </w:p>
          <w:p w14:paraId="2A2D4379">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3.教学设计（教案）≥1份</w:t>
            </w:r>
          </w:p>
          <w:p w14:paraId="350A02C1">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4.工作页≥1本，总页数≥100页，投标人有能力协助学校开发，提供相关案例说明。</w:t>
            </w:r>
          </w:p>
          <w:p w14:paraId="4A2CB7F7">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5.习题库≥1份，数量≥100题</w:t>
            </w:r>
          </w:p>
          <w:p w14:paraId="32087D7D">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6.知识点思维导图≥1份</w:t>
            </w:r>
          </w:p>
          <w:p w14:paraId="71DD0E9E">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7.工学一体化教材≥1本，总字数≥50000字</w:t>
            </w:r>
          </w:p>
          <w:p w14:paraId="31F5B349">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8.一体化学习工作站建设报告1份</w:t>
            </w:r>
          </w:p>
          <w:p w14:paraId="35BF63CD">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9.工学一体化课程标准开发计划及成果1份，根据国标调整控制在30%以内。</w:t>
            </w:r>
          </w:p>
          <w:p w14:paraId="148A6CB7">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10.专业工学一体化教学改革方案1份</w:t>
            </w:r>
          </w:p>
          <w:p w14:paraId="30368C59">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11.形成《构建职业核心能力培养教学体系的研究》报告</w:t>
            </w:r>
          </w:p>
          <w:p w14:paraId="3307204B">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12.协助完成实训室信息化升级建设方案1份</w:t>
            </w:r>
          </w:p>
          <w:p w14:paraId="5C7E7504">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13.协助科研合作、科研成果转化、课程建设、研修项目开发各1项</w:t>
            </w:r>
          </w:p>
          <w:p w14:paraId="0CAAC5EC">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14.企业人才需求调研报告1份</w:t>
            </w:r>
          </w:p>
          <w:p w14:paraId="7ED3BF59">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15.典型案例提炼1项</w:t>
            </w:r>
          </w:p>
          <w:p w14:paraId="410C6991">
            <w:pPr>
              <w:pStyle w:val="8"/>
              <w:widowControl/>
              <w:adjustRightInd w:val="0"/>
              <w:snapToGrid w:val="0"/>
              <w:spacing w:after="0" w:line="400" w:lineRule="exact"/>
              <w:rPr>
                <w:rFonts w:ascii="宋体" w:hAnsi="宋体" w:cs="宋体"/>
                <w:color w:val="auto"/>
                <w:sz w:val="21"/>
                <w:szCs w:val="21"/>
                <w:highlight w:val="none"/>
              </w:rPr>
            </w:pPr>
            <w:r>
              <w:rPr>
                <w:rFonts w:hint="eastAsia" w:ascii="宋体" w:hAnsi="宋体" w:cs="宋体"/>
                <w:color w:val="auto"/>
                <w:sz w:val="21"/>
                <w:szCs w:val="21"/>
                <w:highlight w:val="none"/>
              </w:rPr>
              <w:t>投标文件提供以上相关内容的工作方案及经验证明。</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3585BE98">
            <w:pPr>
              <w:adjustRightInd w:val="0"/>
              <w:snapToGrid w:val="0"/>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1门</w:t>
            </w:r>
          </w:p>
        </w:tc>
      </w:tr>
      <w:tr w14:paraId="03550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2" w:type="dxa"/>
            <w:vMerge w:val="continue"/>
            <w:tcBorders>
              <w:left w:val="single" w:color="auto" w:sz="4" w:space="0"/>
              <w:bottom w:val="single" w:color="auto" w:sz="4" w:space="0"/>
              <w:right w:val="single" w:color="auto" w:sz="4" w:space="0"/>
            </w:tcBorders>
            <w:shd w:val="clear" w:color="auto" w:fill="auto"/>
            <w:vAlign w:val="center"/>
          </w:tcPr>
          <w:p w14:paraId="17BD224C">
            <w:pPr>
              <w:adjustRightInd w:val="0"/>
              <w:snapToGrid w:val="0"/>
              <w:spacing w:line="400" w:lineRule="exact"/>
              <w:jc w:val="center"/>
              <w:rPr>
                <w:rFonts w:ascii="宋体" w:hAnsi="宋体" w:cs="宋体"/>
                <w:color w:val="auto"/>
                <w:szCs w:val="21"/>
                <w:highlight w:val="none"/>
              </w:rPr>
            </w:pPr>
          </w:p>
        </w:tc>
        <w:tc>
          <w:tcPr>
            <w:tcW w:w="1075" w:type="dxa"/>
            <w:vMerge w:val="continue"/>
            <w:tcBorders>
              <w:left w:val="single" w:color="auto" w:sz="4" w:space="0"/>
              <w:bottom w:val="single" w:color="auto" w:sz="4" w:space="0"/>
              <w:right w:val="single" w:color="auto" w:sz="4" w:space="0"/>
            </w:tcBorders>
            <w:shd w:val="clear" w:color="auto" w:fill="auto"/>
            <w:vAlign w:val="center"/>
          </w:tcPr>
          <w:p w14:paraId="08F4FC27">
            <w:pPr>
              <w:adjustRightInd w:val="0"/>
              <w:snapToGrid w:val="0"/>
              <w:spacing w:line="400" w:lineRule="exact"/>
              <w:jc w:val="center"/>
              <w:rPr>
                <w:rFonts w:ascii="宋体" w:hAnsi="宋体" w:cs="宋体"/>
                <w:color w:val="auto"/>
                <w:szCs w:val="21"/>
                <w:highlight w:val="none"/>
              </w:rPr>
            </w:pPr>
          </w:p>
        </w:tc>
        <w:tc>
          <w:tcPr>
            <w:tcW w:w="6291" w:type="dxa"/>
            <w:tcBorders>
              <w:top w:val="single" w:color="auto" w:sz="4" w:space="0"/>
              <w:left w:val="single" w:color="auto" w:sz="4" w:space="0"/>
              <w:bottom w:val="single" w:color="auto" w:sz="4" w:space="0"/>
              <w:right w:val="single" w:color="auto" w:sz="4" w:space="0"/>
            </w:tcBorders>
            <w:shd w:val="clear" w:color="auto" w:fill="auto"/>
            <w:vAlign w:val="center"/>
          </w:tcPr>
          <w:p w14:paraId="388ECDB0">
            <w:pPr>
              <w:keepNext w:val="0"/>
              <w:keepLines w:val="0"/>
              <w:pageBreakBefore w:val="0"/>
              <w:kinsoku/>
              <w:wordWrap/>
              <w:overflowPunct/>
              <w:topLinePunct w:val="0"/>
              <w:autoSpaceDE/>
              <w:autoSpaceDN/>
              <w:bidi w:val="0"/>
              <w:adjustRightInd w:val="0"/>
              <w:snapToGrid w:val="0"/>
              <w:spacing w:line="400" w:lineRule="exact"/>
              <w:jc w:val="left"/>
              <w:textAlignment w:val="auto"/>
              <w:rPr>
                <w:rFonts w:ascii="宋体" w:hAnsi="宋体" w:cs="宋体"/>
                <w:b/>
                <w:bCs/>
                <w:color w:val="auto"/>
                <w:szCs w:val="21"/>
                <w:highlight w:val="none"/>
              </w:rPr>
            </w:pPr>
            <w:r>
              <w:rPr>
                <w:rFonts w:hint="eastAsia" w:ascii="宋体" w:hAnsi="宋体" w:cs="宋体"/>
                <w:b/>
                <w:bCs/>
                <w:color w:val="auto"/>
                <w:szCs w:val="21"/>
                <w:highlight w:val="none"/>
                <w:lang w:bidi="ar"/>
              </w:rPr>
              <w:t>教学课件：</w:t>
            </w:r>
          </w:p>
          <w:p w14:paraId="416B1A38">
            <w:pPr>
              <w:pStyle w:val="8"/>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1.配置富媒体化教学素材，提供不少于3套优质、简约的PPT模板，内有较为完善的图标、动画效果、封面及目录页模板等内容；</w:t>
            </w:r>
          </w:p>
          <w:p w14:paraId="423D429F">
            <w:pPr>
              <w:pStyle w:val="8"/>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2.对已做好的课件进行系统优化，要求格式规范、风格统一、简约、美观。总页数不超过200页。</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7B5C1713">
            <w:pPr>
              <w:adjustRightInd w:val="0"/>
              <w:snapToGrid w:val="0"/>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1门</w:t>
            </w:r>
          </w:p>
        </w:tc>
      </w:tr>
      <w:tr w14:paraId="2FBBD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2" w:type="dxa"/>
            <w:vMerge w:val="restart"/>
            <w:tcBorders>
              <w:top w:val="single" w:color="auto" w:sz="4" w:space="0"/>
              <w:left w:val="single" w:color="auto" w:sz="4" w:space="0"/>
              <w:right w:val="single" w:color="auto" w:sz="4" w:space="0"/>
            </w:tcBorders>
            <w:shd w:val="clear" w:color="auto" w:fill="auto"/>
            <w:vAlign w:val="center"/>
          </w:tcPr>
          <w:p w14:paraId="0A87F0CC">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1075" w:type="dxa"/>
            <w:vMerge w:val="restart"/>
            <w:tcBorders>
              <w:top w:val="single" w:color="auto" w:sz="4" w:space="0"/>
              <w:left w:val="single" w:color="auto" w:sz="4" w:space="0"/>
              <w:right w:val="single" w:color="auto" w:sz="4" w:space="0"/>
            </w:tcBorders>
            <w:shd w:val="clear" w:color="auto" w:fill="auto"/>
            <w:vAlign w:val="center"/>
          </w:tcPr>
          <w:p w14:paraId="5406E42F">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数控加工（数控车工）专业精品课程1门</w:t>
            </w:r>
          </w:p>
        </w:tc>
        <w:tc>
          <w:tcPr>
            <w:tcW w:w="6291" w:type="dxa"/>
            <w:tcBorders>
              <w:top w:val="single" w:color="auto" w:sz="4" w:space="0"/>
              <w:left w:val="single" w:color="auto" w:sz="4" w:space="0"/>
              <w:bottom w:val="single" w:color="auto" w:sz="4" w:space="0"/>
              <w:right w:val="single" w:color="auto" w:sz="4" w:space="0"/>
            </w:tcBorders>
            <w:shd w:val="clear" w:color="auto" w:fill="auto"/>
            <w:vAlign w:val="center"/>
          </w:tcPr>
          <w:p w14:paraId="2253D82D">
            <w:pPr>
              <w:pStyle w:val="8"/>
              <w:widowControl/>
              <w:adjustRightInd w:val="0"/>
              <w:snapToGrid w:val="0"/>
              <w:spacing w:after="0" w:line="400" w:lineRule="exact"/>
              <w:rPr>
                <w:rFonts w:ascii="宋体" w:hAnsi="宋体" w:cs="宋体"/>
                <w:b/>
                <w:color w:val="auto"/>
                <w:sz w:val="21"/>
                <w:szCs w:val="21"/>
                <w:highlight w:val="none"/>
              </w:rPr>
            </w:pPr>
            <w:r>
              <w:rPr>
                <w:rFonts w:hint="eastAsia" w:ascii="宋体" w:hAnsi="宋体" w:cs="宋体"/>
                <w:b/>
                <w:color w:val="auto"/>
                <w:sz w:val="21"/>
                <w:szCs w:val="21"/>
                <w:highlight w:val="none"/>
              </w:rPr>
              <w:t>教学设计：</w:t>
            </w:r>
          </w:p>
          <w:p w14:paraId="71F03E94">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1.学习目标反映学生职业能力与职业素养的要求，明确、具体且可操作性强。</w:t>
            </w:r>
          </w:p>
          <w:p w14:paraId="0A9EE574">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2.学习内容包括理论知识和实践知识及工作的各项要素要求，与企业生产过程紧密相关。</w:t>
            </w:r>
          </w:p>
          <w:p w14:paraId="047D0C2A">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3.教学方法体现以学生为中心、行动导向的教学理念。教学手段利用多种教学媒体以及信息化手段和数字化资源，有效支持学习活动的开展。方法和手段选择与组合适当，与教学内容相符合。</w:t>
            </w:r>
          </w:p>
          <w:p w14:paraId="33C44A29">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4.学习评价方式方法合理，易于操作，能有效解决实际教学问题，注重学业成果展示。</w:t>
            </w:r>
          </w:p>
          <w:p w14:paraId="4CB06B76">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5.按照工学一体化课程建设理念对教学设计的具体内容进行优化提升。</w:t>
            </w:r>
          </w:p>
          <w:p w14:paraId="238430C6">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对已做好的教学设计进行系统优化，要求格式规范、风格统一、简约、美观。</w:t>
            </w:r>
          </w:p>
          <w:p w14:paraId="7905CDA7">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7.投标文件提供相关教学设计案例说明。</w:t>
            </w:r>
          </w:p>
          <w:p w14:paraId="764D5197">
            <w:pPr>
              <w:pStyle w:val="8"/>
              <w:widowControl/>
              <w:adjustRightInd w:val="0"/>
              <w:snapToGrid w:val="0"/>
              <w:spacing w:after="0" w:line="400" w:lineRule="exact"/>
              <w:rPr>
                <w:rFonts w:ascii="宋体" w:hAnsi="宋体" w:cs="宋体"/>
                <w:color w:val="auto"/>
                <w:sz w:val="21"/>
                <w:szCs w:val="21"/>
                <w:highlight w:val="none"/>
              </w:rPr>
            </w:pPr>
            <w:r>
              <w:rPr>
                <w:rFonts w:hint="eastAsia" w:ascii="宋体" w:hAnsi="宋体" w:cs="宋体"/>
                <w:color w:val="auto"/>
                <w:kern w:val="0"/>
                <w:sz w:val="21"/>
                <w:szCs w:val="21"/>
                <w:highlight w:val="none"/>
                <w:lang w:eastAsia="zh-Hans" w:bidi="ar"/>
              </w:rPr>
              <w:t>★</w:t>
            </w:r>
            <w:r>
              <w:rPr>
                <w:rFonts w:hint="eastAsia" w:ascii="宋体" w:hAnsi="宋体" w:cs="宋体"/>
                <w:color w:val="auto"/>
                <w:sz w:val="21"/>
                <w:szCs w:val="21"/>
                <w:highlight w:val="none"/>
              </w:rPr>
              <w:t>8.提供与比赛转化方面的证明材料，包括但不限于担任全国技能大赛国家级/省级裁判、承办/举办技能大赛、创新大赛，及比赛成果转化为教学成果的证明材料。</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69BBDECE">
            <w:pPr>
              <w:adjustRightInd w:val="0"/>
              <w:snapToGrid w:val="0"/>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1门</w:t>
            </w:r>
          </w:p>
        </w:tc>
      </w:tr>
      <w:tr w14:paraId="32FC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2" w:type="dxa"/>
            <w:vMerge w:val="continue"/>
            <w:tcBorders>
              <w:left w:val="single" w:color="auto" w:sz="4" w:space="0"/>
              <w:right w:val="single" w:color="auto" w:sz="4" w:space="0"/>
            </w:tcBorders>
            <w:shd w:val="clear" w:color="auto" w:fill="auto"/>
            <w:vAlign w:val="center"/>
          </w:tcPr>
          <w:p w14:paraId="5DB475C9">
            <w:pPr>
              <w:adjustRightInd w:val="0"/>
              <w:snapToGrid w:val="0"/>
              <w:spacing w:line="400" w:lineRule="exact"/>
              <w:jc w:val="center"/>
              <w:rPr>
                <w:rFonts w:ascii="宋体" w:hAnsi="宋体" w:cs="宋体"/>
                <w:color w:val="auto"/>
                <w:szCs w:val="21"/>
                <w:highlight w:val="none"/>
              </w:rPr>
            </w:pPr>
          </w:p>
        </w:tc>
        <w:tc>
          <w:tcPr>
            <w:tcW w:w="1075" w:type="dxa"/>
            <w:vMerge w:val="continue"/>
            <w:tcBorders>
              <w:left w:val="single" w:color="auto" w:sz="4" w:space="0"/>
              <w:right w:val="single" w:color="auto" w:sz="4" w:space="0"/>
            </w:tcBorders>
            <w:shd w:val="clear" w:color="auto" w:fill="auto"/>
            <w:vAlign w:val="center"/>
          </w:tcPr>
          <w:p w14:paraId="4BF940FA">
            <w:pPr>
              <w:adjustRightInd w:val="0"/>
              <w:snapToGrid w:val="0"/>
              <w:spacing w:line="400" w:lineRule="exact"/>
              <w:jc w:val="center"/>
              <w:rPr>
                <w:rFonts w:ascii="宋体" w:hAnsi="宋体" w:cs="宋体"/>
                <w:color w:val="auto"/>
                <w:szCs w:val="21"/>
                <w:highlight w:val="none"/>
              </w:rPr>
            </w:pPr>
          </w:p>
        </w:tc>
        <w:tc>
          <w:tcPr>
            <w:tcW w:w="6291" w:type="dxa"/>
            <w:tcBorders>
              <w:top w:val="single" w:color="auto" w:sz="4" w:space="0"/>
              <w:left w:val="single" w:color="auto" w:sz="4" w:space="0"/>
              <w:bottom w:val="single" w:color="auto" w:sz="4" w:space="0"/>
              <w:right w:val="single" w:color="auto" w:sz="4" w:space="0"/>
            </w:tcBorders>
            <w:shd w:val="clear" w:color="auto" w:fill="auto"/>
            <w:vAlign w:val="center"/>
          </w:tcPr>
          <w:p w14:paraId="0936E1FE">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b/>
                <w:bCs/>
                <w:color w:val="auto"/>
                <w:sz w:val="21"/>
                <w:szCs w:val="21"/>
                <w:highlight w:val="none"/>
              </w:rPr>
              <w:t>配套开发内容：</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1.微课视频≥10个，时长3-8分钟，总时长≥100分钟</w:t>
            </w:r>
          </w:p>
          <w:p w14:paraId="52BA1B64">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2.PPT课件≥10个，页数≥20页/个</w:t>
            </w:r>
          </w:p>
          <w:p w14:paraId="47BB8C38">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3.教学设计（教案）≥1份</w:t>
            </w:r>
          </w:p>
          <w:p w14:paraId="4A5124D8">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4.工作页≥1本，总页数≥100页，投标人有能力协助学校开发，提供相关案例说明。</w:t>
            </w:r>
          </w:p>
          <w:p w14:paraId="1859E3A5">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5.习题库≥1份，数量≥100题</w:t>
            </w:r>
          </w:p>
          <w:p w14:paraId="4146FE18">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6.知识点思维导图≥1份</w:t>
            </w:r>
          </w:p>
          <w:p w14:paraId="384B05D9">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7.工学一体化教材≥1本，总字数≥50000字</w:t>
            </w:r>
          </w:p>
          <w:p w14:paraId="2B3F442E">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8.一体化学习工作站建设报告1份</w:t>
            </w:r>
          </w:p>
          <w:p w14:paraId="2E4F3D56">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9.工学一体化课程标准开发计划及成果1份，根据国标调整控制在30%以内。</w:t>
            </w:r>
          </w:p>
          <w:p w14:paraId="3CDF6DCA">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10.专业工学一体化教学改革方案1份</w:t>
            </w:r>
          </w:p>
          <w:p w14:paraId="1A9B8FDA">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11.形成《构建职业核心能力培养教学体系的研究》报告</w:t>
            </w:r>
          </w:p>
          <w:p w14:paraId="0305C2DD">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12.协助完成实训室信息化升级建设方案1份</w:t>
            </w:r>
          </w:p>
          <w:p w14:paraId="14C9F7D4">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13.协助科研合作、科研成果转化、课程建设、研修项目开发各1项</w:t>
            </w:r>
          </w:p>
          <w:p w14:paraId="50F0E579">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14.国外职业资格转化内容1份</w:t>
            </w:r>
          </w:p>
          <w:p w14:paraId="5E762877">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15.企业人才需求调研报告1份</w:t>
            </w:r>
          </w:p>
          <w:p w14:paraId="65717A5D">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16.典型案例提炼1项</w:t>
            </w:r>
          </w:p>
          <w:p w14:paraId="6CF89A3E">
            <w:pPr>
              <w:pStyle w:val="8"/>
              <w:widowControl/>
              <w:adjustRightInd w:val="0"/>
              <w:snapToGrid w:val="0"/>
              <w:spacing w:after="0" w:line="400" w:lineRule="exact"/>
              <w:rPr>
                <w:rFonts w:ascii="宋体" w:hAnsi="宋体" w:cs="宋体"/>
                <w:color w:val="auto"/>
                <w:sz w:val="21"/>
                <w:szCs w:val="21"/>
                <w:highlight w:val="none"/>
              </w:rPr>
            </w:pPr>
            <w:r>
              <w:rPr>
                <w:rFonts w:hint="eastAsia" w:ascii="宋体" w:hAnsi="宋体" w:cs="宋体"/>
                <w:color w:val="auto"/>
                <w:sz w:val="21"/>
                <w:szCs w:val="21"/>
                <w:highlight w:val="none"/>
              </w:rPr>
              <w:t>投标文件提供以上相关内容的工作方案及经验证明。</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71FFA727">
            <w:pPr>
              <w:adjustRightInd w:val="0"/>
              <w:snapToGrid w:val="0"/>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1门</w:t>
            </w:r>
          </w:p>
        </w:tc>
      </w:tr>
      <w:tr w14:paraId="2453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2" w:type="dxa"/>
            <w:vMerge w:val="continue"/>
            <w:tcBorders>
              <w:left w:val="single" w:color="auto" w:sz="4" w:space="0"/>
              <w:bottom w:val="single" w:color="auto" w:sz="4" w:space="0"/>
              <w:right w:val="single" w:color="auto" w:sz="4" w:space="0"/>
            </w:tcBorders>
            <w:shd w:val="clear" w:color="auto" w:fill="auto"/>
            <w:vAlign w:val="center"/>
          </w:tcPr>
          <w:p w14:paraId="7B2766F8">
            <w:pPr>
              <w:adjustRightInd w:val="0"/>
              <w:snapToGrid w:val="0"/>
              <w:spacing w:line="400" w:lineRule="exact"/>
              <w:jc w:val="center"/>
              <w:rPr>
                <w:rFonts w:ascii="宋体" w:hAnsi="宋体" w:cs="宋体"/>
                <w:color w:val="auto"/>
                <w:szCs w:val="21"/>
                <w:highlight w:val="none"/>
              </w:rPr>
            </w:pPr>
          </w:p>
        </w:tc>
        <w:tc>
          <w:tcPr>
            <w:tcW w:w="1075" w:type="dxa"/>
            <w:vMerge w:val="continue"/>
            <w:tcBorders>
              <w:left w:val="single" w:color="auto" w:sz="4" w:space="0"/>
              <w:bottom w:val="single" w:color="auto" w:sz="4" w:space="0"/>
              <w:right w:val="single" w:color="auto" w:sz="4" w:space="0"/>
            </w:tcBorders>
            <w:shd w:val="clear" w:color="auto" w:fill="auto"/>
            <w:vAlign w:val="center"/>
          </w:tcPr>
          <w:p w14:paraId="10B17A1F">
            <w:pPr>
              <w:adjustRightInd w:val="0"/>
              <w:snapToGrid w:val="0"/>
              <w:spacing w:line="400" w:lineRule="exact"/>
              <w:jc w:val="center"/>
              <w:rPr>
                <w:rFonts w:ascii="宋体" w:hAnsi="宋体" w:cs="宋体"/>
                <w:color w:val="auto"/>
                <w:szCs w:val="21"/>
                <w:highlight w:val="none"/>
              </w:rPr>
            </w:pPr>
          </w:p>
        </w:tc>
        <w:tc>
          <w:tcPr>
            <w:tcW w:w="6291" w:type="dxa"/>
            <w:tcBorders>
              <w:top w:val="single" w:color="auto" w:sz="4" w:space="0"/>
              <w:left w:val="single" w:color="auto" w:sz="4" w:space="0"/>
              <w:bottom w:val="single" w:color="auto" w:sz="4" w:space="0"/>
              <w:right w:val="single" w:color="auto" w:sz="4" w:space="0"/>
            </w:tcBorders>
            <w:shd w:val="clear" w:color="auto" w:fill="auto"/>
            <w:vAlign w:val="center"/>
          </w:tcPr>
          <w:p w14:paraId="7C0465FC">
            <w:pPr>
              <w:adjustRightInd w:val="0"/>
              <w:snapToGrid w:val="0"/>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lang w:bidi="ar"/>
              </w:rPr>
              <w:t>教学课件：</w:t>
            </w:r>
          </w:p>
          <w:p w14:paraId="5502601C">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1.配置富媒体化教学素材，提供不少于3套优质、简约的PPT模板，内有较为完善的图标、动画效果、封面及目录页模板等内容；</w:t>
            </w:r>
          </w:p>
          <w:p w14:paraId="569245E2">
            <w:pPr>
              <w:pStyle w:val="8"/>
              <w:widowControl/>
              <w:adjustRightInd w:val="0"/>
              <w:snapToGrid w:val="0"/>
              <w:spacing w:after="0" w:line="400" w:lineRule="exact"/>
              <w:rPr>
                <w:rFonts w:ascii="宋体" w:hAnsi="宋体" w:cs="宋体"/>
                <w:color w:val="auto"/>
                <w:sz w:val="21"/>
                <w:szCs w:val="21"/>
                <w:highlight w:val="none"/>
              </w:rPr>
            </w:pPr>
            <w:r>
              <w:rPr>
                <w:rFonts w:hint="eastAsia" w:ascii="宋体" w:hAnsi="宋体" w:cs="宋体"/>
                <w:color w:val="auto"/>
                <w:sz w:val="21"/>
                <w:szCs w:val="21"/>
                <w:highlight w:val="none"/>
              </w:rPr>
              <w:t>2.对已做好的课件进行系统优化，要求格式规范、风格统一、简约、美观。总页数不超过200页。</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2683DD8F">
            <w:pPr>
              <w:adjustRightInd w:val="0"/>
              <w:snapToGrid w:val="0"/>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1门</w:t>
            </w:r>
          </w:p>
        </w:tc>
      </w:tr>
      <w:tr w14:paraId="524A8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2" w:type="dxa"/>
            <w:vMerge w:val="restart"/>
            <w:tcBorders>
              <w:top w:val="single" w:color="auto" w:sz="4" w:space="0"/>
              <w:left w:val="single" w:color="auto" w:sz="4" w:space="0"/>
              <w:right w:val="single" w:color="auto" w:sz="4" w:space="0"/>
            </w:tcBorders>
            <w:shd w:val="clear" w:color="auto" w:fill="auto"/>
            <w:vAlign w:val="center"/>
          </w:tcPr>
          <w:p w14:paraId="13402B66">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1075" w:type="dxa"/>
            <w:vMerge w:val="restart"/>
            <w:tcBorders>
              <w:top w:val="single" w:color="auto" w:sz="4" w:space="0"/>
              <w:left w:val="single" w:color="auto" w:sz="4" w:space="0"/>
              <w:right w:val="single" w:color="auto" w:sz="4" w:space="0"/>
            </w:tcBorders>
            <w:shd w:val="clear" w:color="auto" w:fill="auto"/>
            <w:vAlign w:val="center"/>
          </w:tcPr>
          <w:p w14:paraId="4726E696">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工业互联网与大数据应用专业精品课程1门</w:t>
            </w:r>
          </w:p>
        </w:tc>
        <w:tc>
          <w:tcPr>
            <w:tcW w:w="6291" w:type="dxa"/>
            <w:tcBorders>
              <w:top w:val="single" w:color="auto" w:sz="4" w:space="0"/>
              <w:left w:val="single" w:color="auto" w:sz="4" w:space="0"/>
              <w:bottom w:val="single" w:color="auto" w:sz="4" w:space="0"/>
              <w:right w:val="single" w:color="auto" w:sz="4" w:space="0"/>
            </w:tcBorders>
            <w:shd w:val="clear" w:color="auto" w:fill="auto"/>
            <w:vAlign w:val="center"/>
          </w:tcPr>
          <w:p w14:paraId="481E51BB">
            <w:pPr>
              <w:pStyle w:val="8"/>
              <w:widowControl/>
              <w:adjustRightInd w:val="0"/>
              <w:snapToGrid w:val="0"/>
              <w:spacing w:after="0" w:line="400" w:lineRule="exact"/>
              <w:rPr>
                <w:rFonts w:ascii="宋体" w:hAnsi="宋体" w:cs="宋体"/>
                <w:b/>
                <w:color w:val="auto"/>
                <w:sz w:val="21"/>
                <w:szCs w:val="21"/>
                <w:highlight w:val="none"/>
              </w:rPr>
            </w:pPr>
            <w:r>
              <w:rPr>
                <w:rFonts w:hint="eastAsia" w:ascii="宋体" w:hAnsi="宋体" w:cs="宋体"/>
                <w:b/>
                <w:color w:val="auto"/>
                <w:sz w:val="21"/>
                <w:szCs w:val="21"/>
                <w:highlight w:val="none"/>
              </w:rPr>
              <w:t>教学设计：</w:t>
            </w:r>
          </w:p>
          <w:p w14:paraId="1EACE3C0">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1.学习目标反映学生职业能力与职业素养的要求，明确、具体且可操作性强。</w:t>
            </w:r>
          </w:p>
          <w:p w14:paraId="1E13C245">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2.学习内容包括理论知识和实践知识及工作的各项要素要求，与企业生产过程紧密相关。</w:t>
            </w:r>
          </w:p>
          <w:p w14:paraId="4D8EE1CE">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3.教学方法体现以学生为中心、行动导向的教学理念。教学手段利用多种教学媒体以及信息化手段和数字化资源，有效支持学习活动的开展。方法和手段选择与组合适当，与教学内容相符合。</w:t>
            </w:r>
          </w:p>
          <w:p w14:paraId="46F5CA64">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4.学习评价方式方法合理，易于操作，能有效解决实际教学问题，注重学业成果展示。</w:t>
            </w:r>
          </w:p>
          <w:p w14:paraId="53A1CF78">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5.按照工学一体化课程建设理念对教学设计的具体内容进行优化提升。</w:t>
            </w:r>
          </w:p>
          <w:p w14:paraId="79285752">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对已做好的教学设计进行系统优化，要求格式规范、风格统一、简约、美观。</w:t>
            </w:r>
          </w:p>
          <w:p w14:paraId="1D3F1971">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7.投标文件提供相关教学设计案例说明。</w:t>
            </w:r>
          </w:p>
          <w:p w14:paraId="1A67E04B">
            <w:pPr>
              <w:pStyle w:val="8"/>
              <w:widowControl/>
              <w:adjustRightInd w:val="0"/>
              <w:snapToGrid w:val="0"/>
              <w:spacing w:after="0" w:line="400" w:lineRule="exact"/>
              <w:rPr>
                <w:rFonts w:ascii="宋体" w:hAnsi="宋体" w:cs="宋体"/>
                <w:color w:val="auto"/>
                <w:sz w:val="21"/>
                <w:szCs w:val="21"/>
                <w:highlight w:val="none"/>
              </w:rPr>
            </w:pPr>
            <w:r>
              <w:rPr>
                <w:rFonts w:hint="eastAsia" w:ascii="宋体" w:hAnsi="宋体" w:cs="宋体"/>
                <w:color w:val="auto"/>
                <w:sz w:val="21"/>
                <w:szCs w:val="21"/>
                <w:highlight w:val="none"/>
              </w:rPr>
              <w:t>8.投标人有能力协助学校开发教学载体，提供自主研发的物联网学习载体的技术说明、经验说明及载体演示。</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31A2608A">
            <w:pPr>
              <w:adjustRightInd w:val="0"/>
              <w:snapToGrid w:val="0"/>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1门</w:t>
            </w:r>
          </w:p>
        </w:tc>
      </w:tr>
      <w:tr w14:paraId="2A62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2" w:type="dxa"/>
            <w:vMerge w:val="continue"/>
            <w:tcBorders>
              <w:left w:val="single" w:color="auto" w:sz="4" w:space="0"/>
              <w:right w:val="single" w:color="auto" w:sz="4" w:space="0"/>
            </w:tcBorders>
            <w:shd w:val="clear" w:color="auto" w:fill="auto"/>
            <w:vAlign w:val="center"/>
          </w:tcPr>
          <w:p w14:paraId="2B066F78">
            <w:pPr>
              <w:adjustRightInd w:val="0"/>
              <w:snapToGrid w:val="0"/>
              <w:spacing w:line="400" w:lineRule="exact"/>
              <w:jc w:val="center"/>
              <w:rPr>
                <w:rFonts w:ascii="宋体" w:hAnsi="宋体" w:cs="宋体"/>
                <w:color w:val="auto"/>
                <w:szCs w:val="21"/>
                <w:highlight w:val="none"/>
              </w:rPr>
            </w:pPr>
          </w:p>
        </w:tc>
        <w:tc>
          <w:tcPr>
            <w:tcW w:w="1075" w:type="dxa"/>
            <w:vMerge w:val="continue"/>
            <w:tcBorders>
              <w:left w:val="single" w:color="auto" w:sz="4" w:space="0"/>
              <w:right w:val="single" w:color="auto" w:sz="4" w:space="0"/>
            </w:tcBorders>
            <w:shd w:val="clear" w:color="auto" w:fill="auto"/>
            <w:vAlign w:val="center"/>
          </w:tcPr>
          <w:p w14:paraId="0452F0B9">
            <w:pPr>
              <w:adjustRightInd w:val="0"/>
              <w:snapToGrid w:val="0"/>
              <w:spacing w:line="400" w:lineRule="exact"/>
              <w:jc w:val="center"/>
              <w:rPr>
                <w:rFonts w:ascii="宋体" w:hAnsi="宋体" w:cs="宋体"/>
                <w:color w:val="auto"/>
                <w:szCs w:val="21"/>
                <w:highlight w:val="none"/>
              </w:rPr>
            </w:pPr>
          </w:p>
        </w:tc>
        <w:tc>
          <w:tcPr>
            <w:tcW w:w="6291" w:type="dxa"/>
            <w:tcBorders>
              <w:top w:val="single" w:color="auto" w:sz="4" w:space="0"/>
              <w:left w:val="single" w:color="auto" w:sz="4" w:space="0"/>
              <w:bottom w:val="single" w:color="auto" w:sz="4" w:space="0"/>
              <w:right w:val="single" w:color="auto" w:sz="4" w:space="0"/>
            </w:tcBorders>
            <w:shd w:val="clear" w:color="auto" w:fill="auto"/>
            <w:vAlign w:val="center"/>
          </w:tcPr>
          <w:p w14:paraId="6598823D">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b/>
                <w:bCs/>
                <w:color w:val="auto"/>
                <w:sz w:val="21"/>
                <w:szCs w:val="21"/>
                <w:highlight w:val="none"/>
              </w:rPr>
              <w:t>配套开发内容：</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1.微课视频≥10个，时长3-8分钟，总时长≥100分钟</w:t>
            </w:r>
          </w:p>
          <w:p w14:paraId="1ACCD399">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2.PPT课件≥10个，页数≥20页/个</w:t>
            </w:r>
          </w:p>
          <w:p w14:paraId="51FBEB6E">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3.教学设计（教案）≥1份</w:t>
            </w:r>
          </w:p>
          <w:p w14:paraId="620BB4A6">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4.工作页≥1本，总页数≥100页，投标人有能力协助学校开发，提供相关案例说明。</w:t>
            </w:r>
          </w:p>
          <w:p w14:paraId="40DA6F0E">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5.习题库≥1份，数量≥100题</w:t>
            </w:r>
          </w:p>
          <w:p w14:paraId="264E69E6">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6.知识点思维导图≥1份</w:t>
            </w:r>
          </w:p>
          <w:p w14:paraId="78554C76">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7.工学一体化教材≥1本，总字数≥50000字</w:t>
            </w:r>
          </w:p>
          <w:p w14:paraId="39703BA6">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8.一体化学习工作站建设报告1份</w:t>
            </w:r>
          </w:p>
          <w:p w14:paraId="7082CA51">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9.工学一体化课程标准开发计划及成果1份，根据国标调整控制在30%以内。</w:t>
            </w:r>
          </w:p>
          <w:p w14:paraId="44F7CAAA">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10.专业工学一体化教学改革方案1份</w:t>
            </w:r>
          </w:p>
          <w:p w14:paraId="2720D4D5">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11.形成《构建职业核心能力培养教学体系的研究》报告</w:t>
            </w:r>
          </w:p>
          <w:p w14:paraId="23C21E30">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12.协助完成实训室信息化升级建设方案1份</w:t>
            </w:r>
          </w:p>
          <w:p w14:paraId="48290424">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13.协助科研合作、科研成果转化、课程建设、研修项目开发各1项</w:t>
            </w:r>
          </w:p>
          <w:p w14:paraId="35178620">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14.企业人才需求调研报告1份</w:t>
            </w:r>
          </w:p>
          <w:p w14:paraId="1142F8C4">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15.典型案例提炼1项</w:t>
            </w:r>
          </w:p>
          <w:p w14:paraId="739A22D4">
            <w:pPr>
              <w:pStyle w:val="8"/>
              <w:widowControl/>
              <w:adjustRightInd w:val="0"/>
              <w:snapToGrid w:val="0"/>
              <w:spacing w:after="0" w:line="400" w:lineRule="exact"/>
              <w:rPr>
                <w:rFonts w:ascii="宋体" w:hAnsi="宋体" w:cs="宋体"/>
                <w:color w:val="auto"/>
                <w:sz w:val="21"/>
                <w:szCs w:val="21"/>
                <w:highlight w:val="none"/>
              </w:rPr>
            </w:pPr>
            <w:r>
              <w:rPr>
                <w:rFonts w:hint="eastAsia" w:ascii="宋体" w:hAnsi="宋体" w:cs="宋体"/>
                <w:color w:val="auto"/>
                <w:sz w:val="21"/>
                <w:szCs w:val="21"/>
                <w:highlight w:val="none"/>
              </w:rPr>
              <w:t>投标文件提供以上相关内容的工作方案及经验证明。</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556DF3A8">
            <w:pPr>
              <w:adjustRightInd w:val="0"/>
              <w:snapToGrid w:val="0"/>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1门</w:t>
            </w:r>
          </w:p>
        </w:tc>
      </w:tr>
      <w:tr w14:paraId="0122F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2" w:type="dxa"/>
            <w:vMerge w:val="continue"/>
            <w:tcBorders>
              <w:left w:val="single" w:color="auto" w:sz="4" w:space="0"/>
              <w:bottom w:val="single" w:color="auto" w:sz="4" w:space="0"/>
              <w:right w:val="single" w:color="auto" w:sz="4" w:space="0"/>
            </w:tcBorders>
            <w:shd w:val="clear" w:color="auto" w:fill="auto"/>
            <w:vAlign w:val="center"/>
          </w:tcPr>
          <w:p w14:paraId="062FA383">
            <w:pPr>
              <w:adjustRightInd w:val="0"/>
              <w:snapToGrid w:val="0"/>
              <w:spacing w:line="400" w:lineRule="exact"/>
              <w:jc w:val="center"/>
              <w:rPr>
                <w:rFonts w:ascii="宋体" w:hAnsi="宋体" w:cs="宋体"/>
                <w:color w:val="auto"/>
                <w:szCs w:val="21"/>
                <w:highlight w:val="none"/>
              </w:rPr>
            </w:pPr>
          </w:p>
        </w:tc>
        <w:tc>
          <w:tcPr>
            <w:tcW w:w="1075" w:type="dxa"/>
            <w:vMerge w:val="continue"/>
            <w:tcBorders>
              <w:left w:val="single" w:color="auto" w:sz="4" w:space="0"/>
              <w:bottom w:val="single" w:color="auto" w:sz="4" w:space="0"/>
              <w:right w:val="single" w:color="auto" w:sz="4" w:space="0"/>
            </w:tcBorders>
            <w:shd w:val="clear" w:color="auto" w:fill="auto"/>
            <w:vAlign w:val="center"/>
          </w:tcPr>
          <w:p w14:paraId="0BE2B943">
            <w:pPr>
              <w:adjustRightInd w:val="0"/>
              <w:snapToGrid w:val="0"/>
              <w:spacing w:line="400" w:lineRule="exact"/>
              <w:jc w:val="center"/>
              <w:rPr>
                <w:rFonts w:ascii="宋体" w:hAnsi="宋体" w:cs="宋体"/>
                <w:color w:val="auto"/>
                <w:szCs w:val="21"/>
                <w:highlight w:val="none"/>
              </w:rPr>
            </w:pPr>
          </w:p>
        </w:tc>
        <w:tc>
          <w:tcPr>
            <w:tcW w:w="6291" w:type="dxa"/>
            <w:tcBorders>
              <w:top w:val="single" w:color="auto" w:sz="4" w:space="0"/>
              <w:left w:val="single" w:color="auto" w:sz="4" w:space="0"/>
              <w:bottom w:val="single" w:color="auto" w:sz="4" w:space="0"/>
              <w:right w:val="single" w:color="auto" w:sz="4" w:space="0"/>
            </w:tcBorders>
            <w:shd w:val="clear" w:color="auto" w:fill="auto"/>
            <w:vAlign w:val="center"/>
          </w:tcPr>
          <w:p w14:paraId="212B4479">
            <w:pPr>
              <w:adjustRightInd w:val="0"/>
              <w:snapToGrid w:val="0"/>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lang w:bidi="ar"/>
              </w:rPr>
              <w:t>教学课件：</w:t>
            </w:r>
          </w:p>
          <w:p w14:paraId="787BFE85">
            <w:pPr>
              <w:pStyle w:val="8"/>
              <w:widowControl/>
              <w:adjustRightInd w:val="0"/>
              <w:snapToGrid w:val="0"/>
              <w:spacing w:after="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1.配置富媒体化教学素材，提供不少于3套优质、简约的PPT模板，内有较为完善的图标、动画效果、封面及目录页模板等内容；</w:t>
            </w:r>
          </w:p>
          <w:p w14:paraId="08293158">
            <w:pPr>
              <w:pStyle w:val="8"/>
              <w:widowControl/>
              <w:adjustRightInd w:val="0"/>
              <w:snapToGrid w:val="0"/>
              <w:spacing w:after="0" w:line="400" w:lineRule="exact"/>
              <w:rPr>
                <w:rFonts w:ascii="宋体" w:hAnsi="宋体" w:cs="宋体"/>
                <w:color w:val="auto"/>
                <w:sz w:val="21"/>
                <w:szCs w:val="21"/>
                <w:highlight w:val="none"/>
              </w:rPr>
            </w:pPr>
            <w:r>
              <w:rPr>
                <w:rFonts w:hint="eastAsia" w:ascii="宋体" w:hAnsi="宋体" w:cs="宋体"/>
                <w:color w:val="auto"/>
                <w:sz w:val="21"/>
                <w:szCs w:val="21"/>
                <w:highlight w:val="none"/>
              </w:rPr>
              <w:t>2.对已做好的课件进行系统优化，要求格式规范、风格统一、简约、美观。总页数不超过200页。</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4481A24F">
            <w:pPr>
              <w:adjustRightInd w:val="0"/>
              <w:snapToGrid w:val="0"/>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1门</w:t>
            </w:r>
          </w:p>
        </w:tc>
      </w:tr>
    </w:tbl>
    <w:p w14:paraId="630E4180">
      <w:pPr>
        <w:pStyle w:val="50"/>
        <w:keepNext w:val="0"/>
        <w:keepLines w:val="0"/>
        <w:pageBreakBefore w:val="0"/>
        <w:widowControl w:val="0"/>
        <w:kinsoku/>
        <w:wordWrap/>
        <w:overflowPunct/>
        <w:topLinePunct w:val="0"/>
        <w:autoSpaceDE/>
        <w:autoSpaceDN/>
        <w:bidi w:val="0"/>
        <w:adjustRightInd/>
        <w:snapToGrid/>
        <w:spacing w:after="0" w:line="400" w:lineRule="exact"/>
        <w:ind w:firstLine="422" w:firstLineChars="200"/>
        <w:textAlignment w:val="auto"/>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（三）工学一体精品课程开发</w:t>
      </w:r>
    </w:p>
    <w:p w14:paraId="15F1157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本次精品课程建设主要为专业一体化课程。课程以工学一体化课程理论为指引，按照岗位能力递进和遵循学习者的学习进程进行结构化课程设计为框架，构建课程应涵盖所有基本知识点和岗位基本技能点。充分考虑职业学校学生、教师的不同特点及学习需求，促进职业技能和培养职业精神高度融合，契合整体提升学生职业能力、人文素质和职业素养的培养目标要求。并遵循学生职业能力培养的基本规律，依据生产服务的真实业务流程，设计教学空间和课程模块，整合、序化教学内容，教、学、做结合，工学一体化，实训、实习等教学环节设计合理。强化信息化教学设计和教学实施，充分、合理运用信息技术、数字资源和信息化教学环境，系统优化教学过程。</w:t>
      </w:r>
    </w:p>
    <w:p w14:paraId="6333067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课件制作：提供多套精美在线课程建课模板，校内教师可依据个人资料的丰富程度及喜欢的风格进行个性化的设置，在校内教师完成课件内容的基础上，对课程课件进行修订美化，达到格式统一、页面美观的效果。</w:t>
      </w:r>
    </w:p>
    <w:p w14:paraId="51DEA96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2.配套课程素材：根据课程建设需要，提供配置富媒体化教学素材、PPT模板、音频素材。保证课程资源富媒体化，课程不再是线下教学简单地依赖于教科书和纸质辅导材料，提供大量的视频、图片、音声、图表、 文本等富媒体形式进行信息传播，随时随地为教与学提供资源支持，使得知识传播更加立体和全面，丰富课程表现形式，促进教学质量提高。配置富媒体化教学素材，内有较为完善的图标、动画效果、封面及目录页模板等内容。</w:t>
      </w:r>
    </w:p>
    <w:p w14:paraId="544D35C5">
      <w:pPr>
        <w:pStyle w:val="50"/>
        <w:keepNext w:val="0"/>
        <w:keepLines w:val="0"/>
        <w:pageBreakBefore w:val="0"/>
        <w:widowControl w:val="0"/>
        <w:kinsoku/>
        <w:wordWrap/>
        <w:overflowPunct/>
        <w:topLinePunct w:val="0"/>
        <w:autoSpaceDE/>
        <w:autoSpaceDN/>
        <w:bidi w:val="0"/>
        <w:adjustRightInd/>
        <w:snapToGrid/>
        <w:spacing w:after="0" w:line="400" w:lineRule="exact"/>
        <w:ind w:firstLine="422" w:firstLineChars="200"/>
        <w:textAlignment w:val="auto"/>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（四）教材出版（2本）</w:t>
      </w:r>
    </w:p>
    <w:p w14:paraId="55F7F53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要求在国家一级出版社出版，知识产权归学校所有，投标人提供的素材要求均无知识产权纠纷，开发过程产生的成果转化归学校所有。编委及出版社由学校指定。投标人具有丰富的出版经验，投标文件提供详细出版方案，包括但不限于纸数融合的课堂落地方案，与国家一级出版社合作证明，投标人作为主编/联合主编出版的教材被推荐为十四五规划教材/作为出版社编审人员等证明材料。未提供或提供的内容不符合要求的视为不满足招标要求。</w:t>
      </w:r>
    </w:p>
    <w:p w14:paraId="4D1944F9">
      <w:pPr>
        <w:pStyle w:val="50"/>
        <w:keepNext w:val="0"/>
        <w:keepLines w:val="0"/>
        <w:pageBreakBefore w:val="0"/>
        <w:widowControl w:val="0"/>
        <w:kinsoku/>
        <w:wordWrap/>
        <w:overflowPunct/>
        <w:topLinePunct w:val="0"/>
        <w:autoSpaceDE/>
        <w:autoSpaceDN/>
        <w:bidi w:val="0"/>
        <w:adjustRightInd/>
        <w:snapToGrid/>
        <w:spacing w:after="0" w:line="400" w:lineRule="exact"/>
        <w:ind w:firstLine="422" w:firstLineChars="200"/>
        <w:textAlignment w:val="auto"/>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（五）教学支撑平台要求（3个）</w:t>
      </w:r>
    </w:p>
    <w:p w14:paraId="361FFE6E">
      <w:pPr>
        <w:spacing w:line="400" w:lineRule="exact"/>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1.课程资源支持平台</w:t>
      </w:r>
    </w:p>
    <w:p w14:paraId="05A13886">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宋体" w:hAnsi="宋体" w:cs="宋体"/>
          <w:b w:val="0"/>
          <w:bCs w:val="0"/>
          <w:color w:val="auto"/>
          <w:sz w:val="21"/>
          <w:szCs w:val="21"/>
          <w:highlight w:val="none"/>
        </w:rPr>
        <w:t>课程管理，课程资源管理，班级管理，学生管理，题库管理，作业管理，考试功能，签到功能，成绩大数据分析，通知功能，实验功能，虚拟实验等，可支持教师开展线上教学、混合式教学等。具体参数如下</w:t>
      </w:r>
      <w:r>
        <w:rPr>
          <w:rFonts w:hint="eastAsia" w:asciiTheme="minorEastAsia" w:hAnsiTheme="minorEastAsia" w:eastAsiaTheme="minorEastAsia" w:cstheme="minorEastAsia"/>
          <w:b w:val="0"/>
          <w:bCs w:val="0"/>
          <w:color w:val="auto"/>
          <w:szCs w:val="21"/>
          <w:highlight w:val="none"/>
        </w:rPr>
        <w:t>：</w:t>
      </w:r>
    </w:p>
    <w:tbl>
      <w:tblPr>
        <w:tblStyle w:val="31"/>
        <w:tblW w:w="8700"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098"/>
        <w:gridCol w:w="6906"/>
      </w:tblGrid>
      <w:tr w14:paraId="029CD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6" w:type="dxa"/>
            <w:vAlign w:val="center"/>
          </w:tcPr>
          <w:p w14:paraId="1E767008">
            <w:pPr>
              <w:adjustRightInd w:val="0"/>
              <w:snapToGrid w:val="0"/>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098" w:type="dxa"/>
            <w:vAlign w:val="center"/>
          </w:tcPr>
          <w:p w14:paraId="00EA5A65">
            <w:pPr>
              <w:adjustRightInd w:val="0"/>
              <w:snapToGrid w:val="0"/>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支持内容</w:t>
            </w:r>
          </w:p>
        </w:tc>
        <w:tc>
          <w:tcPr>
            <w:tcW w:w="6906" w:type="dxa"/>
            <w:vAlign w:val="center"/>
          </w:tcPr>
          <w:p w14:paraId="53B3F14E">
            <w:pPr>
              <w:adjustRightInd w:val="0"/>
              <w:snapToGrid w:val="0"/>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技术要求</w:t>
            </w:r>
          </w:p>
        </w:tc>
      </w:tr>
      <w:tr w14:paraId="14BB0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6" w:type="dxa"/>
            <w:shd w:val="clear" w:color="auto" w:fill="auto"/>
            <w:vAlign w:val="center"/>
          </w:tcPr>
          <w:p w14:paraId="445BDD44">
            <w:pPr>
              <w:keepNext w:val="0"/>
              <w:keepLines w:val="0"/>
              <w:pageBreakBefore w:val="0"/>
              <w:widowControl w:val="0"/>
              <w:kinsoku/>
              <w:wordWrap/>
              <w:overflowPunct/>
              <w:topLinePunct w:val="0"/>
              <w:autoSpaceDE/>
              <w:bidi w:val="0"/>
              <w:adjustRightInd w:val="0"/>
              <w:snapToGrid w:val="0"/>
              <w:spacing w:after="0"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1098" w:type="dxa"/>
            <w:shd w:val="clear" w:color="auto" w:fill="auto"/>
            <w:vAlign w:val="center"/>
          </w:tcPr>
          <w:p w14:paraId="76E14877">
            <w:pPr>
              <w:keepNext w:val="0"/>
              <w:keepLines w:val="0"/>
              <w:pageBreakBefore w:val="0"/>
              <w:widowControl w:val="0"/>
              <w:kinsoku/>
              <w:wordWrap/>
              <w:overflowPunct/>
              <w:topLinePunct w:val="0"/>
              <w:autoSpaceDE/>
              <w:bidi w:val="0"/>
              <w:adjustRightInd w:val="0"/>
              <w:snapToGrid w:val="0"/>
              <w:spacing w:after="0"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课程资源平台支持</w:t>
            </w:r>
          </w:p>
        </w:tc>
        <w:tc>
          <w:tcPr>
            <w:tcW w:w="6906" w:type="dxa"/>
            <w:shd w:val="clear" w:color="auto" w:fill="auto"/>
            <w:vAlign w:val="top"/>
          </w:tcPr>
          <w:p w14:paraId="1501E147">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eastAsia="zh-Hans" w:bidi="ar"/>
              </w:rPr>
              <w:t>★</w:t>
            </w:r>
            <w:r>
              <w:rPr>
                <w:rFonts w:hint="eastAsia" w:ascii="宋体" w:hAnsi="宋体" w:eastAsia="宋体" w:cs="宋体"/>
                <w:color w:val="auto"/>
                <w:kern w:val="0"/>
                <w:sz w:val="21"/>
                <w:szCs w:val="21"/>
                <w:highlight w:val="none"/>
                <w:lang w:bidi="ar"/>
              </w:rPr>
              <w:t>一、</w:t>
            </w:r>
            <w:r>
              <w:rPr>
                <w:rFonts w:hint="eastAsia" w:ascii="宋体" w:hAnsi="宋体" w:eastAsia="宋体" w:cs="宋体"/>
                <w:color w:val="auto"/>
                <w:sz w:val="21"/>
                <w:szCs w:val="21"/>
                <w:highlight w:val="none"/>
              </w:rPr>
              <w:t>CBS复合构架：服务器可以linux或windows平台运行；教师和学生同时具有移动版本和相应的web版本。移动app支持Android和IOS。提供运行截图等证明材料。</w:t>
            </w:r>
          </w:p>
          <w:p w14:paraId="4B0D52AB">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二、</w:t>
            </w:r>
            <w:r>
              <w:rPr>
                <w:rFonts w:hint="eastAsia" w:ascii="宋体" w:hAnsi="宋体" w:eastAsia="宋体" w:cs="宋体"/>
                <w:color w:val="auto"/>
                <w:sz w:val="21"/>
                <w:szCs w:val="21"/>
                <w:highlight w:val="none"/>
              </w:rPr>
              <w:t>以课程为中心，即课程资源、教学班、题库、作业、考试、签到、成绩、答疑、实验等均以课程进行组织。</w:t>
            </w:r>
          </w:p>
          <w:p w14:paraId="12832595">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三、“教师”功能</w:t>
            </w:r>
            <w:r>
              <w:rPr>
                <w:rFonts w:hint="eastAsia" w:ascii="宋体" w:hAnsi="宋体" w:eastAsia="宋体" w:cs="宋体"/>
                <w:color w:val="auto"/>
                <w:sz w:val="21"/>
                <w:szCs w:val="21"/>
                <w:highlight w:val="none"/>
              </w:rPr>
              <w:tab/>
            </w:r>
          </w:p>
          <w:p w14:paraId="1B9CF79C">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课程管理</w:t>
            </w:r>
          </w:p>
          <w:p w14:paraId="31632870">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 课程的创建与编辑</w:t>
            </w:r>
          </w:p>
          <w:p w14:paraId="0F225B62">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设置与编辑课程的名称、简介、课程图片、课程简介、课程资源是否允许分享、游客是否可以访问等。</w:t>
            </w:r>
          </w:p>
          <w:p w14:paraId="5F6D2114">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 课程清单</w:t>
            </w:r>
          </w:p>
          <w:p w14:paraId="6330DF07">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3.1.3 课程的归档与解档</w:t>
            </w:r>
          </w:p>
          <w:p w14:paraId="2722B735">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可以对自己所创建的课程进行归档封存。课程归档后，该课程下的所有教学班、作业、考试等数据同步归档。</w:t>
            </w:r>
          </w:p>
          <w:p w14:paraId="43CB9156">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可以通过“查看归档”查看所有归档的课程，并可以解档。</w:t>
            </w:r>
          </w:p>
          <w:p w14:paraId="49A7135F">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课程资源</w:t>
            </w:r>
          </w:p>
          <w:p w14:paraId="08D3F811">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课程资源的管理采用windows资源管理器类似方式，页面的左侧为资源树，右侧为文件夹或文件。</w:t>
            </w:r>
          </w:p>
          <w:p w14:paraId="2078F164">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功能包括：资源上传、资源编辑、标签设置与管理、资源移动、资源筛选等。</w:t>
            </w:r>
          </w:p>
          <w:p w14:paraId="7434C7EF">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 课程资源上传</w:t>
            </w:r>
          </w:p>
          <w:p w14:paraId="5B1891FC">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提供3种课程资源批量上传方式：</w:t>
            </w:r>
          </w:p>
          <w:p w14:paraId="6538B8E8">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拖拽方式。将PC机上的课程资源文件夹（文件夹的层级不限，文件与文件夹可混排），拖拽到浏览器的指定区域，即可批量上传文件夹下的所有资源，且服务器上的文件夹结构与PC机上的课程资源文件夹的组织结构完全一致；</w:t>
            </w:r>
          </w:p>
          <w:p w14:paraId="1A0041A4">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（2）选择文件夹上传。选择PC机上的文件夹（文件夹的层级不限，文件与文件夹可混排），即可批量上传文件夹下的所有资源，且服务器上的文件夹结构与PC机上的课程资源文件夹的组织结构完全一致；</w:t>
            </w:r>
          </w:p>
          <w:p w14:paraId="5804104C">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（3）选择文件上传。选择PC上的1个或多个文件即可批量上传。</w:t>
            </w:r>
          </w:p>
          <w:p w14:paraId="5B62B726">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要求，支持电子文档、演示文档、动画、视频、练习文件、虚拟仿真实验文件、exe文件、rar文件、zip文件等数字资源的上传。</w:t>
            </w:r>
          </w:p>
          <w:p w14:paraId="3E392E09">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 资源编辑</w:t>
            </w:r>
          </w:p>
          <w:p w14:paraId="78CF3F54">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资源编辑包括：重命名、删除、创建文件夹、移动资源等。支持资源文件夹、文件的手动排序。</w:t>
            </w:r>
          </w:p>
          <w:p w14:paraId="4C289AA9">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 资源标签的管理与设置</w:t>
            </w:r>
          </w:p>
          <w:p w14:paraId="26F4A3F0">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资源标签主要用于快速筛选资源。</w:t>
            </w:r>
          </w:p>
          <w:p w14:paraId="68C83E30">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（1）标签管理。包括添加标签、设置标签对应的后缀名等。</w:t>
            </w:r>
          </w:p>
          <w:p w14:paraId="3F804BE1">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（2）为资源添加标签。提供2种为资源添加标签方式：①自动标签，即系统自动根据资源后缀添加对应的标签；②手动标签，即为所选择的资源手动贴上标签。</w:t>
            </w:r>
          </w:p>
          <w:p w14:paraId="5731A7F8">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 资源二维码</w:t>
            </w:r>
          </w:p>
          <w:p w14:paraId="31B34318">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（1）资源二维码：为资源分享创建二维码，支持保存到word文档。扫一扫二维码即可直接打开相应的资源。</w:t>
            </w:r>
          </w:p>
          <w:p w14:paraId="7033BB41">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（2）文件夹分享二维码：为文件夹分享创建二维码。扫一扫二维码即可获取查看文件夹中的资源。</w:t>
            </w:r>
          </w:p>
          <w:p w14:paraId="12884956">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3.2.5 资源搜索</w:t>
            </w:r>
          </w:p>
          <w:p w14:paraId="47FDBBDE">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可以通过输入文件名进行搜索，也可以通过标签进行筛选。</w:t>
            </w:r>
          </w:p>
          <w:p w14:paraId="4C3DA639">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3.2.6 资源下载权限设置</w:t>
            </w:r>
          </w:p>
          <w:p w14:paraId="5AE01EA1">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教师可以设置资源的下载权限。不能下载的资源，只能在线预览。</w:t>
            </w:r>
          </w:p>
          <w:p w14:paraId="6733E67C">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班级管理</w:t>
            </w:r>
          </w:p>
          <w:p w14:paraId="7AB8E5C2">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包括：创建教学班、学生管理、归档和恢复教学班、助教管理等。</w:t>
            </w:r>
          </w:p>
          <w:p w14:paraId="0D16803B">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创建教学班</w:t>
            </w:r>
          </w:p>
          <w:p w14:paraId="34F4DDF8">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生成教学班及相应的邀请码和二维码，并设置加入教学班时是否需要验证。</w:t>
            </w:r>
          </w:p>
          <w:p w14:paraId="22B5E0EB">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3.3.2 学生管理</w:t>
            </w:r>
          </w:p>
          <w:p w14:paraId="1DA3A57F">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邀请学生加入教学班。如果加入教学班：①不需要身份验证，即任何人通过邀请码都可以加入教学班；②需要身份验证，即需要用户填写的指定的身份信息，且只有与预先导入的用户信息完全匹配才能加入到教学班，验证用的身份信息可以单个添加也可以批量导入。</w:t>
            </w:r>
          </w:p>
          <w:p w14:paraId="68B4EAC1">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直接添加学生。①从所在机构单个导入，即通过学生的姓名、学号、手机等搜索本机构内已有的学生并添加到教学班；②从所在机构批量导入，即选择本机构的一个节点，则该节点下的所有学生添加到当前教学班；③通过excel文件将学生批量添加到教学班；④将该教师创建的其他教学班的学生导入当前教学班。</w:t>
            </w:r>
          </w:p>
          <w:p w14:paraId="58AF960B">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（3）移动学生。可以将学生从一个教学班移动到另一个教学班。</w:t>
            </w:r>
          </w:p>
          <w:p w14:paraId="09E10B4F">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（4）删除学生。可将将学生从当前教学班中删除。</w:t>
            </w:r>
          </w:p>
          <w:p w14:paraId="5B017A0E">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（5）可以按学生的姓名、学号、手机号、邮箱等进行搜索，支持按姓名、学号、手机、邮箱、加入时间及账号状态进行排序。</w:t>
            </w:r>
          </w:p>
          <w:p w14:paraId="48EF561A">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（6）修改学生的姓名或学号</w:t>
            </w:r>
          </w:p>
          <w:p w14:paraId="04676AFB">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 归档和恢复教学班</w:t>
            </w:r>
          </w:p>
          <w:p w14:paraId="28E32FBC">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将教学班所有教学数据归档封存。可在“已归档教学班”中查看并进行恢复。</w:t>
            </w:r>
          </w:p>
          <w:p w14:paraId="04BC62E3">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3.3.4 助教管理</w:t>
            </w:r>
          </w:p>
          <w:p w14:paraId="1A180FEB">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（1）邀请机构内成员为自己班级的助教，对方同意后即设置成功。对于设置了助教的班级，助教将拥有除“设置助教”、“班级创建”、“班级归档”外的教师权限。</w:t>
            </w:r>
          </w:p>
          <w:p w14:paraId="2C6A7BD6">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（2）在发出邀请后对方回应前可以取消邀请。</w:t>
            </w:r>
          </w:p>
          <w:p w14:paraId="326A606D">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（3）助教设置成功后可以删除。</w:t>
            </w:r>
          </w:p>
          <w:p w14:paraId="331D9E2A">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（4）同一门课程可以设置多个助教。</w:t>
            </w:r>
          </w:p>
          <w:p w14:paraId="77758C22">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 题库管理</w:t>
            </w:r>
          </w:p>
          <w:p w14:paraId="07BAB539">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包括题库浏览与编辑、单个试题录入、基于word文档的试题批量导入等功能，支持多终端编辑、管理。</w:t>
            </w:r>
          </w:p>
          <w:p w14:paraId="54231C67">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 题库浏览</w:t>
            </w:r>
          </w:p>
          <w:p w14:paraId="1473A0BB">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可以通过关键词搜索，也可以通过章节、试题难度、题型等过滤器选择试题。</w:t>
            </w:r>
          </w:p>
          <w:p w14:paraId="29E9379F">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可以查看、编辑修改、删除试题。</w:t>
            </w:r>
          </w:p>
          <w:p w14:paraId="68B7C22A">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3.4.2 题型</w:t>
            </w:r>
          </w:p>
          <w:p w14:paraId="7BB77E0D">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支持单选题、多选题、是非题、填空题、主观题、阅读理解题等多种题型。</w:t>
            </w:r>
          </w:p>
          <w:p w14:paraId="390CEA4C">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3.4.3 试题录入</w:t>
            </w:r>
          </w:p>
          <w:p w14:paraId="022A87AE">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指定试题所属知识点及试题的难度系数、分值、题型等后，输入试题的内容、备选答案、正确答案、试题解析等。支持试题可以包含公式和图片。</w:t>
            </w:r>
          </w:p>
          <w:p w14:paraId="5B058AF7">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选择题的选项可以2~10个。</w:t>
            </w:r>
          </w:p>
          <w:p w14:paraId="7528381F">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填空题可以设置答案是否与次序相关。</w:t>
            </w:r>
          </w:p>
          <w:p w14:paraId="27EFC23E">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可设置录入的试题仅用于考试，仅用于考试的题目不会出现在作业题目中。</w:t>
            </w:r>
          </w:p>
          <w:p w14:paraId="0EB6201A">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3.4.4 基于Word文档的试题批量导入</w:t>
            </w:r>
          </w:p>
          <w:p w14:paraId="2B1A62CB">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支持基于word文档的试题批量导入，并可与任意一个知识点进行关联。试题可以包括有多个图片、公式。</w:t>
            </w:r>
          </w:p>
          <w:p w14:paraId="3DE13161">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 作业</w:t>
            </w:r>
          </w:p>
          <w:p w14:paraId="0A4B5E68">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包括作业列表、练习卷管理、布置作业、批阅作业、查看作业、调用作业、删除作业、作业分析等。</w:t>
            </w:r>
          </w:p>
          <w:p w14:paraId="05D9BA43">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3.5.1 练习卷管理</w:t>
            </w:r>
          </w:p>
          <w:p w14:paraId="108F2E04">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包括作业卷的创建、编辑、预览、删除等。练习卷与考试卷的创建、编辑、预览、删除等完全一致。</w:t>
            </w:r>
          </w:p>
          <w:p w14:paraId="37BE1A79">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3.5.2 布置作业</w:t>
            </w:r>
          </w:p>
          <w:p w14:paraId="6B14BC10">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包括作业名称、作业内容、教学班（作业范围）、作业开始时间、作业截止时间等参数。布置作业后，自动面向指定对象发送作业通知。</w:t>
            </w:r>
          </w:p>
          <w:p w14:paraId="3639CFF4">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作业内容包括2种类型：普通作业型或练习卷型。</w:t>
            </w:r>
          </w:p>
          <w:p w14:paraId="1BDFEC54">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（1）普通作业型，即通过文字、图片等描述作业的内容，可以是作业题号也可以是作业题的具体内容。普通作业型可以设置“是否允许补交”。</w:t>
            </w:r>
          </w:p>
          <w:p w14:paraId="0CF8240F">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（2）练习卷型，即以练习卷作为作业的内容。可以直接从练习卷库中选择练习卷，也可以直接从题库中选题。可以设置学生接到的练习卷试题顺序是固定还是随机。</w:t>
            </w:r>
          </w:p>
          <w:p w14:paraId="2B7347E2">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3.5.3 查看、批改作业</w:t>
            </w:r>
          </w:p>
          <w:p w14:paraId="0F85064A">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（1）普通作业型。普通作业型，由教师手动批阅。可以批量给分，也可以逐个学生批阅。可以打回作业，打回作业时，可以输入“打回原因”。</w:t>
            </w:r>
          </w:p>
          <w:p w14:paraId="40FBDBC9">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（2）练习卷型。客观题由系统自动批改，主观题应提供按人批改和按题批改两种方式。可以对作业进行分析：本次作业的分数分布情况、查看学生的练习卷详情、作业成绩导出到excel文件。</w:t>
            </w:r>
          </w:p>
          <w:p w14:paraId="18C569EE">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3.5.4 调用作业</w:t>
            </w:r>
          </w:p>
          <w:p w14:paraId="498FA9E7">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通过修改历史作业参数的方式，创建并发布作业。</w:t>
            </w:r>
          </w:p>
          <w:p w14:paraId="53D4ED8E">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3.5.5 删除与恢复作业</w:t>
            </w:r>
          </w:p>
          <w:p w14:paraId="36FAD4B1">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可以删除作业。</w:t>
            </w:r>
          </w:p>
          <w:p w14:paraId="14332C70">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可以查看“已删作业”并进行恢复。</w:t>
            </w:r>
          </w:p>
          <w:p w14:paraId="6E646E82">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3.5.6 学生作业查看、批改支持多终端操作。</w:t>
            </w:r>
          </w:p>
          <w:p w14:paraId="49E8ECD9">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 考试</w:t>
            </w:r>
          </w:p>
          <w:p w14:paraId="2E407F20">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 考试卷管理</w:t>
            </w:r>
          </w:p>
          <w:p w14:paraId="27EC5099">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考试卷管理包括：创建试卷和编辑试卷。</w:t>
            </w:r>
          </w:p>
          <w:p w14:paraId="7FCC4D36">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编辑试卷是修改试卷中的试题，包括添加或删除试题。</w:t>
            </w:r>
          </w:p>
          <w:p w14:paraId="3B2FF19F">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创建试卷包括 “智能组卷”、“生成B卷（按照配置出卷）”、“手动组卷”、“根据word试题创建试卷”四种方式创建试卷。</w:t>
            </w:r>
          </w:p>
          <w:p w14:paraId="669F217D">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（1）智能组卷：指定试卷名称、章节、题型及数量等，即可创建试卷，并保存在试卷库中。</w:t>
            </w:r>
          </w:p>
          <w:p w14:paraId="2D72ECAB">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（2）生成B卷：自动创建一份与所选择的试卷具有相同配置的试卷，即具有相同的出题范围、题型及数量。</w:t>
            </w:r>
          </w:p>
          <w:p w14:paraId="31333A32">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（3）手动组卷：设置试卷名称，并从题库中逐题添加试题。可以通过指定知识点或关键词进行选题。</w:t>
            </w:r>
          </w:p>
          <w:p w14:paraId="75F3D854">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（4）根据word试题创建试卷：基于word文档，将试题批量导入到题库后，自动创建一份具有相同内容但次序随机的试卷。</w:t>
            </w:r>
          </w:p>
          <w:p w14:paraId="5FF5DEB7">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3.6.2 添加考试</w:t>
            </w:r>
          </w:p>
          <w:p w14:paraId="560EAD3F">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指定试卷、考试类型（平时测验、期中考试、期末考试）、考试名称、教学班、考试时间及时长、多项选择题和填空题漏选/填的得分配置（不得分、可得几分、每选对一个得几分）、试题顺序固定还是随机、考试结束后是否可以查看试卷，即可添加一次考试，并进入待考试状态。</w:t>
            </w:r>
          </w:p>
          <w:p w14:paraId="0D464C85">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添加考试后，自动面向考试对象发送考试通知。</w:t>
            </w:r>
          </w:p>
          <w:p w14:paraId="40214853">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3.6.3 启动考试</w:t>
            </w:r>
          </w:p>
          <w:p w14:paraId="58A04058">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包括自动发起考试和手动强制发起考试。</w:t>
            </w:r>
          </w:p>
          <w:p w14:paraId="5B3BA5BC">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根据添加考试时设置的考试时间，自动触发并启动考试。</w:t>
            </w:r>
          </w:p>
          <w:p w14:paraId="1B3D64ED">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在设置的考试时间之前，教师可以手动强制启动考试测验。</w:t>
            </w:r>
          </w:p>
          <w:p w14:paraId="25198059">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开始考试之前，教师可以编辑考试。</w:t>
            </w:r>
          </w:p>
          <w:p w14:paraId="71F97EEE">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3.6.4 结束考试</w:t>
            </w:r>
          </w:p>
          <w:p w14:paraId="13E3F3B1">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包括自动结束考试、手动提前结束考试。</w:t>
            </w:r>
          </w:p>
          <w:p w14:paraId="3045091E">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根据添加考试时设置的考试时长，自动触发并结束考试。</w:t>
            </w:r>
          </w:p>
          <w:p w14:paraId="567BBC73">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当所有参加考试的学生全部交卷后，如果考试结束时间还没到时，教师可以提前结束考试。</w:t>
            </w:r>
          </w:p>
          <w:p w14:paraId="2CDD12C7">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3.6.5 延长考试时间</w:t>
            </w:r>
          </w:p>
          <w:p w14:paraId="1ACD70EA">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在考试结束之前，教师可以按照实际情况延长考试时长。</w:t>
            </w:r>
          </w:p>
          <w:p w14:paraId="05D8F21A">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3.6.6 编辑考试</w:t>
            </w:r>
          </w:p>
          <w:p w14:paraId="4F95DE55">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在考试正式开始之前，老师可以编辑考试的相关参数。</w:t>
            </w:r>
          </w:p>
          <w:p w14:paraId="26D10B7D">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3.6.7 考生状态</w:t>
            </w:r>
          </w:p>
          <w:p w14:paraId="7E51C60F">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考试过程中，可以实时监控考生的状态，包括：已经提交试卷、正在参加考试、缺考三种状态，并列出三种状态的人数。对于误操作提交考试的学生，教师可以重置学生考试状态，学生可以重新进入考试。</w:t>
            </w:r>
          </w:p>
          <w:p w14:paraId="00E3CDDE">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考生一旦进入考试，除交卷外，不能离开考试界面。</w:t>
            </w:r>
          </w:p>
          <w:p w14:paraId="6DCEF884">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3.6.8 试卷批改</w:t>
            </w:r>
          </w:p>
          <w:p w14:paraId="21F3FA92">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考试结束后，客观题及填空题采用自动批改，并统计分数。</w:t>
            </w:r>
          </w:p>
          <w:p w14:paraId="6BDE7133">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题采用人工批改方式，并提供两种批改方式：按人批改（即按学生的学号次序，批改完一份试卷后，再批改下一个学生的试卷）和按题批改（即按试题次序，同一试题所有学生都批改完成后，再批改下一题）。</w:t>
            </w:r>
          </w:p>
          <w:p w14:paraId="1E6BCF7A">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批改过程中，老师可以给批改结果加标签。</w:t>
            </w:r>
          </w:p>
          <w:p w14:paraId="50EC89CC">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考试结束之后，如果老师发现有客观题标准答案错误的情况，教师可以修改标准答案，系统自动更正评分。</w:t>
            </w:r>
          </w:p>
          <w:p w14:paraId="7B338AE3">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教师可以对自动批改填空题进行审核并可以修改得分。</w:t>
            </w:r>
          </w:p>
          <w:p w14:paraId="33A938DB">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3.6.9 支持考试分析功能</w:t>
            </w:r>
          </w:p>
          <w:p w14:paraId="6AB000AD">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（1）成绩分析功能</w:t>
            </w:r>
          </w:p>
          <w:p w14:paraId="6B6D6D12">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图文并茂的形式，展示整个教学班的成绩分布情况、可分别展示实际分数和百分制下的成绩统计（最高分、最低分、平均分、中间分），能查看每个学生考试开始时间及交卷时间，并能直接查看试卷答题情况，以帮助教师快速了解学生知识点的掌握情况，并支持Excel导出。</w:t>
            </w:r>
          </w:p>
          <w:p w14:paraId="74A252F3">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因网络异常等原因造成学生考试数据缺失时，在教师允许学生重新交卷后，学生可在App端重新提交自动备份的考试答案。</w:t>
            </w:r>
          </w:p>
          <w:p w14:paraId="15D31871">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（2）试题分析功能</w:t>
            </w:r>
          </w:p>
          <w:p w14:paraId="7C4DFF10">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能查看试卷中每道题的得分率，并能生成文字报表等。如果批改过程中老师对批改结果添加了标签，还可以查看以批改结果标签进行统计的试题分析报表。</w:t>
            </w:r>
          </w:p>
          <w:p w14:paraId="6AD4809E">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（3）课程分析功能</w:t>
            </w:r>
          </w:p>
          <w:p w14:paraId="3729F222">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教师能对同一门课程内多次平时测验进行考试动态分析，以了解各次考试的最高分、最低分、中间分、平均分的变化情况。</w:t>
            </w:r>
          </w:p>
          <w:p w14:paraId="38F75411">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（4）文字报表</w:t>
            </w:r>
          </w:p>
          <w:p w14:paraId="2E0982E3">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根据本场考试情况总结考试内容，成绩分布情况，教师可以在此基础上填写教学总结，改进计划，并打印保存。</w:t>
            </w:r>
          </w:p>
          <w:p w14:paraId="1663DE60">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3.6.10 删除与恢复</w:t>
            </w:r>
          </w:p>
          <w:p w14:paraId="06156BED">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可以删除考试。</w:t>
            </w:r>
          </w:p>
          <w:p w14:paraId="232DDBB4">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删除还没有开始的考试，系统自动向考试对象发送考试移除通知。</w:t>
            </w:r>
          </w:p>
          <w:p w14:paraId="1F384E30">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删除正在进行的考试，系统自动向考试对象发送考试终止通知。</w:t>
            </w:r>
          </w:p>
          <w:p w14:paraId="186D5FC1">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可以在 “已删除考试”中查看删除考试的记录，并可进行恢复。</w:t>
            </w:r>
          </w:p>
          <w:p w14:paraId="35432EF3">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 签到</w:t>
            </w:r>
          </w:p>
          <w:p w14:paraId="6DA7DBAA">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包括发起签到、查看签到结果、删除与恢复签到等。</w:t>
            </w:r>
          </w:p>
          <w:p w14:paraId="1B8EAB56">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3.7.1 创建签到</w:t>
            </w:r>
          </w:p>
          <w:p w14:paraId="1DA15E74">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指定签到的教学班、签到时长、签到地点、有效范围等参数，即可创建签到。</w:t>
            </w:r>
          </w:p>
          <w:p w14:paraId="52F69F59">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签到地点可以从常用地点中选择。</w:t>
            </w:r>
          </w:p>
          <w:p w14:paraId="24824A04">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教师可以在地图中手动调整签到地点（可以是地图本身提供的信息点之外的地点），并可保存为常用地址。</w:t>
            </w:r>
          </w:p>
          <w:p w14:paraId="338AB5DC">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创建签到后，自动通知学生签到。</w:t>
            </w:r>
          </w:p>
          <w:p w14:paraId="36571479">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3.7.2 查看签到结果</w:t>
            </w:r>
          </w:p>
          <w:p w14:paraId="5AFAA66E">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包括：签到人员列表及出勤状态，具体包括；出勤、请假、迟到、旷课、异常的人数统计信息；</w:t>
            </w:r>
          </w:p>
          <w:p w14:paraId="655DCDFC">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系统提示签到异常信息，如：学生签到地理信息异常、同一手机完成多个学生的签到等。</w:t>
            </w:r>
          </w:p>
          <w:p w14:paraId="1C18AE7E">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教师可以在指定时间内手动修改学生的签到状态。</w:t>
            </w:r>
          </w:p>
          <w:p w14:paraId="1C488E27">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 删除与恢复签到</w:t>
            </w:r>
          </w:p>
          <w:p w14:paraId="4E5F314E">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可以删除签到。</w:t>
            </w:r>
          </w:p>
          <w:p w14:paraId="7685AD3E">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可以在“作废考勤”中查看作废的签到，并可进行恢复。</w:t>
            </w:r>
          </w:p>
          <w:p w14:paraId="54EABA56">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 课程成绩</w:t>
            </w:r>
          </w:p>
          <w:p w14:paraId="32D83675">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教学班的形式列出学生的成绩构成明细。成绩构成明细是根据“课程成绩组成权重”自动生成的表格，如：考勤签到、作业成绩、平时测验成绩、实验实训、期中考试成绩、期末考试成绩、平时表现等。除平时表现等非系统项数据，所有成绩计算均自动生成。课程成绩权重可以由教师自定义。</w:t>
            </w:r>
          </w:p>
          <w:p w14:paraId="1718C2E6">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可以按课程成绩构成项进行排序。</w:t>
            </w:r>
          </w:p>
          <w:p w14:paraId="2E0AB616">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课程成绩可以保存为excel文件。</w:t>
            </w:r>
          </w:p>
          <w:p w14:paraId="2285330C">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 答疑功能</w:t>
            </w:r>
          </w:p>
          <w:p w14:paraId="185433E8">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以列表形式列出课程问答，包括：问题、提问者、回答数等。</w:t>
            </w:r>
          </w:p>
          <w:p w14:paraId="23CCEA96">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单击问题，可以进行回答问题。</w:t>
            </w:r>
          </w:p>
          <w:p w14:paraId="09E830FF">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单击回答数，可以查看回答详情。</w:t>
            </w:r>
          </w:p>
          <w:p w14:paraId="61562024">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3.10 通知功能</w:t>
            </w:r>
          </w:p>
          <w:p w14:paraId="2C3B93D4">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包括接收到的通知和发送的通知。</w:t>
            </w:r>
          </w:p>
          <w:p w14:paraId="10E67221">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送的通知包括：考试开始通知、考试移除通知、教务通知、考勤通知、提问回复通知、学生作业通知、学习作业删除通知、资源变更通知等。可以查看每一个教务通知的回执情况。发布通知时，可以指定通知的对象，如所有教学班的学生、指定教学班的学生、部分学生。</w:t>
            </w:r>
          </w:p>
          <w:p w14:paraId="03B41A49">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 实验功能</w:t>
            </w:r>
          </w:p>
          <w:p w14:paraId="3FF64BDC">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（1）教师可直接在课程资源中上传虚拟仿真软件及虚拟仿真实验项目文件。并可以设置实验项目对应的虚拟仿真软件，以便学生在资源页面可以便捷地下载虚拟仿真软件。</w:t>
            </w:r>
          </w:p>
          <w:p w14:paraId="0BBB834B">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（2）教师和学生都可以查看学生虚拟实验的最高成绩、虚拟实验所产生的实验数据，以及虚拟实验中各关键步骤的得分情况。</w:t>
            </w:r>
          </w:p>
          <w:p w14:paraId="2F889E7E">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（3）教师可以在线批阅/打回学生提交的学习报告。</w:t>
            </w:r>
          </w:p>
          <w:p w14:paraId="17DFF3C9">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（4）实验成绩计算。实验成绩为虚拟实验成绩及实验报告成绩加权和，虚拟实验成绩和实验报告成绩的权重由教师自主确定。</w:t>
            </w:r>
          </w:p>
          <w:p w14:paraId="7001AE90">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 推送导学</w:t>
            </w:r>
          </w:p>
          <w:p w14:paraId="23BB1947">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通过推送学习任务的形式，将课程资源、试题测试、虚拟实验等内容推送给学生。</w:t>
            </w:r>
          </w:p>
          <w:p w14:paraId="30F26408">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3.13 随堂测试</w:t>
            </w:r>
          </w:p>
          <w:p w14:paraId="510F7A24">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课堂教学过程中老师可以从题库选若干客观题目推送给学生，完成之后可以查看学生的答题情况。</w:t>
            </w:r>
          </w:p>
          <w:p w14:paraId="2C9C6222">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四、“学生”功能</w:t>
            </w:r>
          </w:p>
          <w:p w14:paraId="6BBAA576">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 课程清单</w:t>
            </w:r>
          </w:p>
          <w:p w14:paraId="3CA70F3A">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以列表清单的形式，列出所需学习的课程。</w:t>
            </w:r>
          </w:p>
          <w:p w14:paraId="2BB70E21">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选择课程后，进入课程学习界面，展示课程的目录。</w:t>
            </w:r>
          </w:p>
          <w:p w14:paraId="36DC91E5">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 课程资源</w:t>
            </w:r>
          </w:p>
          <w:p w14:paraId="10EEB617">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（1）课程资源层级展示形式。由于课程资源文件夹的层级不限，因此，课程文件夹不采用缩进方式，则用颜色及数字来表示文件夹的层级。</w:t>
            </w:r>
          </w:p>
          <w:p w14:paraId="1C9298C9">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（2）课程资源，如演示文档、动画、视频、微课等直接打开，虚拟仿真软件则提示在PC机练习考试。</w:t>
            </w:r>
          </w:p>
          <w:p w14:paraId="40CBD33A">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（3）移动端可以将“可下载的”资源下载到本地进行离线学习，不能下载的资源，只能在线预览。视频播放不需要下载插件或者安装额外播放器。</w:t>
            </w:r>
          </w:p>
          <w:p w14:paraId="1D5138E8">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（4）可以通过文件名、标签等筛选课程资源。</w:t>
            </w:r>
          </w:p>
          <w:p w14:paraId="25C8A328">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eastAsia="zh-Hans" w:bidi="ar"/>
              </w:rPr>
              <w:t>★</w:t>
            </w:r>
            <w:r>
              <w:rPr>
                <w:rFonts w:hint="eastAsia" w:ascii="宋体" w:hAnsi="宋体" w:eastAsia="宋体" w:cs="宋体"/>
                <w:color w:val="auto"/>
                <w:sz w:val="21"/>
                <w:szCs w:val="21"/>
                <w:highlight w:val="none"/>
              </w:rPr>
              <w:t>（5）虚拟实验。在PC机上，单击Web页课程资源中的虚拟实验项目文件，即可启动虚拟仿真软件并进入到相应的实验实验项目。实验结束后，虚拟实验的成绩自动上传，学生随即可查看虚拟实验的成绩及虚拟实验数据。学生还可提交相应实验的实验报告。</w:t>
            </w:r>
          </w:p>
          <w:p w14:paraId="2D4783DD">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 作业功能</w:t>
            </w:r>
          </w:p>
          <w:p w14:paraId="288E8D03">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4.3.1 作业任务清单</w:t>
            </w:r>
          </w:p>
          <w:p w14:paraId="23B92DAD">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以清单形式列出作业任务，包括作业的名称、作业描述、开始时间、截止时间、状态等。</w:t>
            </w:r>
          </w:p>
          <w:p w14:paraId="184EB177">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 普通作业型</w:t>
            </w:r>
          </w:p>
          <w:p w14:paraId="63AC18E4">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可以通过文字、图片、附件等形式完成并提交作业。</w:t>
            </w:r>
          </w:p>
          <w:p w14:paraId="4A505753">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4.3.3 练习卷型</w:t>
            </w:r>
          </w:p>
          <w:p w14:paraId="42746610">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进入测试界面，主观题可以通过文字、图片、附件等形式完成。</w:t>
            </w:r>
          </w:p>
          <w:p w14:paraId="1A0F8B59">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4.3.4 作业留言</w:t>
            </w:r>
          </w:p>
          <w:p w14:paraId="3286EB1A">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提交作业时，可以添加作业留言。</w:t>
            </w:r>
          </w:p>
          <w:p w14:paraId="1D4A72D0">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 学习进度</w:t>
            </w:r>
          </w:p>
          <w:p w14:paraId="490B6BFD">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列出该课程的学习进度，包括：在班级中的排名、总成绩、平时测验、期中考试、期末考试。</w:t>
            </w:r>
          </w:p>
          <w:p w14:paraId="0F7DF045">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 签到</w:t>
            </w:r>
          </w:p>
          <w:p w14:paraId="56276994">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学生接收到“考勤签到”通知后，在规定的时间内，阅读通知或单击APP中的“考勤签到”按钮即可完成签到。</w:t>
            </w:r>
          </w:p>
          <w:p w14:paraId="47996C74">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 答疑</w:t>
            </w:r>
          </w:p>
          <w:p w14:paraId="2A5A4EC4">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（1）提问。可以在线提问。</w:t>
            </w:r>
          </w:p>
          <w:p w14:paraId="29BEED33">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（2）回答问题。任何人都可以回答问题。</w:t>
            </w:r>
          </w:p>
          <w:p w14:paraId="5EA834C5">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（3）点击问题，可以查看问题详情及所有回答。</w:t>
            </w:r>
          </w:p>
          <w:p w14:paraId="1EC9A5C3">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（4）收藏问题，可以收藏自己感兴趣的提问。</w:t>
            </w:r>
          </w:p>
          <w:p w14:paraId="556B4202">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（5）点赞，可以给问题点赞。</w:t>
            </w:r>
          </w:p>
          <w:p w14:paraId="1C9ACC38">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 评价功能</w:t>
            </w:r>
          </w:p>
          <w:p w14:paraId="1972AC97">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可以对学习课程做教学质量评价，评星和填写评语，每门课程只能评价一次。</w:t>
            </w:r>
          </w:p>
          <w:p w14:paraId="54DBACA8">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 考试中心</w:t>
            </w:r>
          </w:p>
          <w:p w14:paraId="05786388">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以清单形式列出考试，包括考试的名称、考试时间、状态等。</w:t>
            </w:r>
          </w:p>
          <w:p w14:paraId="607E680F">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尚未开始的考试测验，显示“距离开始考试测验的时间”。</w:t>
            </w:r>
          </w:p>
          <w:p w14:paraId="1D0B99F9">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已经开始的考试测验，显示“进行中”，点击该按钮，即可开始考试。客观题，可以在终端上直接作答；主观题，可以直接在纸上解答，解答完成后，拍照上传解答； </w:t>
            </w:r>
          </w:p>
          <w:p w14:paraId="5567A21C">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提供答题纸功能，通过答题纸，可以查看已做和未做的题，并能快速定位到试题。</w:t>
            </w:r>
          </w:p>
          <w:p w14:paraId="5B78CE3B">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已经结束且开放查看的考试测验，学生可以查看试卷，包括：得分、所作的答案、正确答案和试题解析。学生还可以查看该次考试的整体分布图及自己的排名情况、历次平时测验的走势等。</w:t>
            </w:r>
          </w:p>
          <w:p w14:paraId="62BE9DF9">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 通知功能</w:t>
            </w:r>
          </w:p>
          <w:p w14:paraId="23CE89D2">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以清单形式列出通知，包括通知类型、通知时间、阅读反馈、删除等。</w:t>
            </w:r>
          </w:p>
          <w:p w14:paraId="1C75FC49">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接收人可将全部通知设置为已读，同时也可以删除全部已读通知。</w:t>
            </w:r>
          </w:p>
          <w:p w14:paraId="1CA4172B">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4.10 随堂测试</w:t>
            </w:r>
          </w:p>
          <w:p w14:paraId="01FAA752">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学生端完成老师发布的随堂测试，结束后可以看到自己的测试结果。</w:t>
            </w:r>
          </w:p>
          <w:p w14:paraId="35FCB284">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 导学任务</w:t>
            </w:r>
          </w:p>
          <w:p w14:paraId="0A9713CA">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学生完成老师布置的推送导学任务，具体包括预习导学课程资料，完成测试，以及操作虚拟仿真实验等内容。</w:t>
            </w:r>
          </w:p>
          <w:p w14:paraId="6F5380F8">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五、其它功能</w:t>
            </w:r>
          </w:p>
          <w:p w14:paraId="582F2F81">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包括身份切换、个人中心等。</w:t>
            </w:r>
          </w:p>
          <w:p w14:paraId="2AA12736">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身份切换</w:t>
            </w:r>
          </w:p>
          <w:p w14:paraId="72606E4F">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拥有多重角色的用户可以在不同角色进行身份切换。</w:t>
            </w:r>
          </w:p>
          <w:p w14:paraId="46E42B49">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 教师角色申请</w:t>
            </w:r>
          </w:p>
          <w:p w14:paraId="7819D7EB">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没有教师身份的用户，可以向管理员提出教师身份申请。</w:t>
            </w:r>
          </w:p>
          <w:p w14:paraId="2BC00FE8">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 人个中心</w:t>
            </w:r>
          </w:p>
          <w:p w14:paraId="1C18E364">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查看个人信息，包括当前机构名称、学号/工号、姓名、手机。</w:t>
            </w:r>
          </w:p>
          <w:p w14:paraId="50E5E582">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 机构切换</w:t>
            </w:r>
          </w:p>
          <w:p w14:paraId="4B49641A">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平台支持一个用户账号加入到多个机构，用户在不同机构之间切换。</w:t>
            </w:r>
          </w:p>
          <w:p w14:paraId="448787A9">
            <w:pPr>
              <w:keepNext w:val="0"/>
              <w:keepLines w:val="0"/>
              <w:pageBreakBefore w:val="0"/>
              <w:widowControl w:val="0"/>
              <w:kinsoku/>
              <w:wordWrap/>
              <w:overflowPunct/>
              <w:topLinePunct w:val="0"/>
              <w:autoSpaceDE/>
              <w:autoSpaceDN w:val="0"/>
              <w:bidi w:val="0"/>
              <w:adjustRightInd w:val="0"/>
              <w:snapToGrid w:val="0"/>
              <w:spacing w:after="0" w:line="400" w:lineRule="exac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 邮箱/手机号绑定</w:t>
            </w:r>
          </w:p>
          <w:p w14:paraId="51571D67">
            <w:pPr>
              <w:keepNext w:val="0"/>
              <w:keepLines w:val="0"/>
              <w:pageBreakBefore w:val="0"/>
              <w:widowControl w:val="0"/>
              <w:kinsoku/>
              <w:wordWrap/>
              <w:overflowPunct/>
              <w:topLinePunct w:val="0"/>
              <w:autoSpaceDE/>
              <w:bidi w:val="0"/>
              <w:adjustRightInd w:val="0"/>
              <w:snapToGrid w:val="0"/>
              <w:spacing w:after="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手机号注册的用户可以绑定自己的邮箱，绑定后同一账号既可以用手机号注册也可以用邮箱注册。</w:t>
            </w:r>
          </w:p>
          <w:p w14:paraId="64ABD4CC">
            <w:pPr>
              <w:keepNext w:val="0"/>
              <w:keepLines w:val="0"/>
              <w:pageBreakBefore w:val="0"/>
              <w:widowControl w:val="0"/>
              <w:kinsoku/>
              <w:wordWrap/>
              <w:overflowPunct/>
              <w:topLinePunct w:val="0"/>
              <w:autoSpaceDE/>
              <w:bidi w:val="0"/>
              <w:adjustRightInd w:val="0"/>
              <w:snapToGrid w:val="0"/>
              <w:spacing w:after="0"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5.6投标文件逐一提供详细的图文/视频截图说明，并承诺可根据学校要求进行调整完善，未提供或提供的内容不符合要求的视为不满足招标要求。</w:t>
            </w:r>
          </w:p>
        </w:tc>
      </w:tr>
    </w:tbl>
    <w:p w14:paraId="4459CF8D">
      <w:pPr>
        <w:spacing w:line="400" w:lineRule="exact"/>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2.工学一体AI数智考核评价系统</w:t>
      </w:r>
    </w:p>
    <w:tbl>
      <w:tblPr>
        <w:tblStyle w:val="32"/>
        <w:tblW w:w="4862" w:type="pct"/>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1"/>
      </w:tblGrid>
      <w:tr w14:paraId="2A48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4D0794E1">
            <w:pPr>
              <w:pStyle w:val="50"/>
              <w:keepNext w:val="0"/>
              <w:keepLines w:val="0"/>
              <w:pageBreakBefore w:val="0"/>
              <w:widowControl w:val="0"/>
              <w:tabs>
                <w:tab w:val="left" w:pos="450"/>
              </w:tabs>
              <w:kinsoku/>
              <w:wordWrap/>
              <w:overflowPunct/>
              <w:topLinePunct w:val="0"/>
              <w:autoSpaceDE/>
              <w:autoSpaceDN/>
              <w:bidi w:val="0"/>
              <w:adjustRightInd/>
              <w:snapToGrid/>
              <w:spacing w:after="0" w:line="400" w:lineRule="exact"/>
              <w:textAlignment w:val="auto"/>
              <w:rPr>
                <w:rFonts w:ascii="宋体" w:hAnsi="宋体" w:eastAsia="宋体" w:cstheme="minorEastAsia"/>
                <w:color w:val="auto"/>
                <w:kern w:val="0"/>
                <w:sz w:val="21"/>
                <w:szCs w:val="21"/>
                <w:highlight w:val="none"/>
              </w:rPr>
            </w:pPr>
            <w:r>
              <w:rPr>
                <w:rFonts w:hint="eastAsia" w:ascii="宋体" w:hAnsi="宋体" w:eastAsia="宋体" w:cstheme="minorEastAsia"/>
                <w:color w:val="auto"/>
                <w:kern w:val="0"/>
                <w:sz w:val="21"/>
                <w:szCs w:val="21"/>
                <w:highlight w:val="none"/>
              </w:rPr>
              <w:t>一、系统架构支持：</w:t>
            </w:r>
          </w:p>
          <w:p w14:paraId="385E5888">
            <w:pPr>
              <w:pStyle w:val="50"/>
              <w:keepNext w:val="0"/>
              <w:keepLines w:val="0"/>
              <w:pageBreakBefore w:val="0"/>
              <w:widowControl w:val="0"/>
              <w:tabs>
                <w:tab w:val="left" w:pos="450"/>
              </w:tabs>
              <w:kinsoku/>
              <w:wordWrap/>
              <w:overflowPunct/>
              <w:topLinePunct w:val="0"/>
              <w:autoSpaceDE/>
              <w:autoSpaceDN/>
              <w:bidi w:val="0"/>
              <w:adjustRightInd/>
              <w:snapToGrid/>
              <w:spacing w:after="0" w:line="400" w:lineRule="exact"/>
              <w:textAlignment w:val="auto"/>
              <w:rPr>
                <w:rFonts w:ascii="宋体" w:hAnsi="宋体" w:eastAsia="宋体" w:cstheme="minorEastAsia"/>
                <w:color w:val="auto"/>
                <w:kern w:val="0"/>
                <w:sz w:val="21"/>
                <w:szCs w:val="21"/>
                <w:highlight w:val="none"/>
              </w:rPr>
            </w:pPr>
            <w:r>
              <w:rPr>
                <w:rFonts w:hint="eastAsia" w:ascii="宋体" w:hAnsi="宋体" w:eastAsia="宋体" w:cstheme="minorEastAsia"/>
                <w:color w:val="auto"/>
                <w:kern w:val="0"/>
                <w:sz w:val="21"/>
                <w:szCs w:val="21"/>
                <w:highlight w:val="none"/>
              </w:rPr>
              <w:t>包含管理端、教师端、学生端，采用B/S架构</w:t>
            </w:r>
          </w:p>
          <w:p w14:paraId="4A43AD59">
            <w:pPr>
              <w:pStyle w:val="50"/>
              <w:keepNext w:val="0"/>
              <w:keepLines w:val="0"/>
              <w:pageBreakBefore w:val="0"/>
              <w:widowControl w:val="0"/>
              <w:tabs>
                <w:tab w:val="left" w:pos="450"/>
              </w:tabs>
              <w:kinsoku/>
              <w:wordWrap/>
              <w:overflowPunct/>
              <w:topLinePunct w:val="0"/>
              <w:autoSpaceDE/>
              <w:autoSpaceDN/>
              <w:bidi w:val="0"/>
              <w:adjustRightInd/>
              <w:snapToGrid/>
              <w:spacing w:after="0" w:line="400" w:lineRule="exact"/>
              <w:textAlignment w:val="auto"/>
              <w:rPr>
                <w:rFonts w:ascii="宋体" w:hAnsi="宋体" w:eastAsia="宋体" w:cstheme="minorEastAsia"/>
                <w:color w:val="auto"/>
                <w:kern w:val="0"/>
                <w:sz w:val="21"/>
                <w:szCs w:val="21"/>
                <w:highlight w:val="none"/>
              </w:rPr>
            </w:pPr>
            <w:r>
              <w:rPr>
                <w:rFonts w:hint="eastAsia" w:ascii="宋体" w:hAnsi="宋体" w:eastAsia="宋体" w:cstheme="minorEastAsia"/>
                <w:color w:val="auto"/>
                <w:kern w:val="0"/>
                <w:sz w:val="21"/>
                <w:szCs w:val="21"/>
                <w:highlight w:val="none"/>
              </w:rPr>
              <w:t>二、围绕工学一体建立软硬件支持环境，包括云端空间和物理空间，实现云端一体、人机交互的软硬集成环境，支持并兼容工学一体环境下的各种硬件设备的接入，以支持实施工学一体化课堂特点的人、机、料、法、产、教、评、导的全闭环、全过程数据采集。投标文件提供详细说明。</w:t>
            </w:r>
          </w:p>
          <w:p w14:paraId="7852F740">
            <w:pPr>
              <w:pStyle w:val="50"/>
              <w:keepNext w:val="0"/>
              <w:keepLines w:val="0"/>
              <w:pageBreakBefore w:val="0"/>
              <w:widowControl w:val="0"/>
              <w:tabs>
                <w:tab w:val="left" w:pos="450"/>
              </w:tabs>
              <w:kinsoku/>
              <w:wordWrap/>
              <w:overflowPunct/>
              <w:topLinePunct w:val="0"/>
              <w:autoSpaceDE/>
              <w:autoSpaceDN/>
              <w:bidi w:val="0"/>
              <w:adjustRightInd/>
              <w:snapToGrid/>
              <w:spacing w:after="0" w:line="400" w:lineRule="exact"/>
              <w:textAlignment w:val="auto"/>
              <w:rPr>
                <w:rFonts w:ascii="宋体" w:hAnsi="宋体" w:eastAsia="宋体" w:cstheme="minorEastAsia"/>
                <w:color w:val="auto"/>
                <w:kern w:val="0"/>
                <w:sz w:val="21"/>
                <w:szCs w:val="21"/>
                <w:highlight w:val="none"/>
              </w:rPr>
            </w:pPr>
            <w:r>
              <w:rPr>
                <w:rFonts w:hint="eastAsia" w:ascii="宋体" w:hAnsi="宋体" w:eastAsia="宋体" w:cstheme="minorEastAsia"/>
                <w:color w:val="auto"/>
                <w:kern w:val="0"/>
                <w:sz w:val="21"/>
                <w:szCs w:val="21"/>
                <w:highlight w:val="none"/>
              </w:rPr>
              <w:t>三、系统平台可通过PC、PAD端访问，须支持账号登录、刷卡登录、扫脸登录。</w:t>
            </w:r>
          </w:p>
          <w:p w14:paraId="035CE374">
            <w:pPr>
              <w:pStyle w:val="50"/>
              <w:keepNext w:val="0"/>
              <w:keepLines w:val="0"/>
              <w:pageBreakBefore w:val="0"/>
              <w:widowControl w:val="0"/>
              <w:tabs>
                <w:tab w:val="left" w:pos="450"/>
              </w:tabs>
              <w:kinsoku/>
              <w:wordWrap/>
              <w:overflowPunct/>
              <w:topLinePunct w:val="0"/>
              <w:autoSpaceDE/>
              <w:autoSpaceDN/>
              <w:bidi w:val="0"/>
              <w:adjustRightInd/>
              <w:snapToGrid/>
              <w:spacing w:after="0" w:line="400" w:lineRule="exact"/>
              <w:textAlignment w:val="auto"/>
              <w:rPr>
                <w:rFonts w:ascii="宋体" w:hAnsi="宋体" w:eastAsia="宋体" w:cstheme="minorEastAsia"/>
                <w:color w:val="auto"/>
                <w:kern w:val="0"/>
                <w:sz w:val="21"/>
                <w:szCs w:val="21"/>
                <w:highlight w:val="none"/>
              </w:rPr>
            </w:pPr>
            <w:r>
              <w:rPr>
                <w:rFonts w:hint="eastAsia" w:ascii="宋体" w:hAnsi="宋体" w:eastAsia="宋体" w:cstheme="minorEastAsia"/>
                <w:color w:val="auto"/>
                <w:kern w:val="0"/>
                <w:sz w:val="21"/>
                <w:szCs w:val="21"/>
                <w:highlight w:val="none"/>
              </w:rPr>
              <w:t>四、教师端功能：</w:t>
            </w:r>
          </w:p>
          <w:p w14:paraId="6FFCB694">
            <w:pPr>
              <w:pStyle w:val="50"/>
              <w:keepNext w:val="0"/>
              <w:keepLines w:val="0"/>
              <w:pageBreakBefore w:val="0"/>
              <w:widowControl w:val="0"/>
              <w:tabs>
                <w:tab w:val="left" w:pos="450"/>
              </w:tabs>
              <w:kinsoku/>
              <w:wordWrap/>
              <w:overflowPunct/>
              <w:topLinePunct w:val="0"/>
              <w:autoSpaceDE/>
              <w:autoSpaceDN/>
              <w:bidi w:val="0"/>
              <w:adjustRightInd/>
              <w:snapToGrid/>
              <w:spacing w:after="0" w:line="400" w:lineRule="exact"/>
              <w:textAlignment w:val="auto"/>
              <w:rPr>
                <w:rFonts w:ascii="宋体" w:hAnsi="宋体" w:eastAsia="宋体" w:cstheme="minorEastAsia"/>
                <w:color w:val="auto"/>
                <w:kern w:val="0"/>
                <w:sz w:val="21"/>
                <w:szCs w:val="21"/>
                <w:highlight w:val="none"/>
              </w:rPr>
            </w:pPr>
            <w:r>
              <w:rPr>
                <w:rFonts w:hint="eastAsia" w:ascii="宋体" w:hAnsi="宋体" w:eastAsia="宋体" w:cstheme="minorEastAsia"/>
                <w:color w:val="auto"/>
                <w:kern w:val="0"/>
                <w:sz w:val="21"/>
                <w:szCs w:val="21"/>
                <w:highlight w:val="none"/>
              </w:rPr>
              <w:t>包含主页学习数据统计模块（学生学习预警信息、考核成绩及分数分布统计、考勤数据）、课程管理模块（创建的课程、参与的课程、教授的课程、结束课程等）、课程内容设计（课程基本信息、学习任务内容设计、教学资源库维护及使用、练习题设计、考核任务设计、理论题考核、小组考核、课程评分表设计）、待办任务、班级信息查询统计（学期查询、课程查询、成绩查询）、班级学生学习进度、学生学习数据等。</w:t>
            </w:r>
          </w:p>
          <w:p w14:paraId="178AECCE">
            <w:pPr>
              <w:pStyle w:val="50"/>
              <w:keepNext w:val="0"/>
              <w:keepLines w:val="0"/>
              <w:pageBreakBefore w:val="0"/>
              <w:widowControl w:val="0"/>
              <w:tabs>
                <w:tab w:val="left" w:pos="450"/>
              </w:tabs>
              <w:kinsoku/>
              <w:wordWrap/>
              <w:overflowPunct/>
              <w:topLinePunct w:val="0"/>
              <w:autoSpaceDE/>
              <w:autoSpaceDN/>
              <w:bidi w:val="0"/>
              <w:adjustRightInd/>
              <w:snapToGrid/>
              <w:spacing w:after="0" w:line="400" w:lineRule="exact"/>
              <w:textAlignment w:val="auto"/>
              <w:rPr>
                <w:rFonts w:ascii="宋体" w:hAnsi="宋体" w:eastAsia="宋体" w:cstheme="minorEastAsia"/>
                <w:color w:val="auto"/>
                <w:kern w:val="0"/>
                <w:sz w:val="21"/>
                <w:szCs w:val="21"/>
                <w:highlight w:val="none"/>
              </w:rPr>
            </w:pPr>
            <w:r>
              <w:rPr>
                <w:rFonts w:hint="eastAsia" w:ascii="宋体" w:hAnsi="宋体" w:eastAsia="宋体" w:cstheme="minorEastAsia"/>
                <w:color w:val="auto"/>
                <w:kern w:val="0"/>
                <w:sz w:val="21"/>
                <w:szCs w:val="21"/>
                <w:highlight w:val="none"/>
              </w:rPr>
              <w:t>五、学生端要求：</w:t>
            </w:r>
          </w:p>
          <w:p w14:paraId="316E51AC">
            <w:pPr>
              <w:pStyle w:val="50"/>
              <w:keepNext w:val="0"/>
              <w:keepLines w:val="0"/>
              <w:pageBreakBefore w:val="0"/>
              <w:widowControl w:val="0"/>
              <w:tabs>
                <w:tab w:val="left" w:pos="450"/>
              </w:tabs>
              <w:kinsoku/>
              <w:wordWrap/>
              <w:overflowPunct/>
              <w:topLinePunct w:val="0"/>
              <w:autoSpaceDE/>
              <w:autoSpaceDN/>
              <w:bidi w:val="0"/>
              <w:adjustRightInd/>
              <w:snapToGrid/>
              <w:spacing w:after="0" w:line="400" w:lineRule="exact"/>
              <w:textAlignment w:val="auto"/>
              <w:rPr>
                <w:rFonts w:ascii="宋体" w:hAnsi="宋体" w:eastAsia="宋体" w:cstheme="minorEastAsia"/>
                <w:color w:val="auto"/>
                <w:kern w:val="0"/>
                <w:sz w:val="21"/>
                <w:szCs w:val="21"/>
                <w:highlight w:val="none"/>
              </w:rPr>
            </w:pPr>
            <w:r>
              <w:rPr>
                <w:rFonts w:hint="eastAsia" w:ascii="宋体" w:hAnsi="宋体" w:eastAsia="宋体" w:cstheme="minorEastAsia"/>
                <w:color w:val="auto"/>
                <w:kern w:val="0"/>
                <w:sz w:val="21"/>
                <w:szCs w:val="21"/>
                <w:highlight w:val="none"/>
              </w:rPr>
              <w:t>至少支持2种学习模式，数字教材模式、工学一体AI模式，包含账号登录、课程切换、课程信息、学分统计、学习地图数据展示、任务信息、练习、考核（理论题考核、小组考核、单人考核）、线上线下操作视频采集、学习时长统计、学习进度展示、消息通知、个人信息等等功能。</w:t>
            </w:r>
          </w:p>
          <w:p w14:paraId="37EB7A87">
            <w:pPr>
              <w:pStyle w:val="50"/>
              <w:keepNext w:val="0"/>
              <w:keepLines w:val="0"/>
              <w:pageBreakBefore w:val="0"/>
              <w:widowControl w:val="0"/>
              <w:tabs>
                <w:tab w:val="left" w:pos="450"/>
              </w:tabs>
              <w:kinsoku/>
              <w:wordWrap/>
              <w:overflowPunct/>
              <w:topLinePunct w:val="0"/>
              <w:autoSpaceDE/>
              <w:autoSpaceDN/>
              <w:bidi w:val="0"/>
              <w:adjustRightInd/>
              <w:snapToGrid/>
              <w:spacing w:after="0" w:line="400" w:lineRule="exact"/>
              <w:textAlignment w:val="auto"/>
              <w:rPr>
                <w:rFonts w:ascii="宋体" w:hAnsi="宋体" w:eastAsia="宋体" w:cstheme="minorEastAsia"/>
                <w:color w:val="auto"/>
                <w:kern w:val="0"/>
                <w:sz w:val="21"/>
                <w:szCs w:val="21"/>
                <w:highlight w:val="none"/>
              </w:rPr>
            </w:pPr>
            <w:r>
              <w:rPr>
                <w:rFonts w:hint="eastAsia" w:ascii="宋体" w:hAnsi="宋体" w:eastAsia="宋体" w:cstheme="minorEastAsia"/>
                <w:color w:val="auto"/>
                <w:kern w:val="0"/>
                <w:sz w:val="21"/>
                <w:szCs w:val="21"/>
                <w:highlight w:val="none"/>
              </w:rPr>
              <w:t>六、管理端功能：</w:t>
            </w:r>
          </w:p>
          <w:p w14:paraId="1640BD12">
            <w:pPr>
              <w:pStyle w:val="50"/>
              <w:keepNext w:val="0"/>
              <w:keepLines w:val="0"/>
              <w:pageBreakBefore w:val="0"/>
              <w:widowControl w:val="0"/>
              <w:tabs>
                <w:tab w:val="left" w:pos="450"/>
              </w:tabs>
              <w:kinsoku/>
              <w:wordWrap/>
              <w:overflowPunct/>
              <w:topLinePunct w:val="0"/>
              <w:autoSpaceDE/>
              <w:autoSpaceDN/>
              <w:bidi w:val="0"/>
              <w:adjustRightInd/>
              <w:snapToGrid/>
              <w:spacing w:after="0" w:line="400" w:lineRule="exact"/>
              <w:textAlignment w:val="auto"/>
              <w:rPr>
                <w:rFonts w:ascii="宋体" w:hAnsi="宋体" w:eastAsia="宋体" w:cstheme="minorEastAsia"/>
                <w:color w:val="auto"/>
                <w:kern w:val="0"/>
                <w:sz w:val="21"/>
                <w:szCs w:val="21"/>
                <w:highlight w:val="none"/>
              </w:rPr>
            </w:pPr>
            <w:r>
              <w:rPr>
                <w:rFonts w:hint="eastAsia" w:ascii="宋体" w:hAnsi="宋体" w:cs="宋体"/>
                <w:color w:val="auto"/>
                <w:kern w:val="0"/>
                <w:sz w:val="21"/>
                <w:szCs w:val="21"/>
                <w:highlight w:val="none"/>
                <w:lang w:eastAsia="zh-Hans" w:bidi="ar"/>
              </w:rPr>
              <w:t>★</w:t>
            </w:r>
            <w:r>
              <w:rPr>
                <w:rFonts w:hint="eastAsia" w:ascii="宋体" w:hAnsi="宋体" w:eastAsia="宋体" w:cstheme="minorEastAsia"/>
                <w:color w:val="auto"/>
                <w:kern w:val="0"/>
                <w:sz w:val="21"/>
                <w:szCs w:val="21"/>
                <w:highlight w:val="none"/>
              </w:rPr>
              <w:t>包含数据概览、预警督导、学校信息管理、组织管理、班级管理、学生账号管理、教师账号管理、课程管理、课程审核、课程排课、课程评分标准配置、学分管理、课节配置、补考次数配置、角色权限配置、硬件管理、零件管理、报修管理、报废管理等功能。</w:t>
            </w:r>
            <w:r>
              <w:rPr>
                <w:rFonts w:hint="eastAsia" w:ascii="宋体" w:hAnsi="宋体" w:eastAsia="宋体" w:cs="宋体"/>
                <w:color w:val="auto"/>
                <w:sz w:val="21"/>
                <w:szCs w:val="21"/>
                <w:highlight w:val="none"/>
              </w:rPr>
              <w:t>提供</w:t>
            </w:r>
            <w:r>
              <w:rPr>
                <w:rFonts w:hint="eastAsia" w:ascii="宋体" w:hAnsi="宋体" w:cs="宋体"/>
                <w:color w:val="auto"/>
                <w:sz w:val="21"/>
                <w:szCs w:val="21"/>
                <w:highlight w:val="none"/>
                <w:lang w:val="en-US" w:eastAsia="zh-CN"/>
              </w:rPr>
              <w:t>真实设备/真实课堂</w:t>
            </w:r>
            <w:r>
              <w:rPr>
                <w:rFonts w:hint="eastAsia" w:ascii="宋体" w:hAnsi="宋体" w:eastAsia="宋体" w:cs="宋体"/>
                <w:color w:val="auto"/>
                <w:sz w:val="21"/>
                <w:szCs w:val="21"/>
                <w:highlight w:val="none"/>
              </w:rPr>
              <w:t>运行截图等证明材料。</w:t>
            </w:r>
          </w:p>
          <w:p w14:paraId="03C49574">
            <w:pPr>
              <w:pStyle w:val="50"/>
              <w:keepNext w:val="0"/>
              <w:keepLines w:val="0"/>
              <w:pageBreakBefore w:val="0"/>
              <w:widowControl w:val="0"/>
              <w:tabs>
                <w:tab w:val="left" w:pos="450"/>
              </w:tabs>
              <w:kinsoku/>
              <w:wordWrap/>
              <w:overflowPunct/>
              <w:topLinePunct w:val="0"/>
              <w:autoSpaceDE/>
              <w:autoSpaceDN/>
              <w:bidi w:val="0"/>
              <w:adjustRightInd/>
              <w:snapToGrid/>
              <w:spacing w:after="0" w:line="400" w:lineRule="exact"/>
              <w:textAlignment w:val="auto"/>
              <w:rPr>
                <w:rFonts w:ascii="宋体" w:hAnsi="宋体" w:eastAsia="宋体" w:cstheme="minorEastAsia"/>
                <w:color w:val="auto"/>
                <w:kern w:val="0"/>
                <w:sz w:val="21"/>
                <w:szCs w:val="21"/>
                <w:highlight w:val="none"/>
              </w:rPr>
            </w:pPr>
            <w:r>
              <w:rPr>
                <w:rFonts w:hint="eastAsia" w:ascii="宋体" w:hAnsi="宋体" w:eastAsia="宋体" w:cstheme="minorEastAsia"/>
                <w:color w:val="auto"/>
                <w:kern w:val="0"/>
                <w:sz w:val="21"/>
                <w:szCs w:val="21"/>
                <w:highlight w:val="none"/>
              </w:rPr>
              <w:t>七、硬件管理功能：</w:t>
            </w:r>
          </w:p>
          <w:p w14:paraId="12E2B777">
            <w:pPr>
              <w:pStyle w:val="50"/>
              <w:keepNext w:val="0"/>
              <w:keepLines w:val="0"/>
              <w:pageBreakBefore w:val="0"/>
              <w:widowControl w:val="0"/>
              <w:tabs>
                <w:tab w:val="left" w:pos="450"/>
              </w:tabs>
              <w:kinsoku/>
              <w:wordWrap/>
              <w:overflowPunct/>
              <w:topLinePunct w:val="0"/>
              <w:autoSpaceDE/>
              <w:autoSpaceDN/>
              <w:bidi w:val="0"/>
              <w:adjustRightInd/>
              <w:snapToGrid/>
              <w:spacing w:after="0" w:line="400" w:lineRule="exact"/>
              <w:textAlignment w:val="auto"/>
              <w:rPr>
                <w:rFonts w:ascii="宋体" w:hAnsi="宋体" w:eastAsia="宋体" w:cstheme="minorEastAsia"/>
                <w:color w:val="auto"/>
                <w:kern w:val="0"/>
                <w:sz w:val="21"/>
                <w:szCs w:val="21"/>
                <w:highlight w:val="none"/>
              </w:rPr>
            </w:pPr>
            <w:r>
              <w:rPr>
                <w:rFonts w:hint="eastAsia" w:ascii="宋体" w:hAnsi="宋体" w:cs="宋体"/>
                <w:color w:val="auto"/>
                <w:kern w:val="0"/>
                <w:sz w:val="21"/>
                <w:szCs w:val="21"/>
                <w:highlight w:val="none"/>
                <w:lang w:eastAsia="zh-Hans" w:bidi="ar"/>
              </w:rPr>
              <w:t>★</w:t>
            </w:r>
            <w:r>
              <w:rPr>
                <w:rFonts w:hint="eastAsia" w:ascii="宋体" w:hAnsi="宋体" w:eastAsia="宋体" w:cstheme="minorEastAsia"/>
                <w:color w:val="auto"/>
                <w:kern w:val="0"/>
                <w:sz w:val="21"/>
                <w:szCs w:val="21"/>
                <w:highlight w:val="none"/>
              </w:rPr>
              <w:t>机器使用现场监控（使用人员、机器状态、工具状态）、查看机器使用记录、查看机器使用违规记录、一键关闭所有机器、一键报修、一键报废、硬件/零件使用统计等。</w:t>
            </w:r>
            <w:r>
              <w:rPr>
                <w:rFonts w:hint="eastAsia" w:ascii="宋体" w:hAnsi="宋体" w:eastAsia="宋体" w:cs="宋体"/>
                <w:color w:val="auto"/>
                <w:sz w:val="21"/>
                <w:szCs w:val="21"/>
                <w:highlight w:val="none"/>
              </w:rPr>
              <w:t>提供</w:t>
            </w:r>
            <w:r>
              <w:rPr>
                <w:rFonts w:hint="eastAsia" w:ascii="宋体" w:hAnsi="宋体" w:cs="宋体"/>
                <w:color w:val="auto"/>
                <w:sz w:val="21"/>
                <w:szCs w:val="21"/>
                <w:highlight w:val="none"/>
                <w:lang w:val="en-US" w:eastAsia="zh-CN"/>
              </w:rPr>
              <w:t>真实设备/真实课堂</w:t>
            </w:r>
            <w:r>
              <w:rPr>
                <w:rFonts w:hint="eastAsia" w:ascii="宋体" w:hAnsi="宋体" w:eastAsia="宋体" w:cs="宋体"/>
                <w:color w:val="auto"/>
                <w:sz w:val="21"/>
                <w:szCs w:val="21"/>
                <w:highlight w:val="none"/>
              </w:rPr>
              <w:t>运行截图等证明材料。</w:t>
            </w:r>
          </w:p>
          <w:p w14:paraId="595C9A5D">
            <w:pPr>
              <w:pStyle w:val="50"/>
              <w:keepNext w:val="0"/>
              <w:keepLines w:val="0"/>
              <w:pageBreakBefore w:val="0"/>
              <w:widowControl w:val="0"/>
              <w:tabs>
                <w:tab w:val="left" w:pos="450"/>
              </w:tabs>
              <w:kinsoku/>
              <w:wordWrap/>
              <w:overflowPunct/>
              <w:topLinePunct w:val="0"/>
              <w:autoSpaceDE/>
              <w:autoSpaceDN/>
              <w:bidi w:val="0"/>
              <w:adjustRightInd/>
              <w:snapToGrid/>
              <w:spacing w:after="0" w:line="400" w:lineRule="exact"/>
              <w:textAlignment w:val="auto"/>
              <w:rPr>
                <w:rFonts w:ascii="宋体" w:hAnsi="宋体" w:eastAsia="宋体" w:cstheme="minorEastAsia"/>
                <w:color w:val="auto"/>
                <w:kern w:val="0"/>
                <w:sz w:val="21"/>
                <w:szCs w:val="21"/>
                <w:highlight w:val="none"/>
              </w:rPr>
            </w:pPr>
            <w:r>
              <w:rPr>
                <w:rFonts w:hint="eastAsia" w:ascii="宋体" w:hAnsi="宋体" w:eastAsia="宋体" w:cstheme="minorEastAsia"/>
                <w:color w:val="auto"/>
                <w:kern w:val="0"/>
                <w:sz w:val="21"/>
                <w:szCs w:val="21"/>
                <w:highlight w:val="none"/>
              </w:rPr>
              <w:t>八、数据互通要求：</w:t>
            </w:r>
          </w:p>
          <w:p w14:paraId="37FCE0FE">
            <w:pPr>
              <w:pStyle w:val="50"/>
              <w:keepNext w:val="0"/>
              <w:keepLines w:val="0"/>
              <w:pageBreakBefore w:val="0"/>
              <w:widowControl w:val="0"/>
              <w:tabs>
                <w:tab w:val="left" w:pos="450"/>
              </w:tabs>
              <w:kinsoku/>
              <w:wordWrap/>
              <w:overflowPunct/>
              <w:topLinePunct w:val="0"/>
              <w:autoSpaceDE/>
              <w:autoSpaceDN/>
              <w:bidi w:val="0"/>
              <w:adjustRightInd/>
              <w:snapToGrid/>
              <w:spacing w:after="0" w:line="400" w:lineRule="exact"/>
              <w:textAlignment w:val="auto"/>
              <w:rPr>
                <w:rFonts w:ascii="宋体" w:hAnsi="宋体" w:eastAsia="宋体" w:cstheme="minorEastAsia"/>
                <w:color w:val="auto"/>
                <w:kern w:val="0"/>
                <w:sz w:val="21"/>
                <w:szCs w:val="21"/>
                <w:highlight w:val="none"/>
              </w:rPr>
            </w:pPr>
            <w:r>
              <w:rPr>
                <w:rFonts w:hint="eastAsia" w:ascii="宋体" w:hAnsi="宋体" w:eastAsia="宋体" w:cstheme="minorEastAsia"/>
                <w:color w:val="auto"/>
                <w:kern w:val="0"/>
                <w:sz w:val="21"/>
                <w:szCs w:val="21"/>
                <w:highlight w:val="none"/>
              </w:rPr>
              <w:t>平台由硬件数据与系统数据相结合互通互联，硬件数据实时同步到学生课程学习记录中，学生信息实时与硬件相关联；</w:t>
            </w:r>
          </w:p>
          <w:p w14:paraId="3E3E1A87">
            <w:pPr>
              <w:pStyle w:val="50"/>
              <w:keepNext w:val="0"/>
              <w:keepLines w:val="0"/>
              <w:pageBreakBefore w:val="0"/>
              <w:widowControl w:val="0"/>
              <w:tabs>
                <w:tab w:val="left" w:pos="450"/>
              </w:tabs>
              <w:kinsoku/>
              <w:wordWrap/>
              <w:overflowPunct/>
              <w:topLinePunct w:val="0"/>
              <w:autoSpaceDE/>
              <w:autoSpaceDN/>
              <w:bidi w:val="0"/>
              <w:adjustRightInd/>
              <w:snapToGrid/>
              <w:spacing w:after="0" w:line="400" w:lineRule="exact"/>
              <w:textAlignment w:val="auto"/>
              <w:rPr>
                <w:rFonts w:ascii="宋体" w:hAnsi="宋体" w:eastAsia="宋体" w:cstheme="minorEastAsia"/>
                <w:color w:val="auto"/>
                <w:kern w:val="0"/>
                <w:sz w:val="21"/>
                <w:szCs w:val="21"/>
                <w:highlight w:val="none"/>
              </w:rPr>
            </w:pPr>
            <w:r>
              <w:rPr>
                <w:rFonts w:hint="eastAsia" w:ascii="宋体" w:hAnsi="宋体" w:cs="宋体"/>
                <w:color w:val="auto"/>
                <w:kern w:val="0"/>
                <w:sz w:val="21"/>
                <w:szCs w:val="21"/>
                <w:highlight w:val="none"/>
                <w:lang w:eastAsia="zh-Hans" w:bidi="ar"/>
              </w:rPr>
              <w:t>★</w:t>
            </w:r>
            <w:r>
              <w:rPr>
                <w:rFonts w:hint="eastAsia" w:ascii="宋体" w:hAnsi="宋体" w:eastAsia="宋体" w:cstheme="minorEastAsia"/>
                <w:color w:val="auto"/>
                <w:kern w:val="0"/>
                <w:sz w:val="21"/>
                <w:szCs w:val="21"/>
                <w:highlight w:val="none"/>
              </w:rPr>
              <w:t>九、AI功能：对接各大AI模型（Deepseek、豆包、通义千问、kimi等）；AI对话、AI阅读、AI数字人、AI生图、AI出题、AI评价、生成脑图、生成视频、智能体管理（发现智能体、创建智能体）、知识库管理（创建知识库、使用知识库）、AI自动生成工作页引导问题、AI辅助生成教学设计文件与对应内容设计相一致（学习任务分析表、学习任务教学活动策划表、学习任务考核方案），生成的文件可直接应用于教学系统进入教学设计，提供AI功能应用于实训课堂的至少3个场景要求案例介绍，须提供详细的图文/视频截图佐证，不能提供视为不满足招标要求。</w:t>
            </w:r>
          </w:p>
          <w:p w14:paraId="75756E01">
            <w:pPr>
              <w:pStyle w:val="50"/>
              <w:keepNext w:val="0"/>
              <w:keepLines w:val="0"/>
              <w:pageBreakBefore w:val="0"/>
              <w:widowControl w:val="0"/>
              <w:tabs>
                <w:tab w:val="left" w:pos="450"/>
              </w:tabs>
              <w:kinsoku/>
              <w:wordWrap/>
              <w:overflowPunct/>
              <w:topLinePunct w:val="0"/>
              <w:autoSpaceDE/>
              <w:autoSpaceDN/>
              <w:bidi w:val="0"/>
              <w:adjustRightInd/>
              <w:snapToGrid/>
              <w:spacing w:after="0" w:line="400" w:lineRule="exact"/>
              <w:textAlignment w:val="auto"/>
              <w:rPr>
                <w:rFonts w:ascii="宋体" w:hAnsi="宋体" w:eastAsia="宋体" w:cstheme="minorEastAsia"/>
                <w:color w:val="auto"/>
                <w:kern w:val="0"/>
                <w:sz w:val="21"/>
                <w:szCs w:val="21"/>
                <w:highlight w:val="none"/>
              </w:rPr>
            </w:pPr>
            <w:r>
              <w:rPr>
                <w:rFonts w:hint="eastAsia" w:ascii="宋体" w:hAnsi="宋体" w:eastAsia="宋体" w:cstheme="minorEastAsia"/>
                <w:color w:val="auto"/>
                <w:kern w:val="0"/>
                <w:sz w:val="21"/>
                <w:szCs w:val="21"/>
                <w:highlight w:val="none"/>
              </w:rPr>
              <w:t>十、工控硬件管理功能：机器使用现场监控（使用人员、机器状态、工具状态）、查看机器使用记录、查看机器使用违规记录、一键关闭所有机器、一键报修、一键报废、硬件/零件使用统计等</w:t>
            </w:r>
            <w:r>
              <w:rPr>
                <w:rFonts w:hint="eastAsia" w:ascii="宋体" w:hAnsi="宋体" w:cstheme="minorEastAsia"/>
                <w:color w:val="auto"/>
                <w:kern w:val="0"/>
                <w:sz w:val="21"/>
                <w:szCs w:val="21"/>
                <w:highlight w:val="none"/>
                <w:lang w:val="en-US" w:eastAsia="zh-CN"/>
              </w:rPr>
              <w:t>,</w:t>
            </w:r>
            <w:r>
              <w:rPr>
                <w:rFonts w:hint="eastAsia" w:ascii="宋体" w:hAnsi="宋体" w:eastAsia="宋体" w:cs="宋体"/>
                <w:color w:val="auto"/>
                <w:sz w:val="21"/>
                <w:szCs w:val="21"/>
                <w:highlight w:val="none"/>
              </w:rPr>
              <w:t>提供</w:t>
            </w:r>
            <w:r>
              <w:rPr>
                <w:rFonts w:hint="eastAsia" w:ascii="宋体" w:hAnsi="宋体" w:cs="宋体"/>
                <w:color w:val="auto"/>
                <w:sz w:val="21"/>
                <w:szCs w:val="21"/>
                <w:highlight w:val="none"/>
                <w:lang w:val="en-US" w:eastAsia="zh-CN"/>
              </w:rPr>
              <w:t>真实设备/真实课堂</w:t>
            </w:r>
            <w:r>
              <w:rPr>
                <w:rFonts w:hint="eastAsia" w:ascii="宋体" w:hAnsi="宋体" w:eastAsia="宋体" w:cs="宋体"/>
                <w:color w:val="auto"/>
                <w:sz w:val="21"/>
                <w:szCs w:val="21"/>
                <w:highlight w:val="none"/>
              </w:rPr>
              <w:t>运行截图等证明材料。</w:t>
            </w:r>
            <w:r>
              <w:rPr>
                <w:rFonts w:hint="eastAsia" w:ascii="宋体" w:hAnsi="宋体" w:cs="宋体"/>
                <w:color w:val="auto"/>
                <w:sz w:val="21"/>
                <w:szCs w:val="21"/>
                <w:highlight w:val="none"/>
                <w:lang w:val="en-US" w:eastAsia="zh-CN"/>
              </w:rPr>
              <w:t>。</w:t>
            </w:r>
          </w:p>
          <w:p w14:paraId="6FDB71C4">
            <w:pPr>
              <w:pStyle w:val="50"/>
              <w:keepNext w:val="0"/>
              <w:keepLines w:val="0"/>
              <w:pageBreakBefore w:val="0"/>
              <w:widowControl w:val="0"/>
              <w:tabs>
                <w:tab w:val="left" w:pos="450"/>
              </w:tabs>
              <w:kinsoku/>
              <w:wordWrap/>
              <w:overflowPunct/>
              <w:topLinePunct w:val="0"/>
              <w:autoSpaceDE/>
              <w:autoSpaceDN/>
              <w:bidi w:val="0"/>
              <w:adjustRightInd/>
              <w:snapToGrid/>
              <w:spacing w:after="0" w:line="400" w:lineRule="exact"/>
              <w:textAlignment w:val="auto"/>
              <w:rPr>
                <w:rFonts w:ascii="宋体" w:hAnsi="宋体" w:eastAsia="宋体" w:cstheme="minorEastAsia"/>
                <w:color w:val="auto"/>
                <w:kern w:val="0"/>
                <w:sz w:val="21"/>
                <w:szCs w:val="21"/>
                <w:highlight w:val="none"/>
              </w:rPr>
            </w:pPr>
            <w:r>
              <w:rPr>
                <w:rFonts w:hint="eastAsia" w:ascii="宋体" w:hAnsi="宋体" w:eastAsia="宋体" w:cstheme="minorEastAsia"/>
                <w:color w:val="auto"/>
                <w:kern w:val="0"/>
                <w:sz w:val="21"/>
                <w:szCs w:val="21"/>
                <w:highlight w:val="none"/>
              </w:rPr>
              <w:t>十一、工学一体考核要求，平台能够按照学习进程进行工学一体化的考核，课堂学情统计、课后学习任务报告，任务报告包括基础信息、得分情况、任务完成情况统计、学习情况分析、能力分析、教师评语、AI辅助评价等功能，并提供演示</w:t>
            </w:r>
            <w:r>
              <w:rPr>
                <w:rFonts w:hint="eastAsia" w:ascii="宋体" w:hAnsi="宋体" w:cstheme="minorEastAsia"/>
                <w:color w:val="auto"/>
                <w:kern w:val="0"/>
                <w:sz w:val="21"/>
                <w:szCs w:val="21"/>
                <w:highlight w:val="none"/>
                <w:lang w:val="en-US" w:eastAsia="zh-CN"/>
              </w:rPr>
              <w:t>,</w:t>
            </w:r>
            <w:r>
              <w:rPr>
                <w:rFonts w:hint="eastAsia" w:ascii="宋体" w:hAnsi="宋体" w:eastAsia="宋体" w:cs="宋体"/>
                <w:color w:val="auto"/>
                <w:sz w:val="21"/>
                <w:szCs w:val="21"/>
                <w:highlight w:val="none"/>
              </w:rPr>
              <w:t>提供</w:t>
            </w:r>
            <w:r>
              <w:rPr>
                <w:rFonts w:hint="eastAsia" w:ascii="宋体" w:hAnsi="宋体" w:cs="宋体"/>
                <w:color w:val="auto"/>
                <w:sz w:val="21"/>
                <w:szCs w:val="21"/>
                <w:highlight w:val="none"/>
                <w:lang w:val="en-US" w:eastAsia="zh-CN"/>
              </w:rPr>
              <w:t>真实设备/真实课堂</w:t>
            </w:r>
            <w:r>
              <w:rPr>
                <w:rFonts w:hint="eastAsia" w:ascii="宋体" w:hAnsi="宋体" w:eastAsia="宋体" w:cs="宋体"/>
                <w:color w:val="auto"/>
                <w:sz w:val="21"/>
                <w:szCs w:val="21"/>
                <w:highlight w:val="none"/>
              </w:rPr>
              <w:t>运行截图等证明材料。</w:t>
            </w:r>
            <w:r>
              <w:rPr>
                <w:rFonts w:hint="eastAsia" w:ascii="宋体" w:hAnsi="宋体" w:eastAsia="宋体" w:cstheme="minorEastAsia"/>
                <w:color w:val="auto"/>
                <w:kern w:val="0"/>
                <w:sz w:val="21"/>
                <w:szCs w:val="21"/>
                <w:highlight w:val="none"/>
              </w:rPr>
              <w:t>。</w:t>
            </w:r>
          </w:p>
          <w:p w14:paraId="774E47B6">
            <w:pPr>
              <w:pStyle w:val="50"/>
              <w:keepNext w:val="0"/>
              <w:keepLines w:val="0"/>
              <w:pageBreakBefore w:val="0"/>
              <w:widowControl w:val="0"/>
              <w:tabs>
                <w:tab w:val="left" w:pos="450"/>
              </w:tabs>
              <w:kinsoku/>
              <w:wordWrap/>
              <w:overflowPunct/>
              <w:topLinePunct w:val="0"/>
              <w:autoSpaceDE/>
              <w:autoSpaceDN/>
              <w:bidi w:val="0"/>
              <w:adjustRightInd/>
              <w:snapToGrid/>
              <w:spacing w:after="0" w:line="400" w:lineRule="exact"/>
              <w:textAlignment w:val="auto"/>
              <w:rPr>
                <w:rFonts w:ascii="宋体" w:hAnsi="宋体" w:eastAsia="宋体" w:cstheme="minorEastAsia"/>
                <w:color w:val="auto"/>
                <w:kern w:val="0"/>
                <w:sz w:val="21"/>
                <w:szCs w:val="21"/>
                <w:highlight w:val="none"/>
              </w:rPr>
            </w:pPr>
            <w:r>
              <w:rPr>
                <w:rFonts w:hint="eastAsia" w:ascii="宋体" w:hAnsi="宋体" w:cs="宋体"/>
                <w:color w:val="auto"/>
                <w:kern w:val="0"/>
                <w:sz w:val="21"/>
                <w:szCs w:val="21"/>
                <w:highlight w:val="none"/>
                <w:lang w:eastAsia="zh-Hans" w:bidi="ar"/>
              </w:rPr>
              <w:t>★</w:t>
            </w:r>
            <w:r>
              <w:rPr>
                <w:rFonts w:hint="eastAsia" w:ascii="宋体" w:hAnsi="宋体" w:eastAsia="宋体" w:cstheme="minorEastAsia"/>
                <w:color w:val="auto"/>
                <w:kern w:val="0"/>
                <w:sz w:val="21"/>
                <w:szCs w:val="21"/>
                <w:highlight w:val="none"/>
              </w:rPr>
              <w:t>十二、测量考核系统功能要求：角色设计，数字化考核平台具有管理员、教师、学生3种角色及权限。账号管理、班级管理、图纸库维护、考核任务管理、考核工件图样管理、考核工件实测值管理、考核任务发布管理、考核评分管理、角色权限配置、系统智能阅卷、自动评分、学生自主考核管理、互评、师评等功能，数据管理：数据采集、清洗、分析、可视化等，为用户提供从原始数据到有价值信息的全流程服务，系统还支持自定义算法模型，满足用户个性化需求。</w:t>
            </w:r>
            <w:r>
              <w:rPr>
                <w:rFonts w:hint="eastAsia" w:ascii="宋体" w:hAnsi="宋体" w:eastAsia="宋体" w:cs="宋体"/>
                <w:color w:val="auto"/>
                <w:sz w:val="21"/>
                <w:szCs w:val="21"/>
                <w:highlight w:val="none"/>
              </w:rPr>
              <w:t>提供</w:t>
            </w:r>
            <w:r>
              <w:rPr>
                <w:rFonts w:hint="eastAsia" w:ascii="宋体" w:hAnsi="宋体" w:cs="宋体"/>
                <w:color w:val="auto"/>
                <w:sz w:val="21"/>
                <w:szCs w:val="21"/>
                <w:highlight w:val="none"/>
                <w:lang w:val="en-US" w:eastAsia="zh-CN"/>
              </w:rPr>
              <w:t>真实设备/真实课堂</w:t>
            </w:r>
            <w:r>
              <w:rPr>
                <w:rFonts w:hint="eastAsia" w:ascii="宋体" w:hAnsi="宋体" w:eastAsia="宋体" w:cs="宋体"/>
                <w:color w:val="auto"/>
                <w:sz w:val="21"/>
                <w:szCs w:val="21"/>
                <w:highlight w:val="none"/>
              </w:rPr>
              <w:t>运行截图等证明材料。</w:t>
            </w:r>
          </w:p>
          <w:p w14:paraId="0ED8BB2C">
            <w:pPr>
              <w:pStyle w:val="50"/>
              <w:keepNext w:val="0"/>
              <w:keepLines w:val="0"/>
              <w:pageBreakBefore w:val="0"/>
              <w:widowControl w:val="0"/>
              <w:numPr>
                <w:ilvl w:val="0"/>
                <w:numId w:val="6"/>
              </w:numPr>
              <w:tabs>
                <w:tab w:val="left" w:pos="450"/>
              </w:tabs>
              <w:kinsoku/>
              <w:wordWrap/>
              <w:overflowPunct/>
              <w:topLinePunct w:val="0"/>
              <w:autoSpaceDE/>
              <w:autoSpaceDN/>
              <w:bidi w:val="0"/>
              <w:adjustRightInd/>
              <w:snapToGrid/>
              <w:spacing w:after="0" w:line="400" w:lineRule="exact"/>
              <w:textAlignment w:val="auto"/>
              <w:rPr>
                <w:rFonts w:ascii="宋体" w:hAnsi="宋体" w:eastAsia="宋体" w:cstheme="minorEastAsia"/>
                <w:color w:val="auto"/>
                <w:kern w:val="0"/>
                <w:sz w:val="21"/>
                <w:szCs w:val="21"/>
                <w:highlight w:val="none"/>
              </w:rPr>
            </w:pPr>
            <w:r>
              <w:rPr>
                <w:rFonts w:hint="eastAsia" w:ascii="宋体" w:hAnsi="宋体" w:eastAsia="宋体" w:cstheme="minorEastAsia"/>
                <w:color w:val="auto"/>
                <w:kern w:val="0"/>
                <w:sz w:val="21"/>
                <w:szCs w:val="21"/>
                <w:highlight w:val="none"/>
              </w:rPr>
              <w:t>投标人须建有完善的教学服务支持体系，为院校体系化的服务，投标文件提供师资培训方案、课题开发方案、教材开发方案、创新开发方案、职业体验进中小学活动方案、专业启蒙方案等内容。</w:t>
            </w:r>
            <w:r>
              <w:rPr>
                <w:rFonts w:hint="eastAsia" w:ascii="宋体" w:hAnsi="宋体" w:eastAsia="宋体" w:cstheme="minorEastAsia"/>
                <w:color w:val="auto"/>
                <w:kern w:val="0"/>
                <w:sz w:val="21"/>
                <w:szCs w:val="21"/>
                <w:highlight w:val="none"/>
              </w:rPr>
              <w:br w:type="textWrapping"/>
            </w:r>
            <w:r>
              <w:rPr>
                <w:rFonts w:hint="eastAsia" w:ascii="宋体" w:hAnsi="宋体" w:eastAsia="宋体" w:cstheme="minorEastAsia"/>
                <w:color w:val="auto"/>
                <w:kern w:val="0"/>
                <w:sz w:val="21"/>
                <w:szCs w:val="21"/>
                <w:highlight w:val="none"/>
              </w:rPr>
              <w:t>十四、投标人平台有丰富的支持工学一体精品课程、教学能力大赛、优质课堂、公开课等成功案例，</w:t>
            </w:r>
            <w:r>
              <w:rPr>
                <w:rFonts w:hint="eastAsia" w:ascii="宋体" w:hAnsi="宋体" w:eastAsia="宋体" w:cs="宋体"/>
                <w:color w:val="auto"/>
                <w:sz w:val="21"/>
                <w:szCs w:val="21"/>
                <w:highlight w:val="none"/>
              </w:rPr>
              <w:t>提供</w:t>
            </w:r>
            <w:r>
              <w:rPr>
                <w:rFonts w:hint="eastAsia" w:ascii="宋体" w:hAnsi="宋体" w:cs="宋体"/>
                <w:color w:val="auto"/>
                <w:sz w:val="21"/>
                <w:szCs w:val="21"/>
                <w:highlight w:val="none"/>
                <w:lang w:val="en-US" w:eastAsia="zh-CN"/>
              </w:rPr>
              <w:t>真实课堂、内容等的</w:t>
            </w:r>
            <w:r>
              <w:rPr>
                <w:rFonts w:hint="eastAsia" w:ascii="宋体" w:hAnsi="宋体" w:eastAsia="宋体" w:cs="宋体"/>
                <w:color w:val="auto"/>
                <w:sz w:val="21"/>
                <w:szCs w:val="21"/>
                <w:highlight w:val="none"/>
              </w:rPr>
              <w:t>截图证明材料。</w:t>
            </w:r>
            <w:r>
              <w:rPr>
                <w:rFonts w:hint="eastAsia" w:ascii="宋体" w:hAnsi="宋体" w:eastAsia="宋体" w:cstheme="minorEastAsia"/>
                <w:color w:val="auto"/>
                <w:kern w:val="0"/>
                <w:sz w:val="21"/>
                <w:szCs w:val="21"/>
                <w:highlight w:val="none"/>
              </w:rPr>
              <w:t>提供现场演示。</w:t>
            </w:r>
            <w:r>
              <w:rPr>
                <w:rFonts w:hint="eastAsia" w:ascii="宋体" w:hAnsi="宋体" w:eastAsia="宋体" w:cstheme="minorEastAsia"/>
                <w:color w:val="auto"/>
                <w:kern w:val="0"/>
                <w:sz w:val="21"/>
                <w:szCs w:val="21"/>
                <w:highlight w:val="none"/>
              </w:rPr>
              <w:br w:type="textWrapping"/>
            </w:r>
            <w:r>
              <w:rPr>
                <w:rFonts w:hint="eastAsia" w:ascii="宋体" w:hAnsi="宋体" w:eastAsia="宋体" w:cstheme="minorEastAsia"/>
                <w:color w:val="auto"/>
                <w:kern w:val="0"/>
                <w:sz w:val="21"/>
                <w:szCs w:val="21"/>
                <w:highlight w:val="none"/>
              </w:rPr>
              <w:t>十五、投标人具有支持学校开展教育教学改革的能力，孵化相关教学成果，包括但不限于典型案例、课程、资源、教材、课题等内容，投标文件提供证明材料。</w:t>
            </w:r>
          </w:p>
          <w:p w14:paraId="5261B04A">
            <w:pPr>
              <w:pStyle w:val="50"/>
              <w:keepNext w:val="0"/>
              <w:keepLines w:val="0"/>
              <w:pageBreakBefore w:val="0"/>
              <w:widowControl w:val="0"/>
              <w:tabs>
                <w:tab w:val="left" w:pos="450"/>
              </w:tabs>
              <w:kinsoku/>
              <w:wordWrap/>
              <w:overflowPunct/>
              <w:topLinePunct w:val="0"/>
              <w:autoSpaceDE/>
              <w:autoSpaceDN/>
              <w:bidi w:val="0"/>
              <w:adjustRightInd/>
              <w:snapToGrid/>
              <w:spacing w:after="0" w:line="400" w:lineRule="exact"/>
              <w:textAlignment w:val="auto"/>
              <w:rPr>
                <w:rFonts w:ascii="宋体" w:hAnsi="宋体" w:eastAsia="宋体" w:cstheme="minorEastAsia"/>
                <w:color w:val="auto"/>
                <w:kern w:val="0"/>
                <w:sz w:val="21"/>
                <w:szCs w:val="21"/>
                <w:highlight w:val="none"/>
              </w:rPr>
            </w:pPr>
            <w:r>
              <w:rPr>
                <w:rFonts w:hint="eastAsia" w:ascii="宋体" w:hAnsi="宋体" w:eastAsia="宋体" w:cstheme="minorEastAsia"/>
                <w:color w:val="auto"/>
                <w:kern w:val="0"/>
                <w:sz w:val="21"/>
                <w:szCs w:val="21"/>
                <w:highlight w:val="none"/>
              </w:rPr>
              <w:t>十六、投标文件逐一提供对应要求</w:t>
            </w:r>
            <w:r>
              <w:rPr>
                <w:rFonts w:hint="eastAsia" w:ascii="宋体" w:hAnsi="宋体" w:cstheme="minorEastAsia"/>
                <w:color w:val="auto"/>
                <w:kern w:val="0"/>
                <w:sz w:val="21"/>
                <w:szCs w:val="21"/>
                <w:highlight w:val="none"/>
                <w:lang w:val="en-US" w:eastAsia="zh-CN"/>
              </w:rPr>
              <w:t>以</w:t>
            </w:r>
            <w:r>
              <w:rPr>
                <w:rFonts w:hint="eastAsia" w:ascii="宋体" w:hAnsi="宋体" w:eastAsia="宋体" w:cstheme="minorEastAsia"/>
                <w:color w:val="auto"/>
                <w:kern w:val="0"/>
                <w:sz w:val="21"/>
                <w:szCs w:val="21"/>
                <w:highlight w:val="none"/>
              </w:rPr>
              <w:t>真实设备/真实课堂运行截图</w:t>
            </w:r>
            <w:r>
              <w:rPr>
                <w:rFonts w:hint="eastAsia" w:ascii="宋体" w:hAnsi="宋体" w:cstheme="minorEastAsia"/>
                <w:color w:val="auto"/>
                <w:kern w:val="0"/>
                <w:sz w:val="21"/>
                <w:szCs w:val="21"/>
                <w:highlight w:val="none"/>
                <w:lang w:val="en-US" w:eastAsia="zh-CN"/>
              </w:rPr>
              <w:t>或视频演示</w:t>
            </w:r>
            <w:r>
              <w:rPr>
                <w:rFonts w:hint="eastAsia" w:ascii="宋体" w:hAnsi="宋体" w:eastAsia="宋体" w:cstheme="minorEastAsia"/>
                <w:color w:val="auto"/>
                <w:kern w:val="0"/>
                <w:sz w:val="21"/>
                <w:szCs w:val="21"/>
                <w:highlight w:val="none"/>
              </w:rPr>
              <w:t>等证明材料，未提供或提供的内容不符合要求的视为不满足招标要求。</w:t>
            </w:r>
          </w:p>
          <w:p w14:paraId="303BC356">
            <w:pPr>
              <w:pStyle w:val="50"/>
              <w:keepNext w:val="0"/>
              <w:keepLines w:val="0"/>
              <w:pageBreakBefore w:val="0"/>
              <w:widowControl w:val="0"/>
              <w:tabs>
                <w:tab w:val="left" w:pos="450"/>
              </w:tabs>
              <w:kinsoku/>
              <w:wordWrap/>
              <w:overflowPunct/>
              <w:topLinePunct w:val="0"/>
              <w:autoSpaceDE/>
              <w:autoSpaceDN/>
              <w:bidi w:val="0"/>
              <w:adjustRightInd/>
              <w:snapToGrid/>
              <w:spacing w:after="0" w:line="400" w:lineRule="exact"/>
              <w:textAlignment w:val="auto"/>
              <w:rPr>
                <w:rFonts w:ascii="宋体" w:hAnsi="宋体" w:eastAsia="宋体" w:cstheme="minorEastAsia"/>
                <w:color w:val="auto"/>
                <w:kern w:val="0"/>
                <w:sz w:val="21"/>
                <w:szCs w:val="21"/>
                <w:highlight w:val="none"/>
              </w:rPr>
            </w:pPr>
            <w:r>
              <w:rPr>
                <w:rFonts w:hint="eastAsia" w:ascii="宋体" w:hAnsi="宋体" w:eastAsia="宋体" w:cstheme="minorEastAsia"/>
                <w:color w:val="auto"/>
                <w:kern w:val="0"/>
                <w:sz w:val="21"/>
                <w:szCs w:val="21"/>
                <w:highlight w:val="none"/>
              </w:rPr>
              <w:t>十七、承诺可根据学校要求进行调整完善。</w:t>
            </w:r>
          </w:p>
        </w:tc>
      </w:tr>
    </w:tbl>
    <w:p w14:paraId="1C1EAD3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3.智能制造资源开发引擎</w:t>
      </w:r>
    </w:p>
    <w:tbl>
      <w:tblPr>
        <w:tblStyle w:val="32"/>
        <w:tblW w:w="0" w:type="auto"/>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5"/>
      </w:tblGrid>
      <w:tr w14:paraId="22E61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Pr>
          <w:p w14:paraId="4ED92C42">
            <w:pPr>
              <w:pStyle w:val="50"/>
              <w:keepNext w:val="0"/>
              <w:keepLines w:val="0"/>
              <w:pageBreakBefore w:val="0"/>
              <w:widowControl w:val="0"/>
              <w:tabs>
                <w:tab w:val="left" w:pos="450"/>
              </w:tabs>
              <w:kinsoku/>
              <w:wordWrap/>
              <w:overflowPunct/>
              <w:topLinePunct w:val="0"/>
              <w:autoSpaceDE/>
              <w:autoSpaceDN/>
              <w:bidi w:val="0"/>
              <w:adjustRightInd/>
              <w:snapToGrid/>
              <w:spacing w:after="0" w:line="400" w:lineRule="exact"/>
              <w:textAlignment w:val="auto"/>
              <w:rPr>
                <w:rFonts w:ascii="宋体" w:hAnsi="宋体" w:eastAsia="宋体" w:cstheme="minorEastAsia"/>
                <w:color w:val="auto"/>
                <w:kern w:val="0"/>
                <w:sz w:val="21"/>
                <w:szCs w:val="21"/>
                <w:highlight w:val="none"/>
              </w:rPr>
            </w:pPr>
            <w:r>
              <w:rPr>
                <w:rFonts w:hint="eastAsia" w:ascii="宋体" w:hAnsi="宋体" w:eastAsia="宋体" w:cstheme="minorEastAsia"/>
                <w:color w:val="auto"/>
                <w:kern w:val="0"/>
                <w:sz w:val="21"/>
                <w:szCs w:val="21"/>
                <w:highlight w:val="none"/>
                <w:lang w:eastAsia="zh-Hans" w:bidi="ar"/>
              </w:rPr>
              <w:t>★</w:t>
            </w:r>
            <w:r>
              <w:rPr>
                <w:rFonts w:hint="eastAsia" w:ascii="宋体" w:hAnsi="宋体" w:eastAsia="宋体" w:cstheme="minorEastAsia"/>
                <w:color w:val="auto"/>
                <w:kern w:val="0"/>
                <w:sz w:val="21"/>
                <w:szCs w:val="21"/>
                <w:highlight w:val="none"/>
              </w:rPr>
              <w:t>一、要求包含的开发工具有：编辑情境化教学、结构认知与数字孪生、工业生产线设计与集。</w:t>
            </w:r>
            <w:r>
              <w:rPr>
                <w:rFonts w:hint="eastAsia" w:ascii="宋体" w:hAnsi="宋体" w:eastAsia="宋体" w:cstheme="minorEastAsia"/>
                <w:color w:val="auto"/>
                <w:kern w:val="0"/>
                <w:sz w:val="21"/>
                <w:szCs w:val="21"/>
                <w:highlight w:val="none"/>
              </w:rPr>
              <w:br w:type="textWrapping"/>
            </w:r>
            <w:r>
              <w:rPr>
                <w:rFonts w:hint="eastAsia" w:ascii="宋体" w:hAnsi="宋体" w:eastAsia="宋体" w:cstheme="minorEastAsia"/>
                <w:color w:val="auto"/>
                <w:kern w:val="0"/>
                <w:sz w:val="21"/>
                <w:szCs w:val="21"/>
                <w:highlight w:val="none"/>
              </w:rPr>
              <w:t>二、要求采用Excel文本开发技术，无需编程，即可开发满足各行业认知、体验、操作、维保、虚实互控等实训需求的虚拟仿真软件。面向学校教育需求，可开发物联网应用技术操作体验VR、电机一体化技术操作规范训练、电气自动化技术操作训练、工业机器人安装调试VR等。投标文件逐一提供详细方案说明及应用案例，未提供或提供的内容不符合要求的视为不满足招标要求。</w:t>
            </w:r>
          </w:p>
        </w:tc>
      </w:tr>
    </w:tbl>
    <w:p w14:paraId="218DB552">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（六）优质课堂创建（1门）</w:t>
      </w:r>
    </w:p>
    <w:p w14:paraId="16E39737">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hr-HR"/>
        </w:rPr>
        <w:t>按人社部颁发的创建评选标准，完成12项所有材料、视频（</w:t>
      </w:r>
      <w:r>
        <w:rPr>
          <w:rFonts w:hint="eastAsia" w:ascii="宋体" w:hAnsi="宋体" w:eastAsia="宋体"/>
          <w:color w:val="auto"/>
          <w:sz w:val="21"/>
          <w:szCs w:val="21"/>
          <w:highlight w:val="none"/>
        </w:rPr>
        <w:t>教学视频、任务概述视频、6个环节视频</w:t>
      </w:r>
      <w:r>
        <w:rPr>
          <w:rFonts w:hint="eastAsia" w:ascii="宋体" w:hAnsi="宋体" w:eastAsia="宋体"/>
          <w:color w:val="auto"/>
          <w:sz w:val="21"/>
          <w:szCs w:val="21"/>
          <w:highlight w:val="none"/>
          <w:lang w:val="hr-HR"/>
        </w:rPr>
        <w:t>）的拍摄，提供经验</w:t>
      </w:r>
      <w:r>
        <w:rPr>
          <w:rFonts w:hint="eastAsia" w:ascii="宋体" w:hAnsi="宋体" w:eastAsia="宋体"/>
          <w:color w:val="auto"/>
          <w:sz w:val="21"/>
          <w:szCs w:val="21"/>
          <w:highlight w:val="none"/>
        </w:rPr>
        <w:t>证明</w:t>
      </w:r>
      <w:r>
        <w:rPr>
          <w:rFonts w:hint="eastAsia" w:ascii="宋体" w:hAnsi="宋体" w:eastAsia="宋体"/>
          <w:color w:val="auto"/>
          <w:sz w:val="21"/>
          <w:szCs w:val="21"/>
          <w:highlight w:val="none"/>
          <w:lang w:val="hr-HR"/>
        </w:rPr>
        <w:t>材料。</w:t>
      </w:r>
      <w:r>
        <w:rPr>
          <w:rFonts w:hint="eastAsia" w:ascii="宋体" w:hAnsi="宋体" w:eastAsia="宋体"/>
          <w:color w:val="auto"/>
          <w:sz w:val="21"/>
          <w:szCs w:val="21"/>
          <w:highlight w:val="none"/>
        </w:rPr>
        <w:t>提供对应12项体例的经验案例图文介绍和视频演示。</w:t>
      </w:r>
    </w:p>
    <w:p w14:paraId="03CECD1B">
      <w:pPr>
        <w:pStyle w:val="50"/>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cs="宋体"/>
          <w:b/>
          <w:bCs/>
          <w:color w:val="auto"/>
          <w:sz w:val="21"/>
          <w:szCs w:val="21"/>
          <w:highlight w:val="none"/>
        </w:rPr>
      </w:pPr>
      <w:r>
        <w:rPr>
          <w:rFonts w:hint="eastAsia" w:ascii="宋体" w:hAnsi="宋体" w:eastAsia="宋体"/>
          <w:color w:val="auto"/>
          <w:sz w:val="21"/>
          <w:szCs w:val="21"/>
          <w:highlight w:val="none"/>
        </w:rPr>
        <w:t>（七）课程资源素材配套开发要求</w:t>
      </w:r>
    </w:p>
    <w:tbl>
      <w:tblPr>
        <w:tblStyle w:val="32"/>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0"/>
      </w:tblGrid>
      <w:tr w14:paraId="3CCE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0" w:type="dxa"/>
          </w:tcPr>
          <w:p w14:paraId="4F46E4F4">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1.电气自动化专业资源素材开发要求</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7"/>
            </w:tblGrid>
            <w:tr w14:paraId="2B17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97" w:type="dxa"/>
                </w:tcPr>
                <w:p w14:paraId="68977C43">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《照明线路安装与检修》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任务1 宿舍楼道路灯照明线路安装与检修</w:t>
                  </w:r>
                </w:p>
                <w:p w14:paraId="517F3B51">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任务2 卧室照明线路安装与检修</w:t>
                  </w:r>
                </w:p>
                <w:p w14:paraId="0A7C9680">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任务3 办公室照明线路安装与检修</w:t>
                  </w:r>
                </w:p>
                <w:p w14:paraId="2B4063A3">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任务4 酒店客房照明线路安装与检修</w:t>
                  </w:r>
                </w:p>
                <w:p w14:paraId="5890F6EF">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任务5 图书馆照明线路安装与检修</w:t>
                  </w:r>
                </w:p>
                <w:p w14:paraId="43FE8234">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任务6 商场照明线路安装与检修</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投标文件逐一提供以上素材的详细说明，包括但不限于图纸、工作页、信息页、PPT、视频等。未提供或提供的内容不符合要求的视为不满足招标要求。</w:t>
                  </w:r>
                </w:p>
                <w:p w14:paraId="0AE05F41">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《继电控制设备电气系统调试》</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任务1 液体恒压供给系统电气控制线路的安装与调试</w:t>
                  </w:r>
                </w:p>
                <w:p w14:paraId="2994319E">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任务2 煤矿卷扬机电气控制线路的安装与调试</w:t>
                  </w:r>
                </w:p>
                <w:p w14:paraId="5FDB4550">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任务3 大棚自动卷帘机控制线路的安装与调试</w:t>
                  </w:r>
                </w:p>
                <w:p w14:paraId="69178619">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任务4 大棚通风系统电气线路的安装与调试</w:t>
                  </w:r>
                </w:p>
                <w:p w14:paraId="198D6531">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任务5 核桃脱皮清洗机电气控制线路的安装与调试</w:t>
                  </w:r>
                </w:p>
                <w:p w14:paraId="0C4A8D41">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任务6 扎花机电气控制线路的安装与调试</w:t>
                  </w:r>
                </w:p>
                <w:p w14:paraId="2A0B2F45">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任务7 粗纱理管机电气控制线路的安装与调试</w:t>
                  </w:r>
                </w:p>
                <w:p w14:paraId="24E4F576">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任务8 混凝土搅拌机电气控制线路的安装与调试</w:t>
                  </w:r>
                </w:p>
                <w:p w14:paraId="175D8666">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任务9 铁桶自动喷漆机电气控制线路的安装与调试</w:t>
                  </w:r>
                </w:p>
                <w:p w14:paraId="3EAB7B5D">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投标文件逐一提供以上素材的详细说明，包括但不限于图纸、工作页、信息页、PPT、视频等。未提供或提供的内容不符合要求的视为不满足招标要求。</w:t>
                  </w:r>
                </w:p>
                <w:p w14:paraId="3FD193B8">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《可编程控制器编程及应用》</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微课：</w:t>
                  </w:r>
                </w:p>
                <w:p w14:paraId="53C627F2">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1.PLC的基本接线</w:t>
                  </w:r>
                </w:p>
                <w:p w14:paraId="209BB3D1">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2.PLC的内存结构</w:t>
                  </w:r>
                </w:p>
                <w:p w14:paraId="6ED3E23C">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3.PLC工作原理及硬件组成</w:t>
                  </w:r>
                </w:p>
                <w:p w14:paraId="2074EB10">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4.PLC在校牌彩灯中的应用</w:t>
                  </w:r>
                </w:p>
                <w:p w14:paraId="472705AF">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5.编程软件功能介绍</w:t>
                  </w:r>
                </w:p>
                <w:p w14:paraId="403426B1">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6.程序基本指令</w:t>
                  </w:r>
                </w:p>
                <w:p w14:paraId="419AD7B7">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7.定时器和计数器指令</w:t>
                  </w:r>
                </w:p>
                <w:p w14:paraId="27D2C9DA">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8.三相异步电动机Y-△减压启动PLC控制</w:t>
                  </w:r>
                </w:p>
                <w:p w14:paraId="168C5345">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9.三相异步电动机正反转运行PLC控制</w:t>
                  </w:r>
                </w:p>
                <w:p w14:paraId="650E098A">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10.十字路口交通灯的PLC控制</w:t>
                  </w:r>
                </w:p>
                <w:p w14:paraId="5DA4DC16">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11.定时器的应用</w:t>
                  </w:r>
                </w:p>
                <w:p w14:paraId="6BC82ECD">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12.计数器的应用</w:t>
                  </w:r>
                </w:p>
                <w:p w14:paraId="4C656CD8">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13.PLC控制LED的数字显示</w:t>
                  </w:r>
                </w:p>
                <w:p w14:paraId="7713E2C3">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14.顺序控制的设计思想及SFC的基本构成</w:t>
                  </w:r>
                </w:p>
                <w:p w14:paraId="63ECDD2E">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15.比较指令</w:t>
                  </w:r>
                </w:p>
                <w:p w14:paraId="526CB737">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16.PLC的数据存储单元</w:t>
                  </w:r>
                </w:p>
                <w:p w14:paraId="13AB8CFB">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视频：</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1.三相电机的启停控制</w:t>
                  </w:r>
                </w:p>
                <w:p w14:paraId="3E5A6EF1">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2.三相电机的正反转控制</w:t>
                  </w:r>
                </w:p>
                <w:p w14:paraId="57A5DD9B">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3.自动送料小车的运行控制</w:t>
                  </w:r>
                </w:p>
                <w:p w14:paraId="1073034E">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4.十字路口交通灯控制</w:t>
                  </w:r>
                </w:p>
                <w:p w14:paraId="2E7E8FC3">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5.物料分拣机的自动控制</w:t>
                  </w:r>
                </w:p>
                <w:p w14:paraId="445B7B49">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6.铁塔之光的控制</w:t>
                  </w:r>
                </w:p>
                <w:p w14:paraId="0F8F8D99">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7.电压指示器的设计</w:t>
                  </w:r>
                </w:p>
                <w:p w14:paraId="72E22701">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8.电压调节器的设计</w:t>
                  </w:r>
                </w:p>
                <w:p w14:paraId="736203EF">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9.变频器的操作模式</w:t>
                  </w:r>
                </w:p>
                <w:p w14:paraId="0443E64F">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10.钢琴琴弦绕丝机的调速控制</w:t>
                  </w:r>
                </w:p>
                <w:p w14:paraId="1A93AEE5">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在梯形图中画线和删除线</w:t>
                  </w:r>
                </w:p>
                <w:p w14:paraId="43E3B99F">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定义符号表</w:t>
                  </w:r>
                </w:p>
                <w:p w14:paraId="666BE6DA">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常开，常闭开关输入</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常用输出符号</w:t>
                  </w:r>
                </w:p>
                <w:p w14:paraId="464CE7B3">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新建工程，配置PLC</w:t>
                  </w:r>
                </w:p>
                <w:p w14:paraId="3913C001">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梯形图与程序指令语句转换</w:t>
                  </w:r>
                </w:p>
                <w:p w14:paraId="616CA50E">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梯形图注释</w:t>
                  </w:r>
                </w:p>
                <w:p w14:paraId="7F642233">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梯形图的下载</w:t>
                  </w:r>
                </w:p>
                <w:p w14:paraId="3759D609">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梯形图的保存和导出</w:t>
                  </w:r>
                </w:p>
                <w:p w14:paraId="54C98732">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绘制简单梯形图</w:t>
                  </w:r>
                </w:p>
                <w:p w14:paraId="7B26E3AB">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自锁功能梯形图</w:t>
                  </w:r>
                </w:p>
                <w:p w14:paraId="0752BDC2">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动画：</w:t>
                  </w:r>
                </w:p>
                <w:p w14:paraId="2600DF62">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1.PLC的输入输出设备</w:t>
                  </w:r>
                </w:p>
                <w:p w14:paraId="461BB556">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2.梯形图的基本结构</w:t>
                  </w:r>
                </w:p>
                <w:p w14:paraId="45A5CA25">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3.常闭触点的处理</w:t>
                  </w:r>
                </w:p>
                <w:p w14:paraId="741E074E">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4.时间继电器</w:t>
                  </w:r>
                </w:p>
                <w:p w14:paraId="5CC5E292">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5.特殊辅助继电器</w:t>
                  </w:r>
                </w:p>
                <w:p w14:paraId="6D286386">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6.置位复位指令</w:t>
                  </w:r>
                </w:p>
                <w:p w14:paraId="7C1D79ED">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7.取上升沿脉冲下降沿脉冲</w:t>
                  </w:r>
                </w:p>
                <w:p w14:paraId="512EA66A">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8.计数器</w:t>
                  </w:r>
                </w:p>
                <w:p w14:paraId="79950C94">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9.传送指令</w:t>
                  </w:r>
                </w:p>
                <w:p w14:paraId="65D48628">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10.运算指令</w:t>
                  </w:r>
                </w:p>
                <w:p w14:paraId="5EC54C95">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11.移位指令</w:t>
                  </w:r>
                </w:p>
                <w:p w14:paraId="56974A76">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12.PLC在液体混合控制装置中的应用</w:t>
                  </w:r>
                </w:p>
                <w:p w14:paraId="77FB613E">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13.PLC控制指示灯闪烁计数</w:t>
                  </w:r>
                </w:p>
                <w:p w14:paraId="4F87111B">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14.PLC控制运料小车自动往返运行</w:t>
                  </w:r>
                </w:p>
                <w:p w14:paraId="512B2D63">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15.PLC控制风机监控系统</w:t>
                  </w:r>
                </w:p>
                <w:p w14:paraId="2F8DCEC3">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16.PLC运算指令实现停车场车位控制</w:t>
                  </w:r>
                </w:p>
                <w:p w14:paraId="4A12B167">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17.三相异步电动机Y-△减压起动控制</w:t>
                  </w:r>
                </w:p>
                <w:p w14:paraId="360BA162">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18.三相异步电动机单方向连续运行控制</w:t>
                  </w:r>
                </w:p>
                <w:p w14:paraId="4C68AB86">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19.三相异步电动机正、反转控制</w:t>
                  </w:r>
                </w:p>
                <w:p w14:paraId="6FAC58D7">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20.十字路口交通灯PLC控制</w:t>
                  </w:r>
                </w:p>
                <w:p w14:paraId="3E16341D">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21.物料分拣及机械手搬运控制</w:t>
                  </w:r>
                </w:p>
                <w:p w14:paraId="789654D3">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22.病房呼叫系统</w:t>
                  </w:r>
                </w:p>
                <w:p w14:paraId="48373738">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投标文件逐一提供以上素材的详细说明，包括但不限于图文/视频截图等。未提供或提供的内容不符合要求的视为不满足招标要求。</w:t>
                  </w:r>
                </w:p>
              </w:tc>
            </w:tr>
          </w:tbl>
          <w:p w14:paraId="6FBD9CCB">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2.工业机器人专业资源素材开发要求</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3801C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shd w:val="clear" w:color="auto" w:fill="auto"/>
                </w:tcPr>
                <w:p w14:paraId="56B589C6">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《人工智能与Python编程》</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（1）任务内容</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 xml:space="preserve"> 项目一 人工智能初探</w:t>
                  </w:r>
                </w:p>
                <w:p w14:paraId="0E1B04BC">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任务一 人工智能的初步认识</w:t>
                  </w:r>
                </w:p>
                <w:p w14:paraId="11D8E34E">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任务二 认识人脸识别</w:t>
                  </w:r>
                </w:p>
                <w:p w14:paraId="1D7904BF">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任务三 认识无人驾驶</w:t>
                  </w:r>
                </w:p>
                <w:p w14:paraId="6580C6FB">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任务四 走进人工智能新时代</w:t>
                  </w:r>
                </w:p>
                <w:p w14:paraId="310923B3">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项目二 Python3 基础入门</w:t>
                  </w:r>
                </w:p>
                <w:p w14:paraId="27DFEC97">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任务一 Python 基本介绍及环境搭建</w:t>
                  </w:r>
                </w:p>
                <w:p w14:paraId="526C8662">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任务二 学生疫苗接种信息记录</w:t>
                  </w:r>
                </w:p>
                <w:p w14:paraId="6D1FE426">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任务三 商品交易系统</w:t>
                  </w:r>
                </w:p>
                <w:p w14:paraId="68C3C0C3">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任务四 猜数字小游戏</w:t>
                  </w:r>
                </w:p>
                <w:p w14:paraId="1B9F67DB">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任务五 电影票预订系统</w:t>
                  </w:r>
                </w:p>
                <w:p w14:paraId="76C9EC60">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任务六 《三体》小说人物出场次数统计</w:t>
                  </w:r>
                </w:p>
                <w:p w14:paraId="2937333E">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项目三 数据爬虫与可视化</w:t>
                  </w:r>
                </w:p>
                <w:p w14:paraId="6E8631F9">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任务一 冬奥会奖牌榜爬取与分析</w:t>
                  </w:r>
                </w:p>
                <w:p w14:paraId="37543035">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任务二 视频弹幕评论词云图生成</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（2）配套资源：PPT≥12个，视频≥20个，题库≥100套，教案≥12个</w:t>
                  </w:r>
                </w:p>
                <w:p w14:paraId="56BA9A99">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投标文件逐一提供以上素材的详细说明，包括但不限于源代码、工作页、信息页、PPT、视频等。未提供或提供的内容不符合要求的视为不满足招标要求。</w:t>
                  </w:r>
                </w:p>
              </w:tc>
            </w:tr>
          </w:tbl>
          <w:p w14:paraId="56CEA3ED">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3.机械基础资源素材开发要求</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2FE19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shd w:val="clear" w:color="auto" w:fill="auto"/>
                </w:tcPr>
                <w:p w14:paraId="59C410F9">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《零件钳加工》</w:t>
                  </w:r>
                </w:p>
                <w:p w14:paraId="78CBB062">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（1）任务内容</w:t>
                  </w:r>
                </w:p>
                <w:p w14:paraId="1028968F">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任务一 等高块的制作</w:t>
                  </w:r>
                </w:p>
                <w:p w14:paraId="398281C4">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任务二 平行压板的制作</w:t>
                  </w:r>
                </w:p>
                <w:p w14:paraId="6D7C9B31">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任务三 V型块的制作</w:t>
                  </w:r>
                </w:p>
                <w:p w14:paraId="0E7AAB00">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任务四 盖板的制作</w:t>
                  </w:r>
                </w:p>
                <w:p w14:paraId="49B8BBF2">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cs="宋体"/>
                      <w:color w:val="auto"/>
                      <w:kern w:val="0"/>
                      <w:szCs w:val="21"/>
                      <w:highlight w:val="none"/>
                      <w:lang w:eastAsia="zh-Hans" w:bidi="ar"/>
                    </w:rPr>
                    <w:t>★</w:t>
                  </w:r>
                  <w:r>
                    <w:rPr>
                      <w:rFonts w:hint="eastAsia" w:ascii="宋体" w:hAnsi="宋体" w:eastAsia="宋体" w:cs="宋体"/>
                      <w:color w:val="auto"/>
                      <w:kern w:val="0"/>
                      <w:sz w:val="21"/>
                      <w:szCs w:val="21"/>
                      <w:highlight w:val="none"/>
                      <w14:ligatures w14:val="none"/>
                    </w:rPr>
                    <w:t>任务五 导向板的制作，以典型产品作为任务驱动，投标文件逐一提供详细的说明，包括但不限于数智+实施方案、三维模型、二维图纸、工作页、评分表、信息页、PPT、视频等。未提供或提供的内容不符合要求的视为不满足招标要求。</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（2）资源配套PPT：≥4个，视频：≥20个，题库：≥100套，教案：≥4个</w:t>
                  </w:r>
                </w:p>
                <w:p w14:paraId="0BDE5AD5">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《机电产品创新设计》</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（1）任务内容</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任务一 简单结构产品的设计与制作-齿轮计算器</w:t>
                  </w:r>
                </w:p>
                <w:p w14:paraId="46F69011">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任务二 实物机构产品的拆装与测绘-野外照明灯</w:t>
                  </w:r>
                </w:p>
                <w:p w14:paraId="1AE52F1A">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任务三 平面连杆机构的创新设计-抽水唧筒</w:t>
                  </w:r>
                </w:p>
                <w:p w14:paraId="51AD1513">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任务四 凸轮机构原理的产品设计创新-飞天蝴蝶</w:t>
                  </w:r>
                </w:p>
                <w:p w14:paraId="76A10D8B">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任务五 间歇运动机构原理的产品设计创新-放映机</w:t>
                  </w:r>
                </w:p>
                <w:p w14:paraId="30CB21D1">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任务六 啮合传动机构原理的产品设计创新-指尖陀螺</w:t>
                  </w:r>
                </w:p>
                <w:p w14:paraId="5647319E">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任务七 轮系机构原理的产品设计创新-齿轮时钟</w:t>
                  </w:r>
                </w:p>
                <w:p w14:paraId="4D8162FD">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任务八 蜗杆传动机构原理的产品设计创新-风扇</w:t>
                  </w:r>
                </w:p>
                <w:p w14:paraId="7B30E819">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任务九 夹具改造产品设计与创新</w:t>
                  </w:r>
                </w:p>
                <w:p w14:paraId="0C92DE57">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任务十 斯特林电机产品设计与创新</w:t>
                  </w:r>
                </w:p>
                <w:p w14:paraId="141676EE">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任务十一 挖掘机产品创新设计</w:t>
                  </w:r>
                </w:p>
                <w:p w14:paraId="197E11B1">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任务十二 玻璃外墙清洁机器人的创新设计</w:t>
                  </w:r>
                </w:p>
                <w:p w14:paraId="1E3E9455">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任务十三 综合产品创新设计-自动跑步机</w:t>
                  </w:r>
                </w:p>
                <w:p w14:paraId="01ED3454">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任务十四 综合产品创新设计-模块化机械手</w:t>
                  </w:r>
                </w:p>
                <w:p w14:paraId="3214A69B">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任务十五 综合产品创新设计-智能小车</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（2）配套资源：PPT≥15个，视频≥27个，题库≥100套，教案≥15个</w:t>
                  </w:r>
                </w:p>
                <w:p w14:paraId="18A2D351">
                  <w:pPr>
                    <w:pStyle w:val="8"/>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投标文件逐一提供以上资源的详细说明，包括但不限于三维模型、二维图纸、工作页、信息页、PPT、视频等，并提供真实任务的演示，未提供或提供的内容不符合要求的视为不满足招标要求。</w:t>
                  </w:r>
                </w:p>
              </w:tc>
            </w:tr>
          </w:tbl>
          <w:p w14:paraId="0754AABB">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4.工量具资源素材开发要求</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6"/>
            </w:tblGrid>
            <w:tr w14:paraId="6B9EB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06" w:type="dxa"/>
                </w:tcPr>
                <w:p w14:paraId="099370E4">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一、PPT素材</w:t>
                  </w:r>
                </w:p>
                <w:p w14:paraId="68515693">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（1）实训室管理：实训室管理制度、计量器具的日常管理；</w:t>
                  </w:r>
                </w:p>
                <w:p w14:paraId="44B2718D">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量具量规的使用：百分表维护与保养、内径百分表维护与保养、杠杆百分表维护与保养、千分表维护与保养、内径千分表维护与保养、杠杆千分表维护与保养、游标卡尺的维护与保养、数显游标卡尺维护与保养、带表游标卡尺维护与保养、高度游标卡尺维护与保养、数显高度游标卡尺维护与保养、深度游标卡尺维护与保养、齿厚游标卡尺维护与保养、外径千分尺维护与保养、深度千分尺维护与保养、螺纹千分尺维护与保养、公法线千分尺维护与保养、内径千分尺维护与保养、杠杆千分尺维护与保养、万能角度尺维护与保养、量块维护与保养、半径规维护与保养、螺距规维护与保养、卡规维护与保养、环规维护与保养、螺纹环规维护与保养、螺纹塞规维护与保养、塞规维护与保养、粗糙度比对样块维护与保养；</w:t>
                  </w:r>
                </w:p>
                <w:p w14:paraId="60AA673D">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量仪的使用：立式光学比较仪保养与维护、大型工具显微镜保养与维护、万能工具显微镜保养与维护、万能测长仪保养与维护、测量显微镜保养与维护、齿轮杠杆比较仪保养与维护、高度测量仪保养与维护、阿贝比较仪保养与维护、投影仪保养与维护、偏摆检查仪保养与维护、双啮仪保养与维护；</w:t>
                  </w:r>
                </w:p>
                <w:p w14:paraId="76F69C5F">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（4）零件成品检测：回转轴（一）测量前的准备、回转轴（一）零件分析、回转轴（二）测量前的准备 、回转轴（二）零件分析、端盖测量前的准备、端盖零件分析、螺杆测量前的准备、螺杆零件分析；</w:t>
                  </w:r>
                </w:p>
                <w:p w14:paraId="2FBE2B43">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测绘：测绘铜套前准备、分析铜套、画铜套草图、测绘制定测量方案，选择测量器具、常外径尺寸测量、长度尺寸测量、内孔尺寸测量、孔中心距测量、圆柱度误差测量、同轴度误差测量、表面粗糙度测量、绘制铜套零件图、测绘连杆螺栓前准备、分析连杆螺栓、画连杆螺栓草图、测绘制定测量方案，选择测量器具、连杆螺栓外径尺寸测量、连杆螺栓长度尺寸测量、连杆螺栓圆度误差测量、连杆螺栓圆柱度误差测量、连杆螺栓同轴度误差测量、连杆螺栓端面圆跳动误差测量、连杆螺栓外螺纹大径测量、连杆螺栓外螺纹中径测量、连杆螺栓外螺纹螺距测量、连杆螺栓外螺纹牙型半角测量、连杆螺栓表面粗糙度测量、绘制连杆螺栓零件图；</w:t>
                  </w:r>
                </w:p>
                <w:p w14:paraId="3640D8CB">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测量：法兰盘的检测、零件几何度分析和检测工具与辅具、零件检测和后续处理；螺纹的检测、综合检验、螺纹的单项测量；箱体类综合检测、箱体基本检测、同轴线的轴孔的同轴度检验、各轴孔的中心距和轴线的平行度检测、孔的轴线对装配基准面的平行度和对端面的垂直度误差、孔中心线对孔端面的垂直度误差；轴套类检测、轴类零件检测、套类零件检测、检测内尺寸光滑极限量规、通用量具及其检测、几何误差检测；其他、端面圆跳动误差的测量、对称度误差的测量、径向全跳动误差的测量、径向圆跳动误差的测量、平行度误差的测量、平面度误差的测量、垂直度误差的测量、用万能角度尺测量角度、用正弦规测量圆锥角偏差、用螺纹千分尺测量螺纹中径、用三针法测量螺纹中径、用公法千分尺测量齿轮公法线平均长度偏差及公法线长度变动量、齿轮齿厚偏差测量、齿轮齿圈径向跳动测量、同轴度误差的测量、用合象水平仪测量直线度误差。</w:t>
                  </w:r>
                </w:p>
                <w:p w14:paraId="588681D8">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二、2D动画视频要求（不少于9个）：</w:t>
                  </w:r>
                </w:p>
                <w:p w14:paraId="46D6959F">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1.粗糙度比对样块的使用；</w:t>
                  </w:r>
                </w:p>
                <w:p w14:paraId="514B64A7">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2.制定回转轴1测量方案，测量回转轴选择测量器具；</w:t>
                  </w:r>
                </w:p>
                <w:p w14:paraId="6CB61582">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3.回转轴（一）表面粗糙度测量；</w:t>
                  </w:r>
                </w:p>
                <w:p w14:paraId="3317B702">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4.制定回转轴（二）测量方案，测量回转轴选择测量器具；</w:t>
                  </w:r>
                </w:p>
                <w:p w14:paraId="7C900366">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5.回转轴2表面粗糙度测量；</w:t>
                  </w:r>
                </w:p>
                <w:p w14:paraId="4ED72079">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6.制定端盖测量方案，测量端盖选择测量器具；</w:t>
                  </w:r>
                </w:p>
                <w:p w14:paraId="7162A70E">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7.端盖表面粗糙度测量；</w:t>
                  </w:r>
                </w:p>
                <w:p w14:paraId="5DCF54B9">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8.制定螺杆测量方案，测量螺杆选择测量器具；</w:t>
                  </w:r>
                </w:p>
                <w:p w14:paraId="7F2EA429">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9.螺杆表面粗糙度测量；</w:t>
                  </w:r>
                </w:p>
                <w:p w14:paraId="787E8498">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三、3D动画视频要求：≥63个；</w:t>
                  </w:r>
                </w:p>
                <w:p w14:paraId="13DA5BED">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1.百分表的结构，视频时长≥69秒；</w:t>
                  </w:r>
                </w:p>
                <w:p w14:paraId="2CBC92C2">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2.百分表的读数方法(1)，视频时长≥121秒；</w:t>
                  </w:r>
                </w:p>
                <w:p w14:paraId="0E8BA4C1">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3.百分表的读数方法 (2)，视频时长≥66秒；</w:t>
                  </w:r>
                </w:p>
                <w:p w14:paraId="30CAF131">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4.百分表的读数方法 (3)，视频时长≥98秒；</w:t>
                  </w:r>
                </w:p>
                <w:p w14:paraId="6273B8B1">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5.百分表的读数方法 (4)，视频时长≥105秒；</w:t>
                  </w:r>
                </w:p>
                <w:p w14:paraId="3A5AD92B">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6.内径百分表的结构，视频时长≥29秒；</w:t>
                  </w:r>
                </w:p>
                <w:p w14:paraId="5294FEEA">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7.杠杆百分表的读数，视频时长≥98秒；</w:t>
                  </w:r>
                </w:p>
                <w:p w14:paraId="17D068EB">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8.千分表结构，视频时长≥76秒；</w:t>
                  </w:r>
                </w:p>
                <w:p w14:paraId="0648F056">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9.千分表的读数，视频时长≥111秒；</w:t>
                  </w:r>
                </w:p>
                <w:p w14:paraId="038B17C0">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10.外径千分尺的校准，视频时长≥92秒；</w:t>
                  </w:r>
                </w:p>
                <w:p w14:paraId="3A8D4D0D">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11.杠杆千分表的结构，视频时长≥49秒；</w:t>
                  </w:r>
                </w:p>
                <w:p w14:paraId="19BAB3F2">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12.杠杆千分表的读数，视频时长≥105秒；</w:t>
                  </w:r>
                </w:p>
                <w:p w14:paraId="2CE8C4BC">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13.游标卡尺的结构，视频时长≥41秒；</w:t>
                  </w:r>
                </w:p>
                <w:p w14:paraId="414ECD77">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14.万能角度尺的结构，视频时长≥75秒；</w:t>
                  </w:r>
                </w:p>
                <w:p w14:paraId="14F5B798">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15.游标卡尺的读数方法，视频时长≥48秒；</w:t>
                  </w:r>
                </w:p>
                <w:p w14:paraId="73DBC2FE">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16.游标卡尺的测量实例，视频时长≥146秒；</w:t>
                  </w:r>
                </w:p>
                <w:p w14:paraId="1B0DAC4D">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17.数显游标卡尺的结构，视频时长≥104秒；</w:t>
                  </w:r>
                </w:p>
                <w:p w14:paraId="4BF3EB3E">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18.数显游标卡尺的读数，视频时长≥57秒；</w:t>
                  </w:r>
                </w:p>
                <w:p w14:paraId="4A018912">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19.数显游标卡尺的测量，视频时长≥181秒；</w:t>
                  </w:r>
                </w:p>
                <w:p w14:paraId="0E4A849F">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20.带表游标卡尺的结构，视频时长≥66秒；</w:t>
                  </w:r>
                </w:p>
                <w:p w14:paraId="79B12A3D">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21.带表游标卡尺的读数，视频时长≥111秒；</w:t>
                  </w:r>
                </w:p>
                <w:p w14:paraId="3DBF5DEC">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22.带表游标卡尺的测量，视频时长≥201秒；</w:t>
                  </w:r>
                </w:p>
                <w:p w14:paraId="3FB68F0A">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23.高度游标卡尺的结构，视频时长≥28秒；</w:t>
                  </w:r>
                </w:p>
                <w:p w14:paraId="4801E3F6">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24.数显高度游标卡尺的结构，视频时长≥146秒；</w:t>
                  </w:r>
                </w:p>
                <w:p w14:paraId="3795B75F">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25.深度游标卡尺的结构，视频时长≥61秒；</w:t>
                  </w:r>
                </w:p>
                <w:p w14:paraId="58C8F11E">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26.深度游标卡尺的读数，视频时长≥113秒；</w:t>
                  </w:r>
                </w:p>
                <w:p w14:paraId="5546272C">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27.齿厚游标卡尺的结构，视频时长≥109秒；</w:t>
                  </w:r>
                </w:p>
                <w:p w14:paraId="7E68A185">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28.齿厚游标卡尺的读数方法，视频时长≥135秒；</w:t>
                  </w:r>
                </w:p>
                <w:p w14:paraId="0B4096E8">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29.齿厚游标卡尺的测量实例，视频时长≥280秒；</w:t>
                  </w:r>
                </w:p>
                <w:p w14:paraId="255174FF">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30.外径千分尺的结构，视频时长≥68秒；</w:t>
                  </w:r>
                </w:p>
                <w:p w14:paraId="61137CF4">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31.外径千分尺的校准，视频时长≥92秒；</w:t>
                  </w:r>
                </w:p>
                <w:p w14:paraId="5BC95271">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32.外径千分尺的读数方法，视频时长≥123秒；</w:t>
                  </w:r>
                </w:p>
                <w:p w14:paraId="227B1D80">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33.外径千分尺的测量实例，视频时长≥196秒；</w:t>
                  </w:r>
                </w:p>
                <w:p w14:paraId="633A5B6C">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34.深度千分尺的结构，视频时长≥47秒；</w:t>
                  </w:r>
                </w:p>
                <w:p w14:paraId="2BB06A49">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35.深度千分尺的读数，视频时长≥147秒；</w:t>
                  </w:r>
                </w:p>
                <w:p w14:paraId="3B80618D">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36.螺纹千分尺的结构，视频时长≥66秒；</w:t>
                  </w:r>
                </w:p>
                <w:p w14:paraId="479DDD7D">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37.公法线千分尺结构，视频时长≥61秒；</w:t>
                  </w:r>
                </w:p>
                <w:p w14:paraId="1D65A28B">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38.公法线千分尺校准，视频时长≥64秒；</w:t>
                  </w:r>
                </w:p>
                <w:p w14:paraId="36EE684A">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39.公法线千分尺读数，视频时长≥95秒；</w:t>
                  </w:r>
                </w:p>
                <w:p w14:paraId="1137D5DA">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40.公法线千分尺的测量，视频时长≥134秒；</w:t>
                  </w:r>
                </w:p>
                <w:p w14:paraId="41384DE9">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41.内径千分尺的结构，视频时长≥111秒；</w:t>
                  </w:r>
                </w:p>
                <w:p w14:paraId="51498D8A">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42.杠杆千分尺的结构，视频时长≥58秒；</w:t>
                  </w:r>
                </w:p>
                <w:p w14:paraId="46A3B331">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43.万能角度尺的结构，视频时长≥75秒；</w:t>
                  </w:r>
                </w:p>
                <w:p w14:paraId="4CACBAB7">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44.万能角度尺的使用方法，视频时长≥172秒；</w:t>
                  </w:r>
                </w:p>
                <w:p w14:paraId="1E4320F1">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45.万能角度尺的读数，视频时长≥224秒；</w:t>
                  </w:r>
                </w:p>
                <w:p w14:paraId="5B9E01C3">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46.万能角度尺的测量实例，视频时长≥148秒；</w:t>
                  </w:r>
                </w:p>
                <w:p w14:paraId="57F89B2C">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47.万能角度尺的使用，视频时长≥216秒；</w:t>
                  </w:r>
                </w:p>
                <w:p w14:paraId="3574B988">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48.螺距规的使用，视频时长≥109秒；</w:t>
                  </w:r>
                </w:p>
                <w:p w14:paraId="23511DDB">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49.卡规的使用方法，视频时长≥136秒；</w:t>
                  </w:r>
                </w:p>
                <w:p w14:paraId="0A232CF0">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50.环规的使用，视频时长≥136秒；</w:t>
                  </w:r>
                </w:p>
                <w:p w14:paraId="4A755180">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51.螺纹环规的使用，视频时长≥109秒；</w:t>
                  </w:r>
                </w:p>
                <w:p w14:paraId="22732E1D">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52.螺纹塞规的使用，视频时长≥109秒；</w:t>
                  </w:r>
                </w:p>
                <w:p w14:paraId="164953A5">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53.塞规的使用实例，视频时长≥76秒；</w:t>
                  </w:r>
                </w:p>
                <w:p w14:paraId="3945742D">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54.用立式光学比较仪检定量块，视频时长≥158秒；</w:t>
                  </w:r>
                </w:p>
                <w:p w14:paraId="60C5F3B0">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55.大型工具显微镜测量螺纹中径，视频时长≥186秒；</w:t>
                  </w:r>
                </w:p>
                <w:p w14:paraId="3B87BCDE">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56.用大型工具显微镜测量螺纹大径的测量，视频时长≥49秒；</w:t>
                  </w:r>
                </w:p>
                <w:p w14:paraId="14C026F3">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57.大型工具显微镜测量螺纹螺距，视频时长≥87秒；</w:t>
                  </w:r>
                </w:p>
                <w:p w14:paraId="55064798">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58.大型工具显微镜测量螺纹牙形角，视频时长≥89秒；</w:t>
                  </w:r>
                </w:p>
                <w:p w14:paraId="62B29746">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59.大型工具显微镜测量螺纹牙形半角，视频时长≥94秒；</w:t>
                  </w:r>
                </w:p>
                <w:p w14:paraId="66C0D4A5">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60.杠杆百分表的结构，视频时长≥66秒；</w:t>
                  </w:r>
                </w:p>
                <w:p w14:paraId="79263042">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61.万能测长仪测量内尺寸，视频时长≥156秒；</w:t>
                  </w:r>
                </w:p>
                <w:p w14:paraId="54659703">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62.万能测长仪测量外尺寸，视频时长≥84秒；</w:t>
                  </w:r>
                </w:p>
                <w:p w14:paraId="5649087F">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63.用万能测长仪的电眼装置测量小孔径，视频时长≥134秒；</w:t>
                  </w:r>
                </w:p>
                <w:p w14:paraId="4B7B25E4">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 PPT录屏（不少于56个）：</w:t>
                  </w:r>
                </w:p>
                <w:p w14:paraId="37B510FF">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1.实训室管理制度；</w:t>
                  </w:r>
                </w:p>
                <w:p w14:paraId="7093FE67">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2.计量器具的日常管理 ； </w:t>
                  </w:r>
                </w:p>
                <w:p w14:paraId="40297595">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3.百分表维护与保养 ；</w:t>
                  </w:r>
                </w:p>
                <w:p w14:paraId="450920C0">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4.内径百分表维护与保养 ；</w:t>
                  </w:r>
                </w:p>
                <w:p w14:paraId="6A0BAD66">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5.杠杆百分表维护与保养 ；</w:t>
                  </w:r>
                </w:p>
                <w:p w14:paraId="7C965D61">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6.千分表维护与保养；</w:t>
                  </w:r>
                </w:p>
                <w:p w14:paraId="32518F47">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7.内径千分表维护与保养；</w:t>
                  </w:r>
                </w:p>
                <w:p w14:paraId="057A7589">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8.杠杆千分表维护与保养；</w:t>
                  </w:r>
                </w:p>
                <w:p w14:paraId="2E463B90">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9.游标卡尺的维护与保养；</w:t>
                  </w:r>
                </w:p>
                <w:p w14:paraId="0309443F">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10.数显游标卡尺维护与保养；</w:t>
                  </w:r>
                </w:p>
                <w:p w14:paraId="2E3BAA6D">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11.带表游标卡尺维护与保养；</w:t>
                  </w:r>
                </w:p>
                <w:p w14:paraId="45CCF16B">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12.高度游标卡尺维护与保养；</w:t>
                  </w:r>
                </w:p>
                <w:p w14:paraId="13E068B3">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13.数显高度游标卡尺维护与保养；</w:t>
                  </w:r>
                </w:p>
                <w:p w14:paraId="26A680A0">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14.深度游标卡尺维护与保养；</w:t>
                  </w:r>
                </w:p>
                <w:p w14:paraId="3B88DF96">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15.齿厚游标卡尺维护与保养；</w:t>
                  </w:r>
                </w:p>
                <w:p w14:paraId="1D0A96DA">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16.外径千分尺维护与保养；</w:t>
                  </w:r>
                </w:p>
                <w:p w14:paraId="7DC16554">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17.深度千分尺维护与保养；</w:t>
                  </w:r>
                </w:p>
                <w:p w14:paraId="20658C7A">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18.螺纹千分尺维护与保养；</w:t>
                  </w:r>
                </w:p>
                <w:p w14:paraId="0E48FDC1">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19.公法线千分尺维护与保养；</w:t>
                  </w:r>
                </w:p>
                <w:p w14:paraId="6B8B3818">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20.内径千分尺维护与保养；</w:t>
                  </w:r>
                </w:p>
                <w:p w14:paraId="67F58596">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22.杠杆千分尺维护与保养；</w:t>
                  </w:r>
                </w:p>
                <w:p w14:paraId="6F67CB8C">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23.万能角度尺维护与保养；</w:t>
                  </w:r>
                </w:p>
                <w:p w14:paraId="1C1CC36A">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24.量块维护与保养；</w:t>
                  </w:r>
                </w:p>
                <w:p w14:paraId="18E3B7AC">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25.半径规维护与保养；</w:t>
                  </w:r>
                </w:p>
                <w:p w14:paraId="5142133A">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26.螺距规维护与保养；</w:t>
                  </w:r>
                </w:p>
                <w:p w14:paraId="3950729A">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27.卡规维护与保养；</w:t>
                  </w:r>
                </w:p>
                <w:p w14:paraId="2117618E">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28.螺纹环规维护与保养；</w:t>
                  </w:r>
                </w:p>
                <w:p w14:paraId="577E5729">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29.螺纹环规维护与保养；</w:t>
                  </w:r>
                </w:p>
                <w:p w14:paraId="42A38EF2">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30.塞规维护与保养；</w:t>
                  </w:r>
                </w:p>
                <w:p w14:paraId="7C91628D">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31.粗糙度比对样块维护与保养；</w:t>
                  </w:r>
                </w:p>
                <w:p w14:paraId="03EF5B47">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32.立式光学比较仪保养与维护；</w:t>
                  </w:r>
                </w:p>
                <w:p w14:paraId="5CCBBD72">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33.大型工具显微镜保养与维护；</w:t>
                  </w:r>
                </w:p>
                <w:p w14:paraId="4D394F55">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34.万能工具显微镜保养与维护；</w:t>
                  </w:r>
                </w:p>
                <w:p w14:paraId="00E234CF">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35.万能测长仪保养与维护；</w:t>
                  </w:r>
                </w:p>
                <w:p w14:paraId="455F7428">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36.测量显微镜保养与维护；</w:t>
                  </w:r>
                </w:p>
                <w:p w14:paraId="2ABBF24E">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37.齿轮杠杆比较仪保养与维护；</w:t>
                  </w:r>
                </w:p>
                <w:p w14:paraId="34E814B0">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38.高度测量仪保养与维护；</w:t>
                  </w:r>
                </w:p>
                <w:p w14:paraId="5C5A4E89">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39.阿贝比较仪保养与维护；</w:t>
                  </w:r>
                </w:p>
                <w:p w14:paraId="0D403B48">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40.投影仪保养与维护；</w:t>
                  </w:r>
                </w:p>
                <w:p w14:paraId="591D4248">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41.偏摆检查仪保养与维护；</w:t>
                  </w:r>
                </w:p>
                <w:p w14:paraId="4C6C2743">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42.双啮仪保养与维护；</w:t>
                  </w:r>
                </w:p>
                <w:p w14:paraId="113B498C">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43.轴类零件检测；</w:t>
                  </w:r>
                </w:p>
                <w:p w14:paraId="2E378C62">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44.套类零件检测；</w:t>
                  </w:r>
                </w:p>
                <w:p w14:paraId="4392BC48">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45.箱体基本检测；</w:t>
                  </w:r>
                </w:p>
                <w:p w14:paraId="5246FB92">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46.综合检验；</w:t>
                  </w:r>
                </w:p>
                <w:p w14:paraId="7788125C">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47.几何误差检测；</w:t>
                  </w:r>
                </w:p>
                <w:p w14:paraId="363ABFA0">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48.检测内尺寸光滑极限量规；</w:t>
                  </w:r>
                </w:p>
                <w:p w14:paraId="0DE2B64C">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49.螺纹的单项测量；</w:t>
                  </w:r>
                </w:p>
                <w:p w14:paraId="71427AFD">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50.通用量具及其检测；</w:t>
                  </w:r>
                </w:p>
                <w:p w14:paraId="600AE0B8">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51.零件检测和后续处理；</w:t>
                  </w:r>
                </w:p>
                <w:p w14:paraId="2D7B800C">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52.同轴线的轴孔的同轴度检验；</w:t>
                  </w:r>
                </w:p>
                <w:p w14:paraId="0D60FA20">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53.各轴孔的中心距和轴线的平行度检测；</w:t>
                  </w:r>
                </w:p>
                <w:p w14:paraId="37A37195">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54.零件几何精度分析和检测工具与辅具；</w:t>
                  </w:r>
                </w:p>
                <w:p w14:paraId="1F16399B">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55.孔中心线对孔端面的垂直度误差；</w:t>
                  </w:r>
                </w:p>
                <w:p w14:paraId="4E93232D">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56.孔的轴线对装配基准面的平行度和对端面的垂直度误差。</w:t>
                  </w:r>
                </w:p>
                <w:p w14:paraId="1FC0454D">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投标文件逐一提供以上内容的图文/视频截图的详细说明，未提供或提供的内容不符合要求的视为不满足招标要求。</w:t>
                  </w:r>
                </w:p>
              </w:tc>
            </w:tr>
          </w:tbl>
          <w:p w14:paraId="14EC8278">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5.智能制造资源素材</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66859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shd w:val="clear" w:color="auto" w:fill="auto"/>
                </w:tcPr>
                <w:p w14:paraId="4512F5F4">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《智能制造单元设计与仿真搭建》</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（1）任务内容</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项目1 认识智能制造技术</w:t>
                  </w:r>
                </w:p>
                <w:p w14:paraId="750808E6">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 任务1 认识智能制造</w:t>
                  </w:r>
                </w:p>
                <w:p w14:paraId="66D227CB">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 任务2 智能制造的构成与功能</w:t>
                  </w:r>
                </w:p>
                <w:p w14:paraId="48FB1507">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 任务3 智能制造的硬件设备</w:t>
                  </w:r>
                </w:p>
                <w:p w14:paraId="302AED40">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 任务4 智能制造控制系统</w:t>
                  </w:r>
                </w:p>
                <w:p w14:paraId="6343B251">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项目2 搭建上下料单元 </w:t>
                  </w:r>
                </w:p>
                <w:p w14:paraId="7C4ECD84">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 任务1 上下料单元的选型</w:t>
                  </w:r>
                </w:p>
                <w:p w14:paraId="5ED57416">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 任务2 上下料单元典型应用实例</w:t>
                  </w:r>
                </w:p>
                <w:p w14:paraId="3464B588">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 任务3 上下料单元仿真搭建 </w:t>
                  </w:r>
                </w:p>
                <w:p w14:paraId="0F22BE45">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项目3 搭建加工单元 </w:t>
                  </w:r>
                </w:p>
                <w:p w14:paraId="7123BDEF">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 任务1 加工单元的选型</w:t>
                  </w:r>
                </w:p>
                <w:p w14:paraId="253C9A14">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 任务2 加工单元典型应用实例</w:t>
                  </w:r>
                </w:p>
                <w:p w14:paraId="30AB154F">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 任务3 加工单元仿真搭建</w:t>
                  </w:r>
                </w:p>
                <w:p w14:paraId="269EC81D">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项目4 搭建检测单元 </w:t>
                  </w:r>
                </w:p>
                <w:p w14:paraId="3BF1A4D6">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 任务1 检测单元的选型</w:t>
                  </w:r>
                </w:p>
                <w:p w14:paraId="0D520D22">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 任务2 检测单元典型应用实例</w:t>
                  </w:r>
                </w:p>
                <w:p w14:paraId="6D601B63">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 任务3 检测单元仿真搭建</w:t>
                  </w:r>
                </w:p>
                <w:p w14:paraId="587F9DDD">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项目5 搭建输送单元 </w:t>
                  </w:r>
                </w:p>
                <w:p w14:paraId="2CC885BC">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 任务1 输送单元的选型</w:t>
                  </w:r>
                </w:p>
                <w:p w14:paraId="2B9A21D8">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 任务2 输送单元典型应用实例</w:t>
                  </w:r>
                </w:p>
                <w:p w14:paraId="20D826E7">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 任务3 输送单元仿真搭建</w:t>
                  </w:r>
                </w:p>
                <w:p w14:paraId="37B823CF">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项目6 搭建搬运单元 </w:t>
                  </w:r>
                </w:p>
                <w:p w14:paraId="1044B01A">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 任务1 搬运单元的选型</w:t>
                  </w:r>
                </w:p>
                <w:p w14:paraId="342BEC15">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 任务2 搬运单元典型应用实例</w:t>
                  </w:r>
                </w:p>
                <w:p w14:paraId="3AB59738">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 任务3 搬运单元仿真搭建</w:t>
                  </w:r>
                </w:p>
                <w:p w14:paraId="555D9618">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项目7 搭建仓储单元 </w:t>
                  </w:r>
                </w:p>
                <w:p w14:paraId="5F1C4EE7">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 任务1 仓储单元的选型</w:t>
                  </w:r>
                </w:p>
                <w:p w14:paraId="38A55A8D">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 任务2 仓储单元典型应用实例</w:t>
                  </w:r>
                </w:p>
                <w:p w14:paraId="3F29F157">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 任务3 仓储单元仿真搭建</w:t>
                  </w:r>
                </w:p>
                <w:p w14:paraId="759ED83A">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项目8 搭建智能工厂 </w:t>
                  </w:r>
                </w:p>
                <w:p w14:paraId="06E0F263">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 任务1 智能工厂典型应用实例</w:t>
                  </w:r>
                </w:p>
                <w:p w14:paraId="06B3864E">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 任务2 智能工厂仿真搭建</w:t>
                  </w:r>
                </w:p>
                <w:p w14:paraId="3B6BD467">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 任务3 数字孪生应用</w:t>
                  </w:r>
                </w:p>
                <w:p w14:paraId="3FDCE89A">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14:ligatures w14:val="none"/>
                    </w:rPr>
                  </w:pPr>
                  <w:r>
                    <w:rPr>
                      <w:rFonts w:hint="eastAsia" w:ascii="宋体" w:hAnsi="宋体" w:cs="宋体"/>
                      <w:color w:val="auto"/>
                      <w:kern w:val="0"/>
                      <w:szCs w:val="21"/>
                      <w:highlight w:val="none"/>
                      <w:lang w:eastAsia="zh-Hans" w:bidi="ar"/>
                    </w:rPr>
                    <w:t>★</w:t>
                  </w:r>
                  <w:r>
                    <w:rPr>
                      <w:rFonts w:hint="eastAsia" w:ascii="宋体" w:hAnsi="宋体" w:eastAsia="宋体" w:cs="宋体"/>
                      <w:color w:val="auto"/>
                      <w:kern w:val="0"/>
                      <w:sz w:val="21"/>
                      <w:szCs w:val="21"/>
                      <w:highlight w:val="none"/>
                      <w14:ligatures w14:val="none"/>
                    </w:rPr>
                    <w:t>（2）配套资源：以真实产线作为基础构建全流程项目化工作过程全要素资源，虚拟仿真≥5个，3D产线模型≥5个，PPT≥25个，视频≥60个，题库≥100套，教案≥25个。</w:t>
                  </w:r>
                </w:p>
                <w:p w14:paraId="2F155BE1">
                  <w:pPr>
                    <w:pStyle w:val="8"/>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投标文件按照要求逐一提供以上资源的详细说明，包括但不限于图纸、工作页、信息页、PPT、视频等，并提供VisualOne为基础的现场演示，未提供或提供的内容不符合要求的视为不满足招标要求。</w:t>
                  </w:r>
                </w:p>
              </w:tc>
            </w:tr>
          </w:tbl>
          <w:p w14:paraId="580F3C6A">
            <w:pPr>
              <w:pStyle w:val="47"/>
              <w:rPr>
                <w:rFonts w:ascii="宋体" w:hAnsi="宋体" w:cstheme="minorEastAsia"/>
                <w:color w:val="auto"/>
                <w:kern w:val="0"/>
                <w:szCs w:val="21"/>
                <w:highlight w:val="none"/>
              </w:rPr>
            </w:pPr>
          </w:p>
        </w:tc>
      </w:tr>
    </w:tbl>
    <w:p w14:paraId="2CAE0C0E">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（八）课程开发技术标准</w:t>
      </w:r>
    </w:p>
    <w:p w14:paraId="00FCF845">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1.工学一体活页教材技术标准</w:t>
      </w:r>
    </w:p>
    <w:p w14:paraId="411ABEC6">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rPr>
        <w:t>数字教材内容体系完整，</w:t>
      </w:r>
      <w:r>
        <w:rPr>
          <w:rFonts w:hint="eastAsia" w:ascii="宋体" w:hAnsi="宋体" w:eastAsia="宋体" w:cs="宋体"/>
          <w:color w:val="auto"/>
          <w:sz w:val="21"/>
          <w:szCs w:val="21"/>
          <w:highlight w:val="none"/>
          <w:lang w:val="hr-HR"/>
        </w:rPr>
        <w:t>教材</w:t>
      </w:r>
      <w:r>
        <w:rPr>
          <w:rFonts w:hint="eastAsia" w:ascii="宋体" w:hAnsi="宋体" w:eastAsia="宋体" w:cs="宋体"/>
          <w:color w:val="auto"/>
          <w:sz w:val="21"/>
          <w:szCs w:val="21"/>
          <w:highlight w:val="none"/>
        </w:rPr>
        <w:t>开发须</w:t>
      </w:r>
      <w:r>
        <w:rPr>
          <w:rFonts w:hint="eastAsia" w:ascii="宋体" w:hAnsi="宋体" w:eastAsia="宋体" w:cs="宋体"/>
          <w:color w:val="auto"/>
          <w:sz w:val="21"/>
          <w:szCs w:val="21"/>
          <w:highlight w:val="none"/>
          <w:lang w:val="hr-HR"/>
        </w:rPr>
        <w:t>基于对工作与岗位要求的全面分析，以真实生产项目、典型工作任务、案例等为载体组织教学内容，可实现快速、灵活更新教材模块内容，适应结构化、模块化教学需求；创设沉浸式教学环境，注重交互体验，提升学习者的沉浸感和参与度，支持学习者自主学习。</w:t>
      </w:r>
    </w:p>
    <w:p w14:paraId="111D9907">
      <w:pPr>
        <w:pStyle w:val="50"/>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教学录像技术标准</w:t>
      </w:r>
    </w:p>
    <w:tbl>
      <w:tblPr>
        <w:tblStyle w:val="31"/>
        <w:tblW w:w="872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8722"/>
      </w:tblGrid>
      <w:tr w14:paraId="52FCA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722" w:type="dxa"/>
            <w:tcBorders>
              <w:top w:val="single" w:color="auto" w:sz="6" w:space="0"/>
              <w:left w:val="single" w:color="auto" w:sz="6" w:space="0"/>
              <w:bottom w:val="single" w:color="auto" w:sz="6" w:space="0"/>
              <w:right w:val="single" w:color="auto" w:sz="6" w:space="0"/>
            </w:tcBorders>
            <w:vAlign w:val="center"/>
          </w:tcPr>
          <w:p w14:paraId="17F0A7A7">
            <w:pPr>
              <w:keepNext w:val="0"/>
              <w:keepLines w:val="0"/>
              <w:pageBreakBefore w:val="0"/>
              <w:widowControl w:val="0"/>
              <w:kinsoku/>
              <w:wordWrap/>
              <w:overflowPunct/>
              <w:topLinePunct w:val="0"/>
              <w:autoSpaceDE/>
              <w:autoSpaceDN/>
              <w:bidi w:val="0"/>
              <w:adjustRightInd w:val="0"/>
              <w:snapToGrid w:val="0"/>
              <w:spacing w:after="0"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1）教学录像按任务录制，录像环境光线充足、安静，教师衣着得体，讲话清晰，板书清楚</w:t>
            </w:r>
          </w:p>
        </w:tc>
      </w:tr>
      <w:tr w14:paraId="43795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722" w:type="dxa"/>
            <w:tcBorders>
              <w:top w:val="single" w:color="auto" w:sz="6" w:space="0"/>
              <w:left w:val="single" w:color="auto" w:sz="6" w:space="0"/>
              <w:bottom w:val="single" w:color="auto" w:sz="6" w:space="0"/>
              <w:right w:val="single" w:color="auto" w:sz="6" w:space="0"/>
            </w:tcBorders>
            <w:vAlign w:val="center"/>
          </w:tcPr>
          <w:p w14:paraId="2782FF34">
            <w:pPr>
              <w:pStyle w:val="97"/>
              <w:keepNext w:val="0"/>
              <w:keepLines w:val="0"/>
              <w:pageBreakBefore w:val="0"/>
              <w:widowControl w:val="0"/>
              <w:kinsoku/>
              <w:wordWrap/>
              <w:overflowPunct/>
              <w:topLinePunct w:val="0"/>
              <w:autoSpaceDE/>
              <w:autoSpaceDN/>
              <w:bidi w:val="0"/>
              <w:adjustRightInd w:val="0"/>
              <w:snapToGrid w:val="0"/>
              <w:spacing w:after="0" w:line="400" w:lineRule="exact"/>
              <w:ind w:firstLine="0" w:firstLineChars="0"/>
              <w:jc w:val="both"/>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2）视频电平，视频全讯号幅度为1Ⅴp-p，最大不超过1.1Ⅴ p-p。其中，消隐电平为0V时，白电平幅度0.7Ⅴp-p，同步信号-0.3V，色同步信号幅度0.3V p-p (以消隐线上下对称)，全片一致。</w:t>
            </w:r>
          </w:p>
        </w:tc>
      </w:tr>
      <w:tr w14:paraId="29F40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722" w:type="dxa"/>
            <w:tcBorders>
              <w:top w:val="single" w:color="auto" w:sz="6" w:space="0"/>
              <w:left w:val="single" w:color="auto" w:sz="6" w:space="0"/>
              <w:bottom w:val="single" w:color="auto" w:sz="6" w:space="0"/>
              <w:right w:val="single" w:color="auto" w:sz="6" w:space="0"/>
            </w:tcBorders>
            <w:vAlign w:val="center"/>
          </w:tcPr>
          <w:p w14:paraId="200A7B32">
            <w:pPr>
              <w:keepNext w:val="0"/>
              <w:keepLines w:val="0"/>
              <w:pageBreakBefore w:val="0"/>
              <w:widowControl w:val="0"/>
              <w:kinsoku/>
              <w:wordWrap/>
              <w:overflowPunct/>
              <w:topLinePunct w:val="0"/>
              <w:autoSpaceDE/>
              <w:autoSpaceDN/>
              <w:bidi w:val="0"/>
              <w:adjustRightInd w:val="0"/>
              <w:snapToGrid w:val="0"/>
              <w:spacing w:after="0"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3）视频制作至少使用标清制式</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视频压缩采用H. 264（MPEG-4Part 10:profile=main</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 xml:space="preserve"> lecvc1=3.0）编码方式</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码流率不低于1024Kbps</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 xml:space="preserve"> 帧率不低于 25fps</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分辨率 1920*1080（16:9），封装格式采用MP4。</w:t>
            </w:r>
          </w:p>
        </w:tc>
      </w:tr>
      <w:tr w14:paraId="2AD2B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722" w:type="dxa"/>
            <w:tcBorders>
              <w:top w:val="single" w:color="auto" w:sz="6" w:space="0"/>
              <w:left w:val="single" w:color="auto" w:sz="6" w:space="0"/>
              <w:bottom w:val="single" w:color="auto" w:sz="6" w:space="0"/>
              <w:right w:val="single" w:color="auto" w:sz="6" w:space="0"/>
            </w:tcBorders>
            <w:vAlign w:val="center"/>
          </w:tcPr>
          <w:p w14:paraId="276D04CE">
            <w:pPr>
              <w:keepNext w:val="0"/>
              <w:keepLines w:val="0"/>
              <w:pageBreakBefore w:val="0"/>
              <w:widowControl w:val="0"/>
              <w:kinsoku/>
              <w:wordWrap/>
              <w:overflowPunct/>
              <w:topLinePunct w:val="0"/>
              <w:autoSpaceDE/>
              <w:autoSpaceDN/>
              <w:bidi w:val="0"/>
              <w:adjustRightInd w:val="0"/>
              <w:snapToGrid w:val="0"/>
              <w:spacing w:after="0" w:line="400" w:lineRule="exact"/>
              <w:contextualSpacing/>
              <w:jc w:val="both"/>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4）声音和画面要求同步，无交流声或其他杂音等缺陷，无明显失真、放音过冲、过弱。伴音清晰、饱满、圆润，无失真、噪声杂音干扰、音量忽大忽小现象。解说声与现场声、背景音乐无明显比例失调。色调：白平衡正确，无明显偏色，多机拍摄的镜头衔接处无明显色差。音频信噪比不低于48dB，无明显杂波。</w:t>
            </w:r>
          </w:p>
        </w:tc>
      </w:tr>
      <w:tr w14:paraId="2B42E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722" w:type="dxa"/>
            <w:tcBorders>
              <w:top w:val="single" w:color="auto" w:sz="6" w:space="0"/>
              <w:left w:val="single" w:color="auto" w:sz="6" w:space="0"/>
              <w:bottom w:val="single" w:color="auto" w:sz="6" w:space="0"/>
              <w:right w:val="single" w:color="auto" w:sz="6" w:space="0"/>
            </w:tcBorders>
            <w:vAlign w:val="center"/>
          </w:tcPr>
          <w:p w14:paraId="71D18CB1">
            <w:pPr>
              <w:keepNext w:val="0"/>
              <w:keepLines w:val="0"/>
              <w:pageBreakBefore w:val="0"/>
              <w:widowControl w:val="0"/>
              <w:kinsoku/>
              <w:wordWrap/>
              <w:overflowPunct/>
              <w:topLinePunct w:val="0"/>
              <w:autoSpaceDE/>
              <w:autoSpaceDN/>
              <w:bidi w:val="0"/>
              <w:adjustRightInd w:val="0"/>
              <w:snapToGrid w:val="0"/>
              <w:spacing w:after="0"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字幕要使用符合国家标准的规范字，不出现繁体字、异体字(国家规定的除外)、错别字；字幕的字体、大小、色彩搭配、摆放位置、停留时间、出入屏方式力求与其他要素（画面、解说词、音乐）配合适当，不能破坏原有画面。</w:t>
            </w:r>
          </w:p>
        </w:tc>
      </w:tr>
    </w:tbl>
    <w:p w14:paraId="0252DA23">
      <w:pPr>
        <w:keepNext w:val="0"/>
        <w:keepLines w:val="0"/>
        <w:pageBreakBefore w:val="0"/>
        <w:widowControl w:val="0"/>
        <w:kinsoku/>
        <w:wordWrap/>
        <w:overflowPunct/>
        <w:topLinePunct w:val="0"/>
        <w:autoSpaceDE/>
        <w:autoSpaceDN/>
        <w:bidi w:val="0"/>
        <w:spacing w:after="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3.二维动画技术标准</w:t>
      </w:r>
    </w:p>
    <w:tbl>
      <w:tblPr>
        <w:tblStyle w:val="31"/>
        <w:tblW w:w="886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8861"/>
      </w:tblGrid>
      <w:tr w14:paraId="5807F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8861" w:type="dxa"/>
            <w:tcBorders>
              <w:top w:val="single" w:color="auto" w:sz="6" w:space="0"/>
              <w:left w:val="single" w:color="auto" w:sz="6" w:space="0"/>
              <w:bottom w:val="single" w:color="auto" w:sz="6" w:space="0"/>
              <w:right w:val="single" w:color="auto" w:sz="6" w:space="0"/>
            </w:tcBorders>
            <w:vAlign w:val="center"/>
          </w:tcPr>
          <w:p w14:paraId="75EBF690">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1)动画色彩造型和谐，帧和帧之间的关联性强</w:t>
            </w:r>
          </w:p>
        </w:tc>
      </w:tr>
      <w:tr w14:paraId="56793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8861" w:type="dxa"/>
            <w:tcBorders>
              <w:top w:val="single" w:color="auto" w:sz="6" w:space="0"/>
              <w:left w:val="single" w:color="auto" w:sz="6" w:space="0"/>
              <w:bottom w:val="single" w:color="auto" w:sz="6" w:space="0"/>
              <w:right w:val="single" w:color="auto" w:sz="6" w:space="0"/>
            </w:tcBorders>
            <w:vAlign w:val="center"/>
          </w:tcPr>
          <w:p w14:paraId="2859D718">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2)动画演播过程要求流畅，静止画面时间不超过5秒钟</w:t>
            </w:r>
          </w:p>
        </w:tc>
      </w:tr>
      <w:tr w14:paraId="5F785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8861" w:type="dxa"/>
            <w:tcBorders>
              <w:top w:val="single" w:color="auto" w:sz="6" w:space="0"/>
              <w:left w:val="single" w:color="auto" w:sz="6" w:space="0"/>
              <w:bottom w:val="single" w:color="auto" w:sz="6" w:space="0"/>
              <w:right w:val="single" w:color="auto" w:sz="6" w:space="0"/>
            </w:tcBorders>
            <w:vAlign w:val="center"/>
          </w:tcPr>
          <w:p w14:paraId="5847AD02">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3)采用GIF、SWF（不低于Flash6.0）或SVG存储格式</w:t>
            </w:r>
          </w:p>
        </w:tc>
      </w:tr>
    </w:tbl>
    <w:p w14:paraId="2C788DB6">
      <w:pPr>
        <w:keepNext w:val="0"/>
        <w:keepLines w:val="0"/>
        <w:pageBreakBefore w:val="0"/>
        <w:widowControl w:val="0"/>
        <w:kinsoku/>
        <w:wordWrap/>
        <w:overflowPunct/>
        <w:topLinePunct w:val="0"/>
        <w:autoSpaceDE/>
        <w:autoSpaceDN/>
        <w:bidi w:val="0"/>
        <w:spacing w:after="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4.三维动画技术标准</w:t>
      </w:r>
    </w:p>
    <w:tbl>
      <w:tblPr>
        <w:tblStyle w:val="31"/>
        <w:tblW w:w="886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8861"/>
      </w:tblGrid>
      <w:tr w14:paraId="70837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8861" w:type="dxa"/>
            <w:tcBorders>
              <w:top w:val="single" w:color="auto" w:sz="6" w:space="0"/>
              <w:left w:val="single" w:color="auto" w:sz="6" w:space="0"/>
              <w:bottom w:val="single" w:color="auto" w:sz="6" w:space="0"/>
              <w:right w:val="single" w:color="auto" w:sz="6" w:space="0"/>
            </w:tcBorders>
            <w:vAlign w:val="center"/>
          </w:tcPr>
          <w:p w14:paraId="05F5F361">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1)动画的整体有一个合理的构思。三维动画的构图需要呈现出立体的画面感，在制作三维动画的时候需要有一定的美术功底，并且在制作过程中要对三维动画里面事物和动作的调查细致入微。</w:t>
            </w:r>
          </w:p>
        </w:tc>
      </w:tr>
      <w:tr w14:paraId="031DD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8861" w:type="dxa"/>
            <w:tcBorders>
              <w:top w:val="single" w:color="auto" w:sz="6" w:space="0"/>
              <w:left w:val="single" w:color="auto" w:sz="6" w:space="0"/>
              <w:bottom w:val="single" w:color="auto" w:sz="6" w:space="0"/>
              <w:right w:val="single" w:color="auto" w:sz="6" w:space="0"/>
            </w:tcBorders>
            <w:vAlign w:val="center"/>
          </w:tcPr>
          <w:p w14:paraId="1CCEFDFE">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2)动画色彩的构图合适。色彩搭配合适的话能让动画观赏起来更具有三维立体效果，也就更具画面感。</w:t>
            </w:r>
          </w:p>
        </w:tc>
      </w:tr>
      <w:tr w14:paraId="50B33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8861" w:type="dxa"/>
            <w:tcBorders>
              <w:top w:val="single" w:color="auto" w:sz="6" w:space="0"/>
              <w:left w:val="single" w:color="auto" w:sz="6" w:space="0"/>
              <w:bottom w:val="single" w:color="auto" w:sz="6" w:space="0"/>
              <w:right w:val="single" w:color="auto" w:sz="6" w:space="0"/>
            </w:tcBorders>
            <w:vAlign w:val="center"/>
          </w:tcPr>
          <w:p w14:paraId="66E43C99">
            <w:pPr>
              <w:pStyle w:val="8"/>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3)三维动画后期的合成、场景特效、配音以及剪辑也需要做到流畅、合适。</w:t>
            </w:r>
          </w:p>
        </w:tc>
      </w:tr>
      <w:tr w14:paraId="6FFF1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8861" w:type="dxa"/>
            <w:tcBorders>
              <w:top w:val="single" w:color="auto" w:sz="6" w:space="0"/>
              <w:left w:val="single" w:color="auto" w:sz="6" w:space="0"/>
              <w:bottom w:val="single" w:color="auto" w:sz="6" w:space="0"/>
              <w:right w:val="single" w:color="auto" w:sz="6" w:space="0"/>
            </w:tcBorders>
            <w:vAlign w:val="center"/>
          </w:tcPr>
          <w:p w14:paraId="1D6BEFC1">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4)文件格式使用通用三维格式</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可用于互联网在线使用</w:t>
            </w:r>
          </w:p>
        </w:tc>
      </w:tr>
      <w:tr w14:paraId="38984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8861" w:type="dxa"/>
            <w:tcBorders>
              <w:top w:val="single" w:color="auto" w:sz="6" w:space="0"/>
              <w:left w:val="single" w:color="auto" w:sz="6" w:space="0"/>
              <w:bottom w:val="single" w:color="auto" w:sz="6" w:space="0"/>
              <w:right w:val="single" w:color="auto" w:sz="6" w:space="0"/>
            </w:tcBorders>
            <w:vAlign w:val="center"/>
          </w:tcPr>
          <w:p w14:paraId="1A9EFEFC">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5)命名使用中文</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简单明了</w:t>
            </w:r>
          </w:p>
        </w:tc>
      </w:tr>
      <w:tr w14:paraId="37681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8861" w:type="dxa"/>
            <w:tcBorders>
              <w:top w:val="single" w:color="auto" w:sz="6" w:space="0"/>
              <w:left w:val="single" w:color="auto" w:sz="6" w:space="0"/>
              <w:bottom w:val="single" w:color="auto" w:sz="6" w:space="0"/>
              <w:right w:val="single" w:color="auto" w:sz="6" w:space="0"/>
            </w:tcBorders>
            <w:vAlign w:val="center"/>
          </w:tcPr>
          <w:p w14:paraId="1A6CF00B">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材质：正确理解物体质感，高光比正常的要稍微强一点。反射都要加模糊，即使镜面的材质也可以给一点点模糊。折射模糊慎用。凹凸贴图不要对比度过大。一些起伏过大的表面用置换。2、贴图：尺寸尽量为512*512，1024*1024 等。不能有明显重复度的贴图。尽量做成无缝贴图。颜色上不能有纯色。如纯黑、纯白等。饱和度适当降低。3、UV：把握好UV和模型、场景之间的比例。近景物体UV适量放大，远景适量缩小。在保证场景比例的情况下，重复度越小越好。结构复杂的物体需要使用UV展开。</w:t>
            </w:r>
          </w:p>
        </w:tc>
      </w:tr>
    </w:tbl>
    <w:p w14:paraId="7D3456E1">
      <w:pPr>
        <w:keepNext w:val="0"/>
        <w:keepLines w:val="0"/>
        <w:pageBreakBefore w:val="0"/>
        <w:widowControl w:val="0"/>
        <w:kinsoku/>
        <w:wordWrap/>
        <w:overflowPunct/>
        <w:topLinePunct w:val="0"/>
        <w:autoSpaceDE/>
        <w:autoSpaceDN/>
        <w:bidi w:val="0"/>
        <w:spacing w:after="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5.PPT课件技术标准</w:t>
      </w:r>
    </w:p>
    <w:tbl>
      <w:tblPr>
        <w:tblStyle w:val="31"/>
        <w:tblW w:w="88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538"/>
        <w:gridCol w:w="7321"/>
      </w:tblGrid>
      <w:tr w14:paraId="69A3A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1538" w:type="dxa"/>
            <w:tcBorders>
              <w:top w:val="single" w:color="auto" w:sz="6" w:space="0"/>
              <w:left w:val="single" w:color="auto" w:sz="6" w:space="0"/>
              <w:bottom w:val="single" w:color="auto" w:sz="6" w:space="0"/>
              <w:right w:val="single" w:color="auto" w:sz="6" w:space="0"/>
            </w:tcBorders>
            <w:vAlign w:val="center"/>
          </w:tcPr>
          <w:p w14:paraId="4FAAA16F">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软件版本</w:t>
            </w:r>
          </w:p>
        </w:tc>
        <w:tc>
          <w:tcPr>
            <w:tcW w:w="7321" w:type="dxa"/>
            <w:tcBorders>
              <w:top w:val="single" w:color="auto" w:sz="6" w:space="0"/>
              <w:left w:val="single" w:color="auto" w:sz="6" w:space="0"/>
              <w:bottom w:val="single" w:color="auto" w:sz="6" w:space="0"/>
              <w:right w:val="single" w:color="auto" w:sz="6" w:space="0"/>
            </w:tcBorders>
          </w:tcPr>
          <w:p w14:paraId="57657355">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Microsoft Office</w:t>
            </w:r>
          </w:p>
        </w:tc>
      </w:tr>
      <w:tr w14:paraId="3421F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1538" w:type="dxa"/>
            <w:tcBorders>
              <w:top w:val="single" w:color="auto" w:sz="6" w:space="0"/>
              <w:left w:val="single" w:color="auto" w:sz="6" w:space="0"/>
              <w:bottom w:val="single" w:color="auto" w:sz="6" w:space="0"/>
              <w:right w:val="single" w:color="auto" w:sz="6" w:space="0"/>
            </w:tcBorders>
            <w:vAlign w:val="center"/>
          </w:tcPr>
          <w:p w14:paraId="5B9D4194">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文件格式</w:t>
            </w:r>
          </w:p>
        </w:tc>
        <w:tc>
          <w:tcPr>
            <w:tcW w:w="7321" w:type="dxa"/>
            <w:tcBorders>
              <w:top w:val="single" w:color="auto" w:sz="6" w:space="0"/>
              <w:left w:val="single" w:color="auto" w:sz="6" w:space="0"/>
              <w:bottom w:val="single" w:color="auto" w:sz="6" w:space="0"/>
              <w:right w:val="single" w:color="auto" w:sz="6" w:space="0"/>
            </w:tcBorders>
          </w:tcPr>
          <w:p w14:paraId="4BCAB80A">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采用PPT或PPTX格式，不要使用PPS格式。如果有内嵌音频、视频或动画，则应在相应目录单独提供一份未嵌入的文件。同时提供关于最佳播放效果的软件版本说明</w:t>
            </w:r>
          </w:p>
        </w:tc>
      </w:tr>
      <w:tr w14:paraId="0F259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1538" w:type="dxa"/>
            <w:vMerge w:val="restart"/>
            <w:tcBorders>
              <w:top w:val="single" w:color="auto" w:sz="6" w:space="0"/>
              <w:left w:val="single" w:color="auto" w:sz="6" w:space="0"/>
              <w:bottom w:val="single" w:color="auto" w:sz="6" w:space="0"/>
              <w:right w:val="single" w:color="auto" w:sz="6" w:space="0"/>
            </w:tcBorders>
            <w:vAlign w:val="center"/>
          </w:tcPr>
          <w:p w14:paraId="7EDFA323">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模板应用</w:t>
            </w:r>
          </w:p>
        </w:tc>
        <w:tc>
          <w:tcPr>
            <w:tcW w:w="7321" w:type="dxa"/>
            <w:tcBorders>
              <w:top w:val="single" w:color="auto" w:sz="6" w:space="0"/>
              <w:left w:val="single" w:color="auto" w:sz="6" w:space="0"/>
              <w:bottom w:val="single" w:color="auto" w:sz="6" w:space="0"/>
              <w:right w:val="single" w:color="auto" w:sz="6" w:space="0"/>
            </w:tcBorders>
          </w:tcPr>
          <w:p w14:paraId="156828DC">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模板朴素、大方，颜色适宜，便于长时间观看；在模板的适当位置标明课程名称、模块（章或节）序号与模块（章或节）的名称</w:t>
            </w:r>
          </w:p>
        </w:tc>
      </w:tr>
      <w:tr w14:paraId="6A559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1538" w:type="dxa"/>
            <w:vMerge w:val="continue"/>
            <w:tcBorders>
              <w:top w:val="single" w:color="auto" w:sz="6" w:space="0"/>
              <w:left w:val="single" w:color="auto" w:sz="6" w:space="0"/>
              <w:bottom w:val="single" w:color="auto" w:sz="6" w:space="0"/>
              <w:right w:val="single" w:color="auto" w:sz="6" w:space="0"/>
            </w:tcBorders>
            <w:vAlign w:val="center"/>
          </w:tcPr>
          <w:p w14:paraId="5A8D1073">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p>
        </w:tc>
        <w:tc>
          <w:tcPr>
            <w:tcW w:w="7321" w:type="dxa"/>
            <w:tcBorders>
              <w:top w:val="single" w:color="auto" w:sz="6" w:space="0"/>
              <w:left w:val="single" w:color="auto" w:sz="6" w:space="0"/>
              <w:bottom w:val="single" w:color="auto" w:sz="6" w:space="0"/>
              <w:right w:val="single" w:color="auto" w:sz="6" w:space="0"/>
            </w:tcBorders>
          </w:tcPr>
          <w:p w14:paraId="7F5686FA">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多个页面均有的相同元素，如背景、按钮、标题、页码等，可以使用幻灯片母版来实现</w:t>
            </w:r>
          </w:p>
        </w:tc>
      </w:tr>
      <w:tr w14:paraId="0DD90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1538" w:type="dxa"/>
            <w:vMerge w:val="restart"/>
            <w:tcBorders>
              <w:top w:val="single" w:color="auto" w:sz="6" w:space="0"/>
              <w:left w:val="single" w:color="auto" w:sz="6" w:space="0"/>
              <w:bottom w:val="single" w:color="auto" w:sz="6" w:space="0"/>
              <w:right w:val="single" w:color="auto" w:sz="6" w:space="0"/>
            </w:tcBorders>
            <w:vAlign w:val="center"/>
          </w:tcPr>
          <w:p w14:paraId="25359C2A">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版式设计</w:t>
            </w:r>
          </w:p>
        </w:tc>
        <w:tc>
          <w:tcPr>
            <w:tcW w:w="7321" w:type="dxa"/>
            <w:tcBorders>
              <w:top w:val="single" w:color="auto" w:sz="6" w:space="0"/>
              <w:left w:val="single" w:color="auto" w:sz="6" w:space="0"/>
              <w:bottom w:val="single" w:color="auto" w:sz="6" w:space="0"/>
              <w:right w:val="single" w:color="auto" w:sz="6" w:space="0"/>
            </w:tcBorders>
          </w:tcPr>
          <w:p w14:paraId="2F7D2BC4">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每页版面的字数不宜太多。正文字号应不小于24磅字，使用Windows系统默认字体，不要使用仿宋、细圆等过细字体，不使用特殊字体，如有特殊字体需要应转化为图形文件</w:t>
            </w:r>
          </w:p>
        </w:tc>
      </w:tr>
      <w:tr w14:paraId="46F78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1538" w:type="dxa"/>
            <w:vMerge w:val="continue"/>
            <w:tcBorders>
              <w:top w:val="single" w:color="auto" w:sz="6" w:space="0"/>
              <w:left w:val="single" w:color="auto" w:sz="6" w:space="0"/>
              <w:bottom w:val="single" w:color="auto" w:sz="6" w:space="0"/>
              <w:right w:val="single" w:color="auto" w:sz="6" w:space="0"/>
            </w:tcBorders>
            <w:vAlign w:val="center"/>
          </w:tcPr>
          <w:p w14:paraId="0A52E3B3">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p>
        </w:tc>
        <w:tc>
          <w:tcPr>
            <w:tcW w:w="7321" w:type="dxa"/>
            <w:tcBorders>
              <w:top w:val="single" w:color="auto" w:sz="6" w:space="0"/>
              <w:left w:val="single" w:color="auto" w:sz="6" w:space="0"/>
              <w:bottom w:val="single" w:color="auto" w:sz="6" w:space="0"/>
              <w:right w:val="single" w:color="auto" w:sz="6" w:space="0"/>
            </w:tcBorders>
          </w:tcPr>
          <w:p w14:paraId="7F51A796">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文字要醒目，避免使用与背景色相近的字体颜色</w:t>
            </w:r>
          </w:p>
        </w:tc>
      </w:tr>
      <w:tr w14:paraId="18A91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1538" w:type="dxa"/>
            <w:vMerge w:val="continue"/>
            <w:tcBorders>
              <w:top w:val="single" w:color="auto" w:sz="6" w:space="0"/>
              <w:left w:val="single" w:color="auto" w:sz="6" w:space="0"/>
              <w:bottom w:val="single" w:color="auto" w:sz="6" w:space="0"/>
              <w:right w:val="single" w:color="auto" w:sz="6" w:space="0"/>
            </w:tcBorders>
            <w:vAlign w:val="center"/>
          </w:tcPr>
          <w:p w14:paraId="0BA7288E">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p>
        </w:tc>
        <w:tc>
          <w:tcPr>
            <w:tcW w:w="7321" w:type="dxa"/>
            <w:tcBorders>
              <w:top w:val="single" w:color="auto" w:sz="6" w:space="0"/>
              <w:left w:val="single" w:color="auto" w:sz="6" w:space="0"/>
              <w:bottom w:val="single" w:color="auto" w:sz="6" w:space="0"/>
              <w:right w:val="single" w:color="auto" w:sz="6" w:space="0"/>
            </w:tcBorders>
          </w:tcPr>
          <w:p w14:paraId="201616E2">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页面行距建议为1.2倍，可适当增大，左右边距均匀、适当</w:t>
            </w:r>
          </w:p>
        </w:tc>
      </w:tr>
      <w:tr w14:paraId="7B65A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1538" w:type="dxa"/>
            <w:vMerge w:val="continue"/>
            <w:tcBorders>
              <w:top w:val="single" w:color="auto" w:sz="6" w:space="0"/>
              <w:left w:val="single" w:color="auto" w:sz="6" w:space="0"/>
              <w:bottom w:val="single" w:color="auto" w:sz="6" w:space="0"/>
              <w:right w:val="single" w:color="auto" w:sz="6" w:space="0"/>
            </w:tcBorders>
            <w:vAlign w:val="center"/>
          </w:tcPr>
          <w:p w14:paraId="07293477">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p>
        </w:tc>
        <w:tc>
          <w:tcPr>
            <w:tcW w:w="7321" w:type="dxa"/>
            <w:tcBorders>
              <w:top w:val="single" w:color="auto" w:sz="6" w:space="0"/>
              <w:left w:val="single" w:color="auto" w:sz="6" w:space="0"/>
              <w:bottom w:val="single" w:color="auto" w:sz="6" w:space="0"/>
              <w:right w:val="single" w:color="auto" w:sz="6" w:space="0"/>
            </w:tcBorders>
          </w:tcPr>
          <w:p w14:paraId="6BE82014">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页面设计的原则是版面内容的分布美观大方</w:t>
            </w:r>
          </w:p>
        </w:tc>
      </w:tr>
      <w:tr w14:paraId="1D795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1538" w:type="dxa"/>
            <w:vMerge w:val="continue"/>
            <w:tcBorders>
              <w:top w:val="single" w:color="auto" w:sz="6" w:space="0"/>
              <w:left w:val="single" w:color="auto" w:sz="6" w:space="0"/>
              <w:bottom w:val="single" w:color="auto" w:sz="6" w:space="0"/>
              <w:right w:val="single" w:color="auto" w:sz="6" w:space="0"/>
            </w:tcBorders>
            <w:vAlign w:val="center"/>
          </w:tcPr>
          <w:p w14:paraId="11AC06D2">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p>
        </w:tc>
        <w:tc>
          <w:tcPr>
            <w:tcW w:w="7321" w:type="dxa"/>
            <w:tcBorders>
              <w:top w:val="single" w:color="auto" w:sz="6" w:space="0"/>
              <w:left w:val="single" w:color="auto" w:sz="6" w:space="0"/>
              <w:bottom w:val="single" w:color="auto" w:sz="6" w:space="0"/>
              <w:right w:val="single" w:color="auto" w:sz="6" w:space="0"/>
            </w:tcBorders>
          </w:tcPr>
          <w:p w14:paraId="6EFBE867">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恰当使用组合：某些插图中位置相对固定的文本框、数学公式以及图片等应采用组合方式，避免产生相对位移</w:t>
            </w:r>
          </w:p>
        </w:tc>
      </w:tr>
      <w:tr w14:paraId="5000E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1538" w:type="dxa"/>
            <w:vMerge w:val="continue"/>
            <w:tcBorders>
              <w:top w:val="single" w:color="auto" w:sz="6" w:space="0"/>
              <w:left w:val="single" w:color="auto" w:sz="6" w:space="0"/>
              <w:bottom w:val="single" w:color="auto" w:sz="6" w:space="0"/>
              <w:right w:val="single" w:color="auto" w:sz="6" w:space="0"/>
            </w:tcBorders>
            <w:vAlign w:val="center"/>
          </w:tcPr>
          <w:p w14:paraId="37ED46B4">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p>
        </w:tc>
        <w:tc>
          <w:tcPr>
            <w:tcW w:w="7321" w:type="dxa"/>
            <w:tcBorders>
              <w:top w:val="single" w:color="auto" w:sz="6" w:space="0"/>
              <w:left w:val="single" w:color="auto" w:sz="6" w:space="0"/>
              <w:bottom w:val="single" w:color="auto" w:sz="6" w:space="0"/>
              <w:right w:val="single" w:color="auto" w:sz="6" w:space="0"/>
            </w:tcBorders>
          </w:tcPr>
          <w:p w14:paraId="317CB9F5">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尽量避免不必要的组合，不同对象、文本的动作需要同时出现时，可确定彼此之间的时间间隔为0秒</w:t>
            </w:r>
          </w:p>
        </w:tc>
      </w:tr>
      <w:tr w14:paraId="129E6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1538" w:type="dxa"/>
            <w:vMerge w:val="continue"/>
            <w:tcBorders>
              <w:top w:val="single" w:color="auto" w:sz="6" w:space="0"/>
              <w:left w:val="single" w:color="auto" w:sz="6" w:space="0"/>
              <w:bottom w:val="single" w:color="auto" w:sz="6" w:space="0"/>
              <w:right w:val="single" w:color="auto" w:sz="6" w:space="0"/>
            </w:tcBorders>
            <w:vAlign w:val="center"/>
          </w:tcPr>
          <w:p w14:paraId="7C2F715E">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p>
        </w:tc>
        <w:tc>
          <w:tcPr>
            <w:tcW w:w="7321" w:type="dxa"/>
            <w:tcBorders>
              <w:top w:val="single" w:color="auto" w:sz="6" w:space="0"/>
              <w:left w:val="single" w:color="auto" w:sz="6" w:space="0"/>
              <w:bottom w:val="single" w:color="auto" w:sz="6" w:space="0"/>
              <w:right w:val="single" w:color="auto" w:sz="6" w:space="0"/>
            </w:tcBorders>
          </w:tcPr>
          <w:p w14:paraId="204BA0A7">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各级标题采用不同的字体和颜色，一张幻灯片上文字颜色限定在4种以内，注意文字与背景色的反差</w:t>
            </w:r>
          </w:p>
        </w:tc>
      </w:tr>
      <w:tr w14:paraId="01B21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1538" w:type="dxa"/>
            <w:vMerge w:val="restart"/>
            <w:tcBorders>
              <w:top w:val="single" w:color="auto" w:sz="6" w:space="0"/>
              <w:left w:val="single" w:color="auto" w:sz="6" w:space="0"/>
              <w:bottom w:val="single" w:color="auto" w:sz="6" w:space="0"/>
              <w:right w:val="single" w:color="auto" w:sz="6" w:space="0"/>
            </w:tcBorders>
            <w:vAlign w:val="center"/>
          </w:tcPr>
          <w:p w14:paraId="47EDC25A">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动画方案</w:t>
            </w:r>
          </w:p>
        </w:tc>
        <w:tc>
          <w:tcPr>
            <w:tcW w:w="7321" w:type="dxa"/>
            <w:tcBorders>
              <w:top w:val="single" w:color="auto" w:sz="6" w:space="0"/>
              <w:left w:val="single" w:color="auto" w:sz="6" w:space="0"/>
              <w:bottom w:val="single" w:color="auto" w:sz="6" w:space="0"/>
              <w:right w:val="single" w:color="auto" w:sz="6" w:space="0"/>
            </w:tcBorders>
          </w:tcPr>
          <w:p w14:paraId="43DE6F0D">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不宜出现不必要的动画效果，不使用随机效果</w:t>
            </w:r>
          </w:p>
        </w:tc>
      </w:tr>
      <w:tr w14:paraId="6A015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1538" w:type="dxa"/>
            <w:vMerge w:val="continue"/>
            <w:tcBorders>
              <w:top w:val="single" w:color="auto" w:sz="6" w:space="0"/>
              <w:left w:val="single" w:color="auto" w:sz="6" w:space="0"/>
              <w:bottom w:val="single" w:color="auto" w:sz="6" w:space="0"/>
              <w:right w:val="single" w:color="auto" w:sz="6" w:space="0"/>
            </w:tcBorders>
            <w:vAlign w:val="center"/>
          </w:tcPr>
          <w:p w14:paraId="63387550">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p>
        </w:tc>
        <w:tc>
          <w:tcPr>
            <w:tcW w:w="7321" w:type="dxa"/>
            <w:tcBorders>
              <w:top w:val="single" w:color="auto" w:sz="6" w:space="0"/>
              <w:left w:val="single" w:color="auto" w:sz="6" w:space="0"/>
              <w:bottom w:val="single" w:color="auto" w:sz="6" w:space="0"/>
              <w:right w:val="single" w:color="auto" w:sz="6" w:space="0"/>
            </w:tcBorders>
          </w:tcPr>
          <w:p w14:paraId="6732B4E7">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动画连续，节奏合适</w:t>
            </w:r>
          </w:p>
        </w:tc>
      </w:tr>
      <w:tr w14:paraId="7503C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1538" w:type="dxa"/>
            <w:vMerge w:val="restart"/>
            <w:tcBorders>
              <w:top w:val="single" w:color="auto" w:sz="6" w:space="0"/>
              <w:left w:val="single" w:color="auto" w:sz="6" w:space="0"/>
              <w:bottom w:val="single" w:color="auto" w:sz="6" w:space="0"/>
              <w:right w:val="single" w:color="auto" w:sz="6" w:space="0"/>
            </w:tcBorders>
            <w:vAlign w:val="center"/>
          </w:tcPr>
          <w:p w14:paraId="129F8BC0">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导航设计</w:t>
            </w:r>
          </w:p>
        </w:tc>
        <w:tc>
          <w:tcPr>
            <w:tcW w:w="7321" w:type="dxa"/>
            <w:tcBorders>
              <w:top w:val="single" w:color="auto" w:sz="6" w:space="0"/>
              <w:left w:val="single" w:color="auto" w:sz="6" w:space="0"/>
              <w:bottom w:val="single" w:color="auto" w:sz="6" w:space="0"/>
              <w:right w:val="single" w:color="auto" w:sz="6" w:space="0"/>
            </w:tcBorders>
          </w:tcPr>
          <w:p w14:paraId="19F4360D">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文件内链接都采用相对链接，并能够正常打开</w:t>
            </w:r>
          </w:p>
        </w:tc>
      </w:tr>
      <w:tr w14:paraId="0ACD7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1538" w:type="dxa"/>
            <w:vMerge w:val="continue"/>
            <w:tcBorders>
              <w:top w:val="single" w:color="auto" w:sz="6" w:space="0"/>
              <w:left w:val="single" w:color="auto" w:sz="6" w:space="0"/>
              <w:bottom w:val="single" w:color="auto" w:sz="6" w:space="0"/>
              <w:right w:val="single" w:color="auto" w:sz="6" w:space="0"/>
            </w:tcBorders>
            <w:vAlign w:val="center"/>
          </w:tcPr>
          <w:p w14:paraId="018C31CF">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p>
        </w:tc>
        <w:tc>
          <w:tcPr>
            <w:tcW w:w="7321" w:type="dxa"/>
            <w:tcBorders>
              <w:top w:val="single" w:color="auto" w:sz="6" w:space="0"/>
              <w:left w:val="single" w:color="auto" w:sz="6" w:space="0"/>
              <w:bottom w:val="single" w:color="auto" w:sz="6" w:space="0"/>
              <w:right w:val="single" w:color="auto" w:sz="6" w:space="0"/>
            </w:tcBorders>
          </w:tcPr>
          <w:p w14:paraId="368FB225">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文件中链接或插入的其他素材满足本要求中关于媒体素材的技术要求</w:t>
            </w:r>
          </w:p>
        </w:tc>
      </w:tr>
      <w:tr w14:paraId="7336E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1538" w:type="dxa"/>
            <w:vMerge w:val="continue"/>
            <w:tcBorders>
              <w:top w:val="single" w:color="auto" w:sz="6" w:space="0"/>
              <w:left w:val="single" w:color="auto" w:sz="6" w:space="0"/>
              <w:bottom w:val="single" w:color="auto" w:sz="6" w:space="0"/>
              <w:right w:val="single" w:color="auto" w:sz="6" w:space="0"/>
            </w:tcBorders>
            <w:vAlign w:val="center"/>
          </w:tcPr>
          <w:p w14:paraId="603C6BB0">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p>
        </w:tc>
        <w:tc>
          <w:tcPr>
            <w:tcW w:w="7321" w:type="dxa"/>
            <w:tcBorders>
              <w:top w:val="single" w:color="auto" w:sz="6" w:space="0"/>
              <w:left w:val="single" w:color="auto" w:sz="6" w:space="0"/>
              <w:bottom w:val="single" w:color="auto" w:sz="6" w:space="0"/>
              <w:right w:val="single" w:color="auto" w:sz="6" w:space="0"/>
            </w:tcBorders>
          </w:tcPr>
          <w:p w14:paraId="3F33584F">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使用超级链接时，要在目标页面有“返回”按钮</w:t>
            </w:r>
          </w:p>
        </w:tc>
      </w:tr>
      <w:tr w14:paraId="15035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1538" w:type="dxa"/>
            <w:vMerge w:val="continue"/>
            <w:tcBorders>
              <w:top w:val="single" w:color="auto" w:sz="6" w:space="0"/>
              <w:left w:val="single" w:color="auto" w:sz="6" w:space="0"/>
              <w:bottom w:val="single" w:color="auto" w:sz="6" w:space="0"/>
              <w:right w:val="single" w:color="auto" w:sz="6" w:space="0"/>
            </w:tcBorders>
            <w:vAlign w:val="center"/>
          </w:tcPr>
          <w:p w14:paraId="29315BAC">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p>
        </w:tc>
        <w:tc>
          <w:tcPr>
            <w:tcW w:w="7321" w:type="dxa"/>
            <w:tcBorders>
              <w:top w:val="single" w:color="auto" w:sz="6" w:space="0"/>
              <w:left w:val="single" w:color="auto" w:sz="6" w:space="0"/>
              <w:bottom w:val="single" w:color="auto" w:sz="6" w:space="0"/>
              <w:right w:val="single" w:color="auto" w:sz="6" w:space="0"/>
            </w:tcBorders>
          </w:tcPr>
          <w:p w14:paraId="634A94B9">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鼠标移至按钮上时要求显示出该按钮的操作提示</w:t>
            </w:r>
          </w:p>
        </w:tc>
      </w:tr>
      <w:tr w14:paraId="22F0C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1538" w:type="dxa"/>
            <w:vMerge w:val="continue"/>
            <w:tcBorders>
              <w:top w:val="single" w:color="auto" w:sz="6" w:space="0"/>
              <w:left w:val="single" w:color="auto" w:sz="6" w:space="0"/>
              <w:bottom w:val="single" w:color="auto" w:sz="6" w:space="0"/>
              <w:right w:val="single" w:color="auto" w:sz="6" w:space="0"/>
            </w:tcBorders>
            <w:vAlign w:val="center"/>
          </w:tcPr>
          <w:p w14:paraId="2CFE8BC7">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p>
        </w:tc>
        <w:tc>
          <w:tcPr>
            <w:tcW w:w="7321" w:type="dxa"/>
            <w:tcBorders>
              <w:top w:val="single" w:color="auto" w:sz="6" w:space="0"/>
              <w:left w:val="single" w:color="auto" w:sz="6" w:space="0"/>
              <w:bottom w:val="single" w:color="auto" w:sz="6" w:space="0"/>
              <w:right w:val="single" w:color="auto" w:sz="6" w:space="0"/>
            </w:tcBorders>
          </w:tcPr>
          <w:p w14:paraId="6D08EC6A">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不同位置使用的导航按钮保持风格一致或使用相同的按钮</w:t>
            </w:r>
          </w:p>
        </w:tc>
      </w:tr>
      <w:tr w14:paraId="4897A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1538" w:type="dxa"/>
            <w:tcBorders>
              <w:top w:val="single" w:color="auto" w:sz="6" w:space="0"/>
              <w:left w:val="single" w:color="auto" w:sz="6" w:space="0"/>
              <w:bottom w:val="single" w:color="auto" w:sz="6" w:space="0"/>
              <w:right w:val="single" w:color="auto" w:sz="6" w:space="0"/>
            </w:tcBorders>
            <w:vAlign w:val="center"/>
          </w:tcPr>
          <w:p w14:paraId="3E58E56C">
            <w:pPr>
              <w:keepNext w:val="0"/>
              <w:keepLines w:val="0"/>
              <w:pageBreakBefore w:val="0"/>
              <w:widowControl w:val="0"/>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宏</w:t>
            </w:r>
          </w:p>
        </w:tc>
        <w:tc>
          <w:tcPr>
            <w:tcW w:w="7321" w:type="dxa"/>
            <w:tcBorders>
              <w:top w:val="single" w:color="auto" w:sz="6" w:space="0"/>
              <w:left w:val="single" w:color="auto" w:sz="6" w:space="0"/>
              <w:bottom w:val="single" w:color="auto" w:sz="6" w:space="0"/>
              <w:right w:val="single" w:color="auto" w:sz="6" w:space="0"/>
            </w:tcBorders>
          </w:tcPr>
          <w:p w14:paraId="4F161BFB">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尽可能少用宏，播放时不要出现宏脚本提示</w:t>
            </w:r>
          </w:p>
        </w:tc>
      </w:tr>
    </w:tbl>
    <w:p w14:paraId="5FF6B1C6">
      <w:pPr>
        <w:keepNext w:val="0"/>
        <w:keepLines w:val="0"/>
        <w:pageBreakBefore w:val="0"/>
        <w:widowControl w:val="0"/>
        <w:kinsoku/>
        <w:wordWrap/>
        <w:overflowPunct/>
        <w:topLinePunct w:val="0"/>
        <w:autoSpaceDE/>
        <w:autoSpaceDN/>
        <w:bidi w:val="0"/>
        <w:spacing w:after="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6.文本素材技术标准</w:t>
      </w:r>
    </w:p>
    <w:tbl>
      <w:tblPr>
        <w:tblStyle w:val="31"/>
        <w:tblW w:w="886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8861"/>
      </w:tblGrid>
      <w:tr w14:paraId="35AD0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8861" w:type="dxa"/>
            <w:tcBorders>
              <w:top w:val="single" w:color="auto" w:sz="6" w:space="0"/>
              <w:left w:val="single" w:color="auto" w:sz="6" w:space="0"/>
              <w:bottom w:val="single" w:color="auto" w:sz="6" w:space="0"/>
              <w:right w:val="single" w:color="auto" w:sz="6" w:space="0"/>
            </w:tcBorders>
          </w:tcPr>
          <w:p w14:paraId="78D3EA8B">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纯文本采用UTF-8编码或GB18030编码</w:t>
            </w:r>
          </w:p>
        </w:tc>
      </w:tr>
      <w:tr w14:paraId="71FC7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8861" w:type="dxa"/>
            <w:tcBorders>
              <w:top w:val="single" w:color="auto" w:sz="6" w:space="0"/>
              <w:left w:val="single" w:color="auto" w:sz="6" w:space="0"/>
              <w:bottom w:val="single" w:color="auto" w:sz="6" w:space="0"/>
              <w:right w:val="single" w:color="auto" w:sz="6" w:space="0"/>
            </w:tcBorders>
          </w:tcPr>
          <w:p w14:paraId="38985782">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采用常见存储格式，如TXT、DOC、DOCX、PDF、RTF、HTM、HTML、XML等</w:t>
            </w:r>
          </w:p>
        </w:tc>
      </w:tr>
    </w:tbl>
    <w:p w14:paraId="135DF1DF">
      <w:pPr>
        <w:keepNext w:val="0"/>
        <w:keepLines w:val="0"/>
        <w:pageBreakBefore w:val="0"/>
        <w:widowControl w:val="0"/>
        <w:kinsoku/>
        <w:wordWrap/>
        <w:overflowPunct/>
        <w:topLinePunct w:val="0"/>
        <w:autoSpaceDE/>
        <w:autoSpaceDN/>
        <w:bidi w:val="0"/>
        <w:spacing w:after="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7.图形/图像类技术标准</w:t>
      </w:r>
    </w:p>
    <w:tbl>
      <w:tblPr>
        <w:tblStyle w:val="31"/>
        <w:tblW w:w="8861" w:type="dxa"/>
        <w:tblInd w:w="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8861"/>
      </w:tblGrid>
      <w:tr w14:paraId="2C334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8861" w:type="dxa"/>
            <w:tcBorders>
              <w:top w:val="single" w:color="auto" w:sz="6" w:space="0"/>
              <w:left w:val="single" w:color="auto" w:sz="6" w:space="0"/>
              <w:bottom w:val="single" w:color="auto" w:sz="6" w:space="0"/>
              <w:right w:val="single" w:color="auto" w:sz="6" w:space="0"/>
            </w:tcBorders>
          </w:tcPr>
          <w:p w14:paraId="7A2A38EF">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彩色图像颜色数不低于真彩（24位色），灰度图像的灰度级不低于256级</w:t>
            </w:r>
          </w:p>
        </w:tc>
      </w:tr>
      <w:tr w14:paraId="21E05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8861" w:type="dxa"/>
            <w:tcBorders>
              <w:top w:val="single" w:color="auto" w:sz="6" w:space="0"/>
              <w:left w:val="single" w:color="auto" w:sz="6" w:space="0"/>
              <w:bottom w:val="single" w:color="auto" w:sz="6" w:space="0"/>
              <w:right w:val="single" w:color="auto" w:sz="6" w:space="0"/>
            </w:tcBorders>
          </w:tcPr>
          <w:p w14:paraId="564FB0CA">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屏幕分辨率不低于1024×768时，扫描图像的扫描分辨率不低于72 dpi</w:t>
            </w:r>
          </w:p>
        </w:tc>
      </w:tr>
      <w:tr w14:paraId="4DD2E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8861" w:type="dxa"/>
            <w:tcBorders>
              <w:top w:val="single" w:color="auto" w:sz="6" w:space="0"/>
              <w:left w:val="single" w:color="auto" w:sz="6" w:space="0"/>
              <w:bottom w:val="single" w:color="auto" w:sz="6" w:space="0"/>
              <w:right w:val="single" w:color="auto" w:sz="6" w:space="0"/>
            </w:tcBorders>
          </w:tcPr>
          <w:p w14:paraId="0BF0FCC3">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采用常见存储格式，如GIF、PNG、JPG等</w:t>
            </w:r>
          </w:p>
        </w:tc>
      </w:tr>
    </w:tbl>
    <w:p w14:paraId="507AEAE8">
      <w:pPr>
        <w:keepNext w:val="0"/>
        <w:keepLines w:val="0"/>
        <w:pageBreakBefore w:val="0"/>
        <w:widowControl w:val="0"/>
        <w:kinsoku/>
        <w:wordWrap/>
        <w:overflowPunct/>
        <w:topLinePunct w:val="0"/>
        <w:autoSpaceDE/>
        <w:autoSpaceDN/>
        <w:bidi w:val="0"/>
        <w:spacing w:after="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8.音频类素材（MP4、WMA）技术标准</w:t>
      </w:r>
    </w:p>
    <w:tbl>
      <w:tblPr>
        <w:tblStyle w:val="31"/>
        <w:tblW w:w="886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8861"/>
      </w:tblGrid>
      <w:tr w14:paraId="78714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8861" w:type="dxa"/>
            <w:tcBorders>
              <w:top w:val="single" w:color="auto" w:sz="6" w:space="0"/>
              <w:left w:val="single" w:color="auto" w:sz="6" w:space="0"/>
              <w:bottom w:val="single" w:color="auto" w:sz="6" w:space="0"/>
              <w:right w:val="single" w:color="auto" w:sz="6" w:space="0"/>
            </w:tcBorders>
          </w:tcPr>
          <w:p w14:paraId="6B776A72">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语音采用标准的普通话、美式或英式英语配音，特殊语言学习和材料除外。使用适合教学的语调</w:t>
            </w:r>
          </w:p>
        </w:tc>
      </w:tr>
      <w:tr w14:paraId="71BF4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8861" w:type="dxa"/>
            <w:tcBorders>
              <w:top w:val="single" w:color="auto" w:sz="6" w:space="0"/>
              <w:left w:val="single" w:color="auto" w:sz="6" w:space="0"/>
              <w:bottom w:val="single" w:color="auto" w:sz="6" w:space="0"/>
              <w:right w:val="single" w:color="auto" w:sz="6" w:space="0"/>
            </w:tcBorders>
          </w:tcPr>
          <w:p w14:paraId="1FC219CA">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中文内容音频信号记录于第1声道，音乐、音效、同期声记录于第2声道，若有其他文字解说记录于第3声道（如录音设备无第3声道，则录于第2声道）。</w:t>
            </w:r>
          </w:p>
        </w:tc>
      </w:tr>
      <w:tr w14:paraId="2E4FD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8861" w:type="dxa"/>
            <w:tcBorders>
              <w:top w:val="single" w:color="auto" w:sz="6" w:space="0"/>
              <w:left w:val="single" w:color="auto" w:sz="6" w:space="0"/>
              <w:bottom w:val="single" w:color="auto" w:sz="6" w:space="0"/>
              <w:right w:val="single" w:color="auto" w:sz="6" w:space="0"/>
            </w:tcBorders>
          </w:tcPr>
          <w:p w14:paraId="22984638">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数字化音频制作推荐使用双声道</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采样率不低于44.1KHz</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压缩采用ACC（MPEG-4 Part 3）格式</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码流率不低于128Kbps。语音类音频的采样频率不低于22.05 kHz</w:t>
            </w:r>
          </w:p>
        </w:tc>
      </w:tr>
      <w:tr w14:paraId="0DC4D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8861" w:type="dxa"/>
            <w:tcBorders>
              <w:top w:val="single" w:color="auto" w:sz="6" w:space="0"/>
              <w:left w:val="single" w:color="auto" w:sz="6" w:space="0"/>
              <w:bottom w:val="single" w:color="auto" w:sz="6" w:space="0"/>
              <w:right w:val="single" w:color="auto" w:sz="6" w:space="0"/>
            </w:tcBorders>
          </w:tcPr>
          <w:p w14:paraId="56AE3418">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音频信噪比不低于48db；量化位数大于8位，码率不低于64 Kbps；电平指标，-2db — -8db声音应无明显失真、放音过冲、过弱。</w:t>
            </w:r>
          </w:p>
        </w:tc>
      </w:tr>
      <w:tr w14:paraId="48389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8861" w:type="dxa"/>
            <w:tcBorders>
              <w:top w:val="single" w:color="auto" w:sz="6" w:space="0"/>
              <w:left w:val="single" w:color="auto" w:sz="6" w:space="0"/>
              <w:bottom w:val="single" w:color="auto" w:sz="6" w:space="0"/>
              <w:right w:val="single" w:color="auto" w:sz="6" w:space="0"/>
            </w:tcBorders>
          </w:tcPr>
          <w:p w14:paraId="6283FFE3">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音频播放流畅，声音清晰，噪音低，回响小</w:t>
            </w:r>
          </w:p>
        </w:tc>
      </w:tr>
      <w:tr w14:paraId="72094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8861" w:type="dxa"/>
            <w:tcBorders>
              <w:top w:val="single" w:color="auto" w:sz="6" w:space="0"/>
              <w:left w:val="single" w:color="auto" w:sz="6" w:space="0"/>
              <w:bottom w:val="single" w:color="auto" w:sz="6" w:space="0"/>
              <w:right w:val="single" w:color="auto" w:sz="6" w:space="0"/>
            </w:tcBorders>
          </w:tcPr>
          <w:p w14:paraId="31080173">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采用常见存储格式，如WMA、MP3、MP4或其他流式音频格式，建议优先采用MP3格式</w:t>
            </w:r>
          </w:p>
        </w:tc>
      </w:tr>
      <w:tr w14:paraId="5CB16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8861" w:type="dxa"/>
            <w:tcBorders>
              <w:top w:val="single" w:color="auto" w:sz="6" w:space="0"/>
              <w:left w:val="single" w:color="auto" w:sz="6" w:space="0"/>
              <w:bottom w:val="single" w:color="auto" w:sz="6" w:space="0"/>
              <w:right w:val="single" w:color="auto" w:sz="6" w:space="0"/>
            </w:tcBorders>
          </w:tcPr>
          <w:p w14:paraId="36E3E12A">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伴音清晰、饱满、圆润，无失真、噪声杂音干扰、音量忽大忽小现象。解说声与现场声无明显比例失调，解说声与背景音乐无明显比例失调。</w:t>
            </w:r>
          </w:p>
        </w:tc>
      </w:tr>
      <w:bookmarkEnd w:id="69"/>
      <w:bookmarkEnd w:id="70"/>
    </w:tbl>
    <w:p w14:paraId="5AB69C46">
      <w:pPr>
        <w:numPr>
          <w:ilvl w:val="0"/>
          <w:numId w:val="5"/>
        </w:numPr>
        <w:spacing w:line="400" w:lineRule="exact"/>
        <w:outlineLvl w:val="1"/>
        <w:rPr>
          <w:rFonts w:ascii="宋体"/>
          <w:b/>
          <w:color w:val="auto"/>
          <w:sz w:val="24"/>
          <w:highlight w:val="none"/>
        </w:rPr>
      </w:pPr>
      <w:bookmarkStart w:id="73" w:name="_Toc27013"/>
      <w:bookmarkStart w:id="74" w:name="_Toc20637"/>
      <w:bookmarkStart w:id="75" w:name="_Toc31289"/>
      <w:bookmarkStart w:id="76" w:name="_Toc23827"/>
      <w:r>
        <w:rPr>
          <w:rFonts w:hint="eastAsia" w:ascii="宋体" w:hAnsi="宋体"/>
          <w:b/>
          <w:color w:val="auto"/>
          <w:sz w:val="24"/>
          <w:highlight w:val="none"/>
        </w:rPr>
        <w:t>商务要求表</w:t>
      </w:r>
      <w:bookmarkEnd w:id="73"/>
      <w:bookmarkEnd w:id="74"/>
      <w:bookmarkEnd w:id="75"/>
      <w:bookmarkEnd w:id="76"/>
    </w:p>
    <w:tbl>
      <w:tblPr>
        <w:tblStyle w:val="31"/>
        <w:tblW w:w="8768"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7483"/>
      </w:tblGrid>
      <w:tr w14:paraId="7259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5" w:type="dxa"/>
            <w:vAlign w:val="center"/>
          </w:tcPr>
          <w:p w14:paraId="3F435A78">
            <w:pPr>
              <w:adjustRightInd w:val="0"/>
              <w:snapToGrid w:val="0"/>
              <w:spacing w:line="400" w:lineRule="exact"/>
              <w:rPr>
                <w:rFonts w:ascii="宋体" w:hAnsi="宋体" w:cs="宋体"/>
                <w:b/>
                <w:color w:val="auto"/>
                <w:szCs w:val="21"/>
                <w:highlight w:val="none"/>
              </w:rPr>
            </w:pPr>
            <w:bookmarkStart w:id="77" w:name="_Toc1410"/>
            <w:r>
              <w:rPr>
                <w:rFonts w:hint="eastAsia" w:ascii="宋体" w:hAnsi="宋体" w:cs="宋体"/>
                <w:b/>
                <w:color w:val="auto"/>
                <w:szCs w:val="21"/>
                <w:highlight w:val="none"/>
              </w:rPr>
              <w:t>▲</w:t>
            </w:r>
            <w:r>
              <w:rPr>
                <w:rFonts w:hint="eastAsia" w:ascii="宋体" w:hAnsi="宋体" w:cs="宋体"/>
                <w:bCs/>
                <w:color w:val="auto"/>
                <w:szCs w:val="21"/>
                <w:highlight w:val="none"/>
              </w:rPr>
              <w:t>服务时间</w:t>
            </w:r>
          </w:p>
        </w:tc>
        <w:tc>
          <w:tcPr>
            <w:tcW w:w="7483" w:type="dxa"/>
            <w:vAlign w:val="center"/>
          </w:tcPr>
          <w:p w14:paraId="3E4F0720">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自合同签订之日计起</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0日内完成本项目所需的课程建设。</w:t>
            </w:r>
          </w:p>
        </w:tc>
      </w:tr>
      <w:bookmarkEnd w:id="77"/>
      <w:tr w14:paraId="04D07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5" w:type="dxa"/>
            <w:vAlign w:val="center"/>
          </w:tcPr>
          <w:p w14:paraId="006B45F8">
            <w:pPr>
              <w:spacing w:line="400" w:lineRule="exact"/>
              <w:jc w:val="left"/>
              <w:rPr>
                <w:rFonts w:ascii="宋体" w:hAnsi="宋体" w:cs="宋体"/>
                <w:bCs/>
                <w:color w:val="auto"/>
                <w:kern w:val="0"/>
                <w:szCs w:val="21"/>
                <w:highlight w:val="none"/>
              </w:rPr>
            </w:pPr>
            <w:r>
              <w:rPr>
                <w:rFonts w:hint="eastAsia" w:ascii="宋体" w:hAnsi="宋体" w:cs="宋体"/>
                <w:bCs/>
                <w:color w:val="auto"/>
                <w:kern w:val="0"/>
                <w:szCs w:val="21"/>
                <w:highlight w:val="none"/>
              </w:rPr>
              <w:t>验收要求及标准</w:t>
            </w:r>
          </w:p>
        </w:tc>
        <w:tc>
          <w:tcPr>
            <w:tcW w:w="7483" w:type="dxa"/>
            <w:vAlign w:val="center"/>
          </w:tcPr>
          <w:p w14:paraId="05868550">
            <w:pPr>
              <w:spacing w:line="40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1、课程完成后供应商需向采购人提供全部的课程资料，包括脚本文档、视频源文件、PPT教案等文档材料，采购人完全享有资源版权和使用权，供应商需征得采购人同意后方可作为企业宣传材料。</w:t>
            </w:r>
          </w:p>
          <w:p w14:paraId="6621DBE4">
            <w:pPr>
              <w:spacing w:line="40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2、供应商应提供有效检验文件（包括资源制作脚本、项目实施方案、资源源文件及师生用户使用报告等），经采购人认可后，与合同的性能指标一起作为验收标准。</w:t>
            </w:r>
          </w:p>
          <w:p w14:paraId="1ADBF4BD">
            <w:pPr>
              <w:spacing w:line="40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3、项目验收若产生检验费用，由供应商承担。</w:t>
            </w:r>
          </w:p>
        </w:tc>
      </w:tr>
      <w:tr w14:paraId="30CF1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5" w:type="dxa"/>
            <w:vAlign w:val="center"/>
          </w:tcPr>
          <w:p w14:paraId="47211A0A">
            <w:pPr>
              <w:spacing w:line="400" w:lineRule="exact"/>
              <w:jc w:val="left"/>
              <w:rPr>
                <w:rFonts w:ascii="宋体" w:hAnsi="宋体" w:cs="宋体"/>
                <w:bCs/>
                <w:color w:val="auto"/>
                <w:kern w:val="0"/>
                <w:szCs w:val="21"/>
                <w:highlight w:val="none"/>
              </w:rPr>
            </w:pPr>
            <w:r>
              <w:rPr>
                <w:rFonts w:hint="eastAsia" w:ascii="宋体" w:hAnsi="宋体" w:cs="宋体"/>
                <w:bCs/>
                <w:color w:val="auto"/>
                <w:kern w:val="0"/>
                <w:szCs w:val="21"/>
                <w:highlight w:val="none"/>
              </w:rPr>
              <w:t>▲付款方式</w:t>
            </w:r>
          </w:p>
        </w:tc>
        <w:tc>
          <w:tcPr>
            <w:tcW w:w="7483" w:type="dxa"/>
            <w:vAlign w:val="center"/>
          </w:tcPr>
          <w:p w14:paraId="4D334853">
            <w:pPr>
              <w:spacing w:line="40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在合同生效以及具备实施条件后7个工作日内支付合同总价的40%作为预付款，余款在项目验收合格后7个工作日内支付。</w:t>
            </w:r>
          </w:p>
          <w:p w14:paraId="7B5D7D0E">
            <w:pPr>
              <w:spacing w:line="40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按采购人要求提供结算资料及合法的税务发票。</w:t>
            </w:r>
          </w:p>
        </w:tc>
      </w:tr>
      <w:tr w14:paraId="6B63C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5" w:type="dxa"/>
            <w:vAlign w:val="center"/>
          </w:tcPr>
          <w:p w14:paraId="09DDF633">
            <w:pPr>
              <w:spacing w:line="400" w:lineRule="exact"/>
              <w:jc w:val="left"/>
              <w:rPr>
                <w:rFonts w:ascii="宋体" w:hAnsi="宋体" w:cs="宋体"/>
                <w:bCs/>
                <w:color w:val="auto"/>
                <w:kern w:val="0"/>
                <w:szCs w:val="21"/>
                <w:highlight w:val="none"/>
              </w:rPr>
            </w:pPr>
            <w:r>
              <w:rPr>
                <w:rFonts w:hint="eastAsia" w:ascii="宋体" w:hAnsi="宋体" w:cs="宋体"/>
                <w:bCs/>
                <w:color w:val="auto"/>
                <w:kern w:val="0"/>
                <w:szCs w:val="21"/>
                <w:highlight w:val="none"/>
              </w:rPr>
              <w:t>售后服务要求</w:t>
            </w:r>
          </w:p>
        </w:tc>
        <w:tc>
          <w:tcPr>
            <w:tcW w:w="7483" w:type="dxa"/>
            <w:vAlign w:val="center"/>
          </w:tcPr>
          <w:p w14:paraId="29B18101">
            <w:pPr>
              <w:numPr>
                <w:ilvl w:val="255"/>
                <w:numId w:val="0"/>
              </w:numPr>
              <w:spacing w:line="40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1、维护期（质保期）1年，自项目验收合格之日计起。</w:t>
            </w:r>
          </w:p>
          <w:p w14:paraId="3E53E48F">
            <w:pPr>
              <w:numPr>
                <w:ilvl w:val="255"/>
                <w:numId w:val="0"/>
              </w:numPr>
              <w:spacing w:line="40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2、质保期内，本合同项目所有技术和服务发生任何非人为故障，由供应商负责处理并恢复使用。</w:t>
            </w:r>
          </w:p>
          <w:p w14:paraId="02DE19FD">
            <w:pPr>
              <w:spacing w:line="40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3、课程教学包培训支持服务：培训应贯穿于整个项目的实施过程中，含课程上传、授课管理、课程运行等。培训方式含上门培训结合网络培训；提供完整的培训资料。</w:t>
            </w:r>
          </w:p>
        </w:tc>
      </w:tr>
      <w:tr w14:paraId="7095F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5" w:type="dxa"/>
            <w:vAlign w:val="center"/>
          </w:tcPr>
          <w:p w14:paraId="5B7A9AA5">
            <w:pPr>
              <w:spacing w:line="400" w:lineRule="exact"/>
              <w:jc w:val="left"/>
              <w:rPr>
                <w:rFonts w:ascii="宋体" w:hAnsi="宋体" w:cs="宋体"/>
                <w:bCs/>
                <w:color w:val="auto"/>
                <w:kern w:val="0"/>
                <w:szCs w:val="21"/>
                <w:highlight w:val="none"/>
              </w:rPr>
            </w:pPr>
            <w:r>
              <w:rPr>
                <w:rFonts w:hint="eastAsia" w:ascii="宋体" w:hAnsi="宋体" w:cs="宋体"/>
                <w:bCs/>
                <w:color w:val="auto"/>
                <w:kern w:val="0"/>
                <w:szCs w:val="21"/>
                <w:highlight w:val="none"/>
              </w:rPr>
              <w:t>▲版权与知识保护</w:t>
            </w:r>
          </w:p>
        </w:tc>
        <w:tc>
          <w:tcPr>
            <w:tcW w:w="7483" w:type="dxa"/>
            <w:vAlign w:val="center"/>
          </w:tcPr>
          <w:p w14:paraId="1DC0C487">
            <w:pPr>
              <w:spacing w:line="40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数据产权归采购人所有，成交供应商不得泄露学校内部数据，也不得将学校内部数据用于商业用途。</w:t>
            </w:r>
          </w:p>
        </w:tc>
      </w:tr>
    </w:tbl>
    <w:p w14:paraId="46DE5E9F">
      <w:pPr>
        <w:overflowPunct w:val="0"/>
        <w:spacing w:line="400" w:lineRule="exact"/>
        <w:ind w:firstLine="422" w:firstLineChars="200"/>
        <w:rPr>
          <w:rFonts w:ascii="宋体" w:hAnsi="宋体" w:cs="宋体"/>
          <w:b/>
          <w:bCs/>
          <w:color w:val="auto"/>
          <w:szCs w:val="21"/>
          <w:highlight w:val="none"/>
        </w:rPr>
      </w:pPr>
    </w:p>
    <w:p w14:paraId="5CFAFAE1">
      <w:pPr>
        <w:overflowPunct w:val="0"/>
        <w:spacing w:line="400" w:lineRule="exact"/>
        <w:ind w:firstLine="422" w:firstLineChars="200"/>
        <w:rPr>
          <w:rFonts w:ascii="宋体" w:cs="宋体"/>
          <w:b/>
          <w:bCs/>
          <w:color w:val="auto"/>
          <w:szCs w:val="21"/>
          <w:highlight w:val="none"/>
        </w:rPr>
      </w:pPr>
      <w:r>
        <w:rPr>
          <w:rFonts w:hint="eastAsia" w:ascii="宋体" w:hAnsi="宋体" w:cs="宋体"/>
          <w:b/>
          <w:bCs/>
          <w:color w:val="auto"/>
          <w:szCs w:val="21"/>
          <w:highlight w:val="none"/>
        </w:rPr>
        <w:t>本磋商文件中带“</w:t>
      </w:r>
      <w:r>
        <w:rPr>
          <w:rFonts w:hint="eastAsia" w:ascii="宋体" w:hAnsi="宋体" w:cs="宋体"/>
          <w:color w:val="auto"/>
          <w:kern w:val="0"/>
          <w:szCs w:val="21"/>
          <w:highlight w:val="none"/>
          <w:lang w:eastAsia="zh-Hans" w:bidi="ar"/>
        </w:rPr>
        <w:t>★</w:t>
      </w:r>
      <w:r>
        <w:rPr>
          <w:rFonts w:hint="eastAsia" w:ascii="宋体" w:hAnsi="宋体" w:cs="宋体"/>
          <w:b/>
          <w:bCs/>
          <w:color w:val="auto"/>
          <w:szCs w:val="21"/>
          <w:highlight w:val="none"/>
        </w:rPr>
        <w:t>”的条款为重要条款，供应商在响应文件中未作出响应，不作无效标处理；带“▲”的条款为主要条款，供应商必须在响应文件中全部作出响应，否则将作无效标处理。</w:t>
      </w:r>
    </w:p>
    <w:p w14:paraId="1B66977E">
      <w:pPr>
        <w:overflowPunct w:val="0"/>
        <w:autoSpaceDE w:val="0"/>
        <w:autoSpaceDN w:val="0"/>
        <w:adjustRightInd w:val="0"/>
        <w:snapToGrid w:val="0"/>
        <w:spacing w:line="400" w:lineRule="exact"/>
        <w:ind w:firstLine="422" w:firstLineChars="200"/>
        <w:textAlignment w:val="bottom"/>
        <w:rPr>
          <w:rFonts w:ascii="宋体" w:hAnsi="宋体" w:cs="宋体"/>
          <w:b/>
          <w:bCs/>
          <w:iCs/>
          <w:color w:val="auto"/>
          <w:szCs w:val="21"/>
          <w:highlight w:val="none"/>
        </w:rPr>
      </w:pPr>
      <w:r>
        <w:rPr>
          <w:rFonts w:hint="eastAsia" w:ascii="宋体" w:hAnsi="宋体" w:cs="宋体"/>
          <w:b/>
          <w:bCs/>
          <w:iCs/>
          <w:color w:val="auto"/>
          <w:szCs w:val="21"/>
          <w:highlight w:val="none"/>
        </w:rPr>
        <w:t>为了更好地实现采购目标，磋商小组可以修改竞争性磋商文件，对采购需求、合同草案作出实质性变动，并以书面形式通知所有参加磋商的供应商。供应商收到修改采购文件的通知后，可以决定是否继续参加磋商活动。</w:t>
      </w:r>
    </w:p>
    <w:p w14:paraId="3ACFD33C">
      <w:pPr>
        <w:rPr>
          <w:rFonts w:ascii="宋体" w:hAnsi="宋体" w:cs="宋体"/>
          <w:b/>
          <w:bCs/>
          <w:iCs/>
          <w:color w:val="auto"/>
          <w:szCs w:val="21"/>
          <w:highlight w:val="none"/>
        </w:rPr>
      </w:pPr>
      <w:r>
        <w:rPr>
          <w:rFonts w:hint="eastAsia" w:ascii="宋体" w:hAnsi="宋体" w:cs="宋体"/>
          <w:b/>
          <w:bCs/>
          <w:iCs/>
          <w:color w:val="auto"/>
          <w:szCs w:val="21"/>
          <w:highlight w:val="none"/>
        </w:rPr>
        <w:br w:type="page"/>
      </w:r>
    </w:p>
    <w:p w14:paraId="0C6F1769">
      <w:pPr>
        <w:pStyle w:val="3"/>
        <w:keepNext w:val="0"/>
        <w:keepLines w:val="0"/>
        <w:overflowPunct w:val="0"/>
        <w:spacing w:before="0" w:after="0" w:line="600" w:lineRule="exact"/>
        <w:jc w:val="center"/>
        <w:rPr>
          <w:rFonts w:ascii="宋体" w:cs="宋体"/>
          <w:color w:val="auto"/>
          <w:sz w:val="32"/>
          <w:szCs w:val="32"/>
          <w:highlight w:val="none"/>
        </w:rPr>
      </w:pPr>
      <w:bookmarkStart w:id="78" w:name="_Toc18790"/>
      <w:bookmarkStart w:id="79" w:name="_Toc31033"/>
      <w:bookmarkStart w:id="80" w:name="_Toc18787"/>
      <w:bookmarkStart w:id="81" w:name="_Toc21683"/>
      <w:bookmarkStart w:id="82" w:name="_Toc402872203"/>
      <w:r>
        <w:rPr>
          <w:rFonts w:hint="eastAsia" w:ascii="宋体" w:hAnsi="宋体" w:cs="宋体"/>
          <w:color w:val="auto"/>
          <w:sz w:val="32"/>
          <w:szCs w:val="32"/>
          <w:highlight w:val="none"/>
        </w:rPr>
        <w:t>第四章</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磋商原则和程序</w:t>
      </w:r>
      <w:bookmarkEnd w:id="78"/>
      <w:bookmarkEnd w:id="79"/>
      <w:bookmarkEnd w:id="80"/>
      <w:bookmarkEnd w:id="81"/>
      <w:bookmarkEnd w:id="82"/>
    </w:p>
    <w:p w14:paraId="340967FD">
      <w:pPr>
        <w:overflowPunct w:val="0"/>
        <w:snapToGrid w:val="0"/>
        <w:spacing w:line="400" w:lineRule="exact"/>
        <w:ind w:firstLine="420" w:firstLineChars="200"/>
        <w:rPr>
          <w:rFonts w:ascii="宋体" w:cs="宋体"/>
          <w:bCs/>
          <w:color w:val="auto"/>
          <w:szCs w:val="21"/>
          <w:highlight w:val="none"/>
        </w:rPr>
      </w:pPr>
      <w:bookmarkStart w:id="83" w:name="_Toc17438"/>
      <w:bookmarkStart w:id="84" w:name="_Toc6985"/>
      <w:r>
        <w:rPr>
          <w:rFonts w:hint="eastAsia" w:ascii="宋体" w:hAnsi="宋体" w:cs="宋体"/>
          <w:bCs/>
          <w:color w:val="auto"/>
          <w:szCs w:val="21"/>
          <w:highlight w:val="none"/>
        </w:rPr>
        <w:t>根据《中华人民共和国政府采购法》、《政府采购竞争性磋商采购方式管理暂行办法》等要求，遵循公开、公平、公正、科学、择优原则和诚实、信誉、效率的服务原则，制定本评审办法。</w:t>
      </w:r>
      <w:bookmarkEnd w:id="83"/>
      <w:bookmarkEnd w:id="84"/>
    </w:p>
    <w:p w14:paraId="76E8FA26">
      <w:pPr>
        <w:pStyle w:val="4"/>
        <w:keepNext w:val="0"/>
        <w:keepLines w:val="0"/>
        <w:overflowPunct w:val="0"/>
        <w:spacing w:before="0" w:after="0" w:line="400" w:lineRule="exact"/>
        <w:rPr>
          <w:rFonts w:ascii="宋体" w:hAnsi="宋体" w:eastAsia="宋体" w:cs="宋体"/>
          <w:color w:val="auto"/>
          <w:sz w:val="21"/>
          <w:szCs w:val="21"/>
          <w:highlight w:val="none"/>
        </w:rPr>
      </w:pPr>
      <w:bookmarkStart w:id="85" w:name="_Toc3163"/>
      <w:bookmarkStart w:id="86" w:name="_Toc14739"/>
      <w:bookmarkStart w:id="87" w:name="_Toc402872204"/>
      <w:bookmarkStart w:id="88" w:name="_Toc282640741"/>
      <w:bookmarkStart w:id="89" w:name="_Toc5294"/>
      <w:bookmarkStart w:id="90" w:name="_Toc25646"/>
      <w:bookmarkStart w:id="91" w:name="_Toc25894"/>
      <w:bookmarkStart w:id="92" w:name="_Toc10937"/>
      <w:bookmarkStart w:id="93" w:name="_Toc31017"/>
      <w:r>
        <w:rPr>
          <w:rFonts w:hint="eastAsia" w:ascii="宋体" w:hAnsi="宋体" w:eastAsia="宋体" w:cs="宋体"/>
          <w:color w:val="auto"/>
          <w:sz w:val="21"/>
          <w:szCs w:val="21"/>
          <w:highlight w:val="none"/>
        </w:rPr>
        <w:t>一、</w:t>
      </w:r>
      <w:bookmarkEnd w:id="85"/>
      <w:bookmarkEnd w:id="86"/>
      <w:bookmarkEnd w:id="87"/>
      <w:bookmarkEnd w:id="88"/>
      <w:bookmarkEnd w:id="89"/>
      <w:r>
        <w:rPr>
          <w:rFonts w:hint="eastAsia" w:ascii="宋体" w:hAnsi="宋体" w:eastAsia="宋体" w:cs="宋体"/>
          <w:color w:val="auto"/>
          <w:sz w:val="21"/>
          <w:szCs w:val="21"/>
          <w:highlight w:val="none"/>
        </w:rPr>
        <w:t>开启响应文件</w:t>
      </w:r>
      <w:bookmarkEnd w:id="90"/>
      <w:bookmarkEnd w:id="91"/>
      <w:bookmarkEnd w:id="92"/>
      <w:bookmarkEnd w:id="93"/>
    </w:p>
    <w:p w14:paraId="1D31F3F7">
      <w:pPr>
        <w:overflowPunct w:val="0"/>
        <w:autoSpaceDE w:val="0"/>
        <w:autoSpaceDN w:val="0"/>
        <w:adjustRightInd w:val="0"/>
        <w:snapToGrid w:val="0"/>
        <w:spacing w:line="400" w:lineRule="exact"/>
        <w:ind w:firstLine="420" w:firstLineChars="200"/>
        <w:textAlignment w:val="bottom"/>
        <w:rPr>
          <w:rFonts w:ascii="宋体" w:hAnsi="宋体" w:cs="宋体"/>
          <w:bCs/>
          <w:color w:val="auto"/>
          <w:szCs w:val="21"/>
          <w:highlight w:val="none"/>
        </w:rPr>
      </w:pPr>
      <w:bookmarkStart w:id="94" w:name="_Toc8657"/>
      <w:bookmarkStart w:id="95" w:name="_Toc282640744"/>
      <w:bookmarkStart w:id="96" w:name="_Toc10100"/>
      <w:bookmarkStart w:id="97" w:name="_Toc402872205"/>
      <w:bookmarkStart w:id="98" w:name="_Toc21671"/>
      <w:r>
        <w:rPr>
          <w:rFonts w:hint="eastAsia" w:ascii="宋体" w:hAnsi="宋体" w:cs="宋体"/>
          <w:bCs/>
          <w:color w:val="auto"/>
          <w:szCs w:val="21"/>
          <w:highlight w:val="none"/>
        </w:rPr>
        <w:t>1、采购组织机构将按照采购文件规定的时间通过“政采云平台”组织磋商、开启响应文件，所有供应商均应当准时在线参加。</w:t>
      </w:r>
    </w:p>
    <w:p w14:paraId="7D4922B1">
      <w:pPr>
        <w:overflowPunct w:val="0"/>
        <w:autoSpaceDE w:val="0"/>
        <w:autoSpaceDN w:val="0"/>
        <w:adjustRightInd w:val="0"/>
        <w:snapToGrid w:val="0"/>
        <w:spacing w:line="400" w:lineRule="exact"/>
        <w:ind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2、供应商法定代表人或法定代表人授权代表必须在线出席磋商会议。供应商因未在线出席磋商会议而导致响应文件无法按时解密等一切后果由供应商自行承担。</w:t>
      </w:r>
    </w:p>
    <w:p w14:paraId="11557E54">
      <w:pPr>
        <w:overflowPunct w:val="0"/>
        <w:autoSpaceDE w:val="0"/>
        <w:autoSpaceDN w:val="0"/>
        <w:adjustRightInd w:val="0"/>
        <w:snapToGrid w:val="0"/>
        <w:spacing w:line="400" w:lineRule="exact"/>
        <w:ind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3、磋商时间到，采购代理机构将向各供应商发出“电子加密响应文件”的解密通知，各供应商代 表应当在接到解密通知后30分钟内自行完成“电子加密响应文件”的在线解密。</w:t>
      </w:r>
    </w:p>
    <w:p w14:paraId="0921D412">
      <w:pPr>
        <w:overflowPunct w:val="0"/>
        <w:autoSpaceDE w:val="0"/>
        <w:autoSpaceDN w:val="0"/>
        <w:adjustRightInd w:val="0"/>
        <w:snapToGrid w:val="0"/>
        <w:spacing w:line="400" w:lineRule="exact"/>
        <w:ind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通过“政采云平台”成功上传递交的“电子加密响应文件”无法按时解密的，供应商如按规定递交了“备份响应文件”的，以“备份响应文件”为依据（由采购代理机构按“政采云平台”操作规范将“备份响应文件”上传至“政采云平台”，上传成功后，“电子加密响应文件”自动失效），否则视为响应文件撤回。</w:t>
      </w:r>
    </w:p>
    <w:p w14:paraId="4F835ADC">
      <w:pPr>
        <w:pStyle w:val="4"/>
        <w:keepNext w:val="0"/>
        <w:keepLines w:val="0"/>
        <w:overflowPunct w:val="0"/>
        <w:spacing w:before="0" w:after="0" w:line="400" w:lineRule="exact"/>
        <w:rPr>
          <w:rFonts w:ascii="宋体" w:hAnsi="宋体" w:eastAsia="宋体" w:cs="宋体"/>
          <w:color w:val="auto"/>
          <w:sz w:val="21"/>
          <w:szCs w:val="21"/>
          <w:highlight w:val="none"/>
        </w:rPr>
      </w:pPr>
      <w:bookmarkStart w:id="99" w:name="_Toc18438"/>
      <w:bookmarkStart w:id="100" w:name="_Toc13220"/>
      <w:bookmarkStart w:id="101" w:name="_Toc10089"/>
      <w:bookmarkStart w:id="102" w:name="_Toc5477"/>
      <w:r>
        <w:rPr>
          <w:rFonts w:hint="eastAsia" w:ascii="宋体" w:hAnsi="宋体" w:eastAsia="宋体" w:cs="宋体"/>
          <w:color w:val="auto"/>
          <w:sz w:val="21"/>
          <w:szCs w:val="21"/>
          <w:highlight w:val="none"/>
        </w:rPr>
        <w:t>二、磋商小组</w:t>
      </w:r>
      <w:bookmarkEnd w:id="94"/>
      <w:bookmarkEnd w:id="95"/>
      <w:bookmarkEnd w:id="96"/>
      <w:bookmarkEnd w:id="97"/>
      <w:bookmarkEnd w:id="98"/>
      <w:bookmarkEnd w:id="99"/>
      <w:bookmarkEnd w:id="100"/>
      <w:bookmarkEnd w:id="101"/>
      <w:bookmarkEnd w:id="102"/>
    </w:p>
    <w:p w14:paraId="12178F91">
      <w:pPr>
        <w:overflowPunct w:val="0"/>
        <w:autoSpaceDE w:val="0"/>
        <w:autoSpaceDN w:val="0"/>
        <w:adjustRightInd w:val="0"/>
        <w:snapToGrid w:val="0"/>
        <w:spacing w:line="400" w:lineRule="exact"/>
        <w:ind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1、本项目磋商小组依法由3人（含）以上奇数的人员组成，磋商小组对响应文件进行审查、质疑、评估和比较。</w:t>
      </w:r>
    </w:p>
    <w:p w14:paraId="74F0E275">
      <w:pPr>
        <w:overflowPunct w:val="0"/>
        <w:autoSpaceDE w:val="0"/>
        <w:autoSpaceDN w:val="0"/>
        <w:adjustRightInd w:val="0"/>
        <w:snapToGrid w:val="0"/>
        <w:spacing w:line="400" w:lineRule="exact"/>
        <w:ind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 xml:space="preserve">2、磋商期间，供应商法人代表或授权委托人必须在场，负责解答有关事宜。 </w:t>
      </w:r>
    </w:p>
    <w:p w14:paraId="0FDF41D2">
      <w:pPr>
        <w:overflowPunct w:val="0"/>
        <w:autoSpaceDE w:val="0"/>
        <w:autoSpaceDN w:val="0"/>
        <w:adjustRightInd w:val="0"/>
        <w:snapToGrid w:val="0"/>
        <w:spacing w:line="400" w:lineRule="exact"/>
        <w:ind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3、磋商过程应严格保密，磋商小组及有关工作人员应严格遵守纪律，不得泄露任何磋商信息。</w:t>
      </w:r>
    </w:p>
    <w:p w14:paraId="60640786">
      <w:pPr>
        <w:pStyle w:val="4"/>
        <w:keepNext w:val="0"/>
        <w:keepLines w:val="0"/>
        <w:overflowPunct w:val="0"/>
        <w:spacing w:before="0" w:after="0" w:line="400" w:lineRule="exact"/>
        <w:rPr>
          <w:rFonts w:ascii="宋体" w:hAnsi="宋体" w:eastAsia="宋体" w:cs="宋体"/>
          <w:color w:val="auto"/>
          <w:sz w:val="21"/>
          <w:szCs w:val="21"/>
          <w:highlight w:val="none"/>
        </w:rPr>
      </w:pPr>
      <w:bookmarkStart w:id="103" w:name="_Toc1065"/>
      <w:bookmarkStart w:id="104" w:name="_Toc1737"/>
      <w:bookmarkStart w:id="105" w:name="_Toc31672"/>
      <w:bookmarkStart w:id="106" w:name="_Toc24827"/>
      <w:bookmarkStart w:id="107" w:name="_Toc1103"/>
      <w:bookmarkStart w:id="108" w:name="_Toc1211"/>
      <w:bookmarkStart w:id="109" w:name="_Toc402872206"/>
      <w:bookmarkStart w:id="110" w:name="_Toc20285"/>
      <w:r>
        <w:rPr>
          <w:rFonts w:hint="eastAsia" w:ascii="宋体" w:hAnsi="宋体" w:eastAsia="宋体" w:cs="宋体"/>
          <w:color w:val="auto"/>
          <w:sz w:val="21"/>
          <w:szCs w:val="21"/>
          <w:highlight w:val="none"/>
        </w:rPr>
        <w:t>三、竞争性磋商原则与方法</w:t>
      </w:r>
      <w:bookmarkEnd w:id="103"/>
      <w:bookmarkEnd w:id="104"/>
      <w:bookmarkEnd w:id="105"/>
      <w:bookmarkEnd w:id="106"/>
      <w:bookmarkEnd w:id="107"/>
      <w:bookmarkEnd w:id="108"/>
      <w:bookmarkEnd w:id="109"/>
      <w:bookmarkEnd w:id="110"/>
    </w:p>
    <w:p w14:paraId="61AD3655">
      <w:pPr>
        <w:overflowPunct w:val="0"/>
        <w:autoSpaceDE w:val="0"/>
        <w:autoSpaceDN w:val="0"/>
        <w:adjustRightInd w:val="0"/>
        <w:snapToGrid w:val="0"/>
        <w:spacing w:line="400" w:lineRule="exact"/>
        <w:ind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1、磋商小组将遵循公开、公平、公正的原则，对供应商提供服务的价格、服务水平、服务期、服务方案、人员配置、供应商基本情况、履约能力等进行综合分析考评。</w:t>
      </w:r>
    </w:p>
    <w:p w14:paraId="31BE20B3">
      <w:pPr>
        <w:overflowPunct w:val="0"/>
        <w:autoSpaceDE w:val="0"/>
        <w:autoSpaceDN w:val="0"/>
        <w:adjustRightInd w:val="0"/>
        <w:snapToGrid w:val="0"/>
        <w:spacing w:line="400" w:lineRule="exact"/>
        <w:ind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 xml:space="preserve">2、磋商小组应客观、公正的对待所有供应商，对所有响应文件评价，均采用相同的程序和标准。 </w:t>
      </w:r>
    </w:p>
    <w:p w14:paraId="7A57624E">
      <w:pPr>
        <w:overflowPunct w:val="0"/>
        <w:autoSpaceDE w:val="0"/>
        <w:autoSpaceDN w:val="0"/>
        <w:adjustRightInd w:val="0"/>
        <w:snapToGrid w:val="0"/>
        <w:spacing w:line="400" w:lineRule="exact"/>
        <w:ind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 xml:space="preserve">3、在磋商期间，供应商不得向磋商小组成员询问磋商情况，不得进行旨在影响磋商结果的活动，否则将废除其磋商资格。 </w:t>
      </w:r>
    </w:p>
    <w:p w14:paraId="1330B598">
      <w:pPr>
        <w:overflowPunct w:val="0"/>
        <w:autoSpaceDE w:val="0"/>
        <w:autoSpaceDN w:val="0"/>
        <w:adjustRightInd w:val="0"/>
        <w:snapToGrid w:val="0"/>
        <w:spacing w:line="400" w:lineRule="exact"/>
        <w:ind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 xml:space="preserve">4、在磋商过程中，磋商小组成员不得与供应商私下交换意见，在竞争性磋商工作结束后，凡与磋商情况有接触的人不得将磋商情况扩散出磋商小组成员之外。 </w:t>
      </w:r>
    </w:p>
    <w:p w14:paraId="6047A7AA">
      <w:pPr>
        <w:overflowPunct w:val="0"/>
        <w:autoSpaceDE w:val="0"/>
        <w:autoSpaceDN w:val="0"/>
        <w:adjustRightInd w:val="0"/>
        <w:snapToGrid w:val="0"/>
        <w:spacing w:line="400" w:lineRule="exact"/>
        <w:ind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5、采购招标单位不向未成交供应商解释未成交原因，不退还响应文件。</w:t>
      </w:r>
    </w:p>
    <w:p w14:paraId="75119FCD">
      <w:pPr>
        <w:pStyle w:val="4"/>
        <w:keepNext w:val="0"/>
        <w:keepLines w:val="0"/>
        <w:overflowPunct w:val="0"/>
        <w:spacing w:before="0" w:after="0" w:line="400" w:lineRule="exact"/>
        <w:rPr>
          <w:rFonts w:ascii="宋体" w:hAnsi="宋体" w:eastAsia="宋体" w:cs="宋体"/>
          <w:color w:val="auto"/>
          <w:sz w:val="21"/>
          <w:szCs w:val="21"/>
          <w:highlight w:val="none"/>
        </w:rPr>
      </w:pPr>
      <w:bookmarkStart w:id="111" w:name="_Toc32039"/>
      <w:bookmarkStart w:id="112" w:name="_Toc19079"/>
      <w:bookmarkStart w:id="113" w:name="_Toc29829"/>
      <w:bookmarkStart w:id="114" w:name="_Toc15794"/>
      <w:bookmarkStart w:id="115" w:name="_Toc5611"/>
      <w:bookmarkStart w:id="116" w:name="_Toc2502"/>
      <w:bookmarkStart w:id="117" w:name="_Toc282640747"/>
      <w:bookmarkStart w:id="118" w:name="_Toc402872207"/>
      <w:bookmarkStart w:id="119" w:name="_Toc32595"/>
      <w:r>
        <w:rPr>
          <w:rFonts w:hint="eastAsia" w:ascii="宋体" w:hAnsi="宋体" w:eastAsia="宋体" w:cs="宋体"/>
          <w:color w:val="auto"/>
          <w:sz w:val="21"/>
          <w:szCs w:val="21"/>
          <w:highlight w:val="none"/>
        </w:rPr>
        <w:t>四、磋商程序</w:t>
      </w:r>
      <w:bookmarkEnd w:id="111"/>
      <w:bookmarkEnd w:id="112"/>
      <w:bookmarkEnd w:id="113"/>
      <w:bookmarkEnd w:id="114"/>
      <w:bookmarkEnd w:id="115"/>
      <w:bookmarkEnd w:id="116"/>
      <w:bookmarkEnd w:id="117"/>
      <w:bookmarkEnd w:id="118"/>
      <w:bookmarkEnd w:id="119"/>
    </w:p>
    <w:p w14:paraId="507A0C2A">
      <w:pPr>
        <w:overflowPunct w:val="0"/>
        <w:autoSpaceDE w:val="0"/>
        <w:autoSpaceDN w:val="0"/>
        <w:adjustRightInd w:val="0"/>
        <w:snapToGrid w:val="0"/>
        <w:spacing w:line="400" w:lineRule="exact"/>
        <w:ind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 xml:space="preserve">1、响应文件解密后，磋商小组将对依法对供应商的资格进行审查，资格审查结束后进入符合性审查和资信技术的评审工作。 </w:t>
      </w:r>
    </w:p>
    <w:p w14:paraId="1358A5F9">
      <w:pPr>
        <w:overflowPunct w:val="0"/>
        <w:autoSpaceDE w:val="0"/>
        <w:autoSpaceDN w:val="0"/>
        <w:adjustRightInd w:val="0"/>
        <w:snapToGrid w:val="0"/>
        <w:spacing w:line="400" w:lineRule="exact"/>
        <w:ind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 xml:space="preserve">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法定代表人授权书。 </w:t>
      </w:r>
    </w:p>
    <w:p w14:paraId="63E8CB96">
      <w:pPr>
        <w:overflowPunct w:val="0"/>
        <w:autoSpaceDE w:val="0"/>
        <w:autoSpaceDN w:val="0"/>
        <w:adjustRightInd w:val="0"/>
        <w:snapToGrid w:val="0"/>
        <w:spacing w:line="400" w:lineRule="exact"/>
        <w:ind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 xml:space="preserve">3、磋商小组所有成员应当集中与单一供应商分别进行磋商，并给予所有参加磋商的供应商平等的磋商机会。 </w:t>
      </w:r>
    </w:p>
    <w:p w14:paraId="2551302C">
      <w:pPr>
        <w:overflowPunct w:val="0"/>
        <w:autoSpaceDE w:val="0"/>
        <w:autoSpaceDN w:val="0"/>
        <w:adjustRightInd w:val="0"/>
        <w:snapToGrid w:val="0"/>
        <w:spacing w:line="400" w:lineRule="exact"/>
        <w:ind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 xml:space="preserve">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 权代表签字或者加盖公章。由授权代表签字的，应当附法定代表人授权书。 </w:t>
      </w:r>
    </w:p>
    <w:p w14:paraId="7A6B2541">
      <w:pPr>
        <w:overflowPunct w:val="0"/>
        <w:autoSpaceDE w:val="0"/>
        <w:autoSpaceDN w:val="0"/>
        <w:adjustRightInd w:val="0"/>
        <w:snapToGrid w:val="0"/>
        <w:spacing w:line="400" w:lineRule="exact"/>
        <w:ind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5、磋商文件能够详细列明采购标的的技术、服务要求的，磋商结束后，磋商小组应当要求所有实质性响应的供应商在规定时间内提交最后报价，除规定的情形外，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初次报价不公开。</w:t>
      </w:r>
    </w:p>
    <w:p w14:paraId="103B2C8B">
      <w:pPr>
        <w:overflowPunct w:val="0"/>
        <w:autoSpaceDE w:val="0"/>
        <w:autoSpaceDN w:val="0"/>
        <w:adjustRightInd w:val="0"/>
        <w:snapToGrid w:val="0"/>
        <w:spacing w:line="400" w:lineRule="exact"/>
        <w:ind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 xml:space="preserve">6、已提交响应文件的供应商，在提交最后报价之前，可以根据磋商情况退出磋商。 </w:t>
      </w:r>
    </w:p>
    <w:p w14:paraId="22055288">
      <w:pPr>
        <w:overflowPunct w:val="0"/>
        <w:autoSpaceDE w:val="0"/>
        <w:autoSpaceDN w:val="0"/>
        <w:adjustRightInd w:val="0"/>
        <w:snapToGrid w:val="0"/>
        <w:spacing w:line="400" w:lineRule="exact"/>
        <w:ind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 xml:space="preserve">7、根据《关于政府采购竞争性磋商采购方式管理暂行办法有关问题的补充通知》财库〔2015〕124号）以及《财政部关于印发&lt;政府采购竞争性磋商采购方式管理暂行办法&gt;的通知》（财库〔2014〕214号）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 </w:t>
      </w:r>
    </w:p>
    <w:p w14:paraId="20CB936C">
      <w:pPr>
        <w:overflowPunct w:val="0"/>
        <w:autoSpaceDE w:val="0"/>
        <w:autoSpaceDN w:val="0"/>
        <w:adjustRightInd w:val="0"/>
        <w:snapToGrid w:val="0"/>
        <w:spacing w:line="400" w:lineRule="exact"/>
        <w:ind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 xml:space="preserve">8、经磋商确定最终采购需求后，由磋商小组根据采购文件规定的评分办法对响应文件的技术资信部分进行评分。 </w:t>
      </w:r>
    </w:p>
    <w:p w14:paraId="4721A1EF">
      <w:pPr>
        <w:overflowPunct w:val="0"/>
        <w:autoSpaceDE w:val="0"/>
        <w:autoSpaceDN w:val="0"/>
        <w:adjustRightInd w:val="0"/>
        <w:snapToGrid w:val="0"/>
        <w:spacing w:line="400" w:lineRule="exact"/>
        <w:ind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 xml:space="preserve">9、磋商小组在磋商结束后，要求所有继续参加磋商的供应商在规定时间内提交最后报价。超过规定时间提交的报价无效。 </w:t>
      </w:r>
    </w:p>
    <w:p w14:paraId="2751A074">
      <w:pPr>
        <w:overflowPunct w:val="0"/>
        <w:autoSpaceDE w:val="0"/>
        <w:autoSpaceDN w:val="0"/>
        <w:adjustRightInd w:val="0"/>
        <w:snapToGrid w:val="0"/>
        <w:spacing w:line="400" w:lineRule="exact"/>
        <w:ind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 xml:space="preserve">10、供应商在规定的时间内提交最终报价，代理机构协助计算供应商的价格得分。 </w:t>
      </w:r>
    </w:p>
    <w:p w14:paraId="36F87B51">
      <w:pPr>
        <w:overflowPunct w:val="0"/>
        <w:autoSpaceDE w:val="0"/>
        <w:autoSpaceDN w:val="0"/>
        <w:adjustRightInd w:val="0"/>
        <w:snapToGrid w:val="0"/>
        <w:spacing w:line="400" w:lineRule="exact"/>
        <w:ind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 xml:space="preserve">11、采购代理机构协助磋商小组汇总计算各供应商综合得分。 </w:t>
      </w:r>
    </w:p>
    <w:p w14:paraId="637C0680">
      <w:pPr>
        <w:overflowPunct w:val="0"/>
        <w:autoSpaceDE w:val="0"/>
        <w:autoSpaceDN w:val="0"/>
        <w:adjustRightInd w:val="0"/>
        <w:snapToGrid w:val="0"/>
        <w:spacing w:line="400" w:lineRule="exact"/>
        <w:ind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 xml:space="preserve">12、磋商小组应当根据综合评分情况，按照评审得分由高到低顺序推荐3名成交候选供应商（有效供应商不足3家的情形除外），并编写评审报告，采购人根据评审报告推荐的顺序确定第一名为成交供应商。符合相关规定情形的，可以推荐2家成交候选供应商。评审得分相同的，按照最后报价由低到高的顺序推荐。评审得分且最后报价相同的，按照技术指标优劣顺序推荐。 </w:t>
      </w:r>
    </w:p>
    <w:p w14:paraId="56CEC7EC">
      <w:pPr>
        <w:overflowPunct w:val="0"/>
        <w:autoSpaceDE w:val="0"/>
        <w:autoSpaceDN w:val="0"/>
        <w:adjustRightInd w:val="0"/>
        <w:snapToGrid w:val="0"/>
        <w:spacing w:line="400" w:lineRule="exact"/>
        <w:ind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13、磋商小组通过电子交易平台向采购人及其委托的代理机构提交评审报告。同时打印纸质评审报告签署后由采购代理机构保存。</w:t>
      </w:r>
    </w:p>
    <w:p w14:paraId="1EA08AA4">
      <w:pPr>
        <w:overflowPunct w:val="0"/>
        <w:autoSpaceDE w:val="0"/>
        <w:autoSpaceDN w:val="0"/>
        <w:adjustRightInd w:val="0"/>
        <w:snapToGrid w:val="0"/>
        <w:spacing w:line="400" w:lineRule="exact"/>
        <w:ind w:firstLine="422" w:firstLineChars="200"/>
        <w:textAlignment w:val="bottom"/>
        <w:rPr>
          <w:rFonts w:ascii="宋体" w:cs="宋体"/>
          <w:bCs/>
          <w:color w:val="auto"/>
          <w:szCs w:val="21"/>
          <w:highlight w:val="none"/>
        </w:rPr>
      </w:pPr>
      <w:r>
        <w:rPr>
          <w:rFonts w:hint="eastAsia" w:ascii="宋体" w:hAnsi="宋体" w:cs="宋体"/>
          <w:b/>
          <w:color w:val="auto"/>
          <w:szCs w:val="21"/>
          <w:highlight w:val="none"/>
        </w:rPr>
        <w:t>特别说明：政采云平台如对电子化开标及评审程序有调整的，按调整后的程序操作。</w:t>
      </w:r>
    </w:p>
    <w:p w14:paraId="40CB4839">
      <w:pPr>
        <w:pStyle w:val="4"/>
        <w:keepNext w:val="0"/>
        <w:keepLines w:val="0"/>
        <w:overflowPunct w:val="0"/>
        <w:spacing w:before="0" w:after="0" w:line="400" w:lineRule="exact"/>
        <w:rPr>
          <w:rFonts w:ascii="宋体" w:hAnsi="宋体" w:eastAsia="宋体" w:cs="宋体"/>
          <w:color w:val="auto"/>
          <w:sz w:val="21"/>
          <w:szCs w:val="21"/>
          <w:highlight w:val="none"/>
        </w:rPr>
      </w:pPr>
      <w:bookmarkStart w:id="120" w:name="_Toc30295"/>
      <w:bookmarkStart w:id="121" w:name="_Toc17570"/>
      <w:bookmarkStart w:id="122" w:name="_Toc20393"/>
      <w:bookmarkStart w:id="123" w:name="_Toc282640735"/>
      <w:bookmarkStart w:id="124" w:name="_Toc16204"/>
      <w:bookmarkStart w:id="125" w:name="_Toc4468"/>
      <w:bookmarkStart w:id="126" w:name="_Toc16129"/>
      <w:bookmarkStart w:id="127" w:name="_Toc402872208"/>
      <w:bookmarkStart w:id="128" w:name="_Toc14058"/>
      <w:r>
        <w:rPr>
          <w:rFonts w:hint="eastAsia" w:ascii="宋体" w:hAnsi="宋体" w:eastAsia="宋体" w:cs="宋体"/>
          <w:color w:val="auto"/>
          <w:sz w:val="21"/>
          <w:szCs w:val="21"/>
          <w:highlight w:val="none"/>
        </w:rPr>
        <w:t>五、磋商文件的澄清</w:t>
      </w:r>
      <w:bookmarkEnd w:id="120"/>
      <w:bookmarkEnd w:id="121"/>
      <w:bookmarkEnd w:id="122"/>
      <w:bookmarkEnd w:id="123"/>
      <w:bookmarkEnd w:id="124"/>
      <w:bookmarkEnd w:id="125"/>
      <w:bookmarkEnd w:id="126"/>
      <w:bookmarkEnd w:id="127"/>
      <w:bookmarkEnd w:id="128"/>
    </w:p>
    <w:p w14:paraId="2C17FA4B">
      <w:pPr>
        <w:overflowPunct w:val="0"/>
        <w:autoSpaceDE w:val="0"/>
        <w:autoSpaceDN w:val="0"/>
        <w:adjustRightInd w:val="0"/>
        <w:snapToGrid w:val="0"/>
        <w:spacing w:line="400" w:lineRule="exact"/>
        <w:ind w:firstLine="420" w:firstLineChars="200"/>
        <w:textAlignment w:val="bottom"/>
        <w:rPr>
          <w:rFonts w:ascii="宋体" w:hAnsi="宋体" w:cs="宋体"/>
          <w:bCs/>
          <w:color w:val="auto"/>
          <w:szCs w:val="21"/>
          <w:highlight w:val="none"/>
        </w:rPr>
      </w:pPr>
      <w:bookmarkStart w:id="129" w:name="_Toc402872209"/>
      <w:bookmarkStart w:id="130" w:name="_Toc16835"/>
      <w:bookmarkStart w:id="131" w:name="_Toc6445"/>
      <w:bookmarkStart w:id="132" w:name="_Toc24587"/>
      <w:r>
        <w:rPr>
          <w:rFonts w:hint="eastAsia" w:ascii="宋体" w:hAnsi="宋体" w:cs="宋体"/>
          <w:bCs/>
          <w:color w:val="auto"/>
          <w:szCs w:val="21"/>
          <w:highlight w:val="none"/>
        </w:rPr>
        <w:t xml:space="preserve">1、供应商对磋商文件如有疑义的，应在规定的答疑时间内以书面形式告知采购人，以便及时对磋商文件作出澄清。 </w:t>
      </w:r>
    </w:p>
    <w:p w14:paraId="72AA642D">
      <w:pPr>
        <w:overflowPunct w:val="0"/>
        <w:autoSpaceDE w:val="0"/>
        <w:autoSpaceDN w:val="0"/>
        <w:adjustRightInd w:val="0"/>
        <w:snapToGrid w:val="0"/>
        <w:spacing w:line="400" w:lineRule="exact"/>
        <w:ind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 xml:space="preserve">2、在磋商期间，磋商小组有权要求供应商对其提交的文件资料进行澄清。供应商应派授权代表和有关专业人员接受询问，并对有关内容进行澄清。 </w:t>
      </w:r>
    </w:p>
    <w:p w14:paraId="306C2C73">
      <w:pPr>
        <w:overflowPunct w:val="0"/>
        <w:autoSpaceDE w:val="0"/>
        <w:autoSpaceDN w:val="0"/>
        <w:adjustRightInd w:val="0"/>
        <w:snapToGrid w:val="0"/>
        <w:spacing w:line="400" w:lineRule="exact"/>
        <w:ind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 xml:space="preserve">3、对在澄清中涉及到的商业秘密，磋商小组成员及参加磋商的有关工作人员负有保密责任。 </w:t>
      </w:r>
    </w:p>
    <w:p w14:paraId="586360AB">
      <w:pPr>
        <w:overflowPunct w:val="0"/>
        <w:autoSpaceDE w:val="0"/>
        <w:autoSpaceDN w:val="0"/>
        <w:adjustRightInd w:val="0"/>
        <w:snapToGrid w:val="0"/>
        <w:spacing w:line="400" w:lineRule="exact"/>
        <w:ind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4、磋商小组以书面形式对磋商文件作出的修改或补充，与磋商文件具有同等法律效力。</w:t>
      </w:r>
    </w:p>
    <w:p w14:paraId="5D84706D">
      <w:pPr>
        <w:pStyle w:val="4"/>
        <w:keepNext w:val="0"/>
        <w:keepLines w:val="0"/>
        <w:overflowPunct w:val="0"/>
        <w:spacing w:before="0" w:after="0" w:line="400" w:lineRule="exact"/>
        <w:rPr>
          <w:rFonts w:ascii="宋体" w:hAnsi="宋体" w:eastAsia="宋体" w:cs="宋体"/>
          <w:color w:val="auto"/>
          <w:sz w:val="21"/>
          <w:szCs w:val="21"/>
          <w:highlight w:val="none"/>
        </w:rPr>
      </w:pPr>
      <w:bookmarkStart w:id="133" w:name="_Toc14474"/>
      <w:bookmarkStart w:id="134" w:name="_Toc1291"/>
      <w:bookmarkStart w:id="135" w:name="_Toc21661"/>
      <w:bookmarkStart w:id="136" w:name="_Toc17585"/>
      <w:r>
        <w:rPr>
          <w:rFonts w:hint="eastAsia" w:ascii="宋体" w:hAnsi="宋体" w:eastAsia="宋体" w:cs="宋体"/>
          <w:color w:val="auto"/>
          <w:sz w:val="21"/>
          <w:szCs w:val="21"/>
          <w:highlight w:val="none"/>
        </w:rPr>
        <w:t>六、确定供应商办法</w:t>
      </w:r>
      <w:bookmarkEnd w:id="129"/>
      <w:bookmarkEnd w:id="130"/>
      <w:bookmarkEnd w:id="131"/>
      <w:bookmarkEnd w:id="132"/>
      <w:bookmarkEnd w:id="133"/>
      <w:bookmarkEnd w:id="134"/>
      <w:bookmarkEnd w:id="135"/>
      <w:bookmarkEnd w:id="136"/>
    </w:p>
    <w:p w14:paraId="23AABAFF">
      <w:pPr>
        <w:overflowPunct w:val="0"/>
        <w:autoSpaceDE w:val="0"/>
        <w:autoSpaceDN w:val="0"/>
        <w:adjustRightInd w:val="0"/>
        <w:snapToGrid w:val="0"/>
        <w:spacing w:line="400" w:lineRule="exact"/>
        <w:ind w:firstLine="420" w:firstLineChars="200"/>
        <w:textAlignment w:val="bottom"/>
        <w:rPr>
          <w:rFonts w:ascii="宋体" w:cs="宋体"/>
          <w:bCs/>
          <w:color w:val="auto"/>
          <w:szCs w:val="21"/>
          <w:highlight w:val="none"/>
        </w:rPr>
      </w:pPr>
      <w:bookmarkStart w:id="137" w:name="_Toc402872210"/>
      <w:bookmarkStart w:id="138" w:name="_Toc389216170"/>
      <w:bookmarkStart w:id="139" w:name="_Toc282640748"/>
      <w:r>
        <w:rPr>
          <w:rFonts w:ascii="宋体" w:hAnsi="宋体" w:cs="宋体"/>
          <w:bCs/>
          <w:color w:val="auto"/>
          <w:szCs w:val="21"/>
          <w:highlight w:val="none"/>
        </w:rPr>
        <w:t>1</w:t>
      </w:r>
      <w:r>
        <w:rPr>
          <w:rFonts w:hint="eastAsia" w:ascii="宋体" w:hAnsi="宋体" w:cs="宋体"/>
          <w:bCs/>
          <w:color w:val="auto"/>
          <w:szCs w:val="21"/>
          <w:highlight w:val="none"/>
        </w:rPr>
        <w:t>、本项目由采购人确定成交供应商。</w:t>
      </w:r>
    </w:p>
    <w:p w14:paraId="0E3E0EB9">
      <w:pPr>
        <w:overflowPunct w:val="0"/>
        <w:autoSpaceDE w:val="0"/>
        <w:autoSpaceDN w:val="0"/>
        <w:adjustRightInd w:val="0"/>
        <w:snapToGrid w:val="0"/>
        <w:spacing w:line="400" w:lineRule="exact"/>
        <w:ind w:firstLine="420" w:firstLineChars="200"/>
        <w:textAlignment w:val="bottom"/>
        <w:rPr>
          <w:rFonts w:asci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、本次评审采用</w:t>
      </w:r>
      <w:r>
        <w:rPr>
          <w:rFonts w:hint="eastAsia" w:ascii="宋体" w:hAnsi="宋体" w:cs="宋体"/>
          <w:b/>
          <w:color w:val="auto"/>
          <w:szCs w:val="21"/>
          <w:highlight w:val="none"/>
        </w:rPr>
        <w:t>综合评分法</w:t>
      </w:r>
      <w:r>
        <w:rPr>
          <w:rFonts w:hint="eastAsia" w:ascii="宋体" w:hAnsi="宋体" w:cs="宋体"/>
          <w:bCs/>
          <w:color w:val="auto"/>
          <w:szCs w:val="21"/>
          <w:highlight w:val="none"/>
        </w:rPr>
        <w:t>，即在质量和服务均能满足竞争性磋商文件实质性要求且综合得分由高到低的原则确定成交供应商。</w:t>
      </w:r>
      <w:r>
        <w:rPr>
          <w:rFonts w:ascii="宋体" w:hAnsi="宋体" w:cs="宋体"/>
          <w:bCs/>
          <w:color w:val="auto"/>
          <w:szCs w:val="21"/>
          <w:highlight w:val="none"/>
        </w:rPr>
        <w:t xml:space="preserve"> </w:t>
      </w:r>
    </w:p>
    <w:p w14:paraId="6B981AF8">
      <w:pPr>
        <w:overflowPunct w:val="0"/>
        <w:autoSpaceDE w:val="0"/>
        <w:autoSpaceDN w:val="0"/>
        <w:adjustRightInd w:val="0"/>
        <w:snapToGrid w:val="0"/>
        <w:spacing w:line="400" w:lineRule="exact"/>
        <w:ind w:firstLine="420" w:firstLineChars="200"/>
        <w:textAlignment w:val="bottom"/>
        <w:rPr>
          <w:rFonts w:ascii="宋体" w:cs="宋体"/>
          <w:bCs/>
          <w:color w:val="auto"/>
          <w:szCs w:val="21"/>
          <w:highlight w:val="none"/>
        </w:rPr>
      </w:pPr>
      <w:r>
        <w:rPr>
          <w:rFonts w:ascii="宋体" w:hAnsi="宋体" w:cs="宋体"/>
          <w:bCs/>
          <w:color w:val="auto"/>
          <w:szCs w:val="21"/>
          <w:highlight w:val="none"/>
        </w:rPr>
        <w:t>3</w:t>
      </w:r>
      <w:r>
        <w:rPr>
          <w:rFonts w:hint="eastAsia" w:ascii="宋体" w:hAnsi="宋体" w:cs="宋体"/>
          <w:bCs/>
          <w:color w:val="auto"/>
          <w:szCs w:val="21"/>
          <w:highlight w:val="none"/>
        </w:rPr>
        <w:t>、磋商结束后，磋商小组拟制评审报告。</w:t>
      </w:r>
      <w:r>
        <w:rPr>
          <w:rFonts w:ascii="宋体" w:hAnsi="宋体" w:cs="宋体"/>
          <w:bCs/>
          <w:color w:val="auto"/>
          <w:szCs w:val="21"/>
          <w:highlight w:val="none"/>
        </w:rPr>
        <w:t xml:space="preserve"> </w:t>
      </w:r>
    </w:p>
    <w:p w14:paraId="10270CAB">
      <w:pPr>
        <w:overflowPunct w:val="0"/>
        <w:autoSpaceDE w:val="0"/>
        <w:autoSpaceDN w:val="0"/>
        <w:adjustRightInd w:val="0"/>
        <w:snapToGrid w:val="0"/>
        <w:spacing w:line="400" w:lineRule="exact"/>
        <w:ind w:firstLine="420" w:firstLineChars="200"/>
        <w:textAlignment w:val="bottom"/>
        <w:rPr>
          <w:rFonts w:ascii="宋体" w:cs="宋体"/>
          <w:bCs/>
          <w:color w:val="auto"/>
          <w:szCs w:val="21"/>
          <w:highlight w:val="none"/>
        </w:rPr>
      </w:pPr>
      <w:r>
        <w:rPr>
          <w:rFonts w:ascii="宋体" w:hAnsi="宋体" w:cs="宋体"/>
          <w:bCs/>
          <w:color w:val="auto"/>
          <w:szCs w:val="21"/>
          <w:highlight w:val="none"/>
        </w:rPr>
        <w:t>4</w:t>
      </w:r>
      <w:r>
        <w:rPr>
          <w:rFonts w:hint="eastAsia" w:ascii="宋体" w:hAnsi="宋体" w:cs="宋体"/>
          <w:bCs/>
          <w:color w:val="auto"/>
          <w:szCs w:val="21"/>
          <w:highlight w:val="none"/>
        </w:rPr>
        <w:t>、采购代理机构在评审结束后</w:t>
      </w:r>
      <w:r>
        <w:rPr>
          <w:rFonts w:ascii="宋体" w:hAnsi="宋体" w:cs="宋体"/>
          <w:bCs/>
          <w:color w:val="auto"/>
          <w:szCs w:val="21"/>
          <w:highlight w:val="none"/>
        </w:rPr>
        <w:t>2</w:t>
      </w:r>
      <w:r>
        <w:rPr>
          <w:rFonts w:hint="eastAsia" w:ascii="宋体" w:hAnsi="宋体" w:cs="宋体"/>
          <w:bCs/>
          <w:color w:val="auto"/>
          <w:szCs w:val="21"/>
          <w:highlight w:val="none"/>
        </w:rPr>
        <w:t>个工作日内将评审报告交采购人确认。</w:t>
      </w:r>
      <w:r>
        <w:rPr>
          <w:rFonts w:ascii="宋体" w:hAnsi="宋体" w:cs="宋体"/>
          <w:bCs/>
          <w:color w:val="auto"/>
          <w:szCs w:val="21"/>
          <w:highlight w:val="none"/>
        </w:rPr>
        <w:t xml:space="preserve"> </w:t>
      </w:r>
    </w:p>
    <w:p w14:paraId="746106C9">
      <w:pPr>
        <w:overflowPunct w:val="0"/>
        <w:autoSpaceDE w:val="0"/>
        <w:autoSpaceDN w:val="0"/>
        <w:adjustRightInd w:val="0"/>
        <w:snapToGrid w:val="0"/>
        <w:spacing w:line="400" w:lineRule="exact"/>
        <w:ind w:firstLine="420" w:firstLineChars="200"/>
        <w:textAlignment w:val="bottom"/>
        <w:rPr>
          <w:rFonts w:ascii="宋体" w:cs="宋体"/>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rPr>
        <w:t>、采购人在收到评审报告后</w:t>
      </w:r>
      <w:r>
        <w:rPr>
          <w:rFonts w:ascii="宋体" w:hAnsi="宋体" w:cs="宋体"/>
          <w:bCs/>
          <w:color w:val="auto"/>
          <w:szCs w:val="21"/>
          <w:highlight w:val="none"/>
        </w:rPr>
        <w:t>5</w:t>
      </w:r>
      <w:r>
        <w:rPr>
          <w:rFonts w:hint="eastAsia" w:ascii="宋体" w:hAnsi="宋体" w:cs="宋体"/>
          <w:bCs/>
          <w:color w:val="auto"/>
          <w:szCs w:val="21"/>
          <w:highlight w:val="none"/>
        </w:rPr>
        <w:t>个工作日内对评审结果进行确认。</w:t>
      </w:r>
    </w:p>
    <w:p w14:paraId="1310049C">
      <w:pPr>
        <w:overflowPunct w:val="0"/>
        <w:autoSpaceDE w:val="0"/>
        <w:autoSpaceDN w:val="0"/>
        <w:adjustRightInd w:val="0"/>
        <w:snapToGrid w:val="0"/>
        <w:spacing w:line="400" w:lineRule="exact"/>
        <w:ind w:firstLine="420" w:firstLineChars="200"/>
        <w:textAlignment w:val="bottom"/>
        <w:rPr>
          <w:rFonts w:ascii="宋体" w:cs="宋体"/>
          <w:bCs/>
          <w:color w:val="auto"/>
          <w:szCs w:val="21"/>
          <w:highlight w:val="none"/>
        </w:rPr>
      </w:pPr>
      <w:r>
        <w:rPr>
          <w:rFonts w:ascii="宋体" w:hAnsi="宋体" w:cs="宋体"/>
          <w:bCs/>
          <w:color w:val="auto"/>
          <w:szCs w:val="21"/>
          <w:highlight w:val="none"/>
        </w:rPr>
        <w:t>6</w:t>
      </w:r>
      <w:r>
        <w:rPr>
          <w:rFonts w:hint="eastAsia" w:ascii="宋体" w:hAnsi="宋体" w:cs="宋体"/>
          <w:bCs/>
          <w:color w:val="auto"/>
          <w:szCs w:val="21"/>
          <w:highlight w:val="none"/>
        </w:rPr>
        <w:t>、采购人确定成交供应商后</w:t>
      </w:r>
      <w:r>
        <w:rPr>
          <w:rFonts w:ascii="宋体" w:hAnsi="宋体" w:cs="宋体"/>
          <w:bCs/>
          <w:color w:val="auto"/>
          <w:szCs w:val="21"/>
          <w:highlight w:val="none"/>
        </w:rPr>
        <w:t>2</w:t>
      </w:r>
      <w:r>
        <w:rPr>
          <w:rFonts w:hint="eastAsia" w:ascii="宋体" w:hAnsi="宋体" w:cs="宋体"/>
          <w:bCs/>
          <w:color w:val="auto"/>
          <w:szCs w:val="21"/>
          <w:highlight w:val="none"/>
        </w:rPr>
        <w:t>个工作日内，采购代理机构在相关网站上发布成交公告，同时发出成交通知书。</w:t>
      </w:r>
    </w:p>
    <w:p w14:paraId="01442CB5">
      <w:pPr>
        <w:pStyle w:val="4"/>
        <w:keepNext w:val="0"/>
        <w:keepLines w:val="0"/>
        <w:overflowPunct w:val="0"/>
        <w:spacing w:before="0" w:after="0" w:line="400" w:lineRule="exact"/>
        <w:rPr>
          <w:rFonts w:ascii="宋体" w:hAnsi="宋体" w:eastAsia="宋体" w:cs="宋体"/>
          <w:color w:val="auto"/>
          <w:sz w:val="21"/>
          <w:szCs w:val="21"/>
          <w:highlight w:val="none"/>
        </w:rPr>
      </w:pPr>
      <w:bookmarkStart w:id="140" w:name="_Toc17287"/>
      <w:bookmarkStart w:id="141" w:name="_Toc6858"/>
      <w:bookmarkStart w:id="142" w:name="_Toc7318"/>
      <w:bookmarkStart w:id="143" w:name="_Toc12036"/>
      <w:bookmarkStart w:id="144" w:name="_Toc2609"/>
      <w:bookmarkStart w:id="145" w:name="_Toc14956"/>
      <w:bookmarkStart w:id="146" w:name="_Toc18677"/>
      <w:r>
        <w:rPr>
          <w:rFonts w:hint="eastAsia" w:ascii="宋体" w:hAnsi="宋体" w:eastAsia="宋体" w:cs="宋体"/>
          <w:color w:val="auto"/>
          <w:sz w:val="21"/>
          <w:szCs w:val="21"/>
          <w:highlight w:val="none"/>
        </w:rPr>
        <w:t>七、综合评分法</w:t>
      </w:r>
      <w:bookmarkEnd w:id="137"/>
      <w:bookmarkEnd w:id="138"/>
      <w:bookmarkEnd w:id="139"/>
      <w:bookmarkEnd w:id="140"/>
      <w:bookmarkEnd w:id="141"/>
      <w:bookmarkEnd w:id="142"/>
      <w:bookmarkEnd w:id="143"/>
      <w:bookmarkEnd w:id="144"/>
      <w:bookmarkEnd w:id="145"/>
      <w:bookmarkEnd w:id="146"/>
    </w:p>
    <w:p w14:paraId="189150C7">
      <w:pPr>
        <w:overflowPunct w:val="0"/>
        <w:autoSpaceDE w:val="0"/>
        <w:autoSpaceDN w:val="0"/>
        <w:adjustRightInd w:val="0"/>
        <w:snapToGrid w:val="0"/>
        <w:spacing w:line="400" w:lineRule="exact"/>
        <w:ind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为公正、公平、科学地选择成交供应商，根据《中华人民共和国政府采购法》等有关法律法规的规定，并结合本项目的实际，制定本办法。</w:t>
      </w:r>
    </w:p>
    <w:p w14:paraId="7C5DD8B1">
      <w:pPr>
        <w:overflowPunct w:val="0"/>
        <w:autoSpaceDE w:val="0"/>
        <w:autoSpaceDN w:val="0"/>
        <w:adjustRightInd w:val="0"/>
        <w:snapToGrid w:val="0"/>
        <w:spacing w:line="400" w:lineRule="exact"/>
        <w:ind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1、总则</w:t>
      </w:r>
    </w:p>
    <w:p w14:paraId="2917CB28">
      <w:pPr>
        <w:overflowPunct w:val="0"/>
        <w:autoSpaceDE w:val="0"/>
        <w:autoSpaceDN w:val="0"/>
        <w:adjustRightInd w:val="0"/>
        <w:snapToGrid w:val="0"/>
        <w:spacing w:line="400" w:lineRule="exact"/>
        <w:ind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本次评审采用</w:t>
      </w:r>
      <w:r>
        <w:rPr>
          <w:rFonts w:hint="eastAsia" w:ascii="宋体" w:hAnsi="宋体" w:cs="宋体"/>
          <w:b/>
          <w:color w:val="auto"/>
          <w:szCs w:val="21"/>
          <w:highlight w:val="none"/>
        </w:rPr>
        <w:t>综合评分法</w:t>
      </w:r>
      <w:r>
        <w:rPr>
          <w:rFonts w:hint="eastAsia" w:ascii="宋体" w:hAnsi="宋体" w:cs="宋体"/>
          <w:bCs/>
          <w:color w:val="auto"/>
          <w:szCs w:val="21"/>
          <w:highlight w:val="none"/>
        </w:rPr>
        <w:t>，总分为</w:t>
      </w:r>
      <w:r>
        <w:rPr>
          <w:rFonts w:ascii="宋体" w:hAnsi="宋体" w:cs="宋体"/>
          <w:bCs/>
          <w:color w:val="auto"/>
          <w:szCs w:val="21"/>
          <w:highlight w:val="none"/>
        </w:rPr>
        <w:t>100</w:t>
      </w:r>
      <w:r>
        <w:rPr>
          <w:rFonts w:hint="eastAsia" w:ascii="宋体" w:hAnsi="宋体" w:cs="宋体"/>
          <w:bCs/>
          <w:color w:val="auto"/>
          <w:szCs w:val="21"/>
          <w:highlight w:val="none"/>
        </w:rPr>
        <w:t>分，其中价格分20分、技术商务分80分。合格供应商的评审得分为各项目汇总得分，成交候选资格按综合得分由高到低顺序排列，得分相同的，按报价由低到高顺序排列；得分且报价相同的并列。按照评审得分由高到低顺序推荐3名成交候选供应商（有效供应商不足3家的情形除外）。评分过程中采用四舍五入法，并保留小数</w:t>
      </w:r>
      <w:r>
        <w:rPr>
          <w:rFonts w:ascii="宋体" w:hAnsi="宋体" w:cs="宋体"/>
          <w:bCs/>
          <w:color w:val="auto"/>
          <w:szCs w:val="21"/>
          <w:highlight w:val="none"/>
        </w:rPr>
        <w:t>2</w:t>
      </w:r>
      <w:r>
        <w:rPr>
          <w:rFonts w:hint="eastAsia" w:ascii="宋体" w:hAnsi="宋体" w:cs="宋体"/>
          <w:bCs/>
          <w:color w:val="auto"/>
          <w:szCs w:val="21"/>
          <w:highlight w:val="none"/>
        </w:rPr>
        <w:t>位。</w:t>
      </w:r>
    </w:p>
    <w:p w14:paraId="78BE1839">
      <w:pPr>
        <w:overflowPunct w:val="0"/>
        <w:autoSpaceDE w:val="0"/>
        <w:autoSpaceDN w:val="0"/>
        <w:adjustRightInd w:val="0"/>
        <w:snapToGrid w:val="0"/>
        <w:spacing w:line="400" w:lineRule="exact"/>
        <w:ind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2、计算方法：</w:t>
      </w:r>
    </w:p>
    <w:p w14:paraId="7F18F354">
      <w:pPr>
        <w:overflowPunct w:val="0"/>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（一）价格部分：20分</w:t>
      </w:r>
    </w:p>
    <w:p w14:paraId="750BAC49">
      <w:pPr>
        <w:overflowPunct w:val="0"/>
        <w:autoSpaceDE w:val="0"/>
        <w:autoSpaceDN w:val="0"/>
        <w:adjustRightInd w:val="0"/>
        <w:snapToGrid w:val="0"/>
        <w:spacing w:line="400" w:lineRule="exact"/>
        <w:ind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以有效磋商报价最低的报价为评标基准价，其价格分为满分20分。其他供应商的报价分按照下列公式计算：报价得分</w:t>
      </w:r>
      <w:r>
        <w:rPr>
          <w:rFonts w:ascii="宋体" w:hAnsi="宋体" w:cs="宋体"/>
          <w:bCs/>
          <w:color w:val="auto"/>
          <w:szCs w:val="21"/>
          <w:highlight w:val="none"/>
        </w:rPr>
        <w:t>=</w:t>
      </w:r>
      <w:r>
        <w:rPr>
          <w:rFonts w:hint="eastAsia" w:ascii="宋体" w:hAnsi="宋体" w:cs="宋体"/>
          <w:bCs/>
          <w:color w:val="auto"/>
          <w:szCs w:val="21"/>
          <w:highlight w:val="none"/>
        </w:rPr>
        <w:t>（评标基准价</w:t>
      </w:r>
      <w:r>
        <w:rPr>
          <w:rFonts w:ascii="宋体" w:hAnsi="宋体" w:cs="宋体"/>
          <w:bCs/>
          <w:color w:val="auto"/>
          <w:szCs w:val="21"/>
          <w:highlight w:val="none"/>
        </w:rPr>
        <w:t>/</w:t>
      </w:r>
      <w:r>
        <w:rPr>
          <w:rFonts w:hint="eastAsia" w:ascii="宋体" w:hAnsi="宋体" w:cs="宋体"/>
          <w:bCs/>
          <w:color w:val="auto"/>
          <w:szCs w:val="21"/>
          <w:highlight w:val="none"/>
        </w:rPr>
        <w:t>投标报价）×20</w:t>
      </w:r>
      <w:r>
        <w:rPr>
          <w:rFonts w:ascii="宋体" w:hAnsi="宋体" w:cs="宋体"/>
          <w:bCs/>
          <w:color w:val="auto"/>
          <w:szCs w:val="21"/>
          <w:highlight w:val="none"/>
        </w:rPr>
        <w:t>%</w:t>
      </w:r>
      <w:r>
        <w:rPr>
          <w:rFonts w:hint="eastAsia" w:ascii="宋体" w:hAnsi="宋体" w:cs="宋体"/>
          <w:bCs/>
          <w:color w:val="auto"/>
          <w:szCs w:val="21"/>
          <w:highlight w:val="none"/>
        </w:rPr>
        <w:t>×</w:t>
      </w:r>
      <w:r>
        <w:rPr>
          <w:rFonts w:ascii="宋体" w:hAnsi="宋体" w:cs="宋体"/>
          <w:bCs/>
          <w:color w:val="auto"/>
          <w:szCs w:val="21"/>
          <w:highlight w:val="none"/>
        </w:rPr>
        <w:t>100</w:t>
      </w:r>
    </w:p>
    <w:p w14:paraId="5F82C2A9">
      <w:pPr>
        <w:overflowPunct w:val="0"/>
        <w:autoSpaceDE w:val="0"/>
        <w:autoSpaceDN w:val="0"/>
        <w:adjustRightInd w:val="0"/>
        <w:snapToGrid w:val="0"/>
        <w:spacing w:line="400" w:lineRule="exact"/>
        <w:ind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磋商报价超出</w:t>
      </w:r>
      <w:r>
        <w:rPr>
          <w:rFonts w:hint="eastAsia" w:ascii="宋体" w:hAnsi="宋体" w:cs="宋体"/>
          <w:bCs/>
          <w:color w:val="auto"/>
          <w:szCs w:val="21"/>
          <w:highlight w:val="none"/>
          <w:lang w:eastAsia="zh-CN"/>
        </w:rPr>
        <w:t>预算金额</w:t>
      </w:r>
      <w:r>
        <w:rPr>
          <w:rFonts w:hint="eastAsia" w:ascii="宋体" w:hAnsi="宋体" w:cs="宋体"/>
          <w:bCs/>
          <w:color w:val="auto"/>
          <w:szCs w:val="21"/>
          <w:highlight w:val="none"/>
        </w:rPr>
        <w:t>的，其报价无效。</w:t>
      </w:r>
    </w:p>
    <w:p w14:paraId="493FD45A">
      <w:pPr>
        <w:numPr>
          <w:ilvl w:val="255"/>
          <w:numId w:val="0"/>
        </w:numPr>
        <w:spacing w:line="400" w:lineRule="exact"/>
        <w:ind w:firstLine="420" w:firstLineChars="200"/>
        <w:rPr>
          <w:rFonts w:hint="eastAsia" w:ascii="宋体" w:hAnsi="宋体" w:cs="宋体"/>
          <w:bCs/>
          <w:color w:val="auto"/>
          <w:szCs w:val="21"/>
          <w:highlight w:val="none"/>
        </w:rPr>
      </w:pPr>
      <w:bookmarkStart w:id="147" w:name="_Toc10368"/>
      <w:bookmarkStart w:id="148" w:name="_Toc29649"/>
      <w:bookmarkStart w:id="149" w:name="_Toc10142"/>
      <w:bookmarkStart w:id="150" w:name="_Toc32479"/>
      <w:r>
        <w:rPr>
          <w:rFonts w:hint="eastAsia" w:ascii="宋体" w:hAnsi="宋体" w:cs="宋体"/>
          <w:bCs/>
          <w:color w:val="auto"/>
          <w:szCs w:val="21"/>
          <w:highlight w:val="none"/>
        </w:rPr>
        <w:t>评审中出现下列情形之一的，评标委员会应当启动异常低价投标（响应）审查程序：</w:t>
      </w:r>
    </w:p>
    <w:p w14:paraId="3E4BBDD9">
      <w:pPr>
        <w:numPr>
          <w:ilvl w:val="255"/>
          <w:numId w:val="0"/>
        </w:num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（一）投标（响应）报价低于全部通过符合性审查供应商投标（响应）报价平均值50%的，即投标（响应）报价</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全部通过符合性审查供应商投标（响应）报价平均值×50%；</w:t>
      </w:r>
    </w:p>
    <w:p w14:paraId="44983A26">
      <w:pPr>
        <w:numPr>
          <w:ilvl w:val="255"/>
          <w:numId w:val="0"/>
        </w:num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（二）投标（响应）报价低于通过符合性审查且报价次低供应商投标（响应）报价50%的，即投标（响应）报价</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通过符合性审查且报价次低供应商投标（响应）报价×50%；</w:t>
      </w:r>
    </w:p>
    <w:p w14:paraId="3D6AB4E5">
      <w:pPr>
        <w:numPr>
          <w:ilvl w:val="255"/>
          <w:numId w:val="0"/>
        </w:num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（三）投标（响应）报价低于采购项目最高限价45%的，即投标（响应）报价</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采购项目最高限价×45%；</w:t>
      </w:r>
    </w:p>
    <w:p w14:paraId="1A2E1DFC">
      <w:pPr>
        <w:numPr>
          <w:ilvl w:val="255"/>
          <w:numId w:val="0"/>
        </w:num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（四）其他评审委员会认为供应商报价过低，有可能影响产品质量或者不能诚信履约的情形。</w:t>
      </w:r>
    </w:p>
    <w:p w14:paraId="7C340260">
      <w:pPr>
        <w:numPr>
          <w:ilvl w:val="255"/>
          <w:numId w:val="0"/>
        </w:num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评审委员会启动异常低价投标（响应）审查后，要求</w:t>
      </w:r>
      <w:r>
        <w:rPr>
          <w:rFonts w:hint="eastAsia" w:ascii="宋体" w:hAnsi="宋体" w:cs="宋体"/>
          <w:bCs/>
          <w:color w:val="auto"/>
          <w:szCs w:val="21"/>
          <w:highlight w:val="none"/>
          <w:lang w:eastAsia="zh-CN"/>
        </w:rPr>
        <w:t>供应商</w:t>
      </w:r>
      <w:r>
        <w:rPr>
          <w:rFonts w:hint="eastAsia" w:ascii="宋体" w:hAnsi="宋体" w:cs="宋体"/>
          <w:bCs/>
          <w:color w:val="auto"/>
          <w:szCs w:val="21"/>
          <w:highlight w:val="none"/>
        </w:rPr>
        <w:t>在评审现场30分钟内提供书面说明及必要的证明材料，对投标（响应）价格作出解释。书面说明、证明材料主要是项目具体成本测算等与报价合理性相关的说明、材料。</w:t>
      </w:r>
    </w:p>
    <w:p w14:paraId="09AF9EB0">
      <w:pPr>
        <w:numPr>
          <w:ilvl w:val="255"/>
          <w:numId w:val="0"/>
        </w:num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如果投标（响应）供应商不提供书面说明、证明材料，或者提供的书面说明、证明材料不能证明其报价合理性的，应当将其作为无效投标（响应）处理。审查相关情况应当在评审报告中记录。</w:t>
      </w:r>
    </w:p>
    <w:p w14:paraId="7E7B34AF">
      <w:pPr>
        <w:numPr>
          <w:ilvl w:val="255"/>
          <w:numId w:val="0"/>
        </w:numPr>
        <w:spacing w:line="400" w:lineRule="exact"/>
        <w:ind w:firstLine="420" w:firstLineChars="200"/>
        <w:rPr>
          <w:rFonts w:ascii="宋体" w:hAnsi="宋体"/>
          <w:b/>
          <w:color w:val="auto"/>
          <w:szCs w:val="21"/>
          <w:highlight w:val="none"/>
        </w:rPr>
      </w:pPr>
      <w:r>
        <w:rPr>
          <w:rFonts w:hint="eastAsia" w:ascii="宋体" w:hAnsi="宋体" w:cs="宋体"/>
          <w:bCs/>
          <w:color w:val="auto"/>
          <w:szCs w:val="21"/>
          <w:highlight w:val="none"/>
        </w:rPr>
        <w:t>本项目为专门面向中小企业采购，供应商为非中小企业，资格审查不通过；符合上述条件的中小微型企业应按照竞争性磋商文件附件的格式要求在资格证明文件中提供《中小企业声明函》</w:t>
      </w:r>
      <w:r>
        <w:rPr>
          <w:rFonts w:hint="eastAsia" w:ascii="宋体" w:hAnsi="宋体"/>
          <w:color w:val="auto"/>
          <w:szCs w:val="21"/>
          <w:highlight w:val="none"/>
        </w:rPr>
        <w:t>。</w:t>
      </w:r>
    </w:p>
    <w:bookmarkEnd w:id="147"/>
    <w:bookmarkEnd w:id="148"/>
    <w:bookmarkEnd w:id="149"/>
    <w:bookmarkEnd w:id="150"/>
    <w:p w14:paraId="1C9DD0CB">
      <w:pPr>
        <w:numPr>
          <w:ilvl w:val="0"/>
          <w:numId w:val="7"/>
        </w:numPr>
        <w:overflowPunct w:val="0"/>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商务部分、技术部分：80分</w:t>
      </w:r>
    </w:p>
    <w:tbl>
      <w:tblPr>
        <w:tblStyle w:val="32"/>
        <w:tblW w:w="8723" w:type="dxa"/>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125"/>
        <w:gridCol w:w="668"/>
        <w:gridCol w:w="6200"/>
      </w:tblGrid>
      <w:tr w14:paraId="3872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vAlign w:val="center"/>
          </w:tcPr>
          <w:p w14:paraId="2AED2C6B">
            <w:pPr>
              <w:adjustRightInd w:val="0"/>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snapToGrid w:val="0"/>
                <w:color w:val="auto"/>
                <w:sz w:val="21"/>
                <w:szCs w:val="21"/>
                <w:highlight w:val="none"/>
              </w:rPr>
              <w:t>序号</w:t>
            </w:r>
          </w:p>
        </w:tc>
        <w:tc>
          <w:tcPr>
            <w:tcW w:w="1125" w:type="dxa"/>
            <w:vAlign w:val="center"/>
          </w:tcPr>
          <w:p w14:paraId="0DE989B5">
            <w:pPr>
              <w:adjustRightInd w:val="0"/>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评分项目</w:t>
            </w:r>
          </w:p>
        </w:tc>
        <w:tc>
          <w:tcPr>
            <w:tcW w:w="668" w:type="dxa"/>
            <w:vAlign w:val="center"/>
          </w:tcPr>
          <w:p w14:paraId="195E6613">
            <w:pPr>
              <w:adjustRightInd w:val="0"/>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6200" w:type="dxa"/>
            <w:vAlign w:val="center"/>
          </w:tcPr>
          <w:p w14:paraId="09666358">
            <w:pPr>
              <w:adjustRightInd w:val="0"/>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r>
      <w:tr w14:paraId="2452A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vAlign w:val="center"/>
          </w:tcPr>
          <w:p w14:paraId="3205C671">
            <w:pPr>
              <w:adjustRightInd w:val="0"/>
              <w:snapToGrid w:val="0"/>
              <w:spacing w:line="400" w:lineRule="exact"/>
              <w:jc w:val="center"/>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1</w:t>
            </w:r>
          </w:p>
        </w:tc>
        <w:tc>
          <w:tcPr>
            <w:tcW w:w="1125" w:type="dxa"/>
            <w:vAlign w:val="center"/>
          </w:tcPr>
          <w:p w14:paraId="7247BBBE">
            <w:pPr>
              <w:adjustRightInd w:val="0"/>
              <w:snapToGrid w:val="0"/>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性能要求响应情况</w:t>
            </w:r>
          </w:p>
        </w:tc>
        <w:tc>
          <w:tcPr>
            <w:tcW w:w="668" w:type="dxa"/>
            <w:vAlign w:val="center"/>
          </w:tcPr>
          <w:p w14:paraId="68D373DD">
            <w:pPr>
              <w:adjustRightInd w:val="0"/>
              <w:snapToGrid w:val="0"/>
              <w:spacing w:line="400" w:lineRule="exact"/>
              <w:jc w:val="center"/>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val="en-US"/>
              </w:rPr>
              <w:t>0</w:t>
            </w:r>
          </w:p>
        </w:tc>
        <w:tc>
          <w:tcPr>
            <w:tcW w:w="6200" w:type="dxa"/>
            <w:vAlign w:val="center"/>
          </w:tcPr>
          <w:p w14:paraId="7B6F3BE1">
            <w:pPr>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1、满足采购的所有性能及技术指标要求的，得3</w:t>
            </w:r>
            <w:r>
              <w:rPr>
                <w:rFonts w:hint="eastAsia" w:ascii="宋体" w:hAnsi="宋体" w:eastAsia="宋体" w:cs="宋体"/>
                <w:bCs/>
                <w:color w:val="auto"/>
                <w:sz w:val="21"/>
                <w:szCs w:val="21"/>
                <w:highlight w:val="none"/>
                <w:lang w:val="en-US"/>
              </w:rPr>
              <w:t>0</w:t>
            </w:r>
            <w:r>
              <w:rPr>
                <w:rFonts w:hint="eastAsia" w:ascii="宋体" w:hAnsi="宋体" w:eastAsia="宋体" w:cs="宋体"/>
                <w:bCs/>
                <w:color w:val="auto"/>
                <w:sz w:val="21"/>
                <w:szCs w:val="21"/>
                <w:highlight w:val="none"/>
              </w:rPr>
              <w:t>分；</w:t>
            </w:r>
          </w:p>
          <w:p w14:paraId="62BF3C3B">
            <w:pPr>
              <w:spacing w:line="400" w:lineRule="exac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2、▲为实质性参数，如有偏离将会被视为无效标处理。允许偏离的指标低于采购需求的，或有要求提供检测报告或者截图证明而未提供的，视为负偏离，标注“★”的每项扣</w:t>
            </w:r>
            <w:r>
              <w:rPr>
                <w:rFonts w:hint="eastAsia" w:ascii="宋体" w:hAnsi="宋体" w:eastAsia="宋体" w:cs="宋体"/>
                <w:bCs/>
                <w:color w:val="auto"/>
                <w:sz w:val="21"/>
                <w:szCs w:val="21"/>
                <w:highlight w:val="none"/>
                <w:lang w:val="en-US"/>
              </w:rPr>
              <w:t>2</w:t>
            </w:r>
            <w:r>
              <w:rPr>
                <w:rFonts w:hint="eastAsia" w:ascii="宋体" w:hAnsi="宋体" w:eastAsia="宋体" w:cs="宋体"/>
                <w:bCs/>
                <w:color w:val="auto"/>
                <w:sz w:val="21"/>
                <w:szCs w:val="21"/>
                <w:highlight w:val="none"/>
              </w:rPr>
              <w:t>分，扣完为止；未标注“★”的每项扣</w:t>
            </w:r>
            <w:r>
              <w:rPr>
                <w:rFonts w:hint="eastAsia" w:ascii="宋体" w:hAnsi="宋体" w:eastAsia="宋体" w:cs="宋体"/>
                <w:bCs/>
                <w:color w:val="auto"/>
                <w:sz w:val="21"/>
                <w:szCs w:val="21"/>
                <w:highlight w:val="none"/>
                <w:lang w:val="en-US"/>
              </w:rPr>
              <w:t>1</w:t>
            </w:r>
            <w:r>
              <w:rPr>
                <w:rFonts w:hint="eastAsia" w:ascii="宋体" w:hAnsi="宋体" w:eastAsia="宋体" w:cs="宋体"/>
                <w:bCs/>
                <w:color w:val="auto"/>
                <w:sz w:val="21"/>
                <w:szCs w:val="21"/>
                <w:highlight w:val="none"/>
              </w:rPr>
              <w:t>分，扣完为止。</w:t>
            </w:r>
          </w:p>
        </w:tc>
      </w:tr>
      <w:tr w14:paraId="7238A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vAlign w:val="center"/>
          </w:tcPr>
          <w:p w14:paraId="4DC550D7">
            <w:pPr>
              <w:adjustRightInd w:val="0"/>
              <w:snapToGrid w:val="0"/>
              <w:spacing w:line="400" w:lineRule="exact"/>
              <w:jc w:val="center"/>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2</w:t>
            </w:r>
          </w:p>
        </w:tc>
        <w:tc>
          <w:tcPr>
            <w:tcW w:w="1125" w:type="dxa"/>
            <w:vAlign w:val="center"/>
          </w:tcPr>
          <w:p w14:paraId="3A29DBC8">
            <w:pPr>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项目实施方案</w:t>
            </w:r>
          </w:p>
        </w:tc>
        <w:tc>
          <w:tcPr>
            <w:tcW w:w="668" w:type="dxa"/>
            <w:vAlign w:val="center"/>
          </w:tcPr>
          <w:p w14:paraId="1E70394B">
            <w:pPr>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p>
        </w:tc>
        <w:tc>
          <w:tcPr>
            <w:tcW w:w="6200" w:type="dxa"/>
            <w:vAlign w:val="center"/>
          </w:tcPr>
          <w:p w14:paraId="645D6D4B">
            <w:pPr>
              <w:spacing w:line="400" w:lineRule="exac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针对本项目编制项目实施方案，包括项目实施流程、人员岗位配置、服务措施等内容。</w:t>
            </w:r>
            <w:r>
              <w:rPr>
                <w:rFonts w:hint="eastAsia" w:ascii="宋体" w:hAnsi="宋体" w:eastAsia="宋体" w:cs="宋体"/>
                <w:bCs/>
                <w:color w:val="auto"/>
                <w:kern w:val="0"/>
                <w:sz w:val="21"/>
                <w:szCs w:val="21"/>
                <w:highlight w:val="none"/>
              </w:rPr>
              <w:t>可给予</w:t>
            </w: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rPr>
              <w:t>分、</w:t>
            </w:r>
            <w:r>
              <w:rPr>
                <w:rFonts w:hint="eastAsia" w:ascii="宋体" w:hAnsi="宋体" w:eastAsia="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rPr>
              <w:t>分</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分、</w:t>
            </w: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分、1分</w:t>
            </w:r>
            <w:r>
              <w:rPr>
                <w:rFonts w:hint="eastAsia" w:ascii="宋体" w:hAnsi="宋体" w:eastAsia="宋体" w:cs="宋体"/>
                <w:color w:val="auto"/>
                <w:sz w:val="21"/>
                <w:szCs w:val="21"/>
                <w:highlight w:val="none"/>
              </w:rPr>
              <w:t>，未提供的不得分。</w:t>
            </w:r>
          </w:p>
        </w:tc>
      </w:tr>
      <w:tr w14:paraId="67A9D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vAlign w:val="center"/>
          </w:tcPr>
          <w:p w14:paraId="26118878">
            <w:pPr>
              <w:adjustRightInd w:val="0"/>
              <w:snapToGrid w:val="0"/>
              <w:spacing w:line="400" w:lineRule="exact"/>
              <w:jc w:val="center"/>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3</w:t>
            </w:r>
          </w:p>
        </w:tc>
        <w:tc>
          <w:tcPr>
            <w:tcW w:w="1125" w:type="dxa"/>
            <w:vAlign w:val="center"/>
          </w:tcPr>
          <w:p w14:paraId="3700FE91">
            <w:pPr>
              <w:pStyle w:val="16"/>
              <w:adjustRightInd w:val="0"/>
              <w:spacing w:before="0" w:beforeAutospacing="0" w:after="0" w:afterAutospacing="0" w:line="400" w:lineRule="exact"/>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工学一体服务能力</w:t>
            </w:r>
          </w:p>
        </w:tc>
        <w:tc>
          <w:tcPr>
            <w:tcW w:w="668" w:type="dxa"/>
            <w:vAlign w:val="center"/>
          </w:tcPr>
          <w:p w14:paraId="1DF14B64">
            <w:pPr>
              <w:pStyle w:val="93"/>
              <w:spacing w:line="40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12</w:t>
            </w:r>
          </w:p>
        </w:tc>
        <w:tc>
          <w:tcPr>
            <w:tcW w:w="6200" w:type="dxa"/>
            <w:vAlign w:val="center"/>
          </w:tcPr>
          <w:p w14:paraId="2A8207C7">
            <w:pPr>
              <w:tabs>
                <w:tab w:val="left" w:pos="312"/>
              </w:tabs>
              <w:spacing w:line="40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承担的课题、教材开发、课程建设、教学能力竞赛辅导等获奖情况进行评审。（本项最高得6分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同一课题、教材开发、课程建设、教学能力竞赛辅导等内容获奖的，以最高级别得分为准，不重复计分）</w:t>
            </w:r>
          </w:p>
          <w:p w14:paraId="1C9E295F">
            <w:pPr>
              <w:tabs>
                <w:tab w:val="left" w:pos="312"/>
              </w:tabs>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获得国家级奖项或课题，每提供一项有效证明材料得3分；</w:t>
            </w:r>
          </w:p>
          <w:p w14:paraId="771A6D1E">
            <w:pPr>
              <w:tabs>
                <w:tab w:val="left" w:pos="312"/>
              </w:tabs>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获得省级奖项或课题，每提供一项有效证明材料得1.5分；</w:t>
            </w:r>
          </w:p>
          <w:p w14:paraId="65950780">
            <w:pPr>
              <w:tabs>
                <w:tab w:val="left" w:pos="312"/>
              </w:tabs>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获得市级奖项或课题，每提供一项有效证明材料得1分。</w:t>
            </w:r>
          </w:p>
          <w:p w14:paraId="1632240C">
            <w:pPr>
              <w:tabs>
                <w:tab w:val="left" w:pos="312"/>
              </w:tabs>
              <w:spacing w:line="40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承担的精品课程建设、优质课堂建设辅导等获奖情况进行评审。（本项最高得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5F4A9DBA">
            <w:pPr>
              <w:tabs>
                <w:tab w:val="left" w:pos="312"/>
              </w:tabs>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获得省级</w:t>
            </w:r>
            <w:r>
              <w:rPr>
                <w:rFonts w:hint="eastAsia" w:ascii="宋体" w:hAnsi="宋体" w:cs="宋体"/>
                <w:color w:val="auto"/>
                <w:sz w:val="21"/>
                <w:szCs w:val="21"/>
                <w:highlight w:val="none"/>
                <w:lang w:eastAsia="zh-CN"/>
              </w:rPr>
              <w:t>及以上</w:t>
            </w:r>
            <w:r>
              <w:rPr>
                <w:rFonts w:hint="eastAsia" w:ascii="宋体" w:hAnsi="宋体" w:eastAsia="宋体" w:cs="宋体"/>
                <w:color w:val="auto"/>
                <w:sz w:val="21"/>
                <w:szCs w:val="21"/>
                <w:highlight w:val="none"/>
              </w:rPr>
              <w:t>精品课程建设和优质课堂建设奖项的，每提供一项有效证明材料得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包括政府采购及合同、相关工作过程材料、成果材料等）。</w:t>
            </w:r>
          </w:p>
          <w:p w14:paraId="095B5257">
            <w:pPr>
              <w:tabs>
                <w:tab w:val="left" w:pos="312"/>
              </w:tabs>
              <w:spacing w:line="40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、根据</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工学一体数智平台的应用情况进行评审。</w:t>
            </w:r>
            <w:r>
              <w:rPr>
                <w:rFonts w:hint="eastAsia" w:ascii="宋体" w:hAnsi="宋体" w:eastAsia="宋体" w:cs="宋体"/>
                <w:color w:val="auto"/>
                <w:sz w:val="21"/>
                <w:szCs w:val="21"/>
                <w:highlight w:val="none"/>
              </w:rPr>
              <w:t>（本项最高得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rPr>
              <w:t>包括在工学一体教学能力大赛、工学一体精品课程、工学一体优质课堂等的应用情况，每提供一项有效证明材料得0.5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包括政府采购及合同、相关工作过程材料、成果材料等）。</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rPr>
              <w:t>注：提供的材料可证明由</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承担的得分，若无法判定是否由供应商承担的不得分。</w:t>
            </w:r>
          </w:p>
        </w:tc>
      </w:tr>
      <w:tr w14:paraId="4C3A1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vAlign w:val="center"/>
          </w:tcPr>
          <w:p w14:paraId="01530873">
            <w:pPr>
              <w:adjustRightInd w:val="0"/>
              <w:snapToGrid w:val="0"/>
              <w:spacing w:line="400" w:lineRule="exact"/>
              <w:jc w:val="center"/>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4</w:t>
            </w:r>
          </w:p>
        </w:tc>
        <w:tc>
          <w:tcPr>
            <w:tcW w:w="1125" w:type="dxa"/>
            <w:vAlign w:val="center"/>
          </w:tcPr>
          <w:p w14:paraId="6C35D266">
            <w:pPr>
              <w:spacing w:line="400" w:lineRule="exact"/>
              <w:jc w:val="center"/>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rPr>
              <w:t>重点难点分析和解决措施</w:t>
            </w:r>
          </w:p>
        </w:tc>
        <w:tc>
          <w:tcPr>
            <w:tcW w:w="668" w:type="dxa"/>
            <w:vAlign w:val="center"/>
          </w:tcPr>
          <w:p w14:paraId="2487087A">
            <w:pPr>
              <w:pStyle w:val="93"/>
              <w:spacing w:line="400" w:lineRule="exact"/>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p>
        </w:tc>
        <w:tc>
          <w:tcPr>
            <w:tcW w:w="6200" w:type="dxa"/>
            <w:vAlign w:val="center"/>
          </w:tcPr>
          <w:p w14:paraId="1C9DEE4A">
            <w:pPr>
              <w:pStyle w:val="93"/>
              <w:spacing w:line="400" w:lineRule="exact"/>
              <w:rPr>
                <w:rFonts w:hint="eastAsia" w:ascii="宋体" w:hAnsi="宋体" w:eastAsia="宋体" w:cs="宋体"/>
                <w:color w:val="auto"/>
                <w:kern w:val="2"/>
                <w:sz w:val="21"/>
                <w:szCs w:val="21"/>
                <w:highlight w:val="none"/>
                <w:lang w:eastAsia="zh-Hans"/>
              </w:rPr>
            </w:pPr>
            <w:r>
              <w:rPr>
                <w:rFonts w:hint="eastAsia" w:ascii="宋体" w:hAnsi="宋体" w:eastAsia="宋体" w:cs="宋体"/>
                <w:color w:val="auto"/>
                <w:sz w:val="21"/>
                <w:szCs w:val="21"/>
                <w:highlight w:val="none"/>
              </w:rPr>
              <w:t>针对本项目提出项目重点及难点，并进行分析，提出具有切实可行的解决措施</w:t>
            </w:r>
            <w:r>
              <w:rPr>
                <w:rFonts w:hint="eastAsia" w:ascii="宋体" w:hAnsi="宋体" w:eastAsia="宋体" w:cs="宋体"/>
                <w:color w:val="auto"/>
                <w:sz w:val="21"/>
                <w:szCs w:val="21"/>
                <w:highlight w:val="none"/>
                <w:lang w:eastAsia="zh-CN"/>
              </w:rPr>
              <w:t>情况</w:t>
            </w:r>
            <w:r>
              <w:rPr>
                <w:rFonts w:hint="eastAsia" w:ascii="宋体" w:hAnsi="宋体" w:eastAsia="宋体" w:cs="宋体"/>
                <w:color w:val="auto"/>
                <w:sz w:val="21"/>
                <w:szCs w:val="21"/>
                <w:highlight w:val="none"/>
              </w:rPr>
              <w:t>。可给予</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分、1分，未提供的不得分。</w:t>
            </w:r>
          </w:p>
        </w:tc>
      </w:tr>
      <w:tr w14:paraId="4B4A5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vAlign w:val="center"/>
          </w:tcPr>
          <w:p w14:paraId="7B5B47AC">
            <w:pPr>
              <w:adjustRightInd w:val="0"/>
              <w:snapToGrid w:val="0"/>
              <w:spacing w:line="400" w:lineRule="exact"/>
              <w:jc w:val="center"/>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5</w:t>
            </w:r>
          </w:p>
        </w:tc>
        <w:tc>
          <w:tcPr>
            <w:tcW w:w="1125" w:type="dxa"/>
            <w:vAlign w:val="center"/>
          </w:tcPr>
          <w:p w14:paraId="2B8713C3">
            <w:pPr>
              <w:spacing w:line="400" w:lineRule="exact"/>
              <w:jc w:val="center"/>
              <w:rPr>
                <w:rFonts w:hint="eastAsia" w:ascii="宋体" w:hAnsi="宋体" w:eastAsia="宋体" w:cs="宋体"/>
                <w:bCs/>
                <w:color w:val="auto"/>
                <w:sz w:val="21"/>
                <w:szCs w:val="21"/>
                <w:highlight w:val="none"/>
                <w:lang w:val="zh-TW"/>
              </w:rPr>
            </w:pPr>
            <w:r>
              <w:rPr>
                <w:rFonts w:hint="eastAsia" w:ascii="宋体" w:hAnsi="宋体" w:eastAsia="宋体" w:cs="宋体"/>
                <w:color w:val="auto"/>
                <w:sz w:val="21"/>
                <w:szCs w:val="21"/>
                <w:highlight w:val="none"/>
              </w:rPr>
              <w:t>质量保障措施</w:t>
            </w:r>
          </w:p>
        </w:tc>
        <w:tc>
          <w:tcPr>
            <w:tcW w:w="668" w:type="dxa"/>
            <w:vAlign w:val="center"/>
          </w:tcPr>
          <w:p w14:paraId="4662B893">
            <w:pPr>
              <w:pStyle w:val="93"/>
              <w:spacing w:line="400" w:lineRule="exact"/>
              <w:jc w:val="center"/>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rPr>
              <w:t>5</w:t>
            </w:r>
          </w:p>
        </w:tc>
        <w:tc>
          <w:tcPr>
            <w:tcW w:w="6200" w:type="dxa"/>
            <w:vAlign w:val="center"/>
          </w:tcPr>
          <w:p w14:paraId="4A1451B1">
            <w:pPr>
              <w:spacing w:line="400" w:lineRule="exac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针对本项目的服务质量控制措施，根据措施方案的合理性、可行性、完善性进行评审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可给予</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分、1分，未提供的不得分。</w:t>
            </w:r>
          </w:p>
        </w:tc>
      </w:tr>
      <w:tr w14:paraId="04A5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vAlign w:val="center"/>
          </w:tcPr>
          <w:p w14:paraId="185CC9FB">
            <w:pPr>
              <w:adjustRightInd w:val="0"/>
              <w:snapToGrid w:val="0"/>
              <w:spacing w:line="400" w:lineRule="exact"/>
              <w:jc w:val="center"/>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6</w:t>
            </w:r>
          </w:p>
        </w:tc>
        <w:tc>
          <w:tcPr>
            <w:tcW w:w="1125" w:type="dxa"/>
            <w:vAlign w:val="center"/>
          </w:tcPr>
          <w:p w14:paraId="6A9AD39D">
            <w:pPr>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val="zh-TW"/>
              </w:rPr>
              <w:t>安全与保密措施</w:t>
            </w:r>
          </w:p>
        </w:tc>
        <w:tc>
          <w:tcPr>
            <w:tcW w:w="668" w:type="dxa"/>
            <w:vAlign w:val="center"/>
          </w:tcPr>
          <w:p w14:paraId="17450CE1">
            <w:pPr>
              <w:autoSpaceDE w:val="0"/>
              <w:autoSpaceDN w:val="0"/>
              <w:adjustRightInd w:val="0"/>
              <w:snapToGrid w:val="0"/>
              <w:spacing w:line="400" w:lineRule="exact"/>
              <w:jc w:val="center"/>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6200" w:type="dxa"/>
            <w:vAlign w:val="center"/>
          </w:tcPr>
          <w:p w14:paraId="0760480B">
            <w:pPr>
              <w:spacing w:line="400" w:lineRule="exact"/>
              <w:rPr>
                <w:rFonts w:hint="eastAsia" w:ascii="宋体" w:hAnsi="宋体" w:eastAsia="宋体" w:cs="宋体"/>
                <w:bCs/>
                <w:color w:val="auto"/>
                <w:spacing w:val="5"/>
                <w:kern w:val="0"/>
                <w:sz w:val="21"/>
                <w:szCs w:val="21"/>
                <w:highlight w:val="none"/>
              </w:rPr>
            </w:pPr>
            <w:r>
              <w:rPr>
                <w:rFonts w:hint="eastAsia" w:ascii="宋体" w:hAnsi="宋体" w:eastAsia="宋体" w:cs="宋体"/>
                <w:color w:val="auto"/>
                <w:sz w:val="21"/>
                <w:szCs w:val="21"/>
                <w:highlight w:val="none"/>
              </w:rPr>
              <w:t>根据供应商提供的数据管理、档案管理、保密管理等安全措施</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可给予</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分、1分，未提供的不得分。</w:t>
            </w:r>
          </w:p>
        </w:tc>
      </w:tr>
      <w:tr w14:paraId="05105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vAlign w:val="center"/>
          </w:tcPr>
          <w:p w14:paraId="31C5F6DA">
            <w:pPr>
              <w:adjustRightInd w:val="0"/>
              <w:snapToGrid w:val="0"/>
              <w:spacing w:line="400" w:lineRule="exact"/>
              <w:jc w:val="center"/>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7</w:t>
            </w:r>
          </w:p>
        </w:tc>
        <w:tc>
          <w:tcPr>
            <w:tcW w:w="1125" w:type="dxa"/>
            <w:vAlign w:val="center"/>
          </w:tcPr>
          <w:p w14:paraId="5A4511FC">
            <w:pPr>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项目团队人员</w:t>
            </w:r>
          </w:p>
        </w:tc>
        <w:tc>
          <w:tcPr>
            <w:tcW w:w="668" w:type="dxa"/>
            <w:vAlign w:val="center"/>
          </w:tcPr>
          <w:p w14:paraId="40F5260E">
            <w:pPr>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10</w:t>
            </w:r>
          </w:p>
        </w:tc>
        <w:tc>
          <w:tcPr>
            <w:tcW w:w="6200" w:type="dxa"/>
            <w:vAlign w:val="center"/>
          </w:tcPr>
          <w:p w14:paraId="334487D7">
            <w:p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项目负责人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1名</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具备高级软件开发工程师证书得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二级及以上技能等级证书（技师）得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(本项最高2分)</w:t>
            </w:r>
          </w:p>
          <w:p w14:paraId="45FB761C">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项目组其他成员（除项目负责人外）拥有中学及以上教师资格证每人次得1分，最多得2分。</w:t>
            </w:r>
          </w:p>
          <w:p w14:paraId="43A81003">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团队成员结构多元、合理，涵盖信息技术、教育技术/教育学、智能制造类、数字媒体类</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类</w:t>
            </w:r>
            <w:r>
              <w:rPr>
                <w:rFonts w:hint="eastAsia" w:ascii="宋体" w:hAnsi="宋体" w:eastAsia="宋体" w:cs="宋体"/>
                <w:color w:val="auto"/>
                <w:sz w:val="21"/>
                <w:szCs w:val="21"/>
                <w:highlight w:val="none"/>
                <w:lang w:val="en-US" w:eastAsia="zh-CN"/>
              </w:rPr>
              <w:t>且团队成员在15人</w:t>
            </w:r>
            <w:r>
              <w:rPr>
                <w:rFonts w:hint="eastAsia" w:ascii="宋体" w:hAnsi="宋体" w:eastAsia="宋体" w:cs="宋体"/>
                <w:color w:val="auto"/>
                <w:sz w:val="21"/>
                <w:szCs w:val="21"/>
                <w:highlight w:val="none"/>
              </w:rPr>
              <w:t>以上得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分，团队结构有轻微偏差涵盖四类</w:t>
            </w:r>
            <w:r>
              <w:rPr>
                <w:rFonts w:hint="eastAsia" w:ascii="宋体" w:hAnsi="宋体" w:eastAsia="宋体" w:cs="宋体"/>
                <w:color w:val="auto"/>
                <w:sz w:val="21"/>
                <w:szCs w:val="21"/>
                <w:highlight w:val="none"/>
                <w:lang w:val="en-US" w:eastAsia="zh-CN"/>
              </w:rPr>
              <w:t>且团队成员在12 人以下</w:t>
            </w:r>
            <w:r>
              <w:rPr>
                <w:rFonts w:hint="eastAsia" w:ascii="宋体" w:hAnsi="宋体" w:eastAsia="宋体" w:cs="宋体"/>
                <w:color w:val="auto"/>
                <w:sz w:val="21"/>
                <w:szCs w:val="21"/>
                <w:highlight w:val="none"/>
              </w:rPr>
              <w:t>得2分，团队结构有较大偏差涵盖三类</w:t>
            </w:r>
            <w:r>
              <w:rPr>
                <w:rFonts w:hint="eastAsia" w:ascii="宋体" w:hAnsi="宋体" w:eastAsia="宋体" w:cs="宋体"/>
                <w:color w:val="auto"/>
                <w:sz w:val="21"/>
                <w:szCs w:val="21"/>
                <w:highlight w:val="none"/>
                <w:lang w:val="en-US" w:eastAsia="zh-CN"/>
              </w:rPr>
              <w:t>且团队成员在8人以下</w:t>
            </w:r>
            <w:r>
              <w:rPr>
                <w:rFonts w:hint="eastAsia" w:ascii="宋体" w:hAnsi="宋体" w:eastAsia="宋体" w:cs="宋体"/>
                <w:color w:val="auto"/>
                <w:sz w:val="21"/>
                <w:szCs w:val="21"/>
                <w:highlight w:val="none"/>
              </w:rPr>
              <w:t>得1分，团队结构偏差大涵盖三类以下不得分。（本项最高得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3BC81A41">
            <w:pPr>
              <w:spacing w:line="400" w:lineRule="exac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拟投入本项目制作团队人员具有</w:t>
            </w:r>
            <w:r>
              <w:rPr>
                <w:rFonts w:hint="eastAsia" w:ascii="宋体" w:hAnsi="宋体" w:eastAsia="宋体" w:cs="宋体"/>
                <w:color w:val="auto"/>
                <w:sz w:val="21"/>
                <w:szCs w:val="21"/>
                <w:highlight w:val="none"/>
                <w:lang w:eastAsia="zh-Hans"/>
              </w:rPr>
              <w:t>高级三维动直设计师、高级摄影师</w:t>
            </w:r>
            <w:r>
              <w:rPr>
                <w:rFonts w:hint="eastAsia" w:ascii="宋体" w:hAnsi="宋体" w:eastAsia="宋体" w:cs="宋体"/>
                <w:color w:val="auto"/>
                <w:sz w:val="21"/>
                <w:szCs w:val="21"/>
                <w:highlight w:val="none"/>
              </w:rPr>
              <w:t>证每人次得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分，最多得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p>
          <w:p w14:paraId="3781BAB2">
            <w:pPr>
              <w:spacing w:line="40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提供相关人员的证书复印件及近三个月任意一个月的社保缴纳证明材料复印件（或扫描件），否则不得分。</w:t>
            </w:r>
          </w:p>
        </w:tc>
      </w:tr>
      <w:tr w14:paraId="0A184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vAlign w:val="center"/>
          </w:tcPr>
          <w:p w14:paraId="59B80B56">
            <w:pPr>
              <w:adjustRightInd w:val="0"/>
              <w:snapToGrid w:val="0"/>
              <w:spacing w:line="400" w:lineRule="exact"/>
              <w:jc w:val="center"/>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8</w:t>
            </w:r>
          </w:p>
        </w:tc>
        <w:tc>
          <w:tcPr>
            <w:tcW w:w="1125" w:type="dxa"/>
            <w:vAlign w:val="center"/>
          </w:tcPr>
          <w:p w14:paraId="2601D5FC">
            <w:pPr>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售后服务</w:t>
            </w:r>
          </w:p>
        </w:tc>
        <w:tc>
          <w:tcPr>
            <w:tcW w:w="668" w:type="dxa"/>
            <w:vAlign w:val="center"/>
          </w:tcPr>
          <w:p w14:paraId="37840159">
            <w:pPr>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rPr>
              <w:t>4</w:t>
            </w:r>
          </w:p>
        </w:tc>
        <w:tc>
          <w:tcPr>
            <w:tcW w:w="6200" w:type="dxa"/>
            <w:vAlign w:val="center"/>
          </w:tcPr>
          <w:p w14:paraId="64C20D3B">
            <w:pPr>
              <w:spacing w:line="400" w:lineRule="exact"/>
              <w:rPr>
                <w:rFonts w:hint="eastAsia" w:ascii="宋体" w:hAnsi="宋体" w:eastAsia="宋体" w:cs="宋体"/>
                <w:bCs/>
                <w:color w:val="auto"/>
                <w:kern w:val="28"/>
                <w:sz w:val="21"/>
                <w:szCs w:val="21"/>
                <w:highlight w:val="none"/>
              </w:rPr>
            </w:pPr>
            <w:r>
              <w:rPr>
                <w:rFonts w:hint="eastAsia" w:ascii="宋体" w:hAnsi="宋体" w:eastAsia="宋体" w:cs="宋体"/>
                <w:color w:val="auto"/>
                <w:sz w:val="21"/>
                <w:szCs w:val="21"/>
                <w:highlight w:val="none"/>
              </w:rPr>
              <w:t>供应商应提供完善具体的售后服务方案：对采购要求的售后服务响应程度，对到达现场响应时间、服务方式、服务内容等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可给予</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分、1分，未提供的不得分。</w:t>
            </w:r>
          </w:p>
        </w:tc>
      </w:tr>
      <w:tr w14:paraId="5CAF1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vAlign w:val="center"/>
          </w:tcPr>
          <w:p w14:paraId="75016E04">
            <w:pPr>
              <w:adjustRightInd w:val="0"/>
              <w:snapToGrid w:val="0"/>
              <w:spacing w:line="400" w:lineRule="exact"/>
              <w:jc w:val="center"/>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9</w:t>
            </w:r>
          </w:p>
        </w:tc>
        <w:tc>
          <w:tcPr>
            <w:tcW w:w="1125" w:type="dxa"/>
            <w:vAlign w:val="center"/>
          </w:tcPr>
          <w:p w14:paraId="1B24528D">
            <w:pPr>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权威认证、经营许可</w:t>
            </w:r>
          </w:p>
        </w:tc>
        <w:tc>
          <w:tcPr>
            <w:tcW w:w="668" w:type="dxa"/>
            <w:vAlign w:val="center"/>
          </w:tcPr>
          <w:p w14:paraId="222CDBB8">
            <w:pPr>
              <w:spacing w:line="400" w:lineRule="exact"/>
              <w:jc w:val="center"/>
              <w:rPr>
                <w:rFonts w:hint="eastAsia" w:ascii="宋体" w:hAnsi="宋体" w:eastAsia="宋体" w:cs="宋体"/>
                <w:bCs/>
                <w:snapToGrid w:val="0"/>
                <w:color w:val="auto"/>
                <w:sz w:val="21"/>
                <w:szCs w:val="21"/>
                <w:highlight w:val="none"/>
              </w:rPr>
            </w:pPr>
            <w:r>
              <w:rPr>
                <w:rFonts w:hint="eastAsia" w:ascii="宋体" w:hAnsi="宋体" w:eastAsia="宋体" w:cs="宋体"/>
                <w:bCs/>
                <w:color w:val="auto"/>
                <w:sz w:val="21"/>
                <w:szCs w:val="21"/>
                <w:highlight w:val="none"/>
              </w:rPr>
              <w:t>3</w:t>
            </w:r>
          </w:p>
        </w:tc>
        <w:tc>
          <w:tcPr>
            <w:tcW w:w="6200" w:type="dxa"/>
            <w:vAlign w:val="center"/>
          </w:tcPr>
          <w:p w14:paraId="75C19A13">
            <w:pPr>
              <w:spacing w:line="400" w:lineRule="exact"/>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或生产厂商具有有效的质量管理体系认证、</w:t>
            </w:r>
            <w:r>
              <w:rPr>
                <w:rFonts w:hint="eastAsia" w:ascii="宋体" w:hAnsi="宋体" w:eastAsia="宋体" w:cs="宋体"/>
                <w:bCs/>
                <w:color w:val="auto"/>
                <w:sz w:val="21"/>
                <w:szCs w:val="21"/>
                <w:highlight w:val="none"/>
                <w:lang w:eastAsia="zh-Hans"/>
              </w:rPr>
              <w:t>出版物经营许可证</w:t>
            </w:r>
            <w:r>
              <w:rPr>
                <w:rFonts w:hint="eastAsia" w:ascii="宋体" w:hAnsi="宋体" w:eastAsia="宋体" w:cs="宋体"/>
                <w:bCs/>
                <w:color w:val="auto"/>
                <w:sz w:val="21"/>
                <w:szCs w:val="21"/>
                <w:highlight w:val="none"/>
              </w:rPr>
              <w:t>、广播电视节目制作经营许可证认证的，凭相关证书每项得1分，最高得3分。</w:t>
            </w:r>
          </w:p>
          <w:p w14:paraId="20F850B7">
            <w:pPr>
              <w:spacing w:line="400" w:lineRule="exact"/>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rPr>
              <w:t>提供有效期内的证书复印件（或扫描件），否则不得分。</w:t>
            </w:r>
          </w:p>
        </w:tc>
      </w:tr>
      <w:tr w14:paraId="6B5D6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0" w:type="dxa"/>
            <w:vAlign w:val="center"/>
          </w:tcPr>
          <w:p w14:paraId="15DC1A2E">
            <w:pPr>
              <w:adjustRightInd w:val="0"/>
              <w:snapToGrid w:val="0"/>
              <w:spacing w:line="400" w:lineRule="exact"/>
              <w:jc w:val="center"/>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10</w:t>
            </w:r>
          </w:p>
        </w:tc>
        <w:tc>
          <w:tcPr>
            <w:tcW w:w="1125" w:type="dxa"/>
            <w:vAlign w:val="center"/>
          </w:tcPr>
          <w:p w14:paraId="23D763E1">
            <w:pPr>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项目业绩</w:t>
            </w:r>
          </w:p>
        </w:tc>
        <w:tc>
          <w:tcPr>
            <w:tcW w:w="668" w:type="dxa"/>
            <w:vAlign w:val="center"/>
          </w:tcPr>
          <w:p w14:paraId="1656BE4D">
            <w:pPr>
              <w:spacing w:line="400" w:lineRule="exact"/>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2</w:t>
            </w:r>
          </w:p>
        </w:tc>
        <w:tc>
          <w:tcPr>
            <w:tcW w:w="6200" w:type="dxa"/>
            <w:vAlign w:val="center"/>
          </w:tcPr>
          <w:p w14:paraId="021C2DFF">
            <w:pPr>
              <w:spacing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自202</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年1月1日以来（以合同签订时间为准），供应商承担过类似项目业绩的，每个得1分，最高得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14:paraId="0FDF1C4B">
            <w:pPr>
              <w:spacing w:line="400" w:lineRule="exact"/>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rPr>
              <w:t>提供项目合同复印件（或扫描件），否则不得分。</w:t>
            </w:r>
          </w:p>
        </w:tc>
      </w:tr>
    </w:tbl>
    <w:p w14:paraId="1C1E20E7">
      <w:pPr>
        <w:overflowPunct w:val="0"/>
        <w:spacing w:line="400" w:lineRule="exact"/>
        <w:rPr>
          <w:rFonts w:ascii="宋体" w:cs="宋体"/>
          <w:b/>
          <w:bCs/>
          <w:color w:val="auto"/>
          <w:szCs w:val="21"/>
          <w:highlight w:val="none"/>
        </w:rPr>
      </w:pPr>
      <w:r>
        <w:rPr>
          <w:rFonts w:hint="eastAsia" w:ascii="宋体" w:hAnsi="宋体" w:cs="宋体"/>
          <w:b/>
          <w:bCs/>
          <w:color w:val="auto"/>
          <w:szCs w:val="21"/>
          <w:highlight w:val="none"/>
        </w:rPr>
        <w:t>注：以上证明文件复印件或扫描件均需加盖公章，附在响应文件中；提供材料不真实、不完整或伪造证明材料的，后果自负。</w:t>
      </w:r>
    </w:p>
    <w:p w14:paraId="3B4BEDE1">
      <w:pPr>
        <w:overflowPunct w:val="0"/>
        <w:spacing w:line="400" w:lineRule="exact"/>
        <w:ind w:firstLine="422" w:firstLineChars="200"/>
        <w:rPr>
          <w:rFonts w:ascii="宋体" w:cs="宋体"/>
          <w:b/>
          <w:color w:val="auto"/>
          <w:szCs w:val="21"/>
          <w:highlight w:val="none"/>
        </w:rPr>
      </w:pPr>
      <w:r>
        <w:rPr>
          <w:rFonts w:ascii="宋体" w:hAnsi="宋体" w:cs="宋体"/>
          <w:b/>
          <w:color w:val="auto"/>
          <w:szCs w:val="21"/>
          <w:highlight w:val="none"/>
        </w:rPr>
        <w:t>3</w:t>
      </w:r>
      <w:r>
        <w:rPr>
          <w:rFonts w:hint="eastAsia" w:ascii="宋体" w:hAnsi="宋体" w:cs="宋体"/>
          <w:b/>
          <w:color w:val="auto"/>
          <w:szCs w:val="21"/>
          <w:highlight w:val="none"/>
        </w:rPr>
        <w:t>、技术、商务分的计算</w:t>
      </w:r>
    </w:p>
    <w:p w14:paraId="48204D80">
      <w:pPr>
        <w:overflowPunct w:val="0"/>
        <w:spacing w:line="400" w:lineRule="exact"/>
        <w:ind w:firstLine="420" w:firstLineChars="200"/>
        <w:rPr>
          <w:rFonts w:ascii="宋体" w:cs="宋体"/>
          <w:bCs/>
          <w:color w:val="auto"/>
          <w:szCs w:val="21"/>
          <w:highlight w:val="none"/>
        </w:rPr>
      </w:pPr>
      <w:r>
        <w:rPr>
          <w:rFonts w:hint="eastAsia" w:ascii="宋体" w:hAnsi="宋体" w:cs="宋体"/>
          <w:bCs/>
          <w:color w:val="auto"/>
          <w:szCs w:val="21"/>
          <w:highlight w:val="none"/>
        </w:rPr>
        <w:t>技术、商务分按照磋商小组成员的独立评分结果汇总数算术平均分计算，计算公式为：</w:t>
      </w:r>
    </w:p>
    <w:p w14:paraId="18530C64">
      <w:pPr>
        <w:overflowPunct w:val="0"/>
        <w:spacing w:line="400" w:lineRule="exact"/>
        <w:rPr>
          <w:rFonts w:ascii="宋体" w:cs="宋体"/>
          <w:bCs/>
          <w:color w:val="auto"/>
          <w:szCs w:val="21"/>
          <w:highlight w:val="none"/>
        </w:rPr>
      </w:pPr>
      <w:r>
        <w:rPr>
          <w:rFonts w:hint="eastAsia" w:ascii="宋体" w:hAnsi="宋体" w:cs="宋体"/>
          <w:bCs/>
          <w:color w:val="auto"/>
          <w:szCs w:val="21"/>
          <w:highlight w:val="none"/>
        </w:rPr>
        <w:t>技术、商务分</w:t>
      </w:r>
      <w:r>
        <w:rPr>
          <w:rFonts w:ascii="宋体" w:hAnsi="宋体" w:cs="宋体"/>
          <w:bCs/>
          <w:color w:val="auto"/>
          <w:szCs w:val="21"/>
          <w:highlight w:val="none"/>
        </w:rPr>
        <w:t>=</w:t>
      </w:r>
      <w:r>
        <w:rPr>
          <w:rFonts w:hint="eastAsia" w:ascii="宋体" w:hAnsi="宋体" w:cs="宋体"/>
          <w:bCs/>
          <w:color w:val="auto"/>
          <w:szCs w:val="21"/>
          <w:highlight w:val="none"/>
        </w:rPr>
        <w:t>（磋商小组成员评分合计数）</w:t>
      </w:r>
      <w:r>
        <w:rPr>
          <w:rFonts w:ascii="宋体" w:hAnsi="宋体" w:cs="宋体"/>
          <w:bCs/>
          <w:color w:val="auto"/>
          <w:szCs w:val="21"/>
          <w:highlight w:val="none"/>
        </w:rPr>
        <w:t>/</w:t>
      </w:r>
      <w:r>
        <w:rPr>
          <w:rFonts w:hint="eastAsia" w:ascii="宋体" w:hAnsi="宋体" w:cs="宋体"/>
          <w:bCs/>
          <w:color w:val="auto"/>
          <w:szCs w:val="21"/>
          <w:highlight w:val="none"/>
        </w:rPr>
        <w:t>（磋商小组组成人员数）</w:t>
      </w:r>
    </w:p>
    <w:p w14:paraId="574912FE">
      <w:pPr>
        <w:overflowPunct w:val="0"/>
        <w:autoSpaceDE w:val="0"/>
        <w:autoSpaceDN w:val="0"/>
        <w:snapToGrid w:val="0"/>
        <w:spacing w:line="400" w:lineRule="exact"/>
        <w:ind w:firstLine="422" w:firstLineChars="200"/>
        <w:jc w:val="left"/>
        <w:textAlignment w:val="bottom"/>
        <w:rPr>
          <w:rFonts w:ascii="宋体" w:cs="宋体"/>
          <w:b/>
          <w:color w:val="auto"/>
          <w:szCs w:val="21"/>
          <w:highlight w:val="none"/>
        </w:rPr>
      </w:pPr>
      <w:r>
        <w:rPr>
          <w:rFonts w:ascii="宋体" w:hAnsi="宋体" w:cs="宋体"/>
          <w:b/>
          <w:color w:val="auto"/>
          <w:szCs w:val="21"/>
          <w:highlight w:val="none"/>
        </w:rPr>
        <w:t>4</w:t>
      </w:r>
      <w:r>
        <w:rPr>
          <w:rFonts w:hint="eastAsia" w:ascii="宋体" w:hAnsi="宋体" w:cs="宋体"/>
          <w:b/>
          <w:color w:val="auto"/>
          <w:szCs w:val="21"/>
          <w:highlight w:val="none"/>
        </w:rPr>
        <w:t>、评审方法</w:t>
      </w:r>
    </w:p>
    <w:p w14:paraId="5A2AA32D">
      <w:pPr>
        <w:overflowPunct w:val="0"/>
        <w:autoSpaceDE w:val="0"/>
        <w:autoSpaceDN w:val="0"/>
        <w:snapToGrid w:val="0"/>
        <w:spacing w:line="400" w:lineRule="exact"/>
        <w:ind w:firstLine="420" w:firstLineChars="200"/>
        <w:jc w:val="left"/>
        <w:textAlignment w:val="bottom"/>
        <w:rPr>
          <w:rFonts w:ascii="宋体" w:cs="宋体"/>
          <w:bCs/>
          <w:color w:val="auto"/>
          <w:szCs w:val="21"/>
          <w:highlight w:val="none"/>
        </w:rPr>
      </w:pPr>
      <w:r>
        <w:rPr>
          <w:rFonts w:hint="eastAsia" w:ascii="宋体" w:hAnsi="宋体" w:cs="宋体"/>
          <w:bCs/>
          <w:color w:val="auto"/>
          <w:szCs w:val="21"/>
          <w:highlight w:val="none"/>
        </w:rPr>
        <w:t>磋商小组根据磋商情况及各供应商完工时间、服务条款响应情况、技术方案、提供服务的质量、付款方式、供应商综合实力、资信情况、承诺的售后服务等多方面进行评审。</w:t>
      </w:r>
    </w:p>
    <w:p w14:paraId="756A303A">
      <w:pPr>
        <w:overflowPunct w:val="0"/>
        <w:autoSpaceDE w:val="0"/>
        <w:autoSpaceDN w:val="0"/>
        <w:snapToGrid w:val="0"/>
        <w:spacing w:line="400" w:lineRule="exact"/>
        <w:ind w:firstLine="420" w:firstLineChars="200"/>
        <w:jc w:val="left"/>
        <w:textAlignment w:val="bottom"/>
        <w:rPr>
          <w:rFonts w:ascii="宋体" w:cs="宋体"/>
          <w:bCs/>
          <w:color w:val="auto"/>
          <w:szCs w:val="21"/>
          <w:highlight w:val="none"/>
        </w:rPr>
      </w:pPr>
      <w:r>
        <w:rPr>
          <w:rFonts w:hint="eastAsia" w:ascii="宋体" w:hAnsi="宋体" w:cs="宋体"/>
          <w:bCs/>
          <w:color w:val="auto"/>
          <w:szCs w:val="21"/>
          <w:highlight w:val="none"/>
        </w:rPr>
        <w:t>确定进入最终报价的供应商名单。</w:t>
      </w:r>
    </w:p>
    <w:p w14:paraId="7C0BA4E2">
      <w:pPr>
        <w:overflowPunct w:val="0"/>
        <w:autoSpaceDE w:val="0"/>
        <w:autoSpaceDN w:val="0"/>
        <w:snapToGrid w:val="0"/>
        <w:spacing w:line="400" w:lineRule="exact"/>
        <w:ind w:firstLine="422" w:firstLineChars="200"/>
        <w:jc w:val="left"/>
        <w:textAlignment w:val="bottom"/>
        <w:rPr>
          <w:rFonts w:ascii="宋体" w:cs="宋体"/>
          <w:b/>
          <w:color w:val="auto"/>
          <w:szCs w:val="21"/>
          <w:highlight w:val="none"/>
        </w:rPr>
      </w:pPr>
      <w:r>
        <w:rPr>
          <w:rFonts w:ascii="宋体" w:hAnsi="宋体" w:cs="宋体"/>
          <w:b/>
          <w:color w:val="auto"/>
          <w:szCs w:val="21"/>
          <w:highlight w:val="none"/>
        </w:rPr>
        <w:t>5</w:t>
      </w:r>
      <w:r>
        <w:rPr>
          <w:rFonts w:hint="eastAsia" w:ascii="宋体" w:hAnsi="宋体" w:cs="宋体"/>
          <w:b/>
          <w:color w:val="auto"/>
          <w:szCs w:val="21"/>
          <w:highlight w:val="none"/>
        </w:rPr>
        <w:t>、确定成交供应商</w:t>
      </w:r>
    </w:p>
    <w:p w14:paraId="3F483DA6">
      <w:pPr>
        <w:overflowPunct w:val="0"/>
        <w:autoSpaceDE w:val="0"/>
        <w:autoSpaceDN w:val="0"/>
        <w:snapToGrid w:val="0"/>
        <w:spacing w:line="400" w:lineRule="exact"/>
        <w:ind w:firstLine="420" w:firstLineChars="200"/>
        <w:jc w:val="left"/>
        <w:textAlignment w:val="bottom"/>
        <w:rPr>
          <w:rFonts w:ascii="宋体" w:cs="宋体"/>
          <w:bCs/>
          <w:color w:val="auto"/>
          <w:szCs w:val="21"/>
          <w:highlight w:val="none"/>
        </w:rPr>
      </w:pPr>
      <w:r>
        <w:rPr>
          <w:rFonts w:hint="eastAsia" w:ascii="宋体" w:hAnsi="宋体" w:cs="宋体"/>
          <w:bCs/>
          <w:color w:val="auto"/>
          <w:szCs w:val="21"/>
          <w:highlight w:val="none"/>
        </w:rPr>
        <w:t>磋商小组推荐综合得分第一名的为第一成交候选</w:t>
      </w:r>
      <w:r>
        <w:rPr>
          <w:rFonts w:hint="eastAsia" w:ascii="宋体" w:hAnsi="宋体" w:cs="宋体"/>
          <w:bCs/>
          <w:color w:val="auto"/>
          <w:szCs w:val="21"/>
          <w:highlight w:val="none"/>
          <w:lang w:eastAsia="zh-CN"/>
        </w:rPr>
        <w:t>人</w:t>
      </w:r>
      <w:r>
        <w:rPr>
          <w:rFonts w:hint="eastAsia" w:ascii="宋体" w:hAnsi="宋体" w:cs="宋体"/>
          <w:bCs/>
          <w:color w:val="auto"/>
          <w:szCs w:val="21"/>
          <w:highlight w:val="none"/>
        </w:rPr>
        <w:t>，综合得分第二名的为第二成交候选</w:t>
      </w:r>
      <w:r>
        <w:rPr>
          <w:rFonts w:hint="eastAsia" w:ascii="宋体" w:hAnsi="宋体" w:cs="宋体"/>
          <w:bCs/>
          <w:color w:val="auto"/>
          <w:szCs w:val="21"/>
          <w:highlight w:val="none"/>
          <w:lang w:eastAsia="zh-CN"/>
        </w:rPr>
        <w:t>人</w:t>
      </w:r>
      <w:r>
        <w:rPr>
          <w:rFonts w:hint="eastAsia" w:ascii="宋体" w:hAnsi="宋体" w:cs="宋体"/>
          <w:bCs/>
          <w:color w:val="auto"/>
          <w:szCs w:val="21"/>
          <w:highlight w:val="none"/>
        </w:rPr>
        <w:t>，综合得分第三名的为第三成交候选</w:t>
      </w:r>
      <w:r>
        <w:rPr>
          <w:rFonts w:hint="eastAsia" w:ascii="宋体" w:hAnsi="宋体" w:cs="宋体"/>
          <w:bCs/>
          <w:color w:val="auto"/>
          <w:szCs w:val="21"/>
          <w:highlight w:val="none"/>
          <w:lang w:eastAsia="zh-CN"/>
        </w:rPr>
        <w:t>人</w:t>
      </w:r>
      <w:r>
        <w:rPr>
          <w:rFonts w:hint="eastAsia" w:ascii="宋体" w:hAnsi="宋体" w:cs="宋体"/>
          <w:bCs/>
          <w:color w:val="auto"/>
          <w:szCs w:val="21"/>
          <w:highlight w:val="none"/>
        </w:rPr>
        <w:t>。评审总分相同的，按照最后报价由低到高的顺序推荐，评审总分且最后报价相同的，按照技术指标优劣顺序推荐。并编写评审报告。磋商小组应当根据综合评分情况，按照评审得分由高到低顺序推荐3名成交候选</w:t>
      </w:r>
      <w:r>
        <w:rPr>
          <w:rFonts w:hint="eastAsia" w:ascii="宋体" w:hAnsi="宋体" w:cs="宋体"/>
          <w:bCs/>
          <w:color w:val="auto"/>
          <w:szCs w:val="21"/>
          <w:highlight w:val="none"/>
          <w:lang w:eastAsia="zh-CN"/>
        </w:rPr>
        <w:t>人</w:t>
      </w:r>
      <w:r>
        <w:rPr>
          <w:rFonts w:hint="eastAsia" w:ascii="宋体" w:hAnsi="宋体" w:cs="宋体"/>
          <w:bCs/>
          <w:color w:val="auto"/>
          <w:szCs w:val="21"/>
          <w:highlight w:val="none"/>
        </w:rPr>
        <w:t>（有效供应商不足3家的情形除外），并编写评审报告，采购人根据评审报告推荐的顺序确定第一名为成交供应商。</w:t>
      </w:r>
    </w:p>
    <w:p w14:paraId="5C2C8A1A">
      <w:pPr>
        <w:pStyle w:val="4"/>
        <w:keepNext w:val="0"/>
        <w:keepLines w:val="0"/>
        <w:overflowPunct w:val="0"/>
        <w:spacing w:before="0" w:after="0" w:line="400" w:lineRule="exact"/>
        <w:rPr>
          <w:rFonts w:ascii="宋体" w:hAnsi="宋体" w:eastAsia="宋体" w:cs="宋体"/>
          <w:color w:val="auto"/>
          <w:sz w:val="21"/>
          <w:szCs w:val="21"/>
          <w:highlight w:val="none"/>
        </w:rPr>
      </w:pPr>
      <w:bookmarkStart w:id="151" w:name="_Toc282640736"/>
      <w:bookmarkStart w:id="152" w:name="_Toc402872211"/>
      <w:bookmarkStart w:id="153" w:name="_Toc13232"/>
      <w:bookmarkStart w:id="154" w:name="_Toc29138"/>
      <w:bookmarkStart w:id="155" w:name="_Toc7050"/>
      <w:bookmarkStart w:id="156" w:name="_Toc12636"/>
      <w:bookmarkStart w:id="157" w:name="_Toc14678"/>
      <w:bookmarkStart w:id="158" w:name="_Toc24386"/>
      <w:bookmarkStart w:id="159" w:name="_Toc2043"/>
      <w:r>
        <w:rPr>
          <w:rFonts w:hint="eastAsia" w:ascii="宋体" w:hAnsi="宋体" w:eastAsia="宋体" w:cs="宋体"/>
          <w:color w:val="auto"/>
          <w:sz w:val="21"/>
          <w:szCs w:val="21"/>
          <w:highlight w:val="none"/>
        </w:rPr>
        <w:t>八、资格</w:t>
      </w:r>
      <w:bookmarkEnd w:id="151"/>
      <w:r>
        <w:rPr>
          <w:rFonts w:hint="eastAsia" w:ascii="宋体" w:hAnsi="宋体" w:eastAsia="宋体" w:cs="宋体"/>
          <w:color w:val="auto"/>
          <w:sz w:val="21"/>
          <w:szCs w:val="21"/>
          <w:highlight w:val="none"/>
        </w:rPr>
        <w:t>审查</w:t>
      </w:r>
      <w:bookmarkEnd w:id="152"/>
      <w:bookmarkEnd w:id="153"/>
      <w:bookmarkEnd w:id="154"/>
      <w:bookmarkEnd w:id="155"/>
      <w:bookmarkEnd w:id="156"/>
      <w:bookmarkEnd w:id="157"/>
      <w:bookmarkEnd w:id="158"/>
      <w:bookmarkEnd w:id="159"/>
    </w:p>
    <w:p w14:paraId="6EA509BF">
      <w:pPr>
        <w:overflowPunct w:val="0"/>
        <w:autoSpaceDE w:val="0"/>
        <w:autoSpaceDN w:val="0"/>
        <w:snapToGrid w:val="0"/>
        <w:spacing w:line="400" w:lineRule="exact"/>
        <w:ind w:firstLine="420" w:firstLineChars="200"/>
        <w:jc w:val="left"/>
        <w:textAlignment w:val="bottom"/>
        <w:rPr>
          <w:rFonts w:ascii="宋体" w:cs="宋体"/>
          <w:bCs/>
          <w:color w:val="auto"/>
          <w:szCs w:val="21"/>
          <w:highlight w:val="none"/>
        </w:rPr>
      </w:pPr>
      <w:r>
        <w:rPr>
          <w:rFonts w:ascii="宋体" w:hAnsi="宋体" w:cs="宋体"/>
          <w:bCs/>
          <w:color w:val="auto"/>
          <w:szCs w:val="21"/>
          <w:highlight w:val="none"/>
        </w:rPr>
        <w:t>1</w:t>
      </w:r>
      <w:r>
        <w:rPr>
          <w:rFonts w:hint="eastAsia" w:ascii="宋体" w:hAnsi="宋体" w:cs="宋体"/>
          <w:bCs/>
          <w:color w:val="auto"/>
          <w:szCs w:val="21"/>
          <w:highlight w:val="none"/>
        </w:rPr>
        <w:t>、磋商小组将对所选择的成交人是否有资格或能力圆满地履行合同做出进一步确认。</w:t>
      </w:r>
    </w:p>
    <w:p w14:paraId="20AC3B3E">
      <w:pPr>
        <w:overflowPunct w:val="0"/>
        <w:autoSpaceDE w:val="0"/>
        <w:autoSpaceDN w:val="0"/>
        <w:snapToGrid w:val="0"/>
        <w:spacing w:line="400" w:lineRule="exact"/>
        <w:ind w:firstLine="420" w:firstLineChars="200"/>
        <w:jc w:val="left"/>
        <w:textAlignment w:val="bottom"/>
        <w:rPr>
          <w:rFonts w:ascii="宋体" w:cs="宋体"/>
          <w:bCs/>
          <w:color w:val="auto"/>
          <w:szCs w:val="21"/>
          <w:highlight w:val="none"/>
        </w:rPr>
      </w:pPr>
      <w:r>
        <w:rPr>
          <w:rFonts w:ascii="宋体" w:hAnsi="宋体" w:cs="宋体"/>
          <w:bCs/>
          <w:color w:val="auto"/>
          <w:szCs w:val="21"/>
          <w:highlight w:val="none"/>
        </w:rPr>
        <w:t>2</w:t>
      </w:r>
      <w:r>
        <w:rPr>
          <w:rFonts w:hint="eastAsia" w:ascii="宋体" w:hAnsi="宋体" w:cs="宋体"/>
          <w:bCs/>
          <w:color w:val="auto"/>
          <w:szCs w:val="21"/>
          <w:highlight w:val="none"/>
        </w:rPr>
        <w:t>、如果供应商被确定为不具备履行合同的能力，磋商小组有权拒绝签发成交通知书。在该情况下，磋商小组将考虑按同样的程序审查下一位成交候选人。</w:t>
      </w:r>
    </w:p>
    <w:p w14:paraId="2198DE67">
      <w:pPr>
        <w:pStyle w:val="4"/>
        <w:keepNext w:val="0"/>
        <w:keepLines w:val="0"/>
        <w:overflowPunct w:val="0"/>
        <w:spacing w:before="0" w:after="0" w:line="400" w:lineRule="exact"/>
        <w:rPr>
          <w:rFonts w:ascii="宋体" w:hAnsi="宋体" w:eastAsia="宋体" w:cs="宋体"/>
          <w:color w:val="auto"/>
          <w:sz w:val="21"/>
          <w:szCs w:val="21"/>
          <w:highlight w:val="none"/>
        </w:rPr>
      </w:pPr>
      <w:bookmarkStart w:id="160" w:name="_Toc4879"/>
      <w:bookmarkStart w:id="161" w:name="_Toc28605"/>
      <w:bookmarkStart w:id="162" w:name="_Toc5918"/>
      <w:bookmarkStart w:id="163" w:name="_Toc1899"/>
      <w:bookmarkStart w:id="164" w:name="_Toc20293"/>
      <w:bookmarkStart w:id="165" w:name="_Toc402872212"/>
      <w:bookmarkStart w:id="166" w:name="_Toc31870"/>
      <w:bookmarkStart w:id="167" w:name="_Toc15111"/>
      <w:r>
        <w:rPr>
          <w:rFonts w:hint="eastAsia" w:ascii="宋体" w:hAnsi="宋体" w:eastAsia="宋体" w:cs="宋体"/>
          <w:color w:val="auto"/>
          <w:sz w:val="21"/>
          <w:szCs w:val="21"/>
          <w:highlight w:val="none"/>
        </w:rPr>
        <w:t>九、成交通知、授予合同</w:t>
      </w:r>
      <w:bookmarkEnd w:id="160"/>
      <w:bookmarkEnd w:id="161"/>
      <w:bookmarkEnd w:id="162"/>
      <w:bookmarkEnd w:id="163"/>
      <w:bookmarkEnd w:id="164"/>
      <w:bookmarkEnd w:id="165"/>
      <w:bookmarkEnd w:id="166"/>
      <w:bookmarkEnd w:id="167"/>
    </w:p>
    <w:p w14:paraId="74828E45">
      <w:pPr>
        <w:overflowPunct w:val="0"/>
        <w:autoSpaceDE w:val="0"/>
        <w:autoSpaceDN w:val="0"/>
        <w:snapToGrid w:val="0"/>
        <w:spacing w:line="400" w:lineRule="exact"/>
        <w:ind w:firstLine="420" w:firstLineChars="200"/>
        <w:jc w:val="left"/>
        <w:textAlignment w:val="bottom"/>
        <w:rPr>
          <w:rFonts w:ascii="宋体" w:hAnsi="宋体" w:cs="宋体"/>
          <w:bCs/>
          <w:color w:val="auto"/>
          <w:szCs w:val="21"/>
          <w:highlight w:val="none"/>
        </w:rPr>
      </w:pPr>
      <w:r>
        <w:rPr>
          <w:rFonts w:hint="eastAsia" w:ascii="宋体" w:hAnsi="宋体" w:cs="宋体"/>
          <w:bCs/>
          <w:color w:val="auto"/>
          <w:szCs w:val="21"/>
          <w:highlight w:val="none"/>
        </w:rPr>
        <w:t xml:space="preserve">1、本项目由采购人确定成交供应商。 </w:t>
      </w:r>
    </w:p>
    <w:p w14:paraId="6434D579">
      <w:pPr>
        <w:overflowPunct w:val="0"/>
        <w:autoSpaceDE w:val="0"/>
        <w:autoSpaceDN w:val="0"/>
        <w:snapToGrid w:val="0"/>
        <w:spacing w:line="400" w:lineRule="exact"/>
        <w:ind w:firstLine="420" w:firstLineChars="200"/>
        <w:jc w:val="left"/>
        <w:textAlignment w:val="bottom"/>
        <w:rPr>
          <w:rFonts w:ascii="宋体" w:hAnsi="宋体" w:cs="宋体"/>
          <w:bCs/>
          <w:color w:val="auto"/>
          <w:szCs w:val="21"/>
          <w:highlight w:val="none"/>
        </w:rPr>
      </w:pPr>
      <w:r>
        <w:rPr>
          <w:rFonts w:hint="eastAsia" w:ascii="宋体" w:hAnsi="宋体" w:cs="宋体"/>
          <w:bCs/>
          <w:color w:val="auto"/>
          <w:szCs w:val="21"/>
          <w:highlight w:val="none"/>
        </w:rPr>
        <w:t xml:space="preserve">2、本次评审采用综合评分法，即在质量和服务均能满足竞争性磋商文件实质性要求且综合得分由高到低的原则确定成交候选供应商。 </w:t>
      </w:r>
    </w:p>
    <w:p w14:paraId="249F65FA">
      <w:pPr>
        <w:overflowPunct w:val="0"/>
        <w:autoSpaceDE w:val="0"/>
        <w:autoSpaceDN w:val="0"/>
        <w:snapToGrid w:val="0"/>
        <w:spacing w:line="400" w:lineRule="exact"/>
        <w:ind w:firstLine="420" w:firstLineChars="200"/>
        <w:jc w:val="left"/>
        <w:textAlignment w:val="bottom"/>
        <w:rPr>
          <w:rFonts w:ascii="宋体" w:hAnsi="宋体" w:cs="宋体"/>
          <w:bCs/>
          <w:color w:val="auto"/>
          <w:szCs w:val="21"/>
          <w:highlight w:val="none"/>
        </w:rPr>
      </w:pPr>
      <w:r>
        <w:rPr>
          <w:rFonts w:hint="eastAsia" w:ascii="宋体" w:hAnsi="宋体" w:cs="宋体"/>
          <w:bCs/>
          <w:color w:val="auto"/>
          <w:szCs w:val="21"/>
          <w:highlight w:val="none"/>
        </w:rPr>
        <w:t xml:space="preserve">3、磋商结束后，磋商小组拟制评审报告。 </w:t>
      </w:r>
    </w:p>
    <w:p w14:paraId="1BEB2E46">
      <w:pPr>
        <w:overflowPunct w:val="0"/>
        <w:autoSpaceDE w:val="0"/>
        <w:autoSpaceDN w:val="0"/>
        <w:snapToGrid w:val="0"/>
        <w:spacing w:line="400" w:lineRule="exact"/>
        <w:ind w:firstLine="420" w:firstLineChars="200"/>
        <w:jc w:val="left"/>
        <w:textAlignment w:val="bottom"/>
        <w:rPr>
          <w:rFonts w:ascii="宋体" w:hAnsi="宋体" w:cs="宋体"/>
          <w:bCs/>
          <w:color w:val="auto"/>
          <w:szCs w:val="21"/>
          <w:highlight w:val="none"/>
        </w:rPr>
      </w:pPr>
      <w:r>
        <w:rPr>
          <w:rFonts w:hint="eastAsia" w:ascii="宋体" w:hAnsi="宋体" w:cs="宋体"/>
          <w:bCs/>
          <w:color w:val="auto"/>
          <w:szCs w:val="21"/>
          <w:highlight w:val="none"/>
        </w:rPr>
        <w:t xml:space="preserve">4、采购代理机构在评审结束后2个工作日内将评审报告交采购人确认。 </w:t>
      </w:r>
    </w:p>
    <w:p w14:paraId="49BFD8D3">
      <w:pPr>
        <w:overflowPunct w:val="0"/>
        <w:autoSpaceDE w:val="0"/>
        <w:autoSpaceDN w:val="0"/>
        <w:snapToGrid w:val="0"/>
        <w:spacing w:line="400" w:lineRule="exact"/>
        <w:ind w:firstLine="420" w:firstLineChars="200"/>
        <w:jc w:val="left"/>
        <w:textAlignment w:val="bottom"/>
        <w:rPr>
          <w:rFonts w:ascii="宋体" w:hAnsi="宋体" w:cs="宋体"/>
          <w:bCs/>
          <w:color w:val="auto"/>
          <w:szCs w:val="21"/>
          <w:highlight w:val="none"/>
        </w:rPr>
      </w:pPr>
      <w:r>
        <w:rPr>
          <w:rFonts w:hint="eastAsia" w:ascii="宋体" w:hAnsi="宋体" w:cs="宋体"/>
          <w:bCs/>
          <w:color w:val="auto"/>
          <w:szCs w:val="21"/>
          <w:highlight w:val="none"/>
        </w:rPr>
        <w:t xml:space="preserve">5、采购人在收到评审报告后5个工作日内对评审结果进行确认。 </w:t>
      </w:r>
    </w:p>
    <w:p w14:paraId="05A4A02A">
      <w:pPr>
        <w:overflowPunct w:val="0"/>
        <w:autoSpaceDE w:val="0"/>
        <w:autoSpaceDN w:val="0"/>
        <w:snapToGrid w:val="0"/>
        <w:spacing w:line="400" w:lineRule="exact"/>
        <w:ind w:firstLine="420" w:firstLineChars="200"/>
        <w:jc w:val="left"/>
        <w:textAlignment w:val="bottom"/>
        <w:rPr>
          <w:rFonts w:ascii="宋体" w:hAnsi="宋体" w:cs="宋体"/>
          <w:bCs/>
          <w:color w:val="auto"/>
          <w:szCs w:val="21"/>
          <w:highlight w:val="none"/>
        </w:rPr>
      </w:pPr>
      <w:r>
        <w:rPr>
          <w:rFonts w:hint="eastAsia" w:ascii="宋体" w:hAnsi="宋体" w:cs="宋体"/>
          <w:bCs/>
          <w:color w:val="auto"/>
          <w:szCs w:val="21"/>
          <w:highlight w:val="none"/>
        </w:rPr>
        <w:t xml:space="preserve">6、采购人确定成交供应商后2个工作日内，采购代理机构在相关网站上发布成交公告，同时发出成交通知书。 </w:t>
      </w:r>
    </w:p>
    <w:p w14:paraId="36D6697A">
      <w:pPr>
        <w:overflowPunct w:val="0"/>
        <w:autoSpaceDE w:val="0"/>
        <w:autoSpaceDN w:val="0"/>
        <w:snapToGrid w:val="0"/>
        <w:spacing w:line="400" w:lineRule="exact"/>
        <w:ind w:firstLine="420" w:firstLineChars="200"/>
        <w:jc w:val="left"/>
        <w:textAlignment w:val="bottom"/>
        <w:rPr>
          <w:rFonts w:ascii="宋体" w:hAnsi="宋体" w:cs="宋体"/>
          <w:bCs/>
          <w:color w:val="auto"/>
          <w:szCs w:val="21"/>
          <w:highlight w:val="none"/>
        </w:rPr>
      </w:pPr>
      <w:r>
        <w:rPr>
          <w:rFonts w:hint="eastAsia" w:ascii="宋体" w:hAnsi="宋体" w:cs="宋体"/>
          <w:bCs/>
          <w:color w:val="auto"/>
          <w:szCs w:val="21"/>
          <w:highlight w:val="none"/>
        </w:rPr>
        <w:t>7、成交供应商凭成交通知书在30天内签订合同，逾期取消成交资格。</w:t>
      </w:r>
    </w:p>
    <w:p w14:paraId="07581283">
      <w:pPr>
        <w:overflowPunct w:val="0"/>
        <w:autoSpaceDE w:val="0"/>
        <w:autoSpaceDN w:val="0"/>
        <w:snapToGrid w:val="0"/>
        <w:spacing w:line="400" w:lineRule="exact"/>
        <w:ind w:firstLine="420" w:firstLineChars="200"/>
        <w:jc w:val="left"/>
        <w:textAlignment w:val="bottom"/>
        <w:rPr>
          <w:rFonts w:ascii="宋体" w:cs="宋体"/>
          <w:bCs/>
          <w:color w:val="auto"/>
          <w:szCs w:val="21"/>
          <w:highlight w:val="none"/>
        </w:rPr>
      </w:pPr>
      <w:r>
        <w:rPr>
          <w:rFonts w:hint="eastAsia" w:ascii="宋体" w:hAnsi="宋体" w:cs="宋体"/>
          <w:bCs/>
          <w:color w:val="auto"/>
          <w:szCs w:val="21"/>
          <w:highlight w:val="none"/>
        </w:rPr>
        <w:t>8、成交供应商在规定的时间内不履行合同，按违约处理，并按有关规定承担违约责任。</w:t>
      </w:r>
    </w:p>
    <w:p w14:paraId="6B90696F">
      <w:pPr>
        <w:pStyle w:val="3"/>
        <w:keepNext w:val="0"/>
        <w:keepLines w:val="0"/>
        <w:overflowPunct w:val="0"/>
        <w:spacing w:before="0" w:after="0" w:line="600" w:lineRule="exact"/>
        <w:jc w:val="center"/>
        <w:rPr>
          <w:rFonts w:ascii="宋体" w:hAnsi="宋体" w:cs="宋体"/>
          <w:color w:val="auto"/>
          <w:sz w:val="32"/>
          <w:szCs w:val="32"/>
          <w:highlight w:val="none"/>
        </w:rPr>
      </w:pPr>
      <w:bookmarkStart w:id="168" w:name="_Toc29660"/>
      <w:bookmarkStart w:id="169" w:name="_Toc16427"/>
      <w:r>
        <w:rPr>
          <w:rFonts w:ascii="宋体" w:hAnsi="宋体" w:cs="宋体"/>
          <w:color w:val="auto"/>
          <w:sz w:val="32"/>
          <w:szCs w:val="32"/>
          <w:highlight w:val="none"/>
        </w:rPr>
        <w:br w:type="page"/>
      </w:r>
    </w:p>
    <w:p w14:paraId="424798C8">
      <w:pPr>
        <w:pStyle w:val="3"/>
        <w:keepNext w:val="0"/>
        <w:keepLines w:val="0"/>
        <w:overflowPunct w:val="0"/>
        <w:spacing w:before="0" w:after="0" w:line="600" w:lineRule="exact"/>
        <w:jc w:val="center"/>
        <w:rPr>
          <w:rFonts w:ascii="宋体" w:cs="宋体"/>
          <w:color w:val="auto"/>
          <w:sz w:val="32"/>
          <w:szCs w:val="32"/>
          <w:highlight w:val="none"/>
        </w:rPr>
      </w:pPr>
      <w:bookmarkStart w:id="170" w:name="_Toc16386"/>
      <w:bookmarkStart w:id="171" w:name="_Toc14574"/>
      <w:r>
        <w:rPr>
          <w:rFonts w:hint="eastAsia" w:ascii="宋体" w:hAnsi="宋体" w:cs="宋体"/>
          <w:color w:val="auto"/>
          <w:sz w:val="32"/>
          <w:szCs w:val="32"/>
          <w:highlight w:val="none"/>
        </w:rPr>
        <w:t>第五章</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合同主要条款</w:t>
      </w:r>
      <w:bookmarkEnd w:id="168"/>
      <w:bookmarkEnd w:id="169"/>
      <w:bookmarkEnd w:id="170"/>
      <w:bookmarkEnd w:id="171"/>
    </w:p>
    <w:p w14:paraId="3755616A">
      <w:pPr>
        <w:overflowPunct w:val="0"/>
        <w:spacing w:line="400" w:lineRule="exact"/>
        <w:jc w:val="center"/>
        <w:rPr>
          <w:rFonts w:ascii="宋体" w:cs="宋体"/>
          <w:b/>
          <w:color w:val="auto"/>
          <w:sz w:val="28"/>
          <w:szCs w:val="28"/>
          <w:highlight w:val="none"/>
        </w:rPr>
      </w:pPr>
      <w:r>
        <w:rPr>
          <w:rFonts w:hint="eastAsia" w:ascii="宋体" w:hAnsi="宋体" w:cs="宋体"/>
          <w:b/>
          <w:color w:val="auto"/>
          <w:sz w:val="28"/>
          <w:szCs w:val="28"/>
          <w:highlight w:val="none"/>
        </w:rPr>
        <w:t>采购合同书（供参考）</w:t>
      </w:r>
    </w:p>
    <w:p w14:paraId="193AE1D2">
      <w:pPr>
        <w:pStyle w:val="16"/>
        <w:widowControl w:val="0"/>
        <w:adjustRightInd w:val="0"/>
        <w:snapToGrid w:val="0"/>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项目名称：</w:t>
      </w:r>
      <w:r>
        <w:rPr>
          <w:color w:val="auto"/>
          <w:sz w:val="21"/>
          <w:szCs w:val="21"/>
          <w:highlight w:val="none"/>
          <w:u w:val="single"/>
        </w:rPr>
        <w:t xml:space="preserve">                                                       </w:t>
      </w:r>
    </w:p>
    <w:p w14:paraId="1DEA1275">
      <w:pPr>
        <w:pStyle w:val="16"/>
        <w:widowControl w:val="0"/>
        <w:adjustRightInd w:val="0"/>
        <w:snapToGrid w:val="0"/>
        <w:spacing w:before="0" w:beforeAutospacing="0" w:after="0" w:afterAutospacing="0" w:line="400" w:lineRule="exact"/>
        <w:ind w:firstLine="420" w:firstLineChars="200"/>
        <w:rPr>
          <w:rFonts w:cs="Arial"/>
          <w:bCs/>
          <w:color w:val="auto"/>
          <w:sz w:val="21"/>
          <w:szCs w:val="21"/>
          <w:highlight w:val="none"/>
          <w:u w:val="single"/>
        </w:rPr>
      </w:pPr>
      <w:bookmarkStart w:id="172" w:name="_Toc293916912"/>
      <w:r>
        <w:rPr>
          <w:rFonts w:hint="eastAsia"/>
          <w:color w:val="auto"/>
          <w:sz w:val="21"/>
          <w:szCs w:val="21"/>
          <w:highlight w:val="none"/>
        </w:rPr>
        <w:t>项目编号：</w:t>
      </w:r>
      <w:bookmarkEnd w:id="172"/>
      <w:r>
        <w:rPr>
          <w:color w:val="auto"/>
          <w:sz w:val="21"/>
          <w:szCs w:val="21"/>
          <w:highlight w:val="none"/>
          <w:u w:val="single"/>
        </w:rPr>
        <w:t xml:space="preserve">                                                       </w:t>
      </w:r>
    </w:p>
    <w:p w14:paraId="6BD291D9">
      <w:pPr>
        <w:pStyle w:val="16"/>
        <w:widowControl w:val="0"/>
        <w:adjustRightInd w:val="0"/>
        <w:snapToGrid w:val="0"/>
        <w:spacing w:before="0" w:beforeAutospacing="0" w:after="0" w:afterAutospacing="0" w:line="400" w:lineRule="exact"/>
        <w:ind w:firstLine="420" w:firstLineChars="200"/>
        <w:rPr>
          <w:color w:val="auto"/>
          <w:sz w:val="21"/>
          <w:szCs w:val="21"/>
          <w:highlight w:val="none"/>
          <w:u w:val="single"/>
        </w:rPr>
      </w:pPr>
      <w:bookmarkStart w:id="173" w:name="_Toc293916913"/>
      <w:r>
        <w:rPr>
          <w:rFonts w:hint="eastAsia"/>
          <w:color w:val="auto"/>
          <w:sz w:val="21"/>
          <w:szCs w:val="21"/>
          <w:highlight w:val="none"/>
        </w:rPr>
        <w:t>甲</w:t>
      </w:r>
      <w:r>
        <w:rPr>
          <w:color w:val="auto"/>
          <w:sz w:val="21"/>
          <w:szCs w:val="21"/>
          <w:highlight w:val="none"/>
        </w:rPr>
        <w:t xml:space="preserve">    </w:t>
      </w:r>
      <w:r>
        <w:rPr>
          <w:rFonts w:hint="eastAsia"/>
          <w:color w:val="auto"/>
          <w:sz w:val="21"/>
          <w:szCs w:val="21"/>
          <w:highlight w:val="none"/>
        </w:rPr>
        <w:t>方：</w:t>
      </w:r>
      <w:bookmarkEnd w:id="173"/>
      <w:r>
        <w:rPr>
          <w:color w:val="auto"/>
          <w:sz w:val="21"/>
          <w:szCs w:val="21"/>
          <w:highlight w:val="none"/>
          <w:u w:val="single"/>
        </w:rPr>
        <w:t xml:space="preserve">                                                       </w:t>
      </w:r>
    </w:p>
    <w:p w14:paraId="113D95F1">
      <w:pPr>
        <w:pStyle w:val="16"/>
        <w:widowControl w:val="0"/>
        <w:adjustRightInd w:val="0"/>
        <w:snapToGrid w:val="0"/>
        <w:spacing w:before="0" w:beforeAutospacing="0" w:after="0" w:afterAutospacing="0" w:line="400" w:lineRule="exact"/>
        <w:ind w:firstLine="420" w:firstLineChars="200"/>
        <w:rPr>
          <w:color w:val="auto"/>
          <w:sz w:val="21"/>
          <w:szCs w:val="21"/>
          <w:highlight w:val="none"/>
        </w:rPr>
      </w:pPr>
      <w:bookmarkStart w:id="174" w:name="_Toc293916914"/>
      <w:r>
        <w:rPr>
          <w:rFonts w:hint="eastAsia"/>
          <w:color w:val="auto"/>
          <w:sz w:val="21"/>
          <w:szCs w:val="21"/>
          <w:highlight w:val="none"/>
        </w:rPr>
        <w:t>乙</w:t>
      </w:r>
      <w:r>
        <w:rPr>
          <w:color w:val="auto"/>
          <w:sz w:val="21"/>
          <w:szCs w:val="21"/>
          <w:highlight w:val="none"/>
        </w:rPr>
        <w:t xml:space="preserve">    </w:t>
      </w:r>
      <w:r>
        <w:rPr>
          <w:rFonts w:hint="eastAsia"/>
          <w:color w:val="auto"/>
          <w:sz w:val="21"/>
          <w:szCs w:val="21"/>
          <w:highlight w:val="none"/>
        </w:rPr>
        <w:t>方：</w:t>
      </w:r>
      <w:bookmarkEnd w:id="174"/>
      <w:r>
        <w:rPr>
          <w:color w:val="auto"/>
          <w:sz w:val="21"/>
          <w:szCs w:val="21"/>
          <w:highlight w:val="none"/>
          <w:u w:val="single"/>
        </w:rPr>
        <w:t xml:space="preserve">                                                       </w:t>
      </w:r>
    </w:p>
    <w:p w14:paraId="7301A748">
      <w:pPr>
        <w:pStyle w:val="16"/>
        <w:widowControl w:val="0"/>
        <w:adjustRightInd w:val="0"/>
        <w:snapToGrid w:val="0"/>
        <w:spacing w:before="0" w:beforeAutospacing="0" w:after="0" w:afterAutospacing="0" w:line="400" w:lineRule="exact"/>
        <w:ind w:firstLine="420" w:firstLineChars="200"/>
        <w:rPr>
          <w:b/>
          <w:color w:val="auto"/>
          <w:sz w:val="21"/>
          <w:szCs w:val="21"/>
          <w:highlight w:val="none"/>
        </w:rPr>
      </w:pPr>
      <w:bookmarkStart w:id="175" w:name="_Toc293916915"/>
      <w:r>
        <w:rPr>
          <w:rFonts w:hint="eastAsia"/>
          <w:color w:val="auto"/>
          <w:sz w:val="21"/>
          <w:szCs w:val="21"/>
          <w:highlight w:val="none"/>
        </w:rPr>
        <w:t>甲、乙双方根据</w:t>
      </w:r>
      <w:r>
        <w:rPr>
          <w:color w:val="auto"/>
          <w:sz w:val="21"/>
          <w:szCs w:val="21"/>
          <w:highlight w:val="none"/>
          <w:u w:val="single"/>
        </w:rPr>
        <w:t xml:space="preserve">                  </w:t>
      </w:r>
      <w:r>
        <w:rPr>
          <w:rFonts w:hint="eastAsia"/>
          <w:bCs/>
          <w:color w:val="auto"/>
          <w:sz w:val="21"/>
          <w:szCs w:val="21"/>
          <w:highlight w:val="none"/>
        </w:rPr>
        <w:t>项目竞争性磋商</w:t>
      </w:r>
      <w:r>
        <w:rPr>
          <w:rFonts w:hint="eastAsia"/>
          <w:color w:val="auto"/>
          <w:sz w:val="21"/>
          <w:szCs w:val="21"/>
          <w:highlight w:val="none"/>
        </w:rPr>
        <w:t>的结果，签署本合同。</w:t>
      </w:r>
      <w:bookmarkEnd w:id="175"/>
    </w:p>
    <w:p w14:paraId="62167E89">
      <w:pPr>
        <w:pStyle w:val="16"/>
        <w:snapToGrid w:val="0"/>
        <w:spacing w:before="0" w:beforeAutospacing="0" w:after="0" w:afterAutospacing="0" w:line="400" w:lineRule="exact"/>
        <w:rPr>
          <w:rFonts w:cs="宋体"/>
          <w:b/>
          <w:color w:val="auto"/>
          <w:sz w:val="21"/>
          <w:szCs w:val="21"/>
          <w:highlight w:val="none"/>
        </w:rPr>
      </w:pPr>
      <w:r>
        <w:rPr>
          <w:rFonts w:hint="eastAsia" w:cs="宋体"/>
          <w:b/>
          <w:color w:val="auto"/>
          <w:sz w:val="21"/>
          <w:szCs w:val="21"/>
          <w:highlight w:val="none"/>
        </w:rPr>
        <w:t>一、服务内容</w:t>
      </w:r>
    </w:p>
    <w:p w14:paraId="14EEE95F">
      <w:pPr>
        <w:pStyle w:val="16"/>
        <w:snapToGrid w:val="0"/>
        <w:spacing w:before="0" w:beforeAutospacing="0" w:after="0" w:afterAutospacing="0" w:line="400" w:lineRule="exact"/>
        <w:rPr>
          <w:rFonts w:cs="宋体"/>
          <w:b/>
          <w:color w:val="auto"/>
          <w:sz w:val="21"/>
          <w:szCs w:val="21"/>
          <w:highlight w:val="none"/>
        </w:rPr>
      </w:pPr>
    </w:p>
    <w:p w14:paraId="47A44DB7">
      <w:pPr>
        <w:pStyle w:val="16"/>
        <w:snapToGrid w:val="0"/>
        <w:spacing w:before="0" w:beforeAutospacing="0" w:after="0" w:afterAutospacing="0" w:line="400" w:lineRule="exact"/>
        <w:rPr>
          <w:rFonts w:cs="宋体"/>
          <w:b/>
          <w:color w:val="auto"/>
          <w:sz w:val="21"/>
          <w:szCs w:val="21"/>
          <w:highlight w:val="none"/>
        </w:rPr>
      </w:pPr>
      <w:r>
        <w:rPr>
          <w:rFonts w:hint="eastAsia" w:cs="宋体"/>
          <w:b/>
          <w:color w:val="auto"/>
          <w:sz w:val="21"/>
          <w:szCs w:val="21"/>
          <w:highlight w:val="none"/>
        </w:rPr>
        <w:t>二、合同金额</w:t>
      </w:r>
    </w:p>
    <w:p w14:paraId="66DFD9C6">
      <w:pPr>
        <w:pStyle w:val="16"/>
        <w:snapToGrid w:val="0"/>
        <w:spacing w:before="0" w:beforeAutospacing="0" w:after="0" w:afterAutospacing="0" w:line="400" w:lineRule="exact"/>
        <w:ind w:left="359" w:hanging="359" w:hangingChars="171"/>
        <w:rPr>
          <w:rFonts w:cs="宋体"/>
          <w:color w:val="auto"/>
          <w:sz w:val="21"/>
          <w:szCs w:val="21"/>
          <w:highlight w:val="none"/>
        </w:rPr>
      </w:pPr>
      <w:r>
        <w:rPr>
          <w:rFonts w:cs="宋体"/>
          <w:color w:val="auto"/>
          <w:sz w:val="21"/>
          <w:szCs w:val="21"/>
          <w:highlight w:val="none"/>
        </w:rPr>
        <w:t xml:space="preserve">    </w:t>
      </w:r>
      <w:r>
        <w:rPr>
          <w:rFonts w:hint="eastAsia" w:cs="宋体"/>
          <w:color w:val="auto"/>
          <w:sz w:val="21"/>
          <w:szCs w:val="21"/>
          <w:highlight w:val="none"/>
        </w:rPr>
        <w:t>本合同金额为（大写）：</w:t>
      </w:r>
      <w:r>
        <w:rPr>
          <w:rFonts w:cs="宋体"/>
          <w:b/>
          <w:bCs/>
          <w:color w:val="auto"/>
          <w:sz w:val="21"/>
          <w:szCs w:val="21"/>
          <w:highlight w:val="none"/>
          <w:u w:val="single"/>
        </w:rPr>
        <w:t xml:space="preserve">                     </w:t>
      </w:r>
      <w:r>
        <w:rPr>
          <w:rFonts w:hint="eastAsia" w:cs="宋体"/>
          <w:color w:val="auto"/>
          <w:sz w:val="21"/>
          <w:szCs w:val="21"/>
          <w:highlight w:val="none"/>
        </w:rPr>
        <w:t>元（¥</w:t>
      </w:r>
      <w:r>
        <w:rPr>
          <w:rFonts w:cs="宋体"/>
          <w:b/>
          <w:bCs/>
          <w:color w:val="auto"/>
          <w:sz w:val="21"/>
          <w:szCs w:val="21"/>
          <w:highlight w:val="none"/>
          <w:u w:val="single"/>
        </w:rPr>
        <w:t xml:space="preserve">              </w:t>
      </w:r>
      <w:r>
        <w:rPr>
          <w:rFonts w:hint="eastAsia" w:cs="宋体"/>
          <w:color w:val="auto"/>
          <w:sz w:val="21"/>
          <w:szCs w:val="21"/>
          <w:highlight w:val="none"/>
        </w:rPr>
        <w:t>元）人民币。</w:t>
      </w:r>
    </w:p>
    <w:p w14:paraId="1823FFBC">
      <w:pPr>
        <w:pStyle w:val="16"/>
        <w:snapToGrid w:val="0"/>
        <w:spacing w:before="0" w:beforeAutospacing="0" w:after="0" w:afterAutospacing="0" w:line="400" w:lineRule="exact"/>
        <w:rPr>
          <w:rFonts w:cs="宋体"/>
          <w:b/>
          <w:color w:val="auto"/>
          <w:sz w:val="21"/>
          <w:szCs w:val="21"/>
          <w:highlight w:val="none"/>
        </w:rPr>
      </w:pPr>
      <w:r>
        <w:rPr>
          <w:rFonts w:hint="eastAsia" w:cs="宋体"/>
          <w:b/>
          <w:color w:val="auto"/>
          <w:sz w:val="21"/>
          <w:szCs w:val="21"/>
          <w:highlight w:val="none"/>
        </w:rPr>
        <w:t>三、技术资料</w:t>
      </w:r>
    </w:p>
    <w:p w14:paraId="0C329D48">
      <w:pPr>
        <w:pStyle w:val="16"/>
        <w:snapToGrid w:val="0"/>
        <w:spacing w:before="0" w:beforeAutospacing="0" w:after="0" w:afterAutospacing="0" w:line="400" w:lineRule="exact"/>
        <w:ind w:left="359" w:hanging="359" w:hangingChars="171"/>
        <w:rPr>
          <w:rFonts w:cs="宋体"/>
          <w:color w:val="auto"/>
          <w:sz w:val="21"/>
          <w:szCs w:val="21"/>
          <w:highlight w:val="none"/>
        </w:rPr>
      </w:pPr>
      <w:r>
        <w:rPr>
          <w:rFonts w:cs="宋体"/>
          <w:color w:val="auto"/>
          <w:sz w:val="21"/>
          <w:szCs w:val="21"/>
          <w:highlight w:val="none"/>
        </w:rPr>
        <w:t xml:space="preserve">    1</w:t>
      </w:r>
      <w:r>
        <w:rPr>
          <w:rFonts w:hint="eastAsia" w:cs="宋体"/>
          <w:color w:val="auto"/>
          <w:sz w:val="21"/>
          <w:szCs w:val="21"/>
          <w:highlight w:val="none"/>
        </w:rPr>
        <w:t>、乙方应按竞争性磋商文件规定的时间向甲方提供有关技术资料。</w:t>
      </w:r>
    </w:p>
    <w:p w14:paraId="23BD1152">
      <w:pPr>
        <w:pStyle w:val="16"/>
        <w:snapToGrid w:val="0"/>
        <w:spacing w:before="0" w:beforeAutospacing="0" w:after="0" w:afterAutospacing="0" w:line="400" w:lineRule="exact"/>
        <w:rPr>
          <w:rFonts w:cs="宋体"/>
          <w:color w:val="auto"/>
          <w:sz w:val="21"/>
          <w:szCs w:val="21"/>
          <w:highlight w:val="none"/>
        </w:rPr>
      </w:pPr>
      <w:r>
        <w:rPr>
          <w:rFonts w:cs="宋体"/>
          <w:color w:val="auto"/>
          <w:sz w:val="21"/>
          <w:szCs w:val="21"/>
          <w:highlight w:val="none"/>
        </w:rPr>
        <w:t xml:space="preserve">    2</w:t>
      </w:r>
      <w:r>
        <w:rPr>
          <w:rFonts w:hint="eastAsia" w:cs="宋体"/>
          <w:color w:val="auto"/>
          <w:sz w:val="21"/>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0FC3D50">
      <w:pPr>
        <w:pStyle w:val="16"/>
        <w:snapToGrid w:val="0"/>
        <w:spacing w:before="0" w:beforeAutospacing="0" w:after="0" w:afterAutospacing="0" w:line="400" w:lineRule="exact"/>
        <w:ind w:left="360" w:hanging="361" w:hangingChars="171"/>
        <w:rPr>
          <w:rFonts w:cs="宋体"/>
          <w:b/>
          <w:color w:val="auto"/>
          <w:sz w:val="21"/>
          <w:szCs w:val="21"/>
          <w:highlight w:val="none"/>
        </w:rPr>
      </w:pPr>
      <w:r>
        <w:rPr>
          <w:rFonts w:hint="eastAsia" w:cs="宋体"/>
          <w:b/>
          <w:color w:val="auto"/>
          <w:sz w:val="21"/>
          <w:szCs w:val="21"/>
          <w:highlight w:val="none"/>
        </w:rPr>
        <w:t>四、知识产权</w:t>
      </w:r>
    </w:p>
    <w:p w14:paraId="0D4D033B">
      <w:pPr>
        <w:pStyle w:val="16"/>
        <w:snapToGrid w:val="0"/>
        <w:spacing w:before="0" w:beforeAutospacing="0" w:after="0" w:afterAutospacing="0" w:line="400" w:lineRule="exact"/>
        <w:ind w:left="359" w:hanging="359" w:hangingChars="171"/>
        <w:rPr>
          <w:rFonts w:cs="宋体"/>
          <w:b/>
          <w:bCs/>
          <w:color w:val="auto"/>
          <w:sz w:val="21"/>
          <w:szCs w:val="21"/>
          <w:highlight w:val="none"/>
        </w:rPr>
      </w:pPr>
      <w:r>
        <w:rPr>
          <w:rFonts w:cs="宋体"/>
          <w:color w:val="auto"/>
          <w:sz w:val="21"/>
          <w:szCs w:val="21"/>
          <w:highlight w:val="none"/>
        </w:rPr>
        <w:t xml:space="preserve">    </w:t>
      </w:r>
      <w:r>
        <w:rPr>
          <w:rFonts w:hint="eastAsia" w:cs="宋体"/>
          <w:color w:val="auto"/>
          <w:sz w:val="21"/>
          <w:szCs w:val="21"/>
          <w:highlight w:val="none"/>
        </w:rPr>
        <w:t>乙方应保证提供服务过程中不会侵犯任何第三方的</w:t>
      </w:r>
      <w:r>
        <w:rPr>
          <w:rFonts w:hint="eastAsia" w:cs="宋体"/>
          <w:bCs/>
          <w:color w:val="auto"/>
          <w:sz w:val="21"/>
          <w:szCs w:val="21"/>
          <w:highlight w:val="none"/>
        </w:rPr>
        <w:t>知识产权</w:t>
      </w:r>
      <w:r>
        <w:rPr>
          <w:rFonts w:hint="eastAsia" w:cs="宋体"/>
          <w:color w:val="auto"/>
          <w:sz w:val="21"/>
          <w:szCs w:val="21"/>
          <w:highlight w:val="none"/>
        </w:rPr>
        <w:t>。</w:t>
      </w:r>
    </w:p>
    <w:p w14:paraId="75B1B866">
      <w:pPr>
        <w:pStyle w:val="16"/>
        <w:snapToGrid w:val="0"/>
        <w:spacing w:before="0" w:beforeAutospacing="0" w:after="0" w:afterAutospacing="0" w:line="400" w:lineRule="exact"/>
        <w:ind w:left="358" w:hanging="358" w:hangingChars="170"/>
        <w:rPr>
          <w:rFonts w:cs="宋体"/>
          <w:b/>
          <w:color w:val="auto"/>
          <w:sz w:val="21"/>
          <w:szCs w:val="21"/>
          <w:highlight w:val="none"/>
        </w:rPr>
      </w:pPr>
      <w:r>
        <w:rPr>
          <w:rFonts w:hint="eastAsia" w:cs="宋体"/>
          <w:b/>
          <w:color w:val="auto"/>
          <w:sz w:val="21"/>
          <w:szCs w:val="21"/>
          <w:highlight w:val="none"/>
        </w:rPr>
        <w:t>五、履约保证金</w:t>
      </w:r>
    </w:p>
    <w:p w14:paraId="51CA881E">
      <w:pPr>
        <w:pStyle w:val="16"/>
        <w:snapToGrid w:val="0"/>
        <w:spacing w:before="0" w:beforeAutospacing="0" w:after="0" w:afterAutospacing="0" w:line="400" w:lineRule="exact"/>
        <w:ind w:left="357" w:hanging="357" w:hangingChars="170"/>
        <w:rPr>
          <w:rFonts w:cs="宋体"/>
          <w:color w:val="auto"/>
          <w:sz w:val="21"/>
          <w:szCs w:val="21"/>
          <w:highlight w:val="none"/>
        </w:rPr>
      </w:pPr>
      <w:r>
        <w:rPr>
          <w:rFonts w:cs="宋体"/>
          <w:color w:val="auto"/>
          <w:sz w:val="21"/>
          <w:szCs w:val="21"/>
          <w:highlight w:val="none"/>
        </w:rPr>
        <w:t xml:space="preserve">    </w:t>
      </w:r>
      <w:r>
        <w:rPr>
          <w:rFonts w:hint="eastAsia" w:cs="宋体"/>
          <w:color w:val="auto"/>
          <w:sz w:val="21"/>
          <w:szCs w:val="21"/>
          <w:highlight w:val="none"/>
        </w:rPr>
        <w:t>无。</w:t>
      </w:r>
    </w:p>
    <w:p w14:paraId="7195C9FC">
      <w:pPr>
        <w:snapToGrid w:val="0"/>
        <w:spacing w:line="400" w:lineRule="exact"/>
        <w:rPr>
          <w:rFonts w:ascii="宋体" w:cs="宋体"/>
          <w:b/>
          <w:color w:val="auto"/>
          <w:szCs w:val="21"/>
          <w:highlight w:val="none"/>
        </w:rPr>
      </w:pPr>
      <w:r>
        <w:rPr>
          <w:rFonts w:hint="eastAsia" w:ascii="宋体" w:hAnsi="宋体" w:cs="宋体"/>
          <w:b/>
          <w:color w:val="auto"/>
          <w:szCs w:val="21"/>
          <w:highlight w:val="none"/>
        </w:rPr>
        <w:t>六、转包或分包</w:t>
      </w:r>
    </w:p>
    <w:p w14:paraId="7C1A4CC0">
      <w:pPr>
        <w:snapToGrid w:val="0"/>
        <w:spacing w:line="400" w:lineRule="exact"/>
        <w:rPr>
          <w:rFonts w:ascii="宋体" w:cs="宋体"/>
          <w:color w:val="auto"/>
          <w:szCs w:val="21"/>
          <w:highlight w:val="none"/>
        </w:rPr>
      </w:pPr>
      <w:r>
        <w:rPr>
          <w:rFonts w:ascii="宋体" w:hAnsi="宋体" w:cs="宋体"/>
          <w:color w:val="auto"/>
          <w:szCs w:val="21"/>
          <w:highlight w:val="none"/>
        </w:rPr>
        <w:t xml:space="preserve">    1</w:t>
      </w:r>
      <w:r>
        <w:rPr>
          <w:rFonts w:hint="eastAsia" w:ascii="宋体" w:hAnsi="宋体" w:cs="宋体"/>
          <w:color w:val="auto"/>
          <w:szCs w:val="21"/>
          <w:highlight w:val="none"/>
        </w:rPr>
        <w:t>、本合同范围的服务，应由乙方直接供应，不得转让他人供应；</w:t>
      </w:r>
    </w:p>
    <w:p w14:paraId="75238981">
      <w:pPr>
        <w:snapToGrid w:val="0"/>
        <w:spacing w:line="400" w:lineRule="exact"/>
        <w:rPr>
          <w:rFonts w:ascii="宋体" w:cs="宋体"/>
          <w:color w:val="auto"/>
          <w:szCs w:val="21"/>
          <w:highlight w:val="none"/>
        </w:rPr>
      </w:pPr>
      <w:r>
        <w:rPr>
          <w:rFonts w:ascii="宋体" w:hAnsi="宋体" w:cs="宋体"/>
          <w:color w:val="auto"/>
          <w:szCs w:val="21"/>
          <w:highlight w:val="none"/>
        </w:rPr>
        <w:t xml:space="preserve">    2</w:t>
      </w:r>
      <w:r>
        <w:rPr>
          <w:rFonts w:hint="eastAsia" w:ascii="宋体" w:hAnsi="宋体" w:cs="宋体"/>
          <w:color w:val="auto"/>
          <w:szCs w:val="21"/>
          <w:highlight w:val="none"/>
        </w:rPr>
        <w:t>、除非得到甲方的书面同意，乙方不得将本合同范围的服务全部或部分分包给他人供应；</w:t>
      </w:r>
    </w:p>
    <w:p w14:paraId="7B19C02C">
      <w:pPr>
        <w:snapToGrid w:val="0"/>
        <w:spacing w:line="400" w:lineRule="exact"/>
        <w:rPr>
          <w:rFonts w:ascii="宋体" w:cs="宋体"/>
          <w:color w:val="auto"/>
          <w:szCs w:val="21"/>
          <w:highlight w:val="none"/>
        </w:rPr>
      </w:pPr>
      <w:r>
        <w:rPr>
          <w:rFonts w:ascii="宋体" w:hAnsi="宋体" w:cs="宋体"/>
          <w:color w:val="auto"/>
          <w:szCs w:val="21"/>
          <w:highlight w:val="none"/>
        </w:rPr>
        <w:t xml:space="preserve">    3</w:t>
      </w:r>
      <w:r>
        <w:rPr>
          <w:rFonts w:hint="eastAsia" w:ascii="宋体" w:hAnsi="宋体" w:cs="宋体"/>
          <w:color w:val="auto"/>
          <w:szCs w:val="21"/>
          <w:highlight w:val="none"/>
        </w:rPr>
        <w:t>、如有转让和未经甲方同意的分包行为，甲方有权解除合同，没收履约保证金并追究乙方的违约责任。</w:t>
      </w:r>
    </w:p>
    <w:p w14:paraId="15A2BFA8">
      <w:pPr>
        <w:pStyle w:val="16"/>
        <w:snapToGrid w:val="0"/>
        <w:spacing w:before="0" w:beforeAutospacing="0" w:after="0" w:afterAutospacing="0" w:line="400" w:lineRule="exact"/>
        <w:rPr>
          <w:rFonts w:cs="宋体"/>
          <w:b/>
          <w:color w:val="auto"/>
          <w:sz w:val="21"/>
          <w:szCs w:val="21"/>
          <w:highlight w:val="none"/>
        </w:rPr>
      </w:pPr>
      <w:r>
        <w:rPr>
          <w:rFonts w:hint="eastAsia" w:cs="宋体"/>
          <w:b/>
          <w:color w:val="auto"/>
          <w:sz w:val="21"/>
          <w:szCs w:val="21"/>
          <w:highlight w:val="none"/>
        </w:rPr>
        <w:t>七、合同履行时间、履行方式及履行地点</w:t>
      </w:r>
    </w:p>
    <w:p w14:paraId="38884C2F">
      <w:pPr>
        <w:pStyle w:val="16"/>
        <w:snapToGrid w:val="0"/>
        <w:spacing w:before="0" w:beforeAutospacing="0" w:after="0" w:afterAutospacing="0" w:line="400" w:lineRule="exact"/>
        <w:rPr>
          <w:rFonts w:cs="宋体"/>
          <w:bCs/>
          <w:color w:val="auto"/>
          <w:sz w:val="21"/>
          <w:szCs w:val="21"/>
          <w:highlight w:val="none"/>
        </w:rPr>
      </w:pPr>
      <w:r>
        <w:rPr>
          <w:rFonts w:cs="宋体"/>
          <w:bCs/>
          <w:color w:val="auto"/>
          <w:sz w:val="21"/>
          <w:szCs w:val="21"/>
          <w:highlight w:val="none"/>
        </w:rPr>
        <w:t xml:space="preserve">    1</w:t>
      </w:r>
      <w:r>
        <w:rPr>
          <w:rFonts w:hint="eastAsia" w:cs="宋体"/>
          <w:bCs/>
          <w:color w:val="auto"/>
          <w:sz w:val="21"/>
          <w:szCs w:val="21"/>
          <w:highlight w:val="none"/>
        </w:rPr>
        <w:t>、</w:t>
      </w:r>
      <w:r>
        <w:rPr>
          <w:rFonts w:hint="eastAsia" w:cs="宋体"/>
          <w:color w:val="auto"/>
          <w:sz w:val="21"/>
          <w:szCs w:val="21"/>
          <w:highlight w:val="none"/>
        </w:rPr>
        <w:t>履行时间</w:t>
      </w:r>
      <w:r>
        <w:rPr>
          <w:rFonts w:hint="eastAsia" w:cs="宋体"/>
          <w:bCs/>
          <w:color w:val="auto"/>
          <w:sz w:val="21"/>
          <w:szCs w:val="21"/>
          <w:highlight w:val="none"/>
        </w:rPr>
        <w:t>：</w:t>
      </w:r>
    </w:p>
    <w:p w14:paraId="42EB2C2F">
      <w:pPr>
        <w:pStyle w:val="16"/>
        <w:snapToGrid w:val="0"/>
        <w:spacing w:before="0" w:beforeAutospacing="0" w:after="0" w:afterAutospacing="0" w:line="400" w:lineRule="exact"/>
        <w:rPr>
          <w:rFonts w:cs="宋体"/>
          <w:bCs/>
          <w:color w:val="auto"/>
          <w:sz w:val="21"/>
          <w:szCs w:val="21"/>
          <w:highlight w:val="none"/>
        </w:rPr>
      </w:pPr>
      <w:r>
        <w:rPr>
          <w:rFonts w:cs="宋体"/>
          <w:bCs/>
          <w:color w:val="auto"/>
          <w:sz w:val="21"/>
          <w:szCs w:val="21"/>
          <w:highlight w:val="none"/>
        </w:rPr>
        <w:t xml:space="preserve">    2</w:t>
      </w:r>
      <w:r>
        <w:rPr>
          <w:rFonts w:hint="eastAsia" w:cs="宋体"/>
          <w:bCs/>
          <w:color w:val="auto"/>
          <w:sz w:val="21"/>
          <w:szCs w:val="21"/>
          <w:highlight w:val="none"/>
        </w:rPr>
        <w:t>、</w:t>
      </w:r>
      <w:r>
        <w:rPr>
          <w:rFonts w:hint="eastAsia" w:cs="宋体"/>
          <w:color w:val="auto"/>
          <w:sz w:val="21"/>
          <w:szCs w:val="21"/>
          <w:highlight w:val="none"/>
        </w:rPr>
        <w:t>履行方式</w:t>
      </w:r>
      <w:r>
        <w:rPr>
          <w:rFonts w:hint="eastAsia" w:cs="宋体"/>
          <w:bCs/>
          <w:color w:val="auto"/>
          <w:sz w:val="21"/>
          <w:szCs w:val="21"/>
          <w:highlight w:val="none"/>
        </w:rPr>
        <w:t>：</w:t>
      </w:r>
    </w:p>
    <w:p w14:paraId="0F6BAF7E">
      <w:pPr>
        <w:pStyle w:val="16"/>
        <w:snapToGrid w:val="0"/>
        <w:spacing w:before="0" w:beforeAutospacing="0" w:after="0" w:afterAutospacing="0" w:line="400" w:lineRule="exact"/>
        <w:rPr>
          <w:rFonts w:cs="宋体"/>
          <w:color w:val="auto"/>
          <w:sz w:val="21"/>
          <w:szCs w:val="21"/>
          <w:highlight w:val="none"/>
        </w:rPr>
      </w:pPr>
      <w:r>
        <w:rPr>
          <w:rFonts w:cs="宋体"/>
          <w:bCs/>
          <w:color w:val="auto"/>
          <w:sz w:val="21"/>
          <w:szCs w:val="21"/>
          <w:highlight w:val="none"/>
        </w:rPr>
        <w:t xml:space="preserve">    3</w:t>
      </w:r>
      <w:r>
        <w:rPr>
          <w:rFonts w:hint="eastAsia" w:cs="宋体"/>
          <w:bCs/>
          <w:color w:val="auto"/>
          <w:sz w:val="21"/>
          <w:szCs w:val="21"/>
          <w:highlight w:val="none"/>
        </w:rPr>
        <w:t>、</w:t>
      </w:r>
      <w:r>
        <w:rPr>
          <w:rFonts w:hint="eastAsia" w:cs="宋体"/>
          <w:color w:val="auto"/>
          <w:sz w:val="21"/>
          <w:szCs w:val="21"/>
          <w:highlight w:val="none"/>
        </w:rPr>
        <w:t>履行地点</w:t>
      </w:r>
      <w:r>
        <w:rPr>
          <w:rFonts w:hint="eastAsia" w:cs="宋体"/>
          <w:bCs/>
          <w:color w:val="auto"/>
          <w:sz w:val="21"/>
          <w:szCs w:val="21"/>
          <w:highlight w:val="none"/>
        </w:rPr>
        <w:t>：</w:t>
      </w:r>
    </w:p>
    <w:p w14:paraId="719E10FF">
      <w:pPr>
        <w:pStyle w:val="16"/>
        <w:snapToGrid w:val="0"/>
        <w:spacing w:before="0" w:beforeAutospacing="0" w:after="0" w:afterAutospacing="0" w:line="400" w:lineRule="exact"/>
        <w:rPr>
          <w:rFonts w:cs="宋体"/>
          <w:b/>
          <w:bCs/>
          <w:color w:val="auto"/>
          <w:sz w:val="21"/>
          <w:szCs w:val="21"/>
          <w:highlight w:val="none"/>
        </w:rPr>
      </w:pPr>
      <w:r>
        <w:rPr>
          <w:rFonts w:hint="eastAsia" w:cs="宋体"/>
          <w:b/>
          <w:color w:val="auto"/>
          <w:sz w:val="21"/>
          <w:szCs w:val="21"/>
          <w:highlight w:val="none"/>
        </w:rPr>
        <w:t>八、</w:t>
      </w:r>
      <w:r>
        <w:rPr>
          <w:rFonts w:hint="eastAsia" w:cs="宋体"/>
          <w:b/>
          <w:bCs/>
          <w:color w:val="auto"/>
          <w:sz w:val="21"/>
          <w:szCs w:val="21"/>
          <w:highlight w:val="none"/>
        </w:rPr>
        <w:t>付款方式：</w:t>
      </w:r>
    </w:p>
    <w:p w14:paraId="1EBF8FB9">
      <w:pPr>
        <w:snapToGrid w:val="0"/>
        <w:spacing w:line="400" w:lineRule="exact"/>
        <w:rPr>
          <w:rFonts w:ascii="宋体" w:cs="宋体"/>
          <w:b/>
          <w:color w:val="auto"/>
          <w:szCs w:val="21"/>
          <w:highlight w:val="none"/>
        </w:rPr>
      </w:pPr>
      <w:r>
        <w:rPr>
          <w:rFonts w:hint="eastAsia" w:ascii="宋体" w:hAnsi="宋体" w:cs="宋体"/>
          <w:b/>
          <w:color w:val="auto"/>
          <w:szCs w:val="21"/>
          <w:highlight w:val="none"/>
        </w:rPr>
        <w:t>九、税费</w:t>
      </w:r>
    </w:p>
    <w:p w14:paraId="0F0DD329">
      <w:pPr>
        <w:snapToGrid w:val="0"/>
        <w:spacing w:line="400" w:lineRule="exact"/>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本合同执行中相关的一切税费均由乙方负担。</w:t>
      </w:r>
    </w:p>
    <w:p w14:paraId="011B8013">
      <w:pPr>
        <w:pStyle w:val="16"/>
        <w:snapToGrid w:val="0"/>
        <w:spacing w:before="0" w:beforeAutospacing="0" w:after="0" w:afterAutospacing="0" w:line="400" w:lineRule="exact"/>
        <w:ind w:left="360" w:hanging="361" w:hangingChars="171"/>
        <w:rPr>
          <w:rFonts w:cs="宋体"/>
          <w:color w:val="auto"/>
          <w:sz w:val="21"/>
          <w:szCs w:val="21"/>
          <w:highlight w:val="none"/>
        </w:rPr>
      </w:pPr>
      <w:r>
        <w:rPr>
          <w:rFonts w:hint="eastAsia" w:cs="宋体"/>
          <w:b/>
          <w:color w:val="auto"/>
          <w:sz w:val="21"/>
          <w:szCs w:val="21"/>
          <w:highlight w:val="none"/>
        </w:rPr>
        <w:t>十、质量保证及后续服务</w:t>
      </w:r>
    </w:p>
    <w:p w14:paraId="61F96668">
      <w:pPr>
        <w:pStyle w:val="16"/>
        <w:snapToGrid w:val="0"/>
        <w:spacing w:before="0" w:beforeAutospacing="0" w:after="0" w:afterAutospacing="0" w:line="400" w:lineRule="exact"/>
        <w:ind w:left="359" w:hanging="359" w:hangingChars="171"/>
        <w:rPr>
          <w:rFonts w:cs="宋体"/>
          <w:color w:val="auto"/>
          <w:sz w:val="21"/>
          <w:szCs w:val="21"/>
          <w:highlight w:val="none"/>
        </w:rPr>
      </w:pPr>
      <w:r>
        <w:rPr>
          <w:rFonts w:cs="宋体"/>
          <w:color w:val="auto"/>
          <w:sz w:val="21"/>
          <w:szCs w:val="21"/>
          <w:highlight w:val="none"/>
        </w:rPr>
        <w:t xml:space="preserve">    1</w:t>
      </w:r>
      <w:r>
        <w:rPr>
          <w:rFonts w:hint="eastAsia" w:cs="宋体"/>
          <w:color w:val="auto"/>
          <w:sz w:val="21"/>
          <w:szCs w:val="21"/>
          <w:highlight w:val="none"/>
        </w:rPr>
        <w:t>、乙方应按竞争性磋商文件规定向甲方提供服务。</w:t>
      </w:r>
    </w:p>
    <w:p w14:paraId="7B789BF8">
      <w:pPr>
        <w:pStyle w:val="16"/>
        <w:snapToGrid w:val="0"/>
        <w:spacing w:before="0" w:beforeAutospacing="0" w:after="0" w:afterAutospacing="0" w:line="400" w:lineRule="exact"/>
        <w:rPr>
          <w:rFonts w:cs="宋体"/>
          <w:color w:val="auto"/>
          <w:sz w:val="21"/>
          <w:szCs w:val="21"/>
          <w:highlight w:val="none"/>
        </w:rPr>
      </w:pPr>
      <w:r>
        <w:rPr>
          <w:rFonts w:cs="宋体"/>
          <w:color w:val="auto"/>
          <w:sz w:val="21"/>
          <w:szCs w:val="21"/>
          <w:highlight w:val="none"/>
        </w:rPr>
        <w:t xml:space="preserve">    2</w:t>
      </w:r>
      <w:r>
        <w:rPr>
          <w:rFonts w:hint="eastAsia" w:cs="宋体"/>
          <w:color w:val="auto"/>
          <w:sz w:val="21"/>
          <w:szCs w:val="21"/>
          <w:highlight w:val="none"/>
        </w:rPr>
        <w:t>、乙方提供的服务成果在服务质量保证期内发生故障，乙方应负责免费提供后续服务。对达不到要求者，根据实际情况，经双方协商，可按以下办法处理：</w:t>
      </w:r>
    </w:p>
    <w:p w14:paraId="630349EA">
      <w:pPr>
        <w:pStyle w:val="16"/>
        <w:snapToGrid w:val="0"/>
        <w:spacing w:before="0" w:beforeAutospacing="0" w:after="0" w:afterAutospacing="0" w:line="400" w:lineRule="exact"/>
        <w:ind w:firstLine="420"/>
        <w:rPr>
          <w:rFonts w:cs="宋体"/>
          <w:color w:val="auto"/>
          <w:sz w:val="21"/>
          <w:szCs w:val="21"/>
          <w:highlight w:val="none"/>
        </w:rPr>
      </w:pPr>
      <w:r>
        <w:rPr>
          <w:rFonts w:hint="eastAsia" w:cs="宋体"/>
          <w:color w:val="auto"/>
          <w:sz w:val="21"/>
          <w:szCs w:val="21"/>
          <w:highlight w:val="none"/>
        </w:rPr>
        <w:t>⑴重做：由乙方承担所发生的全部费用。</w:t>
      </w:r>
    </w:p>
    <w:p w14:paraId="18A98929">
      <w:pPr>
        <w:pStyle w:val="16"/>
        <w:snapToGrid w:val="0"/>
        <w:spacing w:before="0" w:beforeAutospacing="0" w:after="0" w:afterAutospacing="0" w:line="400" w:lineRule="exact"/>
        <w:ind w:firstLine="420"/>
        <w:rPr>
          <w:rFonts w:cs="宋体"/>
          <w:color w:val="auto"/>
          <w:sz w:val="21"/>
          <w:szCs w:val="21"/>
          <w:highlight w:val="none"/>
        </w:rPr>
      </w:pPr>
      <w:r>
        <w:rPr>
          <w:rFonts w:hint="eastAsia" w:cs="宋体"/>
          <w:color w:val="auto"/>
          <w:sz w:val="21"/>
          <w:szCs w:val="21"/>
          <w:highlight w:val="none"/>
        </w:rPr>
        <w:t>⑵贬值处理：由甲乙双方合议定价。</w:t>
      </w:r>
    </w:p>
    <w:p w14:paraId="2EF0F659">
      <w:pPr>
        <w:pStyle w:val="16"/>
        <w:snapToGrid w:val="0"/>
        <w:spacing w:before="0" w:beforeAutospacing="0" w:after="0" w:afterAutospacing="0" w:line="400" w:lineRule="exact"/>
        <w:ind w:left="420" w:leftChars="200"/>
        <w:rPr>
          <w:rFonts w:cs="宋体"/>
          <w:color w:val="auto"/>
          <w:sz w:val="21"/>
          <w:szCs w:val="21"/>
          <w:highlight w:val="none"/>
        </w:rPr>
      </w:pPr>
      <w:r>
        <w:rPr>
          <w:rFonts w:hint="eastAsia" w:cs="宋体"/>
          <w:color w:val="auto"/>
          <w:sz w:val="21"/>
          <w:szCs w:val="21"/>
          <w:highlight w:val="none"/>
        </w:rPr>
        <w:t>⑶解除合同。</w:t>
      </w:r>
    </w:p>
    <w:p w14:paraId="3B39687F">
      <w:pPr>
        <w:pStyle w:val="16"/>
        <w:snapToGrid w:val="0"/>
        <w:spacing w:before="0" w:beforeAutospacing="0" w:after="0" w:afterAutospacing="0" w:line="400" w:lineRule="exact"/>
        <w:rPr>
          <w:rFonts w:cs="宋体"/>
          <w:color w:val="auto"/>
          <w:sz w:val="21"/>
          <w:szCs w:val="21"/>
          <w:highlight w:val="none"/>
        </w:rPr>
      </w:pPr>
      <w:r>
        <w:rPr>
          <w:rFonts w:cs="宋体"/>
          <w:color w:val="auto"/>
          <w:sz w:val="21"/>
          <w:szCs w:val="21"/>
          <w:highlight w:val="none"/>
        </w:rPr>
        <w:t xml:space="preserve">    3</w:t>
      </w:r>
      <w:r>
        <w:rPr>
          <w:rFonts w:hint="eastAsia" w:cs="宋体"/>
          <w:color w:val="auto"/>
          <w:sz w:val="21"/>
          <w:szCs w:val="21"/>
          <w:highlight w:val="none"/>
        </w:rPr>
        <w:t>、如在使用过程中发生问题，乙方在接到甲方通知后在</w:t>
      </w:r>
      <w:r>
        <w:rPr>
          <w:rFonts w:cs="宋体"/>
          <w:color w:val="auto"/>
          <w:sz w:val="21"/>
          <w:szCs w:val="21"/>
          <w:highlight w:val="none"/>
          <w:u w:val="single"/>
        </w:rPr>
        <w:t xml:space="preserve">   </w:t>
      </w:r>
      <w:r>
        <w:rPr>
          <w:rFonts w:hint="eastAsia" w:cs="宋体"/>
          <w:color w:val="auto"/>
          <w:sz w:val="21"/>
          <w:szCs w:val="21"/>
          <w:highlight w:val="none"/>
        </w:rPr>
        <w:t>小时内到达甲方现场。</w:t>
      </w:r>
    </w:p>
    <w:p w14:paraId="52C15E16">
      <w:pPr>
        <w:pStyle w:val="16"/>
        <w:snapToGrid w:val="0"/>
        <w:spacing w:before="0" w:beforeAutospacing="0" w:after="0" w:afterAutospacing="0" w:line="400" w:lineRule="exact"/>
        <w:rPr>
          <w:rFonts w:cs="宋体"/>
          <w:b/>
          <w:color w:val="auto"/>
          <w:sz w:val="21"/>
          <w:szCs w:val="21"/>
          <w:highlight w:val="none"/>
        </w:rPr>
      </w:pPr>
      <w:r>
        <w:rPr>
          <w:rFonts w:hint="eastAsia" w:cs="宋体"/>
          <w:b/>
          <w:color w:val="auto"/>
          <w:sz w:val="21"/>
          <w:szCs w:val="21"/>
          <w:highlight w:val="none"/>
        </w:rPr>
        <w:t>十一、违约责任</w:t>
      </w:r>
    </w:p>
    <w:p w14:paraId="0D4F578A">
      <w:pPr>
        <w:spacing w:line="400" w:lineRule="exact"/>
        <w:rPr>
          <w:rFonts w:ascii="宋体" w:cs="宋体"/>
          <w:color w:val="auto"/>
          <w:szCs w:val="21"/>
          <w:highlight w:val="none"/>
        </w:rPr>
      </w:pPr>
      <w:r>
        <w:rPr>
          <w:rFonts w:ascii="宋体" w:hAnsi="宋体" w:cs="宋体"/>
          <w:color w:val="auto"/>
          <w:szCs w:val="21"/>
          <w:highlight w:val="none"/>
        </w:rPr>
        <w:t xml:space="preserve">    1</w:t>
      </w:r>
      <w:r>
        <w:rPr>
          <w:rFonts w:hint="eastAsia" w:ascii="宋体" w:hAnsi="宋体" w:cs="宋体"/>
          <w:color w:val="auto"/>
          <w:szCs w:val="21"/>
          <w:highlight w:val="none"/>
        </w:rPr>
        <w:t>、甲方无正当理由拒收接受服务的，甲方向乙方偿付合同款项百分之二十作为违约金。</w:t>
      </w:r>
    </w:p>
    <w:p w14:paraId="5BC08DC9">
      <w:pPr>
        <w:spacing w:line="400" w:lineRule="exact"/>
        <w:rPr>
          <w:rFonts w:ascii="宋体" w:cs="宋体"/>
          <w:color w:val="auto"/>
          <w:szCs w:val="21"/>
          <w:highlight w:val="none"/>
        </w:rPr>
      </w:pPr>
      <w:r>
        <w:rPr>
          <w:rFonts w:ascii="宋体" w:hAnsi="宋体" w:cs="宋体"/>
          <w:color w:val="auto"/>
          <w:szCs w:val="21"/>
          <w:highlight w:val="none"/>
        </w:rPr>
        <w:t xml:space="preserve">    2</w:t>
      </w:r>
      <w:r>
        <w:rPr>
          <w:rFonts w:hint="eastAsia" w:ascii="宋体" w:hAnsi="宋体" w:cs="宋体"/>
          <w:color w:val="auto"/>
          <w:szCs w:val="21"/>
          <w:highlight w:val="none"/>
        </w:rPr>
        <w:t>、甲方无故逾期验收和办理款项支付手续的</w:t>
      </w:r>
      <w:r>
        <w:rPr>
          <w:rFonts w:hint="eastAsia" w:ascii="宋体" w:cs="宋体"/>
          <w:color w:val="auto"/>
          <w:szCs w:val="21"/>
          <w:highlight w:val="none"/>
        </w:rPr>
        <w:t>，</w:t>
      </w:r>
      <w:r>
        <w:rPr>
          <w:rFonts w:hint="eastAsia" w:ascii="宋体" w:hAnsi="宋体" w:cs="宋体"/>
          <w:color w:val="auto"/>
          <w:szCs w:val="21"/>
          <w:highlight w:val="none"/>
        </w:rPr>
        <w:t>甲方应按逾期付款总额每日万分之五向乙方支付违约金。</w:t>
      </w:r>
    </w:p>
    <w:p w14:paraId="04CBFCD9">
      <w:pPr>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乙方未能如期提供服务的，每日向甲方支付合同款项的千分之十作为违约金。乙方超过约定日期</w:t>
      </w:r>
      <w:r>
        <w:rPr>
          <w:rFonts w:ascii="宋体" w:hAnsi="宋体" w:cs="宋体"/>
          <w:color w:val="auto"/>
          <w:szCs w:val="21"/>
          <w:highlight w:val="none"/>
        </w:rPr>
        <w:t>10</w:t>
      </w:r>
      <w:r>
        <w:rPr>
          <w:rFonts w:hint="eastAsia" w:ascii="宋体" w:hAnsi="宋体" w:cs="宋体"/>
          <w:color w:val="auto"/>
          <w:szCs w:val="21"/>
          <w:highlight w:val="none"/>
        </w:rPr>
        <w:t>个工作日仍不能提供服务的，甲方可解除本合同。乙方因未能如期提供服务或因其他违约行为导致甲方解除合同的，乙方应向甲方支付合同总值</w:t>
      </w:r>
      <w:r>
        <w:rPr>
          <w:rFonts w:ascii="宋体" w:hAnsi="宋体" w:cs="宋体"/>
          <w:color w:val="auto"/>
          <w:szCs w:val="21"/>
          <w:highlight w:val="none"/>
        </w:rPr>
        <w:t>20%</w:t>
      </w:r>
      <w:r>
        <w:rPr>
          <w:rFonts w:hint="eastAsia" w:ascii="宋体" w:hAnsi="宋体" w:cs="宋体"/>
          <w:color w:val="auto"/>
          <w:szCs w:val="21"/>
          <w:highlight w:val="none"/>
        </w:rPr>
        <w:t>的违约金，</w:t>
      </w:r>
    </w:p>
    <w:p w14:paraId="1AD6EA96">
      <w:pPr>
        <w:spacing w:line="400" w:lineRule="exact"/>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如造成甲方损失超过违约金的，超出部分由乙方继续承担赔偿责任。</w:t>
      </w:r>
      <w:r>
        <w:rPr>
          <w:rFonts w:ascii="宋体" w:hAnsi="宋体" w:cs="宋体"/>
          <w:color w:val="auto"/>
          <w:szCs w:val="21"/>
          <w:highlight w:val="none"/>
        </w:rPr>
        <w:t xml:space="preserve"> </w:t>
      </w:r>
    </w:p>
    <w:p w14:paraId="709F0844">
      <w:pPr>
        <w:pStyle w:val="16"/>
        <w:snapToGrid w:val="0"/>
        <w:spacing w:before="0" w:beforeAutospacing="0" w:after="0" w:afterAutospacing="0" w:line="400" w:lineRule="exact"/>
        <w:rPr>
          <w:rFonts w:cs="宋体"/>
          <w:b/>
          <w:color w:val="auto"/>
          <w:sz w:val="21"/>
          <w:szCs w:val="21"/>
          <w:highlight w:val="none"/>
        </w:rPr>
      </w:pPr>
      <w:r>
        <w:rPr>
          <w:rFonts w:hint="eastAsia" w:cs="宋体"/>
          <w:b/>
          <w:color w:val="auto"/>
          <w:sz w:val="21"/>
          <w:szCs w:val="21"/>
          <w:highlight w:val="none"/>
        </w:rPr>
        <w:t>十二、不可抗力事件处理</w:t>
      </w:r>
    </w:p>
    <w:p w14:paraId="66C6B74A">
      <w:pPr>
        <w:pStyle w:val="16"/>
        <w:snapToGrid w:val="0"/>
        <w:spacing w:before="0" w:beforeAutospacing="0" w:after="0" w:afterAutospacing="0" w:line="400" w:lineRule="exact"/>
        <w:rPr>
          <w:rFonts w:cs="宋体"/>
          <w:color w:val="auto"/>
          <w:sz w:val="21"/>
          <w:szCs w:val="21"/>
          <w:highlight w:val="none"/>
        </w:rPr>
      </w:pPr>
      <w:r>
        <w:rPr>
          <w:rFonts w:cs="宋体"/>
          <w:color w:val="auto"/>
          <w:sz w:val="21"/>
          <w:szCs w:val="21"/>
          <w:highlight w:val="none"/>
        </w:rPr>
        <w:t xml:space="preserve">    1</w:t>
      </w:r>
      <w:r>
        <w:rPr>
          <w:rFonts w:hint="eastAsia" w:cs="宋体"/>
          <w:color w:val="auto"/>
          <w:sz w:val="21"/>
          <w:szCs w:val="21"/>
          <w:highlight w:val="none"/>
        </w:rPr>
        <w:t>、在合同有效期内，任何一方因不可抗力事件导致不能履行合同，则合同履行期可延长，其延长期与不可抗力影响期相同。</w:t>
      </w:r>
    </w:p>
    <w:p w14:paraId="241212EF">
      <w:pPr>
        <w:pStyle w:val="16"/>
        <w:snapToGrid w:val="0"/>
        <w:spacing w:before="0" w:beforeAutospacing="0" w:after="0" w:afterAutospacing="0" w:line="400" w:lineRule="exact"/>
        <w:rPr>
          <w:rFonts w:cs="宋体"/>
          <w:color w:val="auto"/>
          <w:sz w:val="21"/>
          <w:szCs w:val="21"/>
          <w:highlight w:val="none"/>
        </w:rPr>
      </w:pPr>
      <w:r>
        <w:rPr>
          <w:rFonts w:cs="宋体"/>
          <w:color w:val="auto"/>
          <w:sz w:val="21"/>
          <w:szCs w:val="21"/>
          <w:highlight w:val="none"/>
        </w:rPr>
        <w:t xml:space="preserve">    2</w:t>
      </w:r>
      <w:r>
        <w:rPr>
          <w:rFonts w:hint="eastAsia" w:cs="宋体"/>
          <w:color w:val="auto"/>
          <w:sz w:val="21"/>
          <w:szCs w:val="21"/>
          <w:highlight w:val="none"/>
        </w:rPr>
        <w:t>、不可抗力事件发生后，应立即通知对方，并寄送有关权威机构出具的证明。</w:t>
      </w:r>
    </w:p>
    <w:p w14:paraId="77D311D3">
      <w:pPr>
        <w:pStyle w:val="16"/>
        <w:snapToGrid w:val="0"/>
        <w:spacing w:before="0" w:beforeAutospacing="0" w:after="0" w:afterAutospacing="0" w:line="400" w:lineRule="exact"/>
        <w:rPr>
          <w:rFonts w:cs="宋体"/>
          <w:color w:val="auto"/>
          <w:sz w:val="21"/>
          <w:szCs w:val="21"/>
          <w:highlight w:val="none"/>
        </w:rPr>
      </w:pPr>
      <w:r>
        <w:rPr>
          <w:rFonts w:cs="宋体"/>
          <w:color w:val="auto"/>
          <w:sz w:val="21"/>
          <w:szCs w:val="21"/>
          <w:highlight w:val="none"/>
        </w:rPr>
        <w:t xml:space="preserve">    3</w:t>
      </w:r>
      <w:r>
        <w:rPr>
          <w:rFonts w:hint="eastAsia" w:cs="宋体"/>
          <w:color w:val="auto"/>
          <w:sz w:val="21"/>
          <w:szCs w:val="21"/>
          <w:highlight w:val="none"/>
        </w:rPr>
        <w:t>、不可抗力事件延续</w:t>
      </w:r>
      <w:r>
        <w:rPr>
          <w:rFonts w:cs="宋体"/>
          <w:color w:val="auto"/>
          <w:sz w:val="21"/>
          <w:szCs w:val="21"/>
          <w:highlight w:val="none"/>
        </w:rPr>
        <w:t>120</w:t>
      </w:r>
      <w:r>
        <w:rPr>
          <w:rFonts w:hint="eastAsia" w:cs="宋体"/>
          <w:color w:val="auto"/>
          <w:sz w:val="21"/>
          <w:szCs w:val="21"/>
          <w:highlight w:val="none"/>
        </w:rPr>
        <w:t>天以上，双方应通过友好协商，确定是否继续履行合同。</w:t>
      </w:r>
    </w:p>
    <w:p w14:paraId="46676181">
      <w:pPr>
        <w:pStyle w:val="16"/>
        <w:snapToGrid w:val="0"/>
        <w:spacing w:before="0" w:beforeAutospacing="0" w:after="0" w:afterAutospacing="0" w:line="400" w:lineRule="exact"/>
        <w:rPr>
          <w:rFonts w:cs="宋体"/>
          <w:b/>
          <w:color w:val="auto"/>
          <w:sz w:val="21"/>
          <w:szCs w:val="21"/>
          <w:highlight w:val="none"/>
        </w:rPr>
      </w:pPr>
      <w:r>
        <w:rPr>
          <w:rFonts w:hint="eastAsia" w:cs="宋体"/>
          <w:b/>
          <w:color w:val="auto"/>
          <w:sz w:val="21"/>
          <w:szCs w:val="21"/>
          <w:highlight w:val="none"/>
        </w:rPr>
        <w:t>十三、诉讼</w:t>
      </w:r>
    </w:p>
    <w:p w14:paraId="04889F88">
      <w:pPr>
        <w:pStyle w:val="16"/>
        <w:snapToGrid w:val="0"/>
        <w:spacing w:before="0" w:beforeAutospacing="0" w:after="0" w:afterAutospacing="0" w:line="400" w:lineRule="exact"/>
        <w:rPr>
          <w:rFonts w:cs="宋体"/>
          <w:color w:val="auto"/>
          <w:sz w:val="21"/>
          <w:szCs w:val="21"/>
          <w:highlight w:val="none"/>
        </w:rPr>
      </w:pPr>
      <w:r>
        <w:rPr>
          <w:rFonts w:cs="宋体"/>
          <w:color w:val="auto"/>
          <w:sz w:val="21"/>
          <w:szCs w:val="21"/>
          <w:highlight w:val="none"/>
        </w:rPr>
        <w:t xml:space="preserve">    </w:t>
      </w:r>
      <w:r>
        <w:rPr>
          <w:rFonts w:hint="eastAsia" w:cs="宋体"/>
          <w:color w:val="auto"/>
          <w:sz w:val="21"/>
          <w:szCs w:val="21"/>
          <w:highlight w:val="none"/>
        </w:rPr>
        <w:t>双方在执行合同中所发生的一切争议，应通过协商解决。如协商不成，可向合同履行地法院起诉。</w:t>
      </w:r>
    </w:p>
    <w:p w14:paraId="0FC8FB68">
      <w:pPr>
        <w:pStyle w:val="16"/>
        <w:snapToGrid w:val="0"/>
        <w:spacing w:before="0" w:beforeAutospacing="0" w:after="0" w:afterAutospacing="0" w:line="400" w:lineRule="exact"/>
        <w:rPr>
          <w:rFonts w:cs="宋体"/>
          <w:b/>
          <w:color w:val="auto"/>
          <w:sz w:val="21"/>
          <w:szCs w:val="21"/>
          <w:highlight w:val="none"/>
        </w:rPr>
      </w:pPr>
      <w:r>
        <w:rPr>
          <w:rFonts w:hint="eastAsia" w:cs="宋体"/>
          <w:b/>
          <w:color w:val="auto"/>
          <w:sz w:val="21"/>
          <w:szCs w:val="21"/>
          <w:highlight w:val="none"/>
        </w:rPr>
        <w:t>十四、合同生效及其它</w:t>
      </w:r>
    </w:p>
    <w:p w14:paraId="5B842664">
      <w:pPr>
        <w:pStyle w:val="16"/>
        <w:snapToGrid w:val="0"/>
        <w:spacing w:before="0" w:beforeAutospacing="0" w:after="0" w:afterAutospacing="0" w:line="400" w:lineRule="exact"/>
        <w:rPr>
          <w:rFonts w:cs="宋体"/>
          <w:color w:val="auto"/>
          <w:sz w:val="21"/>
          <w:szCs w:val="21"/>
          <w:highlight w:val="none"/>
        </w:rPr>
      </w:pPr>
      <w:r>
        <w:rPr>
          <w:rFonts w:cs="宋体"/>
          <w:color w:val="auto"/>
          <w:sz w:val="21"/>
          <w:szCs w:val="21"/>
          <w:highlight w:val="none"/>
        </w:rPr>
        <w:t xml:space="preserve">    1</w:t>
      </w:r>
      <w:r>
        <w:rPr>
          <w:rFonts w:hint="eastAsia" w:cs="宋体"/>
          <w:color w:val="auto"/>
          <w:sz w:val="21"/>
          <w:szCs w:val="21"/>
          <w:highlight w:val="none"/>
        </w:rPr>
        <w:t>、合同经双方法定代表人或授权代表签字并加盖单位公章后生效。</w:t>
      </w:r>
    </w:p>
    <w:p w14:paraId="7A4E7454">
      <w:pPr>
        <w:pStyle w:val="16"/>
        <w:snapToGrid w:val="0"/>
        <w:spacing w:before="0" w:beforeAutospacing="0" w:after="0" w:afterAutospacing="0" w:line="400" w:lineRule="exact"/>
        <w:ind w:left="420" w:hanging="420" w:hangingChars="200"/>
        <w:rPr>
          <w:rFonts w:cs="宋体"/>
          <w:color w:val="auto"/>
          <w:sz w:val="21"/>
          <w:szCs w:val="21"/>
          <w:highlight w:val="none"/>
        </w:rPr>
      </w:pPr>
      <w:r>
        <w:rPr>
          <w:rFonts w:cs="宋体"/>
          <w:color w:val="auto"/>
          <w:sz w:val="21"/>
          <w:szCs w:val="21"/>
          <w:highlight w:val="none"/>
        </w:rPr>
        <w:t xml:space="preserve">    2</w:t>
      </w:r>
      <w:r>
        <w:rPr>
          <w:rFonts w:hint="eastAsia" w:cs="宋体"/>
          <w:color w:val="auto"/>
          <w:sz w:val="21"/>
          <w:szCs w:val="21"/>
          <w:highlight w:val="none"/>
        </w:rPr>
        <w:t>、本合同未尽事宜，遵照《民法典》有关条文执行。</w:t>
      </w:r>
    </w:p>
    <w:p w14:paraId="3480DFA7">
      <w:pPr>
        <w:spacing w:line="400" w:lineRule="exact"/>
        <w:rPr>
          <w:rFonts w:cs="宋体"/>
          <w:color w:val="auto"/>
          <w:szCs w:val="21"/>
          <w:highlight w:val="none"/>
        </w:rPr>
      </w:pPr>
      <w:r>
        <w:rPr>
          <w:rFonts w:ascii="宋体" w:hAnsi="宋体" w:cs="宋体"/>
          <w:color w:val="auto"/>
          <w:kern w:val="0"/>
          <w:szCs w:val="21"/>
          <w:highlight w:val="none"/>
        </w:rPr>
        <w:t xml:space="preserve">    3</w:t>
      </w:r>
      <w:r>
        <w:rPr>
          <w:rFonts w:hint="eastAsia" w:ascii="宋体" w:hAnsi="宋体" w:cs="宋体"/>
          <w:color w:val="auto"/>
          <w:kern w:val="0"/>
          <w:szCs w:val="21"/>
          <w:highlight w:val="none"/>
        </w:rPr>
        <w:t>、本合同正本一式四份，具有同等法律效力，甲乙双方各执两份。</w:t>
      </w:r>
    </w:p>
    <w:p w14:paraId="2FF5D36F">
      <w:pPr>
        <w:pStyle w:val="16"/>
        <w:widowControl w:val="0"/>
        <w:adjustRightInd w:val="0"/>
        <w:snapToGrid w:val="0"/>
        <w:spacing w:before="0" w:beforeAutospacing="0" w:after="0" w:afterAutospacing="0" w:line="400" w:lineRule="exact"/>
        <w:rPr>
          <w:color w:val="auto"/>
          <w:sz w:val="21"/>
          <w:szCs w:val="21"/>
          <w:highlight w:val="none"/>
        </w:rPr>
      </w:pPr>
    </w:p>
    <w:p w14:paraId="59FD00D8">
      <w:pPr>
        <w:pStyle w:val="16"/>
        <w:widowControl w:val="0"/>
        <w:adjustRightInd w:val="0"/>
        <w:snapToGrid w:val="0"/>
        <w:spacing w:before="0" w:beforeAutospacing="0" w:after="0" w:afterAutospacing="0" w:line="400" w:lineRule="exact"/>
        <w:rPr>
          <w:color w:val="auto"/>
          <w:sz w:val="21"/>
          <w:szCs w:val="21"/>
          <w:highlight w:val="none"/>
        </w:rPr>
      </w:pPr>
    </w:p>
    <w:p w14:paraId="767C571F">
      <w:pPr>
        <w:pStyle w:val="16"/>
        <w:widowControl w:val="0"/>
        <w:adjustRightInd w:val="0"/>
        <w:snapToGrid w:val="0"/>
        <w:spacing w:before="0" w:beforeAutospacing="0" w:after="0" w:afterAutospacing="0" w:line="400" w:lineRule="exact"/>
        <w:rPr>
          <w:color w:val="auto"/>
          <w:sz w:val="21"/>
          <w:szCs w:val="21"/>
          <w:highlight w:val="none"/>
        </w:rPr>
      </w:pPr>
    </w:p>
    <w:p w14:paraId="2AC5E83B">
      <w:pPr>
        <w:pStyle w:val="16"/>
        <w:widowControl w:val="0"/>
        <w:adjustRightInd w:val="0"/>
        <w:snapToGrid w:val="0"/>
        <w:spacing w:before="0" w:beforeAutospacing="0" w:after="0" w:afterAutospacing="0" w:line="400" w:lineRule="exact"/>
        <w:rPr>
          <w:color w:val="auto"/>
          <w:sz w:val="21"/>
          <w:szCs w:val="21"/>
          <w:highlight w:val="none"/>
        </w:rPr>
      </w:pPr>
      <w:bookmarkStart w:id="176" w:name="_Toc293916974"/>
      <w:r>
        <w:rPr>
          <w:rFonts w:hint="eastAsia"/>
          <w:color w:val="auto"/>
          <w:sz w:val="21"/>
          <w:szCs w:val="21"/>
          <w:highlight w:val="none"/>
        </w:rPr>
        <w:t>甲方：</w:t>
      </w:r>
      <w:r>
        <w:rPr>
          <w:color w:val="auto"/>
          <w:sz w:val="21"/>
          <w:szCs w:val="21"/>
          <w:highlight w:val="none"/>
        </w:rPr>
        <w:t xml:space="preserve">                                   </w:t>
      </w:r>
      <w:r>
        <w:rPr>
          <w:rFonts w:hint="eastAsia"/>
          <w:color w:val="auto"/>
          <w:sz w:val="21"/>
          <w:szCs w:val="21"/>
          <w:highlight w:val="none"/>
        </w:rPr>
        <w:t>乙方：</w:t>
      </w:r>
      <w:bookmarkEnd w:id="176"/>
      <w:r>
        <w:rPr>
          <w:color w:val="auto"/>
          <w:sz w:val="21"/>
          <w:szCs w:val="21"/>
          <w:highlight w:val="none"/>
        </w:rPr>
        <w:t xml:space="preserve"> </w:t>
      </w:r>
    </w:p>
    <w:p w14:paraId="43488171">
      <w:pPr>
        <w:pStyle w:val="16"/>
        <w:widowControl w:val="0"/>
        <w:adjustRightInd w:val="0"/>
        <w:snapToGrid w:val="0"/>
        <w:spacing w:before="0" w:beforeAutospacing="0" w:after="0" w:afterAutospacing="0" w:line="400" w:lineRule="exact"/>
        <w:rPr>
          <w:color w:val="auto"/>
          <w:sz w:val="21"/>
          <w:szCs w:val="21"/>
          <w:highlight w:val="none"/>
        </w:rPr>
      </w:pPr>
      <w:bookmarkStart w:id="177" w:name="_Toc293916975"/>
      <w:r>
        <w:rPr>
          <w:rFonts w:hint="eastAsia"/>
          <w:color w:val="auto"/>
          <w:sz w:val="21"/>
          <w:szCs w:val="21"/>
          <w:highlight w:val="none"/>
        </w:rPr>
        <w:t>地址：</w:t>
      </w:r>
      <w:r>
        <w:rPr>
          <w:color w:val="auto"/>
          <w:sz w:val="21"/>
          <w:szCs w:val="21"/>
          <w:highlight w:val="none"/>
        </w:rPr>
        <w:t xml:space="preserve">                                   </w:t>
      </w:r>
      <w:r>
        <w:rPr>
          <w:rFonts w:hint="eastAsia"/>
          <w:color w:val="auto"/>
          <w:sz w:val="21"/>
          <w:szCs w:val="21"/>
          <w:highlight w:val="none"/>
        </w:rPr>
        <w:t>地址：</w:t>
      </w:r>
      <w:bookmarkEnd w:id="177"/>
      <w:r>
        <w:rPr>
          <w:color w:val="auto"/>
          <w:sz w:val="21"/>
          <w:szCs w:val="21"/>
          <w:highlight w:val="none"/>
        </w:rPr>
        <w:t xml:space="preserve"> </w:t>
      </w:r>
    </w:p>
    <w:p w14:paraId="4E695CAD">
      <w:pPr>
        <w:pStyle w:val="16"/>
        <w:widowControl w:val="0"/>
        <w:adjustRightInd w:val="0"/>
        <w:snapToGrid w:val="0"/>
        <w:spacing w:before="0" w:beforeAutospacing="0" w:after="0" w:afterAutospacing="0" w:line="400" w:lineRule="exact"/>
        <w:rPr>
          <w:color w:val="auto"/>
          <w:sz w:val="21"/>
          <w:szCs w:val="21"/>
          <w:highlight w:val="none"/>
        </w:rPr>
      </w:pPr>
      <w:bookmarkStart w:id="178" w:name="_Toc293916976"/>
      <w:r>
        <w:rPr>
          <w:rFonts w:hint="eastAsia"/>
          <w:color w:val="auto"/>
          <w:sz w:val="21"/>
          <w:szCs w:val="21"/>
          <w:highlight w:val="none"/>
        </w:rPr>
        <w:t>法定代表人：</w:t>
      </w:r>
      <w:r>
        <w:rPr>
          <w:color w:val="auto"/>
          <w:sz w:val="21"/>
          <w:szCs w:val="21"/>
          <w:highlight w:val="none"/>
        </w:rPr>
        <w:t xml:space="preserve">                             </w:t>
      </w:r>
      <w:r>
        <w:rPr>
          <w:rFonts w:hint="eastAsia"/>
          <w:color w:val="auto"/>
          <w:sz w:val="21"/>
          <w:szCs w:val="21"/>
          <w:highlight w:val="none"/>
        </w:rPr>
        <w:t>法定代表人：</w:t>
      </w:r>
    </w:p>
    <w:p w14:paraId="36ABFA73">
      <w:pPr>
        <w:pStyle w:val="16"/>
        <w:widowControl w:val="0"/>
        <w:adjustRightInd w:val="0"/>
        <w:snapToGrid w:val="0"/>
        <w:spacing w:before="0" w:beforeAutospacing="0" w:after="0" w:afterAutospacing="0" w:line="400" w:lineRule="exact"/>
        <w:rPr>
          <w:color w:val="auto"/>
          <w:sz w:val="21"/>
          <w:szCs w:val="21"/>
          <w:highlight w:val="none"/>
        </w:rPr>
      </w:pPr>
      <w:r>
        <w:rPr>
          <w:rFonts w:hint="eastAsia"/>
          <w:color w:val="auto"/>
          <w:sz w:val="21"/>
          <w:szCs w:val="21"/>
          <w:highlight w:val="none"/>
        </w:rPr>
        <w:t>或授权人：</w:t>
      </w:r>
      <w:r>
        <w:rPr>
          <w:color w:val="auto"/>
          <w:sz w:val="21"/>
          <w:szCs w:val="21"/>
          <w:highlight w:val="none"/>
        </w:rPr>
        <w:t xml:space="preserve">                           </w:t>
      </w:r>
      <w:bookmarkEnd w:id="178"/>
      <w:bookmarkStart w:id="179" w:name="_Toc293916977"/>
      <w:r>
        <w:rPr>
          <w:color w:val="auto"/>
          <w:sz w:val="21"/>
          <w:szCs w:val="21"/>
          <w:highlight w:val="none"/>
        </w:rPr>
        <w:t xml:space="preserve">    </w:t>
      </w:r>
      <w:r>
        <w:rPr>
          <w:rFonts w:hint="eastAsia"/>
          <w:color w:val="auto"/>
          <w:sz w:val="21"/>
          <w:szCs w:val="21"/>
          <w:highlight w:val="none"/>
        </w:rPr>
        <w:t>或授权人：</w:t>
      </w:r>
      <w:r>
        <w:rPr>
          <w:color w:val="auto"/>
          <w:sz w:val="21"/>
          <w:szCs w:val="21"/>
          <w:highlight w:val="none"/>
        </w:rPr>
        <w:t xml:space="preserve">    </w:t>
      </w:r>
    </w:p>
    <w:p w14:paraId="0F48D69A">
      <w:pPr>
        <w:pStyle w:val="16"/>
        <w:widowControl w:val="0"/>
        <w:adjustRightInd w:val="0"/>
        <w:snapToGrid w:val="0"/>
        <w:spacing w:before="0" w:beforeAutospacing="0" w:after="0" w:afterAutospacing="0" w:line="400" w:lineRule="exact"/>
        <w:rPr>
          <w:color w:val="auto"/>
          <w:sz w:val="21"/>
          <w:szCs w:val="21"/>
          <w:highlight w:val="none"/>
        </w:rPr>
      </w:pPr>
      <w:r>
        <w:rPr>
          <w:rFonts w:hint="eastAsia"/>
          <w:color w:val="auto"/>
          <w:sz w:val="21"/>
          <w:szCs w:val="21"/>
          <w:highlight w:val="none"/>
        </w:rPr>
        <w:t>签订地点：</w:t>
      </w:r>
      <w:r>
        <w:rPr>
          <w:color w:val="auto"/>
          <w:sz w:val="21"/>
          <w:szCs w:val="21"/>
          <w:highlight w:val="none"/>
        </w:rPr>
        <w:t xml:space="preserve">                               </w:t>
      </w:r>
      <w:r>
        <w:rPr>
          <w:rFonts w:hint="eastAsia"/>
          <w:color w:val="auto"/>
          <w:sz w:val="21"/>
          <w:szCs w:val="21"/>
          <w:highlight w:val="none"/>
        </w:rPr>
        <w:t>签订日期：</w:t>
      </w:r>
      <w:r>
        <w:rPr>
          <w:color w:val="auto"/>
          <w:sz w:val="21"/>
          <w:szCs w:val="21"/>
          <w:highlight w:val="none"/>
        </w:rPr>
        <w:t xml:space="preserve">      </w:t>
      </w:r>
      <w:r>
        <w:rPr>
          <w:rFonts w:hint="eastAsia"/>
          <w:color w:val="auto"/>
          <w:sz w:val="21"/>
          <w:szCs w:val="21"/>
          <w:highlight w:val="none"/>
        </w:rPr>
        <w:t>年</w:t>
      </w:r>
      <w:r>
        <w:rPr>
          <w:color w:val="auto"/>
          <w:sz w:val="21"/>
          <w:szCs w:val="21"/>
          <w:highlight w:val="none"/>
        </w:rPr>
        <w:t xml:space="preserve">  </w:t>
      </w:r>
      <w:r>
        <w:rPr>
          <w:rFonts w:hint="eastAsia"/>
          <w:color w:val="auto"/>
          <w:sz w:val="21"/>
          <w:szCs w:val="21"/>
          <w:highlight w:val="none"/>
        </w:rPr>
        <w:t>月</w:t>
      </w:r>
      <w:r>
        <w:rPr>
          <w:color w:val="auto"/>
          <w:sz w:val="21"/>
          <w:szCs w:val="21"/>
          <w:highlight w:val="none"/>
        </w:rPr>
        <w:t xml:space="preserve">  </w:t>
      </w:r>
      <w:r>
        <w:rPr>
          <w:rFonts w:hint="eastAsia"/>
          <w:color w:val="auto"/>
          <w:sz w:val="21"/>
          <w:szCs w:val="21"/>
          <w:highlight w:val="none"/>
        </w:rPr>
        <w:t>日</w:t>
      </w:r>
      <w:bookmarkEnd w:id="179"/>
    </w:p>
    <w:p w14:paraId="4537ECC6">
      <w:pPr>
        <w:pStyle w:val="3"/>
        <w:keepNext w:val="0"/>
        <w:keepLines w:val="0"/>
        <w:overflowPunct w:val="0"/>
        <w:spacing w:before="0" w:after="0" w:line="400" w:lineRule="exact"/>
        <w:jc w:val="center"/>
        <w:rPr>
          <w:rFonts w:ascii="宋体" w:cs="宋体"/>
          <w:color w:val="auto"/>
          <w:sz w:val="32"/>
          <w:szCs w:val="32"/>
          <w:highlight w:val="none"/>
        </w:rPr>
      </w:pPr>
    </w:p>
    <w:p w14:paraId="77F003E2">
      <w:pPr>
        <w:pStyle w:val="3"/>
        <w:keepNext w:val="0"/>
        <w:keepLines w:val="0"/>
        <w:overflowPunct w:val="0"/>
        <w:spacing w:before="0" w:after="0" w:line="600" w:lineRule="exact"/>
        <w:jc w:val="center"/>
        <w:rPr>
          <w:rFonts w:ascii="宋体" w:cs="宋体"/>
          <w:color w:val="auto"/>
          <w:sz w:val="32"/>
          <w:szCs w:val="32"/>
          <w:highlight w:val="none"/>
        </w:rPr>
      </w:pPr>
      <w:bookmarkStart w:id="180" w:name="_Toc26396"/>
      <w:bookmarkStart w:id="181" w:name="_Toc11561"/>
      <w:bookmarkStart w:id="182" w:name="_Toc31765"/>
      <w:bookmarkStart w:id="183" w:name="_Toc19932"/>
      <w:r>
        <w:rPr>
          <w:rFonts w:hint="eastAsia" w:ascii="宋体" w:hAnsi="宋体" w:cs="宋体"/>
          <w:color w:val="auto"/>
          <w:sz w:val="32"/>
          <w:szCs w:val="32"/>
          <w:highlight w:val="none"/>
        </w:rPr>
        <w:t>第六章</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响应文件格式</w:t>
      </w:r>
      <w:bookmarkEnd w:id="180"/>
      <w:bookmarkEnd w:id="181"/>
      <w:bookmarkEnd w:id="182"/>
      <w:bookmarkEnd w:id="183"/>
    </w:p>
    <w:p w14:paraId="616BF8EF">
      <w:pPr>
        <w:overflowPunct w:val="0"/>
        <w:autoSpaceDE w:val="0"/>
        <w:autoSpaceDN w:val="0"/>
        <w:snapToGrid w:val="0"/>
        <w:spacing w:line="440" w:lineRule="exact"/>
        <w:ind w:firstLine="480" w:firstLineChars="200"/>
        <w:jc w:val="left"/>
        <w:textAlignment w:val="bottom"/>
        <w:rPr>
          <w:rFonts w:ascii="宋体" w:cs="宋体"/>
          <w:bCs/>
          <w:color w:val="auto"/>
          <w:sz w:val="24"/>
          <w:highlight w:val="none"/>
        </w:rPr>
      </w:pPr>
    </w:p>
    <w:p w14:paraId="51CB16C0">
      <w:pPr>
        <w:overflowPunct w:val="0"/>
        <w:autoSpaceDE w:val="0"/>
        <w:autoSpaceDN w:val="0"/>
        <w:snapToGrid w:val="0"/>
        <w:spacing w:line="440" w:lineRule="exact"/>
        <w:ind w:firstLine="480" w:firstLineChars="200"/>
        <w:jc w:val="left"/>
        <w:textAlignment w:val="bottom"/>
        <w:rPr>
          <w:rFonts w:ascii="宋体" w:cs="宋体"/>
          <w:bCs/>
          <w:color w:val="auto"/>
          <w:sz w:val="24"/>
          <w:highlight w:val="none"/>
        </w:rPr>
      </w:pPr>
      <w:r>
        <w:rPr>
          <w:rFonts w:hint="eastAsia" w:ascii="宋体" w:hAnsi="宋体" w:cs="宋体"/>
          <w:bCs/>
          <w:color w:val="auto"/>
          <w:sz w:val="24"/>
          <w:highlight w:val="none"/>
        </w:rPr>
        <w:t>本章节内容提供部分响应文件格式，磋商文件中要求，但未提供格式的，须由供应商自行制作。</w:t>
      </w:r>
    </w:p>
    <w:p w14:paraId="17D3A8C4">
      <w:pPr>
        <w:overflowPunct w:val="0"/>
        <w:ind w:firstLine="570"/>
        <w:jc w:val="center"/>
        <w:rPr>
          <w:rFonts w:ascii="宋体" w:cs="宋体"/>
          <w:color w:val="auto"/>
          <w:sz w:val="32"/>
          <w:szCs w:val="32"/>
          <w:highlight w:val="none"/>
        </w:rPr>
      </w:pPr>
      <w:r>
        <w:rPr>
          <w:rFonts w:hint="eastAsia" w:ascii="宋体" w:hAnsi="宋体" w:cs="宋体"/>
          <w:b/>
          <w:color w:val="auto"/>
          <w:sz w:val="32"/>
          <w:szCs w:val="32"/>
          <w:highlight w:val="none"/>
          <w:lang w:eastAsia="zh-CN"/>
        </w:rPr>
        <w:t>一</w:t>
      </w:r>
      <w:r>
        <w:rPr>
          <w:rFonts w:hint="eastAsia" w:ascii="宋体" w:hAnsi="宋体" w:cs="宋体"/>
          <w:b/>
          <w:color w:val="auto"/>
          <w:sz w:val="32"/>
          <w:szCs w:val="32"/>
          <w:highlight w:val="none"/>
        </w:rPr>
        <w:t>、响应文件格式</w:t>
      </w:r>
    </w:p>
    <w:p w14:paraId="5E5DA09A">
      <w:pPr>
        <w:overflowPunct w:val="0"/>
        <w:ind w:firstLine="570"/>
        <w:rPr>
          <w:rFonts w:ascii="宋体" w:cs="宋体"/>
          <w:color w:val="auto"/>
          <w:sz w:val="28"/>
          <w:szCs w:val="28"/>
          <w:highlight w:val="none"/>
        </w:rPr>
      </w:pPr>
    </w:p>
    <w:p w14:paraId="4EDFE7DF">
      <w:pPr>
        <w:overflowPunct w:val="0"/>
        <w:rPr>
          <w:rFonts w:ascii="宋体" w:cs="宋体"/>
          <w:color w:val="auto"/>
          <w:sz w:val="28"/>
          <w:szCs w:val="28"/>
          <w:highlight w:val="none"/>
        </w:rPr>
      </w:pPr>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rPr>
        <w:t>、响应文件的封面格式：</w:t>
      </w:r>
    </w:p>
    <w:p w14:paraId="06232D36">
      <w:pPr>
        <w:pStyle w:val="11"/>
        <w:widowControl w:val="0"/>
        <w:overflowPunct w:val="0"/>
        <w:ind w:firstLine="1687"/>
        <w:rPr>
          <w:rFonts w:cs="宋体"/>
          <w:b/>
          <w:color w:val="auto"/>
          <w:sz w:val="84"/>
          <w:szCs w:val="84"/>
          <w:highlight w:val="none"/>
        </w:rPr>
      </w:pPr>
    </w:p>
    <w:p w14:paraId="179A4521">
      <w:pPr>
        <w:overflowPunct w:val="0"/>
        <w:rPr>
          <w:rFonts w:ascii="宋体" w:cs="宋体"/>
          <w:color w:val="auto"/>
          <w:highlight w:val="none"/>
        </w:rPr>
      </w:pPr>
    </w:p>
    <w:p w14:paraId="033F7624">
      <w:pPr>
        <w:overflowPunct w:val="0"/>
        <w:jc w:val="center"/>
        <w:rPr>
          <w:rFonts w:ascii="宋体" w:cs="宋体"/>
          <w:b/>
          <w:color w:val="auto"/>
          <w:sz w:val="48"/>
          <w:szCs w:val="48"/>
          <w:highlight w:val="none"/>
        </w:rPr>
      </w:pPr>
      <w:r>
        <w:rPr>
          <w:rFonts w:hint="eastAsia" w:ascii="宋体" w:hAnsi="宋体" w:cs="宋体"/>
          <w:b/>
          <w:color w:val="auto"/>
          <w:sz w:val="48"/>
          <w:szCs w:val="48"/>
          <w:highlight w:val="none"/>
        </w:rPr>
        <w:t>响应文件（资格证明文件或商务技术文件或报价文件）</w:t>
      </w:r>
    </w:p>
    <w:p w14:paraId="3C9A3616">
      <w:pPr>
        <w:overflowPunct w:val="0"/>
        <w:ind w:firstLine="570"/>
        <w:jc w:val="center"/>
        <w:rPr>
          <w:rFonts w:ascii="宋体" w:cs="宋体"/>
          <w:b/>
          <w:color w:val="auto"/>
          <w:sz w:val="84"/>
          <w:szCs w:val="84"/>
          <w:highlight w:val="none"/>
        </w:rPr>
      </w:pPr>
    </w:p>
    <w:p w14:paraId="2732040C">
      <w:pPr>
        <w:overflowPunct w:val="0"/>
        <w:ind w:firstLine="570"/>
        <w:jc w:val="center"/>
        <w:rPr>
          <w:rFonts w:ascii="宋体" w:cs="宋体"/>
          <w:b/>
          <w:color w:val="auto"/>
          <w:sz w:val="84"/>
          <w:szCs w:val="84"/>
          <w:highlight w:val="none"/>
        </w:rPr>
      </w:pPr>
    </w:p>
    <w:p w14:paraId="3B144786">
      <w:pPr>
        <w:overflowPunct w:val="0"/>
        <w:spacing w:line="800" w:lineRule="exact"/>
        <w:ind w:firstLine="570"/>
        <w:rPr>
          <w:rFonts w:ascii="宋体" w:cs="宋体"/>
          <w:color w:val="auto"/>
          <w:sz w:val="28"/>
          <w:szCs w:val="28"/>
          <w:highlight w:val="none"/>
        </w:rPr>
      </w:pPr>
      <w:r>
        <w:rPr>
          <w:rFonts w:hint="eastAsia" w:ascii="宋体" w:hAnsi="宋体" w:cs="宋体"/>
          <w:color w:val="auto"/>
          <w:sz w:val="28"/>
          <w:szCs w:val="28"/>
          <w:highlight w:val="none"/>
        </w:rPr>
        <w:t>项目名称：</w:t>
      </w:r>
    </w:p>
    <w:p w14:paraId="7EF0A408">
      <w:pPr>
        <w:overflowPunct w:val="0"/>
        <w:spacing w:line="800" w:lineRule="exact"/>
        <w:ind w:firstLine="570"/>
        <w:rPr>
          <w:rFonts w:ascii="宋体" w:cs="宋体"/>
          <w:color w:val="auto"/>
          <w:sz w:val="28"/>
          <w:szCs w:val="28"/>
          <w:highlight w:val="none"/>
        </w:rPr>
      </w:pPr>
      <w:r>
        <w:rPr>
          <w:rFonts w:hint="eastAsia" w:ascii="宋体" w:hAnsi="宋体" w:cs="宋体"/>
          <w:color w:val="auto"/>
          <w:sz w:val="28"/>
          <w:szCs w:val="28"/>
          <w:highlight w:val="none"/>
        </w:rPr>
        <w:t>项目编号：</w:t>
      </w:r>
    </w:p>
    <w:p w14:paraId="78711B2A">
      <w:pPr>
        <w:overflowPunct w:val="0"/>
        <w:spacing w:line="800" w:lineRule="exact"/>
        <w:ind w:firstLine="570"/>
        <w:rPr>
          <w:rFonts w:ascii="宋体" w:cs="宋体"/>
          <w:color w:val="auto"/>
          <w:sz w:val="28"/>
          <w:szCs w:val="28"/>
          <w:highlight w:val="none"/>
        </w:rPr>
      </w:pPr>
      <w:r>
        <w:rPr>
          <w:rFonts w:hint="eastAsia" w:ascii="宋体" w:hAnsi="宋体" w:cs="宋体"/>
          <w:color w:val="auto"/>
          <w:sz w:val="28"/>
          <w:szCs w:val="28"/>
          <w:highlight w:val="none"/>
        </w:rPr>
        <w:t>供应商名称（盖章）：</w:t>
      </w:r>
    </w:p>
    <w:p w14:paraId="358F810D">
      <w:pPr>
        <w:overflowPunct w:val="0"/>
        <w:spacing w:line="800" w:lineRule="exact"/>
        <w:ind w:firstLine="570"/>
        <w:rPr>
          <w:rFonts w:ascii="宋体" w:cs="宋体"/>
          <w:color w:val="auto"/>
          <w:sz w:val="28"/>
          <w:szCs w:val="28"/>
          <w:highlight w:val="none"/>
        </w:rPr>
      </w:pPr>
      <w:r>
        <w:rPr>
          <w:rFonts w:hint="eastAsia" w:ascii="宋体" w:hAnsi="宋体" w:cs="宋体"/>
          <w:color w:val="auto"/>
          <w:sz w:val="28"/>
          <w:szCs w:val="28"/>
          <w:highlight w:val="none"/>
        </w:rPr>
        <w:t>供应商地址：</w:t>
      </w:r>
    </w:p>
    <w:p w14:paraId="4FAD6064">
      <w:pPr>
        <w:overflowPunct w:val="0"/>
        <w:spacing w:line="800" w:lineRule="exact"/>
        <w:ind w:firstLine="570"/>
        <w:jc w:val="right"/>
        <w:rPr>
          <w:rFonts w:ascii="宋体" w:cs="宋体"/>
          <w:b/>
          <w:color w:val="auto"/>
          <w:sz w:val="24"/>
          <w:highlight w:val="none"/>
        </w:rPr>
      </w:pPr>
      <w:r>
        <w:rPr>
          <w:rFonts w:ascii="宋体" w:hAnsi="宋体" w:cs="宋体"/>
          <w:b/>
          <w:color w:val="auto"/>
          <w:sz w:val="24"/>
          <w:highlight w:val="none"/>
        </w:rPr>
        <w:t xml:space="preserve">  </w:t>
      </w:r>
      <w:r>
        <w:rPr>
          <w:rFonts w:hint="eastAsia" w:ascii="宋体" w:hAnsi="宋体" w:cs="宋体"/>
          <w:b/>
          <w:color w:val="auto"/>
          <w:sz w:val="24"/>
          <w:highlight w:val="none"/>
        </w:rPr>
        <w:t>年</w:t>
      </w:r>
      <w:r>
        <w:rPr>
          <w:rFonts w:ascii="宋体" w:hAnsi="宋体" w:cs="宋体"/>
          <w:b/>
          <w:color w:val="auto"/>
          <w:sz w:val="24"/>
          <w:highlight w:val="none"/>
        </w:rPr>
        <w:t xml:space="preserve">   </w:t>
      </w:r>
      <w:r>
        <w:rPr>
          <w:rFonts w:hint="eastAsia" w:ascii="宋体" w:hAnsi="宋体" w:cs="宋体"/>
          <w:b/>
          <w:color w:val="auto"/>
          <w:sz w:val="24"/>
          <w:highlight w:val="none"/>
        </w:rPr>
        <w:t>月</w:t>
      </w:r>
      <w:r>
        <w:rPr>
          <w:rFonts w:ascii="宋体" w:hAnsi="宋体" w:cs="宋体"/>
          <w:b/>
          <w:color w:val="auto"/>
          <w:sz w:val="24"/>
          <w:highlight w:val="none"/>
        </w:rPr>
        <w:t xml:space="preserve">   </w:t>
      </w:r>
      <w:r>
        <w:rPr>
          <w:rFonts w:hint="eastAsia" w:ascii="宋体" w:hAnsi="宋体" w:cs="宋体"/>
          <w:b/>
          <w:color w:val="auto"/>
          <w:sz w:val="24"/>
          <w:highlight w:val="none"/>
        </w:rPr>
        <w:t>日</w:t>
      </w:r>
    </w:p>
    <w:p w14:paraId="4631A53D">
      <w:pPr>
        <w:overflowPunct w:val="0"/>
        <w:spacing w:line="400" w:lineRule="exact"/>
        <w:ind w:firstLine="420" w:firstLineChars="200"/>
        <w:jc w:val="left"/>
        <w:rPr>
          <w:rFonts w:ascii="宋体" w:cs="宋体"/>
          <w:color w:val="auto"/>
          <w:highlight w:val="none"/>
        </w:rPr>
      </w:pPr>
    </w:p>
    <w:p w14:paraId="55798322">
      <w:pPr>
        <w:overflowPunct w:val="0"/>
        <w:ind w:firstLine="420" w:firstLineChars="200"/>
        <w:rPr>
          <w:rFonts w:ascii="宋体" w:cs="宋体"/>
          <w:color w:val="auto"/>
          <w:szCs w:val="21"/>
          <w:highlight w:val="none"/>
          <w:u w:val="single"/>
        </w:rPr>
      </w:pPr>
    </w:p>
    <w:p w14:paraId="05B2A0E8">
      <w:pPr>
        <w:pStyle w:val="11"/>
        <w:widowControl w:val="0"/>
        <w:overflowPunct w:val="0"/>
        <w:rPr>
          <w:rFonts w:cs="宋体"/>
          <w:color w:val="auto"/>
          <w:highlight w:val="none"/>
        </w:rPr>
      </w:pPr>
    </w:p>
    <w:p w14:paraId="1929F9E6">
      <w:pPr>
        <w:overflowPunct w:val="0"/>
        <w:jc w:val="center"/>
        <w:rPr>
          <w:rFonts w:ascii="宋体" w:cs="宋体"/>
          <w:b/>
          <w:color w:val="auto"/>
          <w:sz w:val="32"/>
          <w:szCs w:val="32"/>
          <w:highlight w:val="none"/>
        </w:rPr>
      </w:pPr>
      <w:r>
        <w:rPr>
          <w:rFonts w:hint="eastAsia" w:ascii="宋体" w:hAnsi="宋体" w:cs="宋体"/>
          <w:b/>
          <w:color w:val="auto"/>
          <w:sz w:val="32"/>
          <w:szCs w:val="32"/>
          <w:highlight w:val="none"/>
        </w:rPr>
        <w:t>三、目录及内容</w:t>
      </w:r>
    </w:p>
    <w:p w14:paraId="6507A258">
      <w:pPr>
        <w:overflowPunct w:val="0"/>
        <w:autoSpaceDE w:val="0"/>
        <w:autoSpaceDN w:val="0"/>
        <w:adjustRightInd w:val="0"/>
        <w:snapToGrid w:val="0"/>
        <w:spacing w:line="400" w:lineRule="exact"/>
        <w:ind w:firstLine="426" w:firstLineChars="202"/>
        <w:textAlignment w:val="bottom"/>
        <w:rPr>
          <w:rFonts w:ascii="宋体" w:cs="宋体"/>
          <w:b/>
          <w:color w:val="auto"/>
          <w:szCs w:val="21"/>
          <w:highlight w:val="none"/>
        </w:rPr>
      </w:pPr>
      <w:r>
        <w:rPr>
          <w:rFonts w:hint="eastAsia" w:ascii="宋体" w:hAnsi="宋体" w:cs="宋体"/>
          <w:b/>
          <w:color w:val="auto"/>
          <w:szCs w:val="21"/>
          <w:highlight w:val="none"/>
        </w:rPr>
        <w:t>资格证明文件</w:t>
      </w:r>
    </w:p>
    <w:p w14:paraId="5EDDBA94">
      <w:pPr>
        <w:numPr>
          <w:ilvl w:val="0"/>
          <w:numId w:val="8"/>
        </w:numPr>
        <w:overflowPunct w:val="0"/>
        <w:autoSpaceDE w:val="0"/>
        <w:autoSpaceDN w:val="0"/>
        <w:snapToGrid w:val="0"/>
        <w:spacing w:line="400" w:lineRule="exact"/>
        <w:ind w:left="0" w:firstLine="420" w:firstLineChars="200"/>
        <w:textAlignment w:val="bottom"/>
        <w:rPr>
          <w:rFonts w:ascii="宋体" w:cs="宋体"/>
          <w:bCs/>
          <w:color w:val="auto"/>
          <w:szCs w:val="21"/>
          <w:highlight w:val="none"/>
        </w:rPr>
      </w:pPr>
      <w:r>
        <w:rPr>
          <w:rFonts w:hint="eastAsia" w:ascii="宋体"/>
          <w:color w:val="auto"/>
          <w:szCs w:val="21"/>
          <w:highlight w:val="none"/>
        </w:rPr>
        <w:t>符合参加政府采购活动应当具备的一般条件的承诺函</w:t>
      </w:r>
      <w:r>
        <w:rPr>
          <w:rFonts w:hint="eastAsia" w:ascii="宋体" w:hAnsi="宋体" w:cs="宋体"/>
          <w:bCs/>
          <w:color w:val="auto"/>
          <w:szCs w:val="21"/>
          <w:highlight w:val="none"/>
        </w:rPr>
        <w:t>（格式见附件）；</w:t>
      </w:r>
    </w:p>
    <w:p w14:paraId="06E0F6C8">
      <w:pPr>
        <w:numPr>
          <w:ilvl w:val="0"/>
          <w:numId w:val="8"/>
        </w:numPr>
        <w:overflowPunct w:val="0"/>
        <w:autoSpaceDE w:val="0"/>
        <w:autoSpaceDN w:val="0"/>
        <w:snapToGrid w:val="0"/>
        <w:spacing w:line="400" w:lineRule="exact"/>
        <w:ind w:left="0"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营业执照复印件；</w:t>
      </w:r>
    </w:p>
    <w:p w14:paraId="3D948EC7">
      <w:pPr>
        <w:numPr>
          <w:ilvl w:val="0"/>
          <w:numId w:val="8"/>
        </w:numPr>
        <w:overflowPunct w:val="0"/>
        <w:autoSpaceDE w:val="0"/>
        <w:autoSpaceDN w:val="0"/>
        <w:snapToGrid w:val="0"/>
        <w:spacing w:line="400" w:lineRule="exact"/>
        <w:ind w:left="0"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中小企业声明函（格式见附件）；</w:t>
      </w:r>
    </w:p>
    <w:p w14:paraId="4E59A04C">
      <w:pPr>
        <w:numPr>
          <w:ilvl w:val="0"/>
          <w:numId w:val="8"/>
        </w:numPr>
        <w:overflowPunct w:val="0"/>
        <w:autoSpaceDE w:val="0"/>
        <w:autoSpaceDN w:val="0"/>
        <w:snapToGrid w:val="0"/>
        <w:spacing w:line="400" w:lineRule="exact"/>
        <w:ind w:left="0"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法定代表人身份证明书（格式见附件）；</w:t>
      </w:r>
    </w:p>
    <w:p w14:paraId="15C02C62">
      <w:pPr>
        <w:numPr>
          <w:ilvl w:val="0"/>
          <w:numId w:val="8"/>
        </w:numPr>
        <w:overflowPunct w:val="0"/>
        <w:autoSpaceDE w:val="0"/>
        <w:autoSpaceDN w:val="0"/>
        <w:snapToGrid w:val="0"/>
        <w:spacing w:line="400" w:lineRule="exact"/>
        <w:ind w:left="0"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法定代表人授权委托书及授权代理人有效身份证明（格式见附件）；</w:t>
      </w:r>
    </w:p>
    <w:p w14:paraId="03A07705">
      <w:pPr>
        <w:overflowPunct w:val="0"/>
        <w:spacing w:line="280" w:lineRule="exact"/>
        <w:ind w:firstLine="470" w:firstLineChars="196"/>
        <w:rPr>
          <w:rFonts w:ascii="宋体" w:cs="宋体"/>
          <w:color w:val="auto"/>
          <w:sz w:val="24"/>
          <w:highlight w:val="none"/>
        </w:rPr>
      </w:pPr>
    </w:p>
    <w:p w14:paraId="7F589A36">
      <w:pPr>
        <w:overflowPunct w:val="0"/>
        <w:spacing w:line="280" w:lineRule="exact"/>
        <w:ind w:firstLine="470" w:firstLineChars="196"/>
        <w:rPr>
          <w:rFonts w:ascii="宋体" w:cs="宋体"/>
          <w:color w:val="auto"/>
          <w:sz w:val="24"/>
          <w:highlight w:val="none"/>
        </w:rPr>
      </w:pPr>
    </w:p>
    <w:p w14:paraId="370F2F94">
      <w:pPr>
        <w:overflowPunct w:val="0"/>
        <w:spacing w:line="280" w:lineRule="exact"/>
        <w:ind w:firstLine="470" w:firstLineChars="196"/>
        <w:rPr>
          <w:rFonts w:ascii="宋体" w:cs="宋体"/>
          <w:color w:val="auto"/>
          <w:sz w:val="24"/>
          <w:highlight w:val="none"/>
        </w:rPr>
      </w:pPr>
    </w:p>
    <w:p w14:paraId="166FCBA8">
      <w:pPr>
        <w:overflowPunct w:val="0"/>
        <w:spacing w:line="280" w:lineRule="exact"/>
        <w:ind w:firstLine="470" w:firstLineChars="196"/>
        <w:rPr>
          <w:rFonts w:ascii="宋体" w:cs="宋体"/>
          <w:color w:val="auto"/>
          <w:sz w:val="24"/>
          <w:highlight w:val="none"/>
        </w:rPr>
      </w:pPr>
    </w:p>
    <w:p w14:paraId="2D07D4A5">
      <w:pPr>
        <w:overflowPunct w:val="0"/>
        <w:spacing w:line="280" w:lineRule="exact"/>
        <w:ind w:firstLine="470" w:firstLineChars="196"/>
        <w:rPr>
          <w:rFonts w:ascii="宋体" w:cs="宋体"/>
          <w:color w:val="auto"/>
          <w:sz w:val="24"/>
          <w:highlight w:val="none"/>
        </w:rPr>
      </w:pPr>
    </w:p>
    <w:p w14:paraId="648E7543">
      <w:pPr>
        <w:overflowPunct w:val="0"/>
        <w:spacing w:line="280" w:lineRule="exact"/>
        <w:ind w:firstLine="470" w:firstLineChars="196"/>
        <w:rPr>
          <w:rFonts w:ascii="宋体" w:cs="宋体"/>
          <w:color w:val="auto"/>
          <w:sz w:val="24"/>
          <w:highlight w:val="none"/>
        </w:rPr>
      </w:pPr>
    </w:p>
    <w:p w14:paraId="621DFE30">
      <w:pPr>
        <w:overflowPunct w:val="0"/>
        <w:spacing w:line="280" w:lineRule="exact"/>
        <w:ind w:firstLine="470" w:firstLineChars="196"/>
        <w:rPr>
          <w:rFonts w:ascii="宋体" w:cs="宋体"/>
          <w:color w:val="auto"/>
          <w:sz w:val="24"/>
          <w:highlight w:val="none"/>
        </w:rPr>
      </w:pPr>
    </w:p>
    <w:p w14:paraId="3E70E976">
      <w:pPr>
        <w:overflowPunct w:val="0"/>
        <w:spacing w:line="280" w:lineRule="exact"/>
        <w:ind w:firstLine="470" w:firstLineChars="196"/>
        <w:rPr>
          <w:rFonts w:ascii="宋体" w:cs="宋体"/>
          <w:color w:val="auto"/>
          <w:sz w:val="24"/>
          <w:highlight w:val="none"/>
        </w:rPr>
      </w:pPr>
    </w:p>
    <w:p w14:paraId="4572B7E2">
      <w:pPr>
        <w:overflowPunct w:val="0"/>
        <w:spacing w:line="280" w:lineRule="exact"/>
        <w:ind w:firstLine="470" w:firstLineChars="196"/>
        <w:rPr>
          <w:rFonts w:ascii="宋体" w:cs="宋体"/>
          <w:color w:val="auto"/>
          <w:sz w:val="24"/>
          <w:highlight w:val="none"/>
        </w:rPr>
      </w:pPr>
    </w:p>
    <w:p w14:paraId="59E4602A">
      <w:pPr>
        <w:overflowPunct w:val="0"/>
        <w:spacing w:line="280" w:lineRule="exact"/>
        <w:ind w:firstLine="470" w:firstLineChars="196"/>
        <w:rPr>
          <w:rFonts w:ascii="宋体" w:cs="宋体"/>
          <w:color w:val="auto"/>
          <w:sz w:val="24"/>
          <w:highlight w:val="none"/>
        </w:rPr>
      </w:pPr>
    </w:p>
    <w:p w14:paraId="3CDA6550">
      <w:pPr>
        <w:overflowPunct w:val="0"/>
        <w:spacing w:line="280" w:lineRule="exact"/>
        <w:ind w:firstLine="470" w:firstLineChars="196"/>
        <w:rPr>
          <w:rFonts w:ascii="宋体" w:cs="宋体"/>
          <w:color w:val="auto"/>
          <w:sz w:val="24"/>
          <w:highlight w:val="none"/>
        </w:rPr>
      </w:pPr>
    </w:p>
    <w:p w14:paraId="7741F346">
      <w:pPr>
        <w:overflowPunct w:val="0"/>
        <w:spacing w:line="280" w:lineRule="exact"/>
        <w:ind w:firstLine="470" w:firstLineChars="196"/>
        <w:rPr>
          <w:rFonts w:ascii="宋体" w:cs="宋体"/>
          <w:color w:val="auto"/>
          <w:sz w:val="24"/>
          <w:highlight w:val="none"/>
        </w:rPr>
      </w:pPr>
    </w:p>
    <w:p w14:paraId="270FA7B0">
      <w:pPr>
        <w:overflowPunct w:val="0"/>
        <w:spacing w:line="280" w:lineRule="exact"/>
        <w:ind w:firstLine="470" w:firstLineChars="196"/>
        <w:rPr>
          <w:rFonts w:ascii="宋体" w:cs="宋体"/>
          <w:color w:val="auto"/>
          <w:sz w:val="24"/>
          <w:highlight w:val="none"/>
        </w:rPr>
      </w:pPr>
    </w:p>
    <w:p w14:paraId="2A889CDC">
      <w:pPr>
        <w:overflowPunct w:val="0"/>
        <w:spacing w:line="280" w:lineRule="exact"/>
        <w:ind w:firstLine="470" w:firstLineChars="196"/>
        <w:rPr>
          <w:rFonts w:ascii="宋体" w:cs="宋体"/>
          <w:color w:val="auto"/>
          <w:sz w:val="24"/>
          <w:highlight w:val="none"/>
        </w:rPr>
      </w:pPr>
    </w:p>
    <w:p w14:paraId="3066A1C6">
      <w:pPr>
        <w:overflowPunct w:val="0"/>
        <w:spacing w:line="280" w:lineRule="exact"/>
        <w:ind w:firstLine="470" w:firstLineChars="196"/>
        <w:rPr>
          <w:rFonts w:ascii="宋体" w:cs="宋体"/>
          <w:color w:val="auto"/>
          <w:sz w:val="24"/>
          <w:highlight w:val="none"/>
        </w:rPr>
      </w:pPr>
    </w:p>
    <w:p w14:paraId="0867B7A8">
      <w:pPr>
        <w:overflowPunct w:val="0"/>
        <w:spacing w:line="280" w:lineRule="exact"/>
        <w:ind w:firstLine="470" w:firstLineChars="196"/>
        <w:rPr>
          <w:rFonts w:ascii="宋体" w:cs="宋体"/>
          <w:color w:val="auto"/>
          <w:sz w:val="24"/>
          <w:highlight w:val="none"/>
        </w:rPr>
      </w:pPr>
    </w:p>
    <w:p w14:paraId="2696D81D">
      <w:pPr>
        <w:overflowPunct w:val="0"/>
        <w:spacing w:line="280" w:lineRule="exact"/>
        <w:ind w:firstLine="470" w:firstLineChars="196"/>
        <w:rPr>
          <w:rFonts w:ascii="宋体" w:cs="宋体"/>
          <w:color w:val="auto"/>
          <w:sz w:val="24"/>
          <w:highlight w:val="none"/>
        </w:rPr>
      </w:pPr>
    </w:p>
    <w:p w14:paraId="0836168A">
      <w:pPr>
        <w:overflowPunct w:val="0"/>
        <w:spacing w:line="280" w:lineRule="exact"/>
        <w:ind w:firstLine="470" w:firstLineChars="196"/>
        <w:rPr>
          <w:rFonts w:ascii="宋体" w:cs="宋体"/>
          <w:color w:val="auto"/>
          <w:sz w:val="24"/>
          <w:highlight w:val="none"/>
        </w:rPr>
      </w:pPr>
    </w:p>
    <w:p w14:paraId="5E47D5B1">
      <w:pPr>
        <w:overflowPunct w:val="0"/>
        <w:spacing w:line="280" w:lineRule="exact"/>
        <w:ind w:firstLine="470" w:firstLineChars="196"/>
        <w:rPr>
          <w:rFonts w:ascii="宋体" w:cs="宋体"/>
          <w:color w:val="auto"/>
          <w:sz w:val="24"/>
          <w:highlight w:val="none"/>
        </w:rPr>
      </w:pPr>
    </w:p>
    <w:p w14:paraId="2DC219CE">
      <w:pPr>
        <w:overflowPunct w:val="0"/>
        <w:spacing w:line="280" w:lineRule="exact"/>
        <w:ind w:firstLine="470" w:firstLineChars="196"/>
        <w:rPr>
          <w:rFonts w:ascii="宋体" w:cs="宋体"/>
          <w:color w:val="auto"/>
          <w:sz w:val="24"/>
          <w:highlight w:val="none"/>
        </w:rPr>
      </w:pPr>
    </w:p>
    <w:p w14:paraId="7B1B966A">
      <w:pPr>
        <w:overflowPunct w:val="0"/>
        <w:spacing w:line="280" w:lineRule="exact"/>
        <w:ind w:firstLine="470" w:firstLineChars="196"/>
        <w:rPr>
          <w:rFonts w:ascii="宋体" w:cs="宋体"/>
          <w:color w:val="auto"/>
          <w:sz w:val="24"/>
          <w:highlight w:val="none"/>
        </w:rPr>
      </w:pPr>
    </w:p>
    <w:p w14:paraId="1BF93A31">
      <w:pPr>
        <w:overflowPunct w:val="0"/>
        <w:spacing w:line="280" w:lineRule="exact"/>
        <w:ind w:firstLine="470" w:firstLineChars="196"/>
        <w:rPr>
          <w:rFonts w:ascii="宋体" w:cs="宋体"/>
          <w:color w:val="auto"/>
          <w:sz w:val="24"/>
          <w:highlight w:val="none"/>
        </w:rPr>
      </w:pPr>
    </w:p>
    <w:p w14:paraId="12847531">
      <w:pPr>
        <w:overflowPunct w:val="0"/>
        <w:spacing w:line="280" w:lineRule="exact"/>
        <w:ind w:firstLine="470" w:firstLineChars="196"/>
        <w:rPr>
          <w:rFonts w:ascii="宋体" w:cs="宋体"/>
          <w:color w:val="auto"/>
          <w:sz w:val="24"/>
          <w:highlight w:val="none"/>
        </w:rPr>
      </w:pPr>
    </w:p>
    <w:p w14:paraId="31FB58BB">
      <w:pPr>
        <w:overflowPunct w:val="0"/>
        <w:spacing w:line="280" w:lineRule="exact"/>
        <w:ind w:firstLine="470" w:firstLineChars="196"/>
        <w:rPr>
          <w:rFonts w:ascii="宋体" w:cs="宋体"/>
          <w:color w:val="auto"/>
          <w:sz w:val="24"/>
          <w:highlight w:val="none"/>
        </w:rPr>
      </w:pPr>
    </w:p>
    <w:p w14:paraId="409A420A">
      <w:pPr>
        <w:overflowPunct w:val="0"/>
        <w:spacing w:line="280" w:lineRule="exact"/>
        <w:ind w:firstLine="470" w:firstLineChars="196"/>
        <w:rPr>
          <w:rFonts w:ascii="宋体" w:cs="宋体"/>
          <w:color w:val="auto"/>
          <w:sz w:val="24"/>
          <w:highlight w:val="none"/>
        </w:rPr>
      </w:pPr>
    </w:p>
    <w:p w14:paraId="61C3D43A">
      <w:pPr>
        <w:overflowPunct w:val="0"/>
        <w:spacing w:line="280" w:lineRule="exact"/>
        <w:ind w:firstLine="470" w:firstLineChars="196"/>
        <w:rPr>
          <w:rFonts w:ascii="宋体" w:cs="宋体"/>
          <w:color w:val="auto"/>
          <w:sz w:val="24"/>
          <w:highlight w:val="none"/>
        </w:rPr>
      </w:pPr>
    </w:p>
    <w:p w14:paraId="7DCBB1E1">
      <w:pPr>
        <w:overflowPunct w:val="0"/>
        <w:spacing w:line="280" w:lineRule="exact"/>
        <w:ind w:firstLine="470" w:firstLineChars="196"/>
        <w:rPr>
          <w:rFonts w:ascii="宋体" w:cs="宋体"/>
          <w:color w:val="auto"/>
          <w:sz w:val="24"/>
          <w:highlight w:val="none"/>
        </w:rPr>
      </w:pPr>
    </w:p>
    <w:p w14:paraId="14817EC9">
      <w:pPr>
        <w:overflowPunct w:val="0"/>
        <w:spacing w:line="280" w:lineRule="exact"/>
        <w:ind w:firstLine="470" w:firstLineChars="196"/>
        <w:rPr>
          <w:rFonts w:ascii="宋体" w:cs="宋体"/>
          <w:color w:val="auto"/>
          <w:sz w:val="24"/>
          <w:highlight w:val="none"/>
        </w:rPr>
      </w:pPr>
    </w:p>
    <w:p w14:paraId="1E43DB05">
      <w:pPr>
        <w:overflowPunct w:val="0"/>
        <w:spacing w:line="280" w:lineRule="exact"/>
        <w:ind w:firstLine="470" w:firstLineChars="196"/>
        <w:rPr>
          <w:rFonts w:ascii="宋体" w:cs="宋体"/>
          <w:color w:val="auto"/>
          <w:sz w:val="24"/>
          <w:highlight w:val="none"/>
        </w:rPr>
      </w:pPr>
    </w:p>
    <w:p w14:paraId="4786670E">
      <w:pPr>
        <w:pStyle w:val="12"/>
        <w:widowControl w:val="0"/>
        <w:rPr>
          <w:color w:val="auto"/>
          <w:highlight w:val="none"/>
        </w:rPr>
      </w:pPr>
    </w:p>
    <w:p w14:paraId="4F7FCE36">
      <w:pPr>
        <w:overflowPunct w:val="0"/>
        <w:spacing w:line="280" w:lineRule="exact"/>
        <w:ind w:firstLine="470" w:firstLineChars="196"/>
        <w:rPr>
          <w:rFonts w:ascii="宋体" w:cs="宋体"/>
          <w:color w:val="auto"/>
          <w:sz w:val="24"/>
          <w:highlight w:val="none"/>
        </w:rPr>
      </w:pPr>
    </w:p>
    <w:p w14:paraId="6492CD30">
      <w:pPr>
        <w:pStyle w:val="52"/>
        <w:rPr>
          <w:rFonts w:ascii="宋体" w:cs="宋体"/>
          <w:color w:val="auto"/>
          <w:sz w:val="24"/>
          <w:highlight w:val="none"/>
        </w:rPr>
      </w:pPr>
    </w:p>
    <w:p w14:paraId="1C0344A7">
      <w:pPr>
        <w:pStyle w:val="8"/>
        <w:rPr>
          <w:color w:val="auto"/>
          <w:highlight w:val="none"/>
        </w:rPr>
      </w:pPr>
    </w:p>
    <w:p w14:paraId="590CC6EA">
      <w:pPr>
        <w:overflowPunct w:val="0"/>
        <w:spacing w:line="400" w:lineRule="exact"/>
        <w:jc w:val="left"/>
        <w:rPr>
          <w:rFonts w:ascii="宋体" w:hAnsi="宋体" w:cs="宋体"/>
          <w:color w:val="auto"/>
          <w:sz w:val="28"/>
          <w:szCs w:val="28"/>
          <w:highlight w:val="none"/>
        </w:rPr>
      </w:pPr>
    </w:p>
    <w:p w14:paraId="7DB51952">
      <w:pPr>
        <w:overflowPunct w:val="0"/>
        <w:spacing w:line="400" w:lineRule="exact"/>
        <w:jc w:val="left"/>
        <w:rPr>
          <w:rFonts w:ascii="宋体" w:cs="宋体"/>
          <w:color w:val="auto"/>
          <w:sz w:val="28"/>
          <w:szCs w:val="28"/>
          <w:highlight w:val="none"/>
        </w:rPr>
      </w:pP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rPr>
        <w:t>、符合参加政府采购活动应当具备的一般条件的承诺函</w:t>
      </w:r>
    </w:p>
    <w:p w14:paraId="6E740E3E">
      <w:pPr>
        <w:overflowPunct w:val="0"/>
        <w:spacing w:line="360" w:lineRule="auto"/>
        <w:jc w:val="center"/>
        <w:rPr>
          <w:rFonts w:ascii="宋体" w:hAnsi="宋体" w:cs="宋体"/>
          <w:b/>
          <w:bCs/>
          <w:color w:val="auto"/>
          <w:sz w:val="28"/>
          <w:szCs w:val="28"/>
          <w:highlight w:val="none"/>
        </w:rPr>
      </w:pPr>
    </w:p>
    <w:p w14:paraId="0A8E36DB">
      <w:pPr>
        <w:overflowPunct w:val="0"/>
        <w:spacing w:line="360" w:lineRule="auto"/>
        <w:jc w:val="center"/>
        <w:rPr>
          <w:rFonts w:ascii="宋体" w:cs="宋体"/>
          <w:b/>
          <w:bCs/>
          <w:color w:val="auto"/>
          <w:sz w:val="28"/>
          <w:szCs w:val="28"/>
          <w:highlight w:val="none"/>
        </w:rPr>
      </w:pPr>
      <w:r>
        <w:rPr>
          <w:rFonts w:hint="eastAsia" w:ascii="宋体" w:hAnsi="宋体" w:cs="宋体"/>
          <w:b/>
          <w:bCs/>
          <w:color w:val="auto"/>
          <w:sz w:val="28"/>
          <w:szCs w:val="28"/>
          <w:highlight w:val="none"/>
        </w:rPr>
        <w:t>符合参加政府采购活动应当具备的一般条件的承诺函</w:t>
      </w:r>
      <w:r>
        <w:rPr>
          <w:rFonts w:ascii="宋体" w:hAnsi="宋体" w:cs="宋体"/>
          <w:b/>
          <w:bCs/>
          <w:color w:val="auto"/>
          <w:sz w:val="28"/>
          <w:szCs w:val="28"/>
          <w:highlight w:val="none"/>
        </w:rPr>
        <w:t xml:space="preserve"> </w:t>
      </w:r>
    </w:p>
    <w:p w14:paraId="4A246BD8">
      <w:pPr>
        <w:overflowPunct w:val="0"/>
        <w:adjustRightInd w:val="0"/>
        <w:snapToGrid w:val="0"/>
        <w:spacing w:line="360" w:lineRule="auto"/>
        <w:rPr>
          <w:rFonts w:ascii="宋体" w:cs="宋体"/>
          <w:color w:val="auto"/>
          <w:szCs w:val="21"/>
          <w:highlight w:val="none"/>
        </w:rPr>
      </w:pPr>
      <w:r>
        <w:rPr>
          <w:rFonts w:hint="eastAsia" w:ascii="宋体" w:hAnsi="宋体" w:cs="宋体"/>
          <w:color w:val="auto"/>
          <w:szCs w:val="21"/>
          <w:highlight w:val="none"/>
        </w:rPr>
        <w:t>致：</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0A5FFE5F">
      <w:pPr>
        <w:tabs>
          <w:tab w:val="left" w:pos="1418"/>
        </w:tabs>
        <w:overflowPunct w:val="0"/>
        <w:snapToGrid w:val="0"/>
        <w:spacing w:before="50" w:after="50" w:line="360" w:lineRule="auto"/>
        <w:ind w:firstLine="420" w:firstLineChars="200"/>
        <w:rPr>
          <w:rFonts w:asci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（供应商名称）系中华人民共和国合法企业，经营地址</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6E5E47D2">
      <w:pPr>
        <w:tabs>
          <w:tab w:val="left" w:pos="1418"/>
        </w:tabs>
        <w:overflowPunct w:val="0"/>
        <w:snapToGrid w:val="0"/>
        <w:spacing w:before="50" w:after="50"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我</w:t>
      </w:r>
      <w:r>
        <w:rPr>
          <w:rFonts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ascii="宋体" w:hAnsi="宋体" w:cs="宋体"/>
          <w:color w:val="auto"/>
          <w:szCs w:val="21"/>
          <w:highlight w:val="none"/>
          <w:u w:val="single"/>
        </w:rPr>
        <w:t xml:space="preserve">                  </w:t>
      </w:r>
      <w:r>
        <w:rPr>
          <w:rFonts w:hint="eastAsia" w:ascii="宋体" w:hAnsi="宋体" w:cs="宋体"/>
          <w:color w:val="auto"/>
          <w:szCs w:val="21"/>
          <w:highlight w:val="none"/>
        </w:rPr>
        <w:t>（供应商名称）的法定代表人，我方愿意参加贵方组织的</w:t>
      </w:r>
      <w:r>
        <w:rPr>
          <w:rFonts w:ascii="宋体" w:hAnsi="宋体" w:cs="宋体"/>
          <w:color w:val="auto"/>
          <w:szCs w:val="21"/>
          <w:highlight w:val="none"/>
          <w:u w:val="single"/>
        </w:rPr>
        <w:t xml:space="preserve">             </w:t>
      </w:r>
      <w:r>
        <w:rPr>
          <w:rFonts w:hint="eastAsia" w:ascii="宋体" w:hAnsi="宋体" w:cs="宋体"/>
          <w:color w:val="auto"/>
          <w:szCs w:val="21"/>
          <w:highlight w:val="none"/>
        </w:rPr>
        <w:t>项目的磋商，为便于贵方公正、择优地确定成交供应商及其磋商项目的服务，我方就本次磋商有关事项郑重声明如下：</w:t>
      </w:r>
    </w:p>
    <w:p w14:paraId="4F12CF71">
      <w:pPr>
        <w:overflowPunct w:val="0"/>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、我方向贵方提交的所有响应文件、资料都是准确的和真实的；</w:t>
      </w:r>
    </w:p>
    <w:p w14:paraId="43CE341C">
      <w:pPr>
        <w:overflowPunct w:val="0"/>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、我方不是采购人的附属机构；在获知本项目采购信息后，与采购人聘请的为此项目提供咨询服务的公司及其附属机构没有任何联系。</w:t>
      </w:r>
    </w:p>
    <w:p w14:paraId="43BDCB83">
      <w:pPr>
        <w:overflowPunct w:val="0"/>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、我方承诺已经具备采购文件规定的参加本项目政府采购活动的供应商应当具备的条件：</w:t>
      </w:r>
    </w:p>
    <w:p w14:paraId="7B2383DA">
      <w:pPr>
        <w:overflowPunct w:val="0"/>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）具有独立承担民事责任的能力；</w:t>
      </w:r>
    </w:p>
    <w:p w14:paraId="01C197F2">
      <w:pPr>
        <w:overflowPunct w:val="0"/>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）具有良好的商业信誉和健全的财务会计制度；</w:t>
      </w:r>
    </w:p>
    <w:p w14:paraId="6B74C241">
      <w:pPr>
        <w:overflowPunct w:val="0"/>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）具有履行合同所必需的设备和专业技术能力；</w:t>
      </w:r>
    </w:p>
    <w:p w14:paraId="6E4F1D43">
      <w:pPr>
        <w:overflowPunct w:val="0"/>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）有依法缴纳税收和社会保障资金的良好记录；</w:t>
      </w:r>
    </w:p>
    <w:p w14:paraId="650CAF11">
      <w:pPr>
        <w:overflowPunct w:val="0"/>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）参加本次政府采购活动前三年内，在经营活动中没有重大违法记录；</w:t>
      </w:r>
    </w:p>
    <w:p w14:paraId="57B50F0A">
      <w:pPr>
        <w:overflowPunct w:val="0"/>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）至本项目投标截止时间前，我方未列入失信被执行人、重大税收违法案件当事人名单、政府采购严重违法失信行为记录名单；</w:t>
      </w:r>
    </w:p>
    <w:p w14:paraId="60A5B6FE">
      <w:pPr>
        <w:overflowPunct w:val="0"/>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、我方承诺：最近三年我方无行贿犯罪行为，若我方成交，愿意接受社会监督和检察院调查，若与我方承诺不符，可免除我方成交人资格。</w:t>
      </w:r>
      <w:r>
        <w:rPr>
          <w:rFonts w:ascii="宋体" w:hAnsi="宋体" w:cs="宋体"/>
          <w:color w:val="auto"/>
          <w:szCs w:val="21"/>
          <w:highlight w:val="none"/>
        </w:rPr>
        <w:t xml:space="preserve">                                                  </w:t>
      </w:r>
    </w:p>
    <w:p w14:paraId="243141FC">
      <w:pPr>
        <w:overflowPunct w:val="0"/>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、以上事项如有虚假或隐瞒，我方愿意承担一切后果和责任。</w:t>
      </w:r>
    </w:p>
    <w:p w14:paraId="279FD716">
      <w:pPr>
        <w:overflowPunct w:val="0"/>
        <w:adjustRightInd w:val="0"/>
        <w:snapToGrid w:val="0"/>
        <w:spacing w:line="360" w:lineRule="auto"/>
        <w:ind w:firstLine="420" w:firstLineChars="200"/>
        <w:rPr>
          <w:rFonts w:ascii="宋体" w:cs="宋体"/>
          <w:color w:val="auto"/>
          <w:szCs w:val="21"/>
          <w:highlight w:val="none"/>
          <w:u w:val="single"/>
        </w:rPr>
      </w:pPr>
    </w:p>
    <w:p w14:paraId="7E2E587E">
      <w:pPr>
        <w:overflowPunct w:val="0"/>
        <w:adjustRightInd w:val="0"/>
        <w:snapToGrid w:val="0"/>
        <w:spacing w:line="360" w:lineRule="auto"/>
        <w:ind w:firstLine="420" w:firstLineChars="200"/>
        <w:rPr>
          <w:rFonts w:ascii="宋体" w:cs="宋体"/>
          <w:color w:val="auto"/>
          <w:szCs w:val="21"/>
          <w:highlight w:val="none"/>
          <w:u w:val="single"/>
        </w:rPr>
      </w:pPr>
      <w:r>
        <w:rPr>
          <w:rFonts w:hint="eastAsia" w:ascii="宋体" w:hAnsi="宋体" w:cs="宋体"/>
          <w:color w:val="auto"/>
          <w:szCs w:val="21"/>
          <w:highlight w:val="none"/>
        </w:rPr>
        <w:t>法定代表人签字：</w:t>
      </w:r>
      <w:r>
        <w:rPr>
          <w:rFonts w:ascii="宋体" w:hAnsi="宋体" w:cs="宋体"/>
          <w:color w:val="auto"/>
          <w:szCs w:val="21"/>
          <w:highlight w:val="none"/>
          <w:u w:val="single"/>
        </w:rPr>
        <w:t xml:space="preserve">             </w:t>
      </w:r>
    </w:p>
    <w:p w14:paraId="1F2325E4">
      <w:pPr>
        <w:overflowPunct w:val="0"/>
        <w:adjustRightInd w:val="0"/>
        <w:snapToGrid w:val="0"/>
        <w:spacing w:line="360" w:lineRule="auto"/>
        <w:ind w:firstLine="420" w:firstLineChars="200"/>
        <w:rPr>
          <w:rFonts w:ascii="宋体" w:cs="宋体"/>
          <w:color w:val="auto"/>
          <w:szCs w:val="21"/>
          <w:highlight w:val="none"/>
          <w:u w:val="single"/>
        </w:rPr>
      </w:pPr>
      <w:r>
        <w:rPr>
          <w:rFonts w:hint="eastAsia" w:ascii="宋体" w:hAnsi="宋体" w:cs="宋体"/>
          <w:color w:val="auto"/>
          <w:szCs w:val="21"/>
          <w:highlight w:val="none"/>
        </w:rPr>
        <w:t>供应商盖章：</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06C681B6">
      <w:pPr>
        <w:overflowPunct w:val="0"/>
        <w:adjustRightInd w:val="0"/>
        <w:snapToGrid w:val="0"/>
        <w:spacing w:line="360" w:lineRule="auto"/>
        <w:ind w:firstLine="210" w:firstLineChars="100"/>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p w14:paraId="6EE5594D">
      <w:pPr>
        <w:overflowPunct w:val="0"/>
        <w:spacing w:before="156" w:beforeLines="50" w:after="156" w:afterLines="50" w:line="400" w:lineRule="exact"/>
        <w:ind w:right="840"/>
        <w:rPr>
          <w:rFonts w:ascii="宋体" w:cs="宋体"/>
          <w:color w:val="auto"/>
          <w:szCs w:val="21"/>
          <w:highlight w:val="none"/>
        </w:rPr>
      </w:pPr>
    </w:p>
    <w:p w14:paraId="628DC0D5">
      <w:pPr>
        <w:overflowPunct w:val="0"/>
        <w:spacing w:before="156" w:beforeLines="50" w:after="156" w:afterLines="50" w:line="400" w:lineRule="exact"/>
        <w:ind w:right="840"/>
        <w:rPr>
          <w:rFonts w:ascii="宋体" w:cs="宋体"/>
          <w:color w:val="auto"/>
          <w:szCs w:val="21"/>
          <w:highlight w:val="none"/>
        </w:rPr>
      </w:pPr>
    </w:p>
    <w:p w14:paraId="008BE58B">
      <w:pPr>
        <w:pStyle w:val="16"/>
        <w:widowControl w:val="0"/>
        <w:overflowPunct w:val="0"/>
        <w:ind w:right="840"/>
        <w:rPr>
          <w:rFonts w:cs="宋体"/>
          <w:color w:val="auto"/>
          <w:highlight w:val="none"/>
        </w:rPr>
      </w:pPr>
      <w:r>
        <w:rPr>
          <w:rFonts w:hint="eastAsia" w:cs="宋体"/>
          <w:color w:val="auto"/>
          <w:highlight w:val="none"/>
        </w:rPr>
        <w:t xml:space="preserve">                                                                                                                                                       </w:t>
      </w:r>
      <w:r>
        <w:rPr>
          <w:rFonts w:cs="宋体"/>
          <w:color w:val="auto"/>
          <w:highlight w:val="none"/>
        </w:rPr>
        <w:t xml:space="preserve">   </w:t>
      </w:r>
    </w:p>
    <w:p w14:paraId="2D0A30D6">
      <w:pPr>
        <w:overflowPunct w:val="0"/>
        <w:spacing w:line="400" w:lineRule="exact"/>
        <w:jc w:val="left"/>
        <w:rPr>
          <w:rFonts w:ascii="宋体" w:cs="宋体"/>
          <w:color w:val="auto"/>
          <w:sz w:val="28"/>
          <w:szCs w:val="28"/>
          <w:highlight w:val="none"/>
        </w:rPr>
      </w:pPr>
      <w:r>
        <w:rPr>
          <w:rFonts w:ascii="宋体" w:cs="宋体"/>
          <w:color w:val="auto"/>
          <w:szCs w:val="21"/>
          <w:highlight w:val="none"/>
        </w:rPr>
        <w:br w:type="page"/>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t>、中小企业声明函、监狱企业、残疾人福利性单位及其他相关的充分的证明材料</w:t>
      </w:r>
    </w:p>
    <w:p w14:paraId="6CBD5A4D">
      <w:pPr>
        <w:snapToGrid w:val="0"/>
        <w:spacing w:line="360" w:lineRule="auto"/>
        <w:jc w:val="center"/>
        <w:rPr>
          <w:rFonts w:ascii="宋体" w:cs="宋体"/>
          <w:b/>
          <w:color w:val="auto"/>
          <w:kern w:val="0"/>
          <w:sz w:val="28"/>
          <w:szCs w:val="28"/>
          <w:highlight w:val="none"/>
        </w:rPr>
      </w:pPr>
    </w:p>
    <w:p w14:paraId="0B6B135A">
      <w:pPr>
        <w:snapToGrid w:val="0"/>
        <w:spacing w:line="360" w:lineRule="auto"/>
        <w:jc w:val="center"/>
        <w:rPr>
          <w:rFonts w:ascii="宋体" w:cs="宋体"/>
          <w:b/>
          <w:color w:val="auto"/>
          <w:kern w:val="0"/>
          <w:sz w:val="28"/>
          <w:szCs w:val="28"/>
          <w:highlight w:val="none"/>
        </w:rPr>
      </w:pPr>
      <w:r>
        <w:rPr>
          <w:rFonts w:hint="eastAsia" w:ascii="宋体" w:hAnsi="宋体" w:cs="宋体"/>
          <w:b/>
          <w:color w:val="auto"/>
          <w:kern w:val="0"/>
          <w:sz w:val="28"/>
          <w:szCs w:val="28"/>
          <w:highlight w:val="none"/>
        </w:rPr>
        <w:t>中小企业声明函</w:t>
      </w:r>
    </w:p>
    <w:p w14:paraId="131BD019">
      <w:pPr>
        <w:wordWrap w:val="0"/>
        <w:snapToGrid w:val="0"/>
        <w:spacing w:line="360" w:lineRule="auto"/>
        <w:ind w:firstLine="420" w:firstLineChars="200"/>
        <w:jc w:val="left"/>
        <w:rPr>
          <w:rFonts w:ascii="宋体" w:cs="宋体"/>
          <w:bCs/>
          <w:color w:val="auto"/>
          <w:kern w:val="0"/>
          <w:szCs w:val="21"/>
          <w:highlight w:val="none"/>
        </w:rPr>
      </w:pPr>
      <w:r>
        <w:rPr>
          <w:rFonts w:hint="eastAsia" w:ascii="宋体" w:hAnsi="宋体" w:cs="宋体"/>
          <w:bCs/>
          <w:color w:val="auto"/>
          <w:kern w:val="0"/>
          <w:szCs w:val="21"/>
          <w:highlight w:val="none"/>
        </w:rPr>
        <w:t>本公司（联合体）郑重声明，根据《政府采购促进中小企业发展管理办法》（财库﹝</w:t>
      </w:r>
      <w:r>
        <w:rPr>
          <w:rFonts w:ascii="宋体" w:hAnsi="宋体" w:cs="宋体"/>
          <w:bCs/>
          <w:color w:val="auto"/>
          <w:kern w:val="0"/>
          <w:szCs w:val="21"/>
          <w:highlight w:val="none"/>
        </w:rPr>
        <w:t>2020</w:t>
      </w:r>
      <w:r>
        <w:rPr>
          <w:rFonts w:hint="eastAsia" w:ascii="宋体" w:hAnsi="宋体" w:cs="宋体"/>
          <w:bCs/>
          <w:color w:val="auto"/>
          <w:kern w:val="0"/>
          <w:szCs w:val="21"/>
          <w:highlight w:val="none"/>
        </w:rPr>
        <w:t>﹞</w:t>
      </w:r>
      <w:r>
        <w:rPr>
          <w:rFonts w:ascii="宋体" w:hAnsi="宋体" w:cs="宋体"/>
          <w:bCs/>
          <w:color w:val="auto"/>
          <w:kern w:val="0"/>
          <w:szCs w:val="21"/>
          <w:highlight w:val="none"/>
        </w:rPr>
        <w:t xml:space="preserve">46 </w:t>
      </w:r>
      <w:r>
        <w:rPr>
          <w:rFonts w:hint="eastAsia" w:ascii="宋体" w:hAnsi="宋体" w:cs="宋体"/>
          <w:bCs/>
          <w:color w:val="auto"/>
          <w:kern w:val="0"/>
          <w:szCs w:val="21"/>
          <w:highlight w:val="none"/>
        </w:rPr>
        <w:t>号）的规定，本公司（联合体）参加</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rPr>
        <w:t>（单位名称）</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的</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rPr>
        <w:t>（项目名称）</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采购活动，工程的施工单位全部为符合政策要求的中小企业（或者：服务</w:t>
      </w:r>
      <w:r>
        <w:rPr>
          <w:rFonts w:ascii="宋体" w:hAnsi="宋体" w:cs="宋体"/>
          <w:bCs/>
          <w:color w:val="auto"/>
          <w:kern w:val="0"/>
          <w:szCs w:val="21"/>
          <w:highlight w:val="none"/>
        </w:rPr>
        <w:t xml:space="preserve"> </w:t>
      </w:r>
      <w:r>
        <w:rPr>
          <w:rFonts w:hint="eastAsia" w:ascii="宋体" w:hAnsi="宋体" w:cs="宋体"/>
          <w:bCs/>
          <w:color w:val="auto"/>
          <w:kern w:val="0"/>
          <w:szCs w:val="21"/>
          <w:highlight w:val="none"/>
        </w:rPr>
        <w:t>全部由符合政策要求的中小企业承接）。相关企业（含联合</w:t>
      </w:r>
      <w:r>
        <w:rPr>
          <w:rFonts w:ascii="宋体" w:hAnsi="宋体" w:cs="宋体"/>
          <w:bCs/>
          <w:color w:val="auto"/>
          <w:kern w:val="0"/>
          <w:szCs w:val="21"/>
          <w:highlight w:val="none"/>
        </w:rPr>
        <w:t xml:space="preserve"> </w:t>
      </w:r>
      <w:r>
        <w:rPr>
          <w:rFonts w:hint="eastAsia" w:ascii="宋体" w:hAnsi="宋体" w:cs="宋体"/>
          <w:bCs/>
          <w:color w:val="auto"/>
          <w:kern w:val="0"/>
          <w:szCs w:val="21"/>
          <w:highlight w:val="none"/>
        </w:rPr>
        <w:t>体中的中小企业、签订分包意向协议的中小企业）的具体情</w:t>
      </w:r>
      <w:r>
        <w:rPr>
          <w:rFonts w:ascii="宋体" w:hAnsi="宋体" w:cs="宋体"/>
          <w:bCs/>
          <w:color w:val="auto"/>
          <w:kern w:val="0"/>
          <w:szCs w:val="21"/>
          <w:highlight w:val="none"/>
        </w:rPr>
        <w:t xml:space="preserve"> </w:t>
      </w:r>
      <w:r>
        <w:rPr>
          <w:rFonts w:hint="eastAsia" w:ascii="宋体" w:hAnsi="宋体" w:cs="宋体"/>
          <w:bCs/>
          <w:color w:val="auto"/>
          <w:kern w:val="0"/>
          <w:szCs w:val="21"/>
          <w:highlight w:val="none"/>
        </w:rPr>
        <w:t>况如下：</w:t>
      </w:r>
    </w:p>
    <w:p w14:paraId="0EF77890">
      <w:pPr>
        <w:numPr>
          <w:ilvl w:val="0"/>
          <w:numId w:val="9"/>
        </w:numPr>
        <w:wordWrap w:val="0"/>
        <w:snapToGrid w:val="0"/>
        <w:spacing w:line="360" w:lineRule="auto"/>
        <w:ind w:firstLine="420" w:firstLineChars="200"/>
        <w:jc w:val="left"/>
        <w:rPr>
          <w:rFonts w:ascii="宋体" w:cs="宋体"/>
          <w:bCs/>
          <w:color w:val="auto"/>
          <w:kern w:val="0"/>
          <w:szCs w:val="21"/>
          <w:highlight w:val="none"/>
        </w:rPr>
      </w:pP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rPr>
        <w:t xml:space="preserve">工学一体化课程建设 </w:t>
      </w:r>
      <w:r>
        <w:rPr>
          <w:rFonts w:hint="eastAsia" w:ascii="宋体" w:hAnsi="宋体" w:cs="宋体"/>
          <w:bCs/>
          <w:color w:val="auto"/>
          <w:kern w:val="0"/>
          <w:szCs w:val="21"/>
          <w:highlight w:val="none"/>
        </w:rPr>
        <w:t>，属于</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rPr>
        <w:t>软件和信息技术服务业</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；承建（承接）企业为</w:t>
      </w:r>
      <w:r>
        <w:rPr>
          <w:rFonts w:hint="eastAsia" w:ascii="宋体" w:hAnsi="宋体" w:cs="宋体"/>
          <w:bCs/>
          <w:color w:val="auto"/>
          <w:kern w:val="0"/>
          <w:szCs w:val="21"/>
          <w:highlight w:val="none"/>
          <w:u w:val="single"/>
        </w:rPr>
        <w:t>（企业名称）</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，从业人员</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人，营业收入为</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万元，资产总额为</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万元</w:t>
      </w:r>
      <w:r>
        <w:rPr>
          <w:rFonts w:ascii="宋体" w:hAnsi="宋体" w:cs="宋体"/>
          <w:bCs/>
          <w:color w:val="auto"/>
          <w:kern w:val="0"/>
          <w:szCs w:val="21"/>
          <w:highlight w:val="none"/>
        </w:rPr>
        <w:t>1</w:t>
      </w:r>
      <w:r>
        <w:rPr>
          <w:rFonts w:hint="eastAsia" w:ascii="宋体" w:hAnsi="宋体" w:cs="宋体"/>
          <w:bCs/>
          <w:color w:val="auto"/>
          <w:kern w:val="0"/>
          <w:szCs w:val="21"/>
          <w:highlight w:val="none"/>
        </w:rPr>
        <w:t>，属于</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rPr>
        <w:t>（中型企业、</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rPr>
        <w:t>小型企业、微型企业）</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w:t>
      </w:r>
      <w:r>
        <w:rPr>
          <w:rFonts w:ascii="宋体" w:hAnsi="宋体" w:cs="宋体"/>
          <w:bCs/>
          <w:color w:val="auto"/>
          <w:kern w:val="0"/>
          <w:szCs w:val="21"/>
          <w:highlight w:val="none"/>
        </w:rPr>
        <w:t xml:space="preserve"> </w:t>
      </w:r>
    </w:p>
    <w:p w14:paraId="73599811">
      <w:pPr>
        <w:numPr>
          <w:ilvl w:val="0"/>
          <w:numId w:val="9"/>
        </w:numPr>
        <w:wordWrap w:val="0"/>
        <w:snapToGrid w:val="0"/>
        <w:spacing w:line="360" w:lineRule="auto"/>
        <w:ind w:firstLine="420" w:firstLineChars="200"/>
        <w:jc w:val="left"/>
        <w:rPr>
          <w:rFonts w:ascii="宋体" w:cs="宋体"/>
          <w:bCs/>
          <w:color w:val="auto"/>
          <w:kern w:val="0"/>
          <w:szCs w:val="21"/>
          <w:highlight w:val="none"/>
        </w:rPr>
      </w:pP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rPr>
        <w:t>（标的名称）</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，属于</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rPr>
        <w:t>（采购文件中明确的所属行业）</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；承建（承接）企业为</w:t>
      </w:r>
      <w:r>
        <w:rPr>
          <w:rFonts w:hint="eastAsia" w:ascii="宋体" w:hAnsi="宋体" w:cs="宋体"/>
          <w:bCs/>
          <w:color w:val="auto"/>
          <w:kern w:val="0"/>
          <w:szCs w:val="21"/>
          <w:highlight w:val="none"/>
          <w:u w:val="single"/>
        </w:rPr>
        <w:t>（企业名称）</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，从业人员</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人，营业收入为</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万元，资产总额为</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万元，属于</w:t>
      </w:r>
      <w:r>
        <w:rPr>
          <w:rFonts w:hint="eastAsia" w:ascii="宋体" w:hAnsi="宋体" w:cs="宋体"/>
          <w:bCs/>
          <w:color w:val="auto"/>
          <w:kern w:val="0"/>
          <w:szCs w:val="21"/>
          <w:highlight w:val="none"/>
          <w:u w:val="single"/>
        </w:rPr>
        <w:t>（中型企业、</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rPr>
        <w:t>小型企业、微型企业）</w:t>
      </w:r>
      <w:r>
        <w:rPr>
          <w:rFonts w:hint="eastAsia" w:ascii="宋体" w:hAnsi="宋体" w:cs="宋体"/>
          <w:bCs/>
          <w:color w:val="auto"/>
          <w:kern w:val="0"/>
          <w:szCs w:val="21"/>
          <w:highlight w:val="none"/>
        </w:rPr>
        <w:t>；</w:t>
      </w:r>
      <w:r>
        <w:rPr>
          <w:rFonts w:ascii="宋体" w:hAnsi="宋体" w:cs="宋体"/>
          <w:bCs/>
          <w:color w:val="auto"/>
          <w:kern w:val="0"/>
          <w:szCs w:val="21"/>
          <w:highlight w:val="none"/>
        </w:rPr>
        <w:t xml:space="preserve"> </w:t>
      </w:r>
    </w:p>
    <w:p w14:paraId="68944BB9">
      <w:pPr>
        <w:wordWrap w:val="0"/>
        <w:snapToGrid w:val="0"/>
        <w:spacing w:line="360" w:lineRule="auto"/>
        <w:ind w:firstLine="420" w:firstLineChars="200"/>
        <w:jc w:val="left"/>
        <w:rPr>
          <w:rFonts w:ascii="宋体" w:cs="宋体"/>
          <w:bCs/>
          <w:color w:val="auto"/>
          <w:kern w:val="0"/>
          <w:szCs w:val="21"/>
          <w:highlight w:val="none"/>
        </w:rPr>
      </w:pPr>
      <w:r>
        <w:rPr>
          <w:rFonts w:hint="eastAsia" w:ascii="宋体" w:hAnsi="宋体" w:cs="宋体"/>
          <w:bCs/>
          <w:color w:val="auto"/>
          <w:kern w:val="0"/>
          <w:szCs w:val="21"/>
          <w:highlight w:val="none"/>
        </w:rPr>
        <w:t>……</w:t>
      </w:r>
    </w:p>
    <w:p w14:paraId="63BAEA28">
      <w:pPr>
        <w:wordWrap w:val="0"/>
        <w:snapToGrid w:val="0"/>
        <w:spacing w:line="360" w:lineRule="auto"/>
        <w:ind w:firstLine="420" w:firstLineChars="200"/>
        <w:jc w:val="left"/>
        <w:rPr>
          <w:rFonts w:ascii="宋体" w:cs="宋体"/>
          <w:bCs/>
          <w:color w:val="auto"/>
          <w:kern w:val="0"/>
          <w:szCs w:val="21"/>
          <w:highlight w:val="none"/>
        </w:rPr>
      </w:pPr>
      <w:r>
        <w:rPr>
          <w:rFonts w:hint="eastAsia" w:ascii="宋体" w:hAnsi="宋体" w:cs="宋体"/>
          <w:bCs/>
          <w:color w:val="auto"/>
          <w:kern w:val="0"/>
          <w:szCs w:val="21"/>
          <w:highlight w:val="none"/>
        </w:rPr>
        <w:t>以上企业，不属于大企业的分支机构，不存在控股股东为大企业的情形，也不存在与大企业的负责人为同一人的情形。</w:t>
      </w:r>
    </w:p>
    <w:p w14:paraId="04F53EF8">
      <w:pPr>
        <w:wordWrap w:val="0"/>
        <w:snapToGrid w:val="0"/>
        <w:spacing w:line="360" w:lineRule="auto"/>
        <w:ind w:firstLine="420" w:firstLineChars="200"/>
        <w:jc w:val="left"/>
        <w:rPr>
          <w:rFonts w:ascii="宋体" w:cs="宋体"/>
          <w:bCs/>
          <w:color w:val="auto"/>
          <w:kern w:val="0"/>
          <w:szCs w:val="21"/>
          <w:highlight w:val="none"/>
        </w:rPr>
      </w:pPr>
      <w:r>
        <w:rPr>
          <w:rFonts w:hint="eastAsia" w:ascii="宋体" w:hAnsi="宋体" w:cs="宋体"/>
          <w:bCs/>
          <w:color w:val="auto"/>
          <w:kern w:val="0"/>
          <w:szCs w:val="21"/>
          <w:highlight w:val="none"/>
        </w:rPr>
        <w:t>本企业对上述声明内容的真实性负责。如有虚假，将依法承担相应责任。</w:t>
      </w:r>
    </w:p>
    <w:p w14:paraId="2ACA9F88">
      <w:pPr>
        <w:wordWrap w:val="0"/>
        <w:snapToGrid w:val="0"/>
        <w:spacing w:line="360" w:lineRule="auto"/>
        <w:ind w:firstLine="420" w:firstLineChars="200"/>
        <w:jc w:val="left"/>
        <w:rPr>
          <w:rFonts w:ascii="宋体" w:cs="宋体"/>
          <w:color w:val="auto"/>
          <w:kern w:val="0"/>
          <w:szCs w:val="21"/>
          <w:highlight w:val="none"/>
        </w:rPr>
      </w:pPr>
    </w:p>
    <w:p w14:paraId="0A879154">
      <w:pPr>
        <w:wordWrap w:val="0"/>
        <w:snapToGrid w:val="0"/>
        <w:spacing w:line="360" w:lineRule="auto"/>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供应商盖章：</w:t>
      </w:r>
    </w:p>
    <w:p w14:paraId="04B02A8B">
      <w:pPr>
        <w:wordWrap w:val="0"/>
        <w:snapToGrid w:val="0"/>
        <w:spacing w:line="360" w:lineRule="auto"/>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日期：</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年</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月</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日</w:t>
      </w:r>
    </w:p>
    <w:p w14:paraId="2AE8CBC0">
      <w:pPr>
        <w:pBdr>
          <w:bottom w:val="single" w:color="auto" w:sz="6" w:space="1"/>
        </w:pBdr>
        <w:wordWrap w:val="0"/>
        <w:snapToGrid w:val="0"/>
        <w:spacing w:line="360" w:lineRule="auto"/>
        <w:ind w:firstLine="420" w:firstLineChars="200"/>
        <w:jc w:val="left"/>
        <w:rPr>
          <w:rFonts w:ascii="宋体" w:cs="宋体"/>
          <w:color w:val="auto"/>
          <w:kern w:val="0"/>
          <w:szCs w:val="21"/>
          <w:highlight w:val="none"/>
        </w:rPr>
      </w:pPr>
    </w:p>
    <w:p w14:paraId="0AC6E03A">
      <w:pPr>
        <w:wordWrap w:val="0"/>
        <w:snapToGrid w:val="0"/>
        <w:spacing w:line="360" w:lineRule="auto"/>
        <w:ind w:firstLine="420" w:firstLineChars="200"/>
        <w:jc w:val="left"/>
        <w:rPr>
          <w:rFonts w:ascii="宋体" w:cs="宋体"/>
          <w:color w:val="auto"/>
          <w:kern w:val="0"/>
          <w:szCs w:val="21"/>
          <w:highlight w:val="none"/>
        </w:rPr>
      </w:pPr>
    </w:p>
    <w:p w14:paraId="717BC6BE">
      <w:pPr>
        <w:wordWrap w:val="0"/>
        <w:snapToGrid w:val="0"/>
        <w:spacing w:line="360" w:lineRule="auto"/>
        <w:ind w:firstLine="420" w:firstLineChars="200"/>
        <w:jc w:val="left"/>
        <w:rPr>
          <w:rFonts w:ascii="宋体" w:cs="宋体"/>
          <w:color w:val="auto"/>
          <w:szCs w:val="21"/>
          <w:highlight w:val="none"/>
        </w:rPr>
      </w:pPr>
    </w:p>
    <w:p w14:paraId="411092BC">
      <w:pPr>
        <w:wordWrap w:val="0"/>
        <w:snapToGrid w:val="0"/>
        <w:spacing w:line="360" w:lineRule="auto"/>
        <w:ind w:firstLine="420" w:firstLineChars="200"/>
        <w:jc w:val="left"/>
        <w:rPr>
          <w:rFonts w:ascii="宋体" w:cs="宋体"/>
          <w:b/>
          <w:color w:val="auto"/>
          <w:kern w:val="0"/>
          <w:szCs w:val="21"/>
          <w:highlight w:val="none"/>
        </w:rPr>
      </w:pPr>
      <w:r>
        <w:rPr>
          <w:rFonts w:hint="eastAsia" w:ascii="宋体" w:hAnsi="宋体" w:cs="宋体"/>
          <w:color w:val="auto"/>
          <w:szCs w:val="21"/>
          <w:highlight w:val="none"/>
        </w:rPr>
        <w:t>从业人员、营业收入、资产总额填报上一年度数据，无上一年度数据的新成立企业可不填报</w:t>
      </w:r>
      <w:r>
        <w:rPr>
          <w:rFonts w:hint="eastAsia" w:ascii="宋体" w:hAnsi="宋体" w:cs="宋体"/>
          <w:color w:val="auto"/>
          <w:kern w:val="0"/>
          <w:szCs w:val="21"/>
          <w:highlight w:val="none"/>
        </w:rPr>
        <w:t>。</w:t>
      </w:r>
    </w:p>
    <w:p w14:paraId="6676B6D4">
      <w:pPr>
        <w:wordWrap w:val="0"/>
        <w:snapToGrid w:val="0"/>
        <w:spacing w:line="360" w:lineRule="auto"/>
        <w:ind w:firstLine="422" w:firstLineChars="200"/>
        <w:jc w:val="left"/>
        <w:rPr>
          <w:rFonts w:ascii="宋体" w:cs="宋体"/>
          <w:b/>
          <w:bCs/>
          <w:color w:val="auto"/>
          <w:kern w:val="0"/>
          <w:szCs w:val="21"/>
          <w:highlight w:val="none"/>
        </w:rPr>
      </w:pPr>
    </w:p>
    <w:p w14:paraId="3F8F62DD">
      <w:pPr>
        <w:wordWrap w:val="0"/>
        <w:snapToGrid w:val="0"/>
        <w:spacing w:line="360" w:lineRule="auto"/>
        <w:jc w:val="left"/>
        <w:rPr>
          <w:rFonts w:ascii="宋体" w:cs="宋体"/>
          <w:b/>
          <w:bCs/>
          <w:color w:val="auto"/>
          <w:kern w:val="0"/>
          <w:szCs w:val="21"/>
          <w:highlight w:val="none"/>
        </w:rPr>
      </w:pPr>
      <w:r>
        <w:rPr>
          <w:rFonts w:hint="eastAsia" w:ascii="宋体" w:hAnsi="宋体" w:cs="宋体"/>
          <w:b/>
          <w:bCs/>
          <w:color w:val="auto"/>
          <w:kern w:val="0"/>
          <w:szCs w:val="21"/>
          <w:highlight w:val="none"/>
        </w:rPr>
        <w:t>注：</w:t>
      </w:r>
      <w:r>
        <w:rPr>
          <w:rFonts w:ascii="宋体" w:hAnsi="宋体" w:cs="宋体"/>
          <w:b/>
          <w:bCs/>
          <w:color w:val="auto"/>
          <w:kern w:val="0"/>
          <w:szCs w:val="21"/>
          <w:highlight w:val="none"/>
        </w:rPr>
        <w:t>1</w:t>
      </w:r>
      <w:r>
        <w:rPr>
          <w:rFonts w:hint="eastAsia" w:ascii="宋体" w:hAnsi="宋体" w:cs="宋体"/>
          <w:b/>
          <w:bCs/>
          <w:color w:val="auto"/>
          <w:kern w:val="0"/>
          <w:szCs w:val="21"/>
          <w:highlight w:val="none"/>
        </w:rPr>
        <w:t>、本项目采购标的对应的中小企业划分标准所属行业为软件和信息技术服务业。</w:t>
      </w:r>
    </w:p>
    <w:p w14:paraId="27EFC46B">
      <w:pPr>
        <w:wordWrap w:val="0"/>
        <w:snapToGrid w:val="0"/>
        <w:spacing w:line="360" w:lineRule="auto"/>
        <w:ind w:firstLine="422" w:firstLineChars="200"/>
        <w:jc w:val="left"/>
        <w:rPr>
          <w:rFonts w:ascii="宋体" w:cs="宋体"/>
          <w:b/>
          <w:bCs/>
          <w:color w:val="auto"/>
          <w:kern w:val="0"/>
          <w:szCs w:val="21"/>
          <w:highlight w:val="none"/>
        </w:rPr>
      </w:pPr>
      <w:r>
        <w:rPr>
          <w:rFonts w:ascii="宋体" w:hAnsi="宋体" w:cs="宋体"/>
          <w:b/>
          <w:bCs/>
          <w:color w:val="auto"/>
          <w:kern w:val="0"/>
          <w:szCs w:val="21"/>
          <w:highlight w:val="none"/>
        </w:rPr>
        <w:t>2</w:t>
      </w:r>
      <w:r>
        <w:rPr>
          <w:rFonts w:hint="eastAsia" w:ascii="宋体" w:hAnsi="宋体" w:cs="宋体"/>
          <w:b/>
          <w:bCs/>
          <w:color w:val="auto"/>
          <w:kern w:val="0"/>
          <w:szCs w:val="21"/>
          <w:highlight w:val="none"/>
        </w:rPr>
        <w:t>、▲供应商提供的中小企业声明函与实际情况不符的，视为供应商提供虚假材料投标的，投标无效。</w:t>
      </w:r>
    </w:p>
    <w:p w14:paraId="491FBE5A">
      <w:pPr>
        <w:pStyle w:val="52"/>
        <w:wordWrap w:val="0"/>
        <w:rPr>
          <w:rFonts w:ascii="宋体" w:cs="宋体"/>
          <w:b/>
          <w:color w:val="auto"/>
          <w:szCs w:val="21"/>
          <w:highlight w:val="none"/>
        </w:rPr>
      </w:pPr>
    </w:p>
    <w:p w14:paraId="63CD1691">
      <w:pPr>
        <w:pStyle w:val="8"/>
        <w:wordWrap w:val="0"/>
        <w:rPr>
          <w:rFonts w:ascii="宋体" w:cs="宋体"/>
          <w:b/>
          <w:bCs/>
          <w:color w:val="auto"/>
          <w:kern w:val="0"/>
          <w:szCs w:val="21"/>
          <w:highlight w:val="none"/>
        </w:rPr>
      </w:pPr>
    </w:p>
    <w:p w14:paraId="28A4D9C9">
      <w:pPr>
        <w:rPr>
          <w:color w:val="auto"/>
          <w:highlight w:val="none"/>
        </w:rPr>
      </w:pPr>
    </w:p>
    <w:p w14:paraId="21DEA987">
      <w:pPr>
        <w:pStyle w:val="8"/>
        <w:wordWrap w:val="0"/>
        <w:spacing w:after="0" w:line="400" w:lineRule="exact"/>
        <w:rPr>
          <w:rFonts w:ascii="宋体" w:hAnsi="宋体" w:cs="宋体"/>
          <w:color w:val="auto"/>
          <w:kern w:val="0"/>
          <w:sz w:val="21"/>
          <w:szCs w:val="21"/>
          <w:highlight w:val="none"/>
        </w:rPr>
      </w:pPr>
    </w:p>
    <w:p w14:paraId="033AEB92">
      <w:pPr>
        <w:pStyle w:val="8"/>
        <w:wordWrap w:val="0"/>
        <w:spacing w:after="0" w:line="400" w:lineRule="exact"/>
        <w:rPr>
          <w:rFonts w:ascii="宋体" w:cs="宋体"/>
          <w:color w:val="auto"/>
          <w:kern w:val="0"/>
          <w:sz w:val="21"/>
          <w:szCs w:val="21"/>
          <w:highlight w:val="none"/>
        </w:rPr>
      </w:pPr>
      <w:r>
        <w:rPr>
          <w:rFonts w:hint="eastAsia" w:ascii="宋体" w:hAnsi="宋体" w:cs="宋体"/>
          <w:color w:val="auto"/>
          <w:kern w:val="0"/>
          <w:sz w:val="21"/>
          <w:szCs w:val="21"/>
          <w:highlight w:val="none"/>
        </w:rPr>
        <w:t>说明：</w:t>
      </w:r>
      <w:r>
        <w:rPr>
          <w:rFonts w:ascii="宋体" w:hAnsi="宋体" w:cs="宋体"/>
          <w:color w:val="auto"/>
          <w:kern w:val="0"/>
          <w:sz w:val="21"/>
          <w:szCs w:val="21"/>
          <w:highlight w:val="none"/>
        </w:rPr>
        <w:t>1</w:t>
      </w:r>
      <w:r>
        <w:rPr>
          <w:rFonts w:hint="eastAsia" w:ascii="宋体" w:hAnsi="宋体" w:cs="宋体"/>
          <w:color w:val="auto"/>
          <w:kern w:val="0"/>
          <w:sz w:val="21"/>
          <w:szCs w:val="21"/>
          <w:highlight w:val="none"/>
        </w:rPr>
        <w:t>、《关于印发中小企业划型标准规定的通知》（工信部联企业〔</w:t>
      </w:r>
      <w:r>
        <w:rPr>
          <w:rFonts w:ascii="宋体" w:hAnsi="宋体" w:cs="宋体"/>
          <w:color w:val="auto"/>
          <w:kern w:val="0"/>
          <w:sz w:val="21"/>
          <w:szCs w:val="21"/>
          <w:highlight w:val="none"/>
        </w:rPr>
        <w:t>2011</w:t>
      </w:r>
      <w:r>
        <w:rPr>
          <w:rFonts w:hint="eastAsia" w:ascii="宋体" w:hAnsi="宋体" w:cs="宋体"/>
          <w:color w:val="auto"/>
          <w:kern w:val="0"/>
          <w:sz w:val="21"/>
          <w:szCs w:val="21"/>
          <w:highlight w:val="none"/>
        </w:rPr>
        <w:t>〕</w:t>
      </w:r>
      <w:r>
        <w:rPr>
          <w:rFonts w:ascii="宋体" w:hAnsi="宋体" w:cs="宋体"/>
          <w:color w:val="auto"/>
          <w:kern w:val="0"/>
          <w:sz w:val="21"/>
          <w:szCs w:val="21"/>
          <w:highlight w:val="none"/>
        </w:rPr>
        <w:t>300</w:t>
      </w:r>
      <w:r>
        <w:rPr>
          <w:rFonts w:hint="eastAsia" w:ascii="宋体" w:hAnsi="宋体" w:cs="宋体"/>
          <w:color w:val="auto"/>
          <w:kern w:val="0"/>
          <w:sz w:val="21"/>
          <w:szCs w:val="21"/>
          <w:highlight w:val="none"/>
        </w:rPr>
        <w:t>号），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F4F3164">
      <w:pPr>
        <w:pStyle w:val="8"/>
        <w:wordWrap w:val="0"/>
        <w:spacing w:after="0" w:line="400" w:lineRule="exact"/>
        <w:ind w:firstLine="420" w:firstLineChars="200"/>
        <w:rPr>
          <w:rFonts w:ascii="宋体" w:cs="宋体"/>
          <w:color w:val="auto"/>
          <w:kern w:val="0"/>
          <w:sz w:val="21"/>
          <w:szCs w:val="21"/>
          <w:highlight w:val="none"/>
        </w:rPr>
      </w:pP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、中小企业划分为中型、小型、微型三种类型，具体标准根据企业从业人员、营业收入、资产总额等指标，结合行业特点制定。各行业划型标准为：</w:t>
      </w:r>
    </w:p>
    <w:p w14:paraId="6CFE73EF">
      <w:pPr>
        <w:pStyle w:val="8"/>
        <w:wordWrap w:val="0"/>
        <w:spacing w:after="0" w:line="400" w:lineRule="exact"/>
        <w:ind w:firstLine="422" w:firstLineChars="200"/>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（一）农、林、牧、渔业</w:t>
      </w:r>
    </w:p>
    <w:p w14:paraId="597553D7">
      <w:pPr>
        <w:pStyle w:val="8"/>
        <w:wordWrap w:val="0"/>
        <w:spacing w:after="0" w:line="400" w:lineRule="exact"/>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营业收入</w:t>
      </w:r>
      <w:r>
        <w:rPr>
          <w:rFonts w:ascii="宋体" w:hAnsi="宋体" w:cs="宋体"/>
          <w:color w:val="auto"/>
          <w:kern w:val="0"/>
          <w:sz w:val="21"/>
          <w:szCs w:val="21"/>
          <w:highlight w:val="none"/>
        </w:rPr>
        <w:t>20000</w:t>
      </w:r>
      <w:r>
        <w:rPr>
          <w:rFonts w:hint="eastAsia" w:ascii="宋体" w:hAnsi="宋体" w:cs="宋体"/>
          <w:color w:val="auto"/>
          <w:kern w:val="0"/>
          <w:sz w:val="21"/>
          <w:szCs w:val="21"/>
          <w:highlight w:val="none"/>
        </w:rPr>
        <w:t>万元以下的为中小微型企业。其中，营业收入</w:t>
      </w:r>
      <w:r>
        <w:rPr>
          <w:rFonts w:ascii="宋体" w:hAnsi="宋体" w:cs="宋体"/>
          <w:color w:val="auto"/>
          <w:kern w:val="0"/>
          <w:sz w:val="21"/>
          <w:szCs w:val="21"/>
          <w:highlight w:val="none"/>
        </w:rPr>
        <w:t>500</w:t>
      </w:r>
      <w:r>
        <w:rPr>
          <w:rFonts w:hint="eastAsia" w:ascii="宋体" w:hAnsi="宋体" w:cs="宋体"/>
          <w:color w:val="auto"/>
          <w:kern w:val="0"/>
          <w:sz w:val="21"/>
          <w:szCs w:val="21"/>
          <w:highlight w:val="none"/>
        </w:rPr>
        <w:t>万元及以上的为中型企业，营业收入</w:t>
      </w:r>
      <w:r>
        <w:rPr>
          <w:rFonts w:ascii="宋体" w:hAnsi="宋体" w:cs="宋体"/>
          <w:color w:val="auto"/>
          <w:kern w:val="0"/>
          <w:sz w:val="21"/>
          <w:szCs w:val="21"/>
          <w:highlight w:val="none"/>
        </w:rPr>
        <w:t>50</w:t>
      </w:r>
      <w:r>
        <w:rPr>
          <w:rFonts w:hint="eastAsia" w:ascii="宋体" w:hAnsi="宋体" w:cs="宋体"/>
          <w:color w:val="auto"/>
          <w:kern w:val="0"/>
          <w:sz w:val="21"/>
          <w:szCs w:val="21"/>
          <w:highlight w:val="none"/>
        </w:rPr>
        <w:t>万元及以上的为小型企业，营业收入</w:t>
      </w:r>
      <w:r>
        <w:rPr>
          <w:rFonts w:ascii="宋体" w:hAnsi="宋体" w:cs="宋体"/>
          <w:color w:val="auto"/>
          <w:kern w:val="0"/>
          <w:sz w:val="21"/>
          <w:szCs w:val="21"/>
          <w:highlight w:val="none"/>
        </w:rPr>
        <w:t>50</w:t>
      </w:r>
      <w:r>
        <w:rPr>
          <w:rFonts w:hint="eastAsia" w:ascii="宋体" w:hAnsi="宋体" w:cs="宋体"/>
          <w:color w:val="auto"/>
          <w:kern w:val="0"/>
          <w:sz w:val="21"/>
          <w:szCs w:val="21"/>
          <w:highlight w:val="none"/>
        </w:rPr>
        <w:t>万元以下的为微型企业。</w:t>
      </w:r>
    </w:p>
    <w:p w14:paraId="66F6547B">
      <w:pPr>
        <w:pStyle w:val="8"/>
        <w:wordWrap w:val="0"/>
        <w:spacing w:after="0" w:line="400" w:lineRule="exact"/>
        <w:ind w:firstLine="422" w:firstLineChars="200"/>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（二）工业</w:t>
      </w:r>
    </w:p>
    <w:p w14:paraId="06DF4F16">
      <w:pPr>
        <w:pStyle w:val="8"/>
        <w:wordWrap w:val="0"/>
        <w:spacing w:after="0" w:line="400" w:lineRule="exact"/>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从业人员</w:t>
      </w:r>
      <w:r>
        <w:rPr>
          <w:rFonts w:ascii="宋体" w:hAnsi="宋体" w:cs="宋体"/>
          <w:color w:val="auto"/>
          <w:kern w:val="0"/>
          <w:sz w:val="21"/>
          <w:szCs w:val="21"/>
          <w:highlight w:val="none"/>
        </w:rPr>
        <w:t>1000</w:t>
      </w:r>
      <w:r>
        <w:rPr>
          <w:rFonts w:hint="eastAsia" w:ascii="宋体" w:hAnsi="宋体" w:cs="宋体"/>
          <w:color w:val="auto"/>
          <w:kern w:val="0"/>
          <w:sz w:val="21"/>
          <w:szCs w:val="21"/>
          <w:highlight w:val="none"/>
        </w:rPr>
        <w:t>人以下或营业收入</w:t>
      </w:r>
      <w:r>
        <w:rPr>
          <w:rFonts w:ascii="宋体" w:hAnsi="宋体" w:cs="宋体"/>
          <w:color w:val="auto"/>
          <w:kern w:val="0"/>
          <w:sz w:val="21"/>
          <w:szCs w:val="21"/>
          <w:highlight w:val="none"/>
        </w:rPr>
        <w:t>40000</w:t>
      </w:r>
      <w:r>
        <w:rPr>
          <w:rFonts w:hint="eastAsia" w:ascii="宋体" w:hAnsi="宋体" w:cs="宋体"/>
          <w:color w:val="auto"/>
          <w:kern w:val="0"/>
          <w:sz w:val="21"/>
          <w:szCs w:val="21"/>
          <w:highlight w:val="none"/>
        </w:rPr>
        <w:t>万元以下的为中小微型企业。其中，从业人员</w:t>
      </w:r>
      <w:r>
        <w:rPr>
          <w:rFonts w:ascii="宋体" w:hAnsi="宋体" w:cs="宋体"/>
          <w:color w:val="auto"/>
          <w:kern w:val="0"/>
          <w:sz w:val="21"/>
          <w:szCs w:val="21"/>
          <w:highlight w:val="none"/>
        </w:rPr>
        <w:t>300</w:t>
      </w:r>
      <w:r>
        <w:rPr>
          <w:rFonts w:hint="eastAsia" w:ascii="宋体" w:hAnsi="宋体" w:cs="宋体"/>
          <w:color w:val="auto"/>
          <w:kern w:val="0"/>
          <w:sz w:val="21"/>
          <w:szCs w:val="21"/>
          <w:highlight w:val="none"/>
        </w:rPr>
        <w:t>人及以上，且营业收入</w:t>
      </w:r>
      <w:r>
        <w:rPr>
          <w:rFonts w:ascii="宋体" w:hAnsi="宋体" w:cs="宋体"/>
          <w:color w:val="auto"/>
          <w:kern w:val="0"/>
          <w:sz w:val="21"/>
          <w:szCs w:val="21"/>
          <w:highlight w:val="none"/>
        </w:rPr>
        <w:t>2000</w:t>
      </w:r>
      <w:r>
        <w:rPr>
          <w:rFonts w:hint="eastAsia" w:ascii="宋体" w:hAnsi="宋体" w:cs="宋体"/>
          <w:color w:val="auto"/>
          <w:kern w:val="0"/>
          <w:sz w:val="21"/>
          <w:szCs w:val="21"/>
          <w:highlight w:val="none"/>
        </w:rPr>
        <w:t>万元及以上的为中型企业；从业人员</w:t>
      </w:r>
      <w:r>
        <w:rPr>
          <w:rFonts w:ascii="宋体" w:hAnsi="宋体" w:cs="宋体"/>
          <w:color w:val="auto"/>
          <w:kern w:val="0"/>
          <w:sz w:val="21"/>
          <w:szCs w:val="21"/>
          <w:highlight w:val="none"/>
        </w:rPr>
        <w:t>20</w:t>
      </w:r>
      <w:r>
        <w:rPr>
          <w:rFonts w:hint="eastAsia" w:ascii="宋体" w:hAnsi="宋体" w:cs="宋体"/>
          <w:color w:val="auto"/>
          <w:kern w:val="0"/>
          <w:sz w:val="21"/>
          <w:szCs w:val="21"/>
          <w:highlight w:val="none"/>
        </w:rPr>
        <w:t>人及以上，且营业收入</w:t>
      </w:r>
      <w:r>
        <w:rPr>
          <w:rFonts w:ascii="宋体" w:hAnsi="宋体" w:cs="宋体"/>
          <w:color w:val="auto"/>
          <w:kern w:val="0"/>
          <w:sz w:val="21"/>
          <w:szCs w:val="21"/>
          <w:highlight w:val="none"/>
        </w:rPr>
        <w:t>300</w:t>
      </w:r>
      <w:r>
        <w:rPr>
          <w:rFonts w:hint="eastAsia" w:ascii="宋体" w:hAnsi="宋体" w:cs="宋体"/>
          <w:color w:val="auto"/>
          <w:kern w:val="0"/>
          <w:sz w:val="21"/>
          <w:szCs w:val="21"/>
          <w:highlight w:val="none"/>
        </w:rPr>
        <w:t>万元及以上的为小型企业；从业人员</w:t>
      </w:r>
      <w:r>
        <w:rPr>
          <w:rFonts w:ascii="宋体" w:hAnsi="宋体" w:cs="宋体"/>
          <w:color w:val="auto"/>
          <w:kern w:val="0"/>
          <w:sz w:val="21"/>
          <w:szCs w:val="21"/>
          <w:highlight w:val="none"/>
        </w:rPr>
        <w:t>20</w:t>
      </w:r>
      <w:r>
        <w:rPr>
          <w:rFonts w:hint="eastAsia" w:ascii="宋体" w:hAnsi="宋体" w:cs="宋体"/>
          <w:color w:val="auto"/>
          <w:kern w:val="0"/>
          <w:sz w:val="21"/>
          <w:szCs w:val="21"/>
          <w:highlight w:val="none"/>
        </w:rPr>
        <w:t>人以下或营业收入</w:t>
      </w:r>
      <w:r>
        <w:rPr>
          <w:rFonts w:ascii="宋体" w:hAnsi="宋体" w:cs="宋体"/>
          <w:color w:val="auto"/>
          <w:kern w:val="0"/>
          <w:sz w:val="21"/>
          <w:szCs w:val="21"/>
          <w:highlight w:val="none"/>
        </w:rPr>
        <w:t>300</w:t>
      </w:r>
      <w:r>
        <w:rPr>
          <w:rFonts w:hint="eastAsia" w:ascii="宋体" w:hAnsi="宋体" w:cs="宋体"/>
          <w:color w:val="auto"/>
          <w:kern w:val="0"/>
          <w:sz w:val="21"/>
          <w:szCs w:val="21"/>
          <w:highlight w:val="none"/>
        </w:rPr>
        <w:t>万元以下的为微型企业。</w:t>
      </w:r>
    </w:p>
    <w:p w14:paraId="73475DF0">
      <w:pPr>
        <w:pStyle w:val="8"/>
        <w:wordWrap w:val="0"/>
        <w:spacing w:after="0" w:line="400" w:lineRule="exact"/>
        <w:ind w:firstLine="422" w:firstLineChars="200"/>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（三）建筑业</w:t>
      </w:r>
    </w:p>
    <w:p w14:paraId="41F26912">
      <w:pPr>
        <w:pStyle w:val="8"/>
        <w:wordWrap w:val="0"/>
        <w:spacing w:after="0" w:line="400" w:lineRule="exact"/>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营业收入</w:t>
      </w:r>
      <w:r>
        <w:rPr>
          <w:rFonts w:ascii="宋体" w:hAnsi="宋体" w:cs="宋体"/>
          <w:color w:val="auto"/>
          <w:kern w:val="0"/>
          <w:sz w:val="21"/>
          <w:szCs w:val="21"/>
          <w:highlight w:val="none"/>
        </w:rPr>
        <w:t>80000</w:t>
      </w:r>
      <w:r>
        <w:rPr>
          <w:rFonts w:hint="eastAsia" w:ascii="宋体" w:hAnsi="宋体" w:cs="宋体"/>
          <w:color w:val="auto"/>
          <w:kern w:val="0"/>
          <w:sz w:val="21"/>
          <w:szCs w:val="21"/>
          <w:highlight w:val="none"/>
        </w:rPr>
        <w:t>万元以下或资产总额</w:t>
      </w:r>
      <w:r>
        <w:rPr>
          <w:rFonts w:ascii="宋体" w:hAnsi="宋体" w:cs="宋体"/>
          <w:color w:val="auto"/>
          <w:kern w:val="0"/>
          <w:sz w:val="21"/>
          <w:szCs w:val="21"/>
          <w:highlight w:val="none"/>
        </w:rPr>
        <w:t>80000</w:t>
      </w:r>
      <w:r>
        <w:rPr>
          <w:rFonts w:hint="eastAsia" w:ascii="宋体" w:hAnsi="宋体" w:cs="宋体"/>
          <w:color w:val="auto"/>
          <w:kern w:val="0"/>
          <w:sz w:val="21"/>
          <w:szCs w:val="21"/>
          <w:highlight w:val="none"/>
        </w:rPr>
        <w:t>万元以下的为中小微型企业。其中，营业收入</w:t>
      </w:r>
      <w:r>
        <w:rPr>
          <w:rFonts w:ascii="宋体" w:hAnsi="宋体" w:cs="宋体"/>
          <w:color w:val="auto"/>
          <w:kern w:val="0"/>
          <w:sz w:val="21"/>
          <w:szCs w:val="21"/>
          <w:highlight w:val="none"/>
        </w:rPr>
        <w:t>6000</w:t>
      </w:r>
      <w:r>
        <w:rPr>
          <w:rFonts w:hint="eastAsia" w:ascii="宋体" w:hAnsi="宋体" w:cs="宋体"/>
          <w:color w:val="auto"/>
          <w:kern w:val="0"/>
          <w:sz w:val="21"/>
          <w:szCs w:val="21"/>
          <w:highlight w:val="none"/>
        </w:rPr>
        <w:t>万元及以上，且资产总额</w:t>
      </w:r>
      <w:r>
        <w:rPr>
          <w:rFonts w:ascii="宋体" w:hAnsi="宋体" w:cs="宋体"/>
          <w:color w:val="auto"/>
          <w:kern w:val="0"/>
          <w:sz w:val="21"/>
          <w:szCs w:val="21"/>
          <w:highlight w:val="none"/>
        </w:rPr>
        <w:t>5000</w:t>
      </w:r>
      <w:r>
        <w:rPr>
          <w:rFonts w:hint="eastAsia" w:ascii="宋体" w:hAnsi="宋体" w:cs="宋体"/>
          <w:color w:val="auto"/>
          <w:kern w:val="0"/>
          <w:sz w:val="21"/>
          <w:szCs w:val="21"/>
          <w:highlight w:val="none"/>
        </w:rPr>
        <w:t>万元及以上的为中型企业；营业收入</w:t>
      </w:r>
      <w:r>
        <w:rPr>
          <w:rFonts w:ascii="宋体" w:hAnsi="宋体" w:cs="宋体"/>
          <w:color w:val="auto"/>
          <w:kern w:val="0"/>
          <w:sz w:val="21"/>
          <w:szCs w:val="21"/>
          <w:highlight w:val="none"/>
        </w:rPr>
        <w:t>300</w:t>
      </w:r>
      <w:r>
        <w:rPr>
          <w:rFonts w:hint="eastAsia" w:ascii="宋体" w:hAnsi="宋体" w:cs="宋体"/>
          <w:color w:val="auto"/>
          <w:kern w:val="0"/>
          <w:sz w:val="21"/>
          <w:szCs w:val="21"/>
          <w:highlight w:val="none"/>
        </w:rPr>
        <w:t>万元及以上，且资产总额</w:t>
      </w:r>
      <w:r>
        <w:rPr>
          <w:rFonts w:ascii="宋体" w:hAnsi="宋体" w:cs="宋体"/>
          <w:color w:val="auto"/>
          <w:kern w:val="0"/>
          <w:sz w:val="21"/>
          <w:szCs w:val="21"/>
          <w:highlight w:val="none"/>
        </w:rPr>
        <w:t>300</w:t>
      </w:r>
      <w:r>
        <w:rPr>
          <w:rFonts w:hint="eastAsia" w:ascii="宋体" w:hAnsi="宋体" w:cs="宋体"/>
          <w:color w:val="auto"/>
          <w:kern w:val="0"/>
          <w:sz w:val="21"/>
          <w:szCs w:val="21"/>
          <w:highlight w:val="none"/>
        </w:rPr>
        <w:t>万元及以上的为小型企业；营业收入</w:t>
      </w:r>
      <w:r>
        <w:rPr>
          <w:rFonts w:ascii="宋体" w:hAnsi="宋体" w:cs="宋体"/>
          <w:color w:val="auto"/>
          <w:kern w:val="0"/>
          <w:sz w:val="21"/>
          <w:szCs w:val="21"/>
          <w:highlight w:val="none"/>
        </w:rPr>
        <w:t>300</w:t>
      </w:r>
      <w:r>
        <w:rPr>
          <w:rFonts w:hint="eastAsia" w:ascii="宋体" w:hAnsi="宋体" w:cs="宋体"/>
          <w:color w:val="auto"/>
          <w:kern w:val="0"/>
          <w:sz w:val="21"/>
          <w:szCs w:val="21"/>
          <w:highlight w:val="none"/>
        </w:rPr>
        <w:t>万元以下或资产总额</w:t>
      </w:r>
      <w:r>
        <w:rPr>
          <w:rFonts w:ascii="宋体" w:hAnsi="宋体" w:cs="宋体"/>
          <w:color w:val="auto"/>
          <w:kern w:val="0"/>
          <w:sz w:val="21"/>
          <w:szCs w:val="21"/>
          <w:highlight w:val="none"/>
        </w:rPr>
        <w:t>300</w:t>
      </w:r>
      <w:r>
        <w:rPr>
          <w:rFonts w:hint="eastAsia" w:ascii="宋体" w:hAnsi="宋体" w:cs="宋体"/>
          <w:color w:val="auto"/>
          <w:kern w:val="0"/>
          <w:sz w:val="21"/>
          <w:szCs w:val="21"/>
          <w:highlight w:val="none"/>
        </w:rPr>
        <w:t>万元以下的为微型企业。</w:t>
      </w:r>
    </w:p>
    <w:p w14:paraId="2C3C26F8">
      <w:pPr>
        <w:pStyle w:val="8"/>
        <w:wordWrap w:val="0"/>
        <w:spacing w:after="0" w:line="400" w:lineRule="exact"/>
        <w:ind w:firstLine="422" w:firstLineChars="200"/>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（四）批发业</w:t>
      </w:r>
    </w:p>
    <w:p w14:paraId="5D243D9E">
      <w:pPr>
        <w:pStyle w:val="8"/>
        <w:wordWrap w:val="0"/>
        <w:spacing w:after="0" w:line="400" w:lineRule="exact"/>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从业人员</w:t>
      </w:r>
      <w:r>
        <w:rPr>
          <w:rFonts w:ascii="宋体" w:hAnsi="宋体" w:cs="宋体"/>
          <w:color w:val="auto"/>
          <w:kern w:val="0"/>
          <w:sz w:val="21"/>
          <w:szCs w:val="21"/>
          <w:highlight w:val="none"/>
        </w:rPr>
        <w:t>200</w:t>
      </w:r>
      <w:r>
        <w:rPr>
          <w:rFonts w:hint="eastAsia" w:ascii="宋体" w:hAnsi="宋体" w:cs="宋体"/>
          <w:color w:val="auto"/>
          <w:kern w:val="0"/>
          <w:sz w:val="21"/>
          <w:szCs w:val="21"/>
          <w:highlight w:val="none"/>
        </w:rPr>
        <w:t>人以下或营业收入</w:t>
      </w:r>
      <w:r>
        <w:rPr>
          <w:rFonts w:ascii="宋体" w:hAnsi="宋体" w:cs="宋体"/>
          <w:color w:val="auto"/>
          <w:kern w:val="0"/>
          <w:sz w:val="21"/>
          <w:szCs w:val="21"/>
          <w:highlight w:val="none"/>
        </w:rPr>
        <w:t>40000</w:t>
      </w:r>
      <w:r>
        <w:rPr>
          <w:rFonts w:hint="eastAsia" w:ascii="宋体" w:hAnsi="宋体" w:cs="宋体"/>
          <w:color w:val="auto"/>
          <w:kern w:val="0"/>
          <w:sz w:val="21"/>
          <w:szCs w:val="21"/>
          <w:highlight w:val="none"/>
        </w:rPr>
        <w:t>万元以下的为中小微型企业。其中，从业人员</w:t>
      </w:r>
      <w:r>
        <w:rPr>
          <w:rFonts w:ascii="宋体" w:hAnsi="宋体" w:cs="宋体"/>
          <w:color w:val="auto"/>
          <w:kern w:val="0"/>
          <w:sz w:val="21"/>
          <w:szCs w:val="21"/>
          <w:highlight w:val="none"/>
        </w:rPr>
        <w:t>20</w:t>
      </w:r>
      <w:r>
        <w:rPr>
          <w:rFonts w:hint="eastAsia" w:ascii="宋体" w:hAnsi="宋体" w:cs="宋体"/>
          <w:color w:val="auto"/>
          <w:kern w:val="0"/>
          <w:sz w:val="21"/>
          <w:szCs w:val="21"/>
          <w:highlight w:val="none"/>
        </w:rPr>
        <w:t>人及以上，且营业收入</w:t>
      </w:r>
      <w:r>
        <w:rPr>
          <w:rFonts w:ascii="宋体" w:hAnsi="宋体" w:cs="宋体"/>
          <w:color w:val="auto"/>
          <w:kern w:val="0"/>
          <w:sz w:val="21"/>
          <w:szCs w:val="21"/>
          <w:highlight w:val="none"/>
        </w:rPr>
        <w:t>5000</w:t>
      </w:r>
      <w:r>
        <w:rPr>
          <w:rFonts w:hint="eastAsia" w:ascii="宋体" w:hAnsi="宋体" w:cs="宋体"/>
          <w:color w:val="auto"/>
          <w:kern w:val="0"/>
          <w:sz w:val="21"/>
          <w:szCs w:val="21"/>
          <w:highlight w:val="none"/>
        </w:rPr>
        <w:t>万元及以上的为中型企业；从业人员</w:t>
      </w:r>
      <w:r>
        <w:rPr>
          <w:rFonts w:ascii="宋体" w:hAnsi="宋体" w:cs="宋体"/>
          <w:color w:val="auto"/>
          <w:kern w:val="0"/>
          <w:sz w:val="21"/>
          <w:szCs w:val="21"/>
          <w:highlight w:val="none"/>
        </w:rPr>
        <w:t>5</w:t>
      </w:r>
      <w:r>
        <w:rPr>
          <w:rFonts w:hint="eastAsia" w:ascii="宋体" w:hAnsi="宋体" w:cs="宋体"/>
          <w:color w:val="auto"/>
          <w:kern w:val="0"/>
          <w:sz w:val="21"/>
          <w:szCs w:val="21"/>
          <w:highlight w:val="none"/>
        </w:rPr>
        <w:t>人及以上，且营业收入</w:t>
      </w:r>
      <w:r>
        <w:rPr>
          <w:rFonts w:ascii="宋体" w:hAnsi="宋体" w:cs="宋体"/>
          <w:color w:val="auto"/>
          <w:kern w:val="0"/>
          <w:sz w:val="21"/>
          <w:szCs w:val="21"/>
          <w:highlight w:val="none"/>
        </w:rPr>
        <w:t>1000</w:t>
      </w:r>
      <w:r>
        <w:rPr>
          <w:rFonts w:hint="eastAsia" w:ascii="宋体" w:hAnsi="宋体" w:cs="宋体"/>
          <w:color w:val="auto"/>
          <w:kern w:val="0"/>
          <w:sz w:val="21"/>
          <w:szCs w:val="21"/>
          <w:highlight w:val="none"/>
        </w:rPr>
        <w:t>万元及以上的为小型企业；从业人员</w:t>
      </w:r>
      <w:r>
        <w:rPr>
          <w:rFonts w:ascii="宋体" w:hAnsi="宋体" w:cs="宋体"/>
          <w:color w:val="auto"/>
          <w:kern w:val="0"/>
          <w:sz w:val="21"/>
          <w:szCs w:val="21"/>
          <w:highlight w:val="none"/>
        </w:rPr>
        <w:t>5</w:t>
      </w:r>
      <w:r>
        <w:rPr>
          <w:rFonts w:hint="eastAsia" w:ascii="宋体" w:hAnsi="宋体" w:cs="宋体"/>
          <w:color w:val="auto"/>
          <w:kern w:val="0"/>
          <w:sz w:val="21"/>
          <w:szCs w:val="21"/>
          <w:highlight w:val="none"/>
        </w:rPr>
        <w:t>人以下或营业收入</w:t>
      </w:r>
      <w:r>
        <w:rPr>
          <w:rFonts w:ascii="宋体" w:hAnsi="宋体" w:cs="宋体"/>
          <w:color w:val="auto"/>
          <w:kern w:val="0"/>
          <w:sz w:val="21"/>
          <w:szCs w:val="21"/>
          <w:highlight w:val="none"/>
        </w:rPr>
        <w:t>1000</w:t>
      </w:r>
      <w:r>
        <w:rPr>
          <w:rFonts w:hint="eastAsia" w:ascii="宋体" w:hAnsi="宋体" w:cs="宋体"/>
          <w:color w:val="auto"/>
          <w:kern w:val="0"/>
          <w:sz w:val="21"/>
          <w:szCs w:val="21"/>
          <w:highlight w:val="none"/>
        </w:rPr>
        <w:t>万元以下的为微型企业。</w:t>
      </w:r>
    </w:p>
    <w:p w14:paraId="4CAA22F4">
      <w:pPr>
        <w:pStyle w:val="8"/>
        <w:wordWrap w:val="0"/>
        <w:spacing w:after="0" w:line="400" w:lineRule="exact"/>
        <w:ind w:firstLine="422" w:firstLineChars="200"/>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（五）零售业</w:t>
      </w:r>
    </w:p>
    <w:p w14:paraId="53AFBB65">
      <w:pPr>
        <w:pStyle w:val="8"/>
        <w:wordWrap w:val="0"/>
        <w:spacing w:after="0" w:line="400" w:lineRule="exact"/>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从业人员</w:t>
      </w:r>
      <w:r>
        <w:rPr>
          <w:rFonts w:ascii="宋体" w:hAnsi="宋体" w:cs="宋体"/>
          <w:color w:val="auto"/>
          <w:kern w:val="0"/>
          <w:sz w:val="21"/>
          <w:szCs w:val="21"/>
          <w:highlight w:val="none"/>
        </w:rPr>
        <w:t>300</w:t>
      </w:r>
      <w:r>
        <w:rPr>
          <w:rFonts w:hint="eastAsia" w:ascii="宋体" w:hAnsi="宋体" w:cs="宋体"/>
          <w:color w:val="auto"/>
          <w:kern w:val="0"/>
          <w:sz w:val="21"/>
          <w:szCs w:val="21"/>
          <w:highlight w:val="none"/>
        </w:rPr>
        <w:t>人以下或营业收入</w:t>
      </w:r>
      <w:r>
        <w:rPr>
          <w:rFonts w:ascii="宋体" w:hAnsi="宋体" w:cs="宋体"/>
          <w:color w:val="auto"/>
          <w:kern w:val="0"/>
          <w:sz w:val="21"/>
          <w:szCs w:val="21"/>
          <w:highlight w:val="none"/>
        </w:rPr>
        <w:t>20000</w:t>
      </w:r>
      <w:r>
        <w:rPr>
          <w:rFonts w:hint="eastAsia" w:ascii="宋体" w:hAnsi="宋体" w:cs="宋体"/>
          <w:color w:val="auto"/>
          <w:kern w:val="0"/>
          <w:sz w:val="21"/>
          <w:szCs w:val="21"/>
          <w:highlight w:val="none"/>
        </w:rPr>
        <w:t>万元以下的为中小微型企业。其中，从业人员</w:t>
      </w:r>
      <w:r>
        <w:rPr>
          <w:rFonts w:ascii="宋体" w:hAnsi="宋体" w:cs="宋体"/>
          <w:color w:val="auto"/>
          <w:kern w:val="0"/>
          <w:sz w:val="21"/>
          <w:szCs w:val="21"/>
          <w:highlight w:val="none"/>
        </w:rPr>
        <w:t>50</w:t>
      </w:r>
      <w:r>
        <w:rPr>
          <w:rFonts w:hint="eastAsia" w:ascii="宋体" w:hAnsi="宋体" w:cs="宋体"/>
          <w:color w:val="auto"/>
          <w:kern w:val="0"/>
          <w:sz w:val="21"/>
          <w:szCs w:val="21"/>
          <w:highlight w:val="none"/>
        </w:rPr>
        <w:t>人及以上，且营业收入</w:t>
      </w:r>
      <w:r>
        <w:rPr>
          <w:rFonts w:ascii="宋体" w:hAnsi="宋体" w:cs="宋体"/>
          <w:color w:val="auto"/>
          <w:kern w:val="0"/>
          <w:sz w:val="21"/>
          <w:szCs w:val="21"/>
          <w:highlight w:val="none"/>
        </w:rPr>
        <w:t>500</w:t>
      </w:r>
      <w:r>
        <w:rPr>
          <w:rFonts w:hint="eastAsia" w:ascii="宋体" w:hAnsi="宋体" w:cs="宋体"/>
          <w:color w:val="auto"/>
          <w:kern w:val="0"/>
          <w:sz w:val="21"/>
          <w:szCs w:val="21"/>
          <w:highlight w:val="none"/>
        </w:rPr>
        <w:t>万元及以上的为中型企业；从业人员</w:t>
      </w:r>
      <w:r>
        <w:rPr>
          <w:rFonts w:ascii="宋体" w:hAnsi="宋体" w:cs="宋体"/>
          <w:color w:val="auto"/>
          <w:kern w:val="0"/>
          <w:sz w:val="21"/>
          <w:szCs w:val="21"/>
          <w:highlight w:val="none"/>
        </w:rPr>
        <w:t>10</w:t>
      </w:r>
      <w:r>
        <w:rPr>
          <w:rFonts w:hint="eastAsia" w:ascii="宋体" w:hAnsi="宋体" w:cs="宋体"/>
          <w:color w:val="auto"/>
          <w:kern w:val="0"/>
          <w:sz w:val="21"/>
          <w:szCs w:val="21"/>
          <w:highlight w:val="none"/>
        </w:rPr>
        <w:t>人及以上，且营业收入</w:t>
      </w:r>
      <w:r>
        <w:rPr>
          <w:rFonts w:ascii="宋体" w:hAnsi="宋体" w:cs="宋体"/>
          <w:color w:val="auto"/>
          <w:kern w:val="0"/>
          <w:sz w:val="21"/>
          <w:szCs w:val="21"/>
          <w:highlight w:val="none"/>
        </w:rPr>
        <w:t>100</w:t>
      </w:r>
      <w:r>
        <w:rPr>
          <w:rFonts w:hint="eastAsia" w:ascii="宋体" w:hAnsi="宋体" w:cs="宋体"/>
          <w:color w:val="auto"/>
          <w:kern w:val="0"/>
          <w:sz w:val="21"/>
          <w:szCs w:val="21"/>
          <w:highlight w:val="none"/>
        </w:rPr>
        <w:t>万元及以上的为小型企业；从业人员</w:t>
      </w:r>
      <w:r>
        <w:rPr>
          <w:rFonts w:ascii="宋体" w:hAnsi="宋体" w:cs="宋体"/>
          <w:color w:val="auto"/>
          <w:kern w:val="0"/>
          <w:sz w:val="21"/>
          <w:szCs w:val="21"/>
          <w:highlight w:val="none"/>
        </w:rPr>
        <w:t>10</w:t>
      </w:r>
      <w:r>
        <w:rPr>
          <w:rFonts w:hint="eastAsia" w:ascii="宋体" w:hAnsi="宋体" w:cs="宋体"/>
          <w:color w:val="auto"/>
          <w:kern w:val="0"/>
          <w:sz w:val="21"/>
          <w:szCs w:val="21"/>
          <w:highlight w:val="none"/>
        </w:rPr>
        <w:t>人以下或营业收入</w:t>
      </w:r>
      <w:r>
        <w:rPr>
          <w:rFonts w:ascii="宋体" w:hAnsi="宋体" w:cs="宋体"/>
          <w:color w:val="auto"/>
          <w:kern w:val="0"/>
          <w:sz w:val="21"/>
          <w:szCs w:val="21"/>
          <w:highlight w:val="none"/>
        </w:rPr>
        <w:t>100</w:t>
      </w:r>
      <w:r>
        <w:rPr>
          <w:rFonts w:hint="eastAsia" w:ascii="宋体" w:hAnsi="宋体" w:cs="宋体"/>
          <w:color w:val="auto"/>
          <w:kern w:val="0"/>
          <w:sz w:val="21"/>
          <w:szCs w:val="21"/>
          <w:highlight w:val="none"/>
        </w:rPr>
        <w:t>万元以下的为微型企业。</w:t>
      </w:r>
    </w:p>
    <w:p w14:paraId="220CC021">
      <w:pPr>
        <w:pStyle w:val="8"/>
        <w:wordWrap w:val="0"/>
        <w:spacing w:after="0" w:line="400" w:lineRule="exact"/>
        <w:ind w:firstLine="422" w:firstLineChars="200"/>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（六）交通运输业</w:t>
      </w:r>
    </w:p>
    <w:p w14:paraId="76377559">
      <w:pPr>
        <w:pStyle w:val="8"/>
        <w:wordWrap w:val="0"/>
        <w:spacing w:after="0" w:line="400" w:lineRule="exact"/>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从业人员</w:t>
      </w:r>
      <w:r>
        <w:rPr>
          <w:rFonts w:ascii="宋体" w:hAnsi="宋体" w:cs="宋体"/>
          <w:color w:val="auto"/>
          <w:kern w:val="0"/>
          <w:sz w:val="21"/>
          <w:szCs w:val="21"/>
          <w:highlight w:val="none"/>
        </w:rPr>
        <w:t>1000</w:t>
      </w:r>
      <w:r>
        <w:rPr>
          <w:rFonts w:hint="eastAsia" w:ascii="宋体" w:hAnsi="宋体" w:cs="宋体"/>
          <w:color w:val="auto"/>
          <w:kern w:val="0"/>
          <w:sz w:val="21"/>
          <w:szCs w:val="21"/>
          <w:highlight w:val="none"/>
        </w:rPr>
        <w:t>人以下或营业收入</w:t>
      </w:r>
      <w:r>
        <w:rPr>
          <w:rFonts w:ascii="宋体" w:hAnsi="宋体" w:cs="宋体"/>
          <w:color w:val="auto"/>
          <w:kern w:val="0"/>
          <w:sz w:val="21"/>
          <w:szCs w:val="21"/>
          <w:highlight w:val="none"/>
        </w:rPr>
        <w:t>30000</w:t>
      </w:r>
      <w:r>
        <w:rPr>
          <w:rFonts w:hint="eastAsia" w:ascii="宋体" w:hAnsi="宋体" w:cs="宋体"/>
          <w:color w:val="auto"/>
          <w:kern w:val="0"/>
          <w:sz w:val="21"/>
          <w:szCs w:val="21"/>
          <w:highlight w:val="none"/>
        </w:rPr>
        <w:t>万元以下的为中小微型企业。</w:t>
      </w:r>
    </w:p>
    <w:p w14:paraId="4EBD2D9B">
      <w:pPr>
        <w:pStyle w:val="8"/>
        <w:wordWrap w:val="0"/>
        <w:spacing w:after="0" w:line="400" w:lineRule="exact"/>
        <w:ind w:firstLine="422" w:firstLineChars="200"/>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（七）仓储业</w:t>
      </w:r>
    </w:p>
    <w:p w14:paraId="7BC011C8">
      <w:pPr>
        <w:pStyle w:val="8"/>
        <w:wordWrap w:val="0"/>
        <w:spacing w:after="0" w:line="400" w:lineRule="exact"/>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从业人员</w:t>
      </w:r>
      <w:r>
        <w:rPr>
          <w:rFonts w:ascii="宋体" w:hAnsi="宋体" w:cs="宋体"/>
          <w:color w:val="auto"/>
          <w:kern w:val="0"/>
          <w:sz w:val="21"/>
          <w:szCs w:val="21"/>
          <w:highlight w:val="none"/>
        </w:rPr>
        <w:t>200</w:t>
      </w:r>
      <w:r>
        <w:rPr>
          <w:rFonts w:hint="eastAsia" w:ascii="宋体" w:hAnsi="宋体" w:cs="宋体"/>
          <w:color w:val="auto"/>
          <w:kern w:val="0"/>
          <w:sz w:val="21"/>
          <w:szCs w:val="21"/>
          <w:highlight w:val="none"/>
        </w:rPr>
        <w:t>人以下或营业收入</w:t>
      </w:r>
      <w:r>
        <w:rPr>
          <w:rFonts w:ascii="宋体" w:hAnsi="宋体" w:cs="宋体"/>
          <w:color w:val="auto"/>
          <w:kern w:val="0"/>
          <w:sz w:val="21"/>
          <w:szCs w:val="21"/>
          <w:highlight w:val="none"/>
        </w:rPr>
        <w:t>30000</w:t>
      </w:r>
      <w:r>
        <w:rPr>
          <w:rFonts w:hint="eastAsia" w:ascii="宋体" w:hAnsi="宋体" w:cs="宋体"/>
          <w:color w:val="auto"/>
          <w:kern w:val="0"/>
          <w:sz w:val="21"/>
          <w:szCs w:val="21"/>
          <w:highlight w:val="none"/>
        </w:rPr>
        <w:t>万元以下的为中小微型企业。其中，从业人员</w:t>
      </w:r>
      <w:r>
        <w:rPr>
          <w:rFonts w:ascii="宋体" w:hAnsi="宋体" w:cs="宋体"/>
          <w:color w:val="auto"/>
          <w:kern w:val="0"/>
          <w:sz w:val="21"/>
          <w:szCs w:val="21"/>
          <w:highlight w:val="none"/>
        </w:rPr>
        <w:t>100</w:t>
      </w:r>
      <w:r>
        <w:rPr>
          <w:rFonts w:hint="eastAsia" w:ascii="宋体" w:hAnsi="宋体" w:cs="宋体"/>
          <w:color w:val="auto"/>
          <w:kern w:val="0"/>
          <w:sz w:val="21"/>
          <w:szCs w:val="21"/>
          <w:highlight w:val="none"/>
        </w:rPr>
        <w:t>人及以上，且营业收入</w:t>
      </w:r>
      <w:r>
        <w:rPr>
          <w:rFonts w:ascii="宋体" w:hAnsi="宋体" w:cs="宋体"/>
          <w:color w:val="auto"/>
          <w:kern w:val="0"/>
          <w:sz w:val="21"/>
          <w:szCs w:val="21"/>
          <w:highlight w:val="none"/>
        </w:rPr>
        <w:t>1000</w:t>
      </w:r>
      <w:r>
        <w:rPr>
          <w:rFonts w:hint="eastAsia" w:ascii="宋体" w:hAnsi="宋体" w:cs="宋体"/>
          <w:color w:val="auto"/>
          <w:kern w:val="0"/>
          <w:sz w:val="21"/>
          <w:szCs w:val="21"/>
          <w:highlight w:val="none"/>
        </w:rPr>
        <w:t>万元及以上的为中型企业；从业人员</w:t>
      </w:r>
      <w:r>
        <w:rPr>
          <w:rFonts w:ascii="宋体" w:hAnsi="宋体" w:cs="宋体"/>
          <w:color w:val="auto"/>
          <w:kern w:val="0"/>
          <w:sz w:val="21"/>
          <w:szCs w:val="21"/>
          <w:highlight w:val="none"/>
        </w:rPr>
        <w:t>20</w:t>
      </w:r>
      <w:r>
        <w:rPr>
          <w:rFonts w:hint="eastAsia" w:ascii="宋体" w:hAnsi="宋体" w:cs="宋体"/>
          <w:color w:val="auto"/>
          <w:kern w:val="0"/>
          <w:sz w:val="21"/>
          <w:szCs w:val="21"/>
          <w:highlight w:val="none"/>
        </w:rPr>
        <w:t>人及以上，且营业收入</w:t>
      </w:r>
      <w:r>
        <w:rPr>
          <w:rFonts w:ascii="宋体" w:hAnsi="宋体" w:cs="宋体"/>
          <w:color w:val="auto"/>
          <w:kern w:val="0"/>
          <w:sz w:val="21"/>
          <w:szCs w:val="21"/>
          <w:highlight w:val="none"/>
        </w:rPr>
        <w:t>100</w:t>
      </w:r>
      <w:r>
        <w:rPr>
          <w:rFonts w:hint="eastAsia" w:ascii="宋体" w:hAnsi="宋体" w:cs="宋体"/>
          <w:color w:val="auto"/>
          <w:kern w:val="0"/>
          <w:sz w:val="21"/>
          <w:szCs w:val="21"/>
          <w:highlight w:val="none"/>
        </w:rPr>
        <w:t>万元及以上的为小型企业；从业人员</w:t>
      </w:r>
      <w:r>
        <w:rPr>
          <w:rFonts w:ascii="宋体" w:hAnsi="宋体" w:cs="宋体"/>
          <w:color w:val="auto"/>
          <w:kern w:val="0"/>
          <w:sz w:val="21"/>
          <w:szCs w:val="21"/>
          <w:highlight w:val="none"/>
        </w:rPr>
        <w:t>20</w:t>
      </w:r>
      <w:r>
        <w:rPr>
          <w:rFonts w:hint="eastAsia" w:ascii="宋体" w:hAnsi="宋体" w:cs="宋体"/>
          <w:color w:val="auto"/>
          <w:kern w:val="0"/>
          <w:sz w:val="21"/>
          <w:szCs w:val="21"/>
          <w:highlight w:val="none"/>
        </w:rPr>
        <w:t>人以下或营业收入</w:t>
      </w:r>
      <w:r>
        <w:rPr>
          <w:rFonts w:ascii="宋体" w:hAnsi="宋体" w:cs="宋体"/>
          <w:color w:val="auto"/>
          <w:kern w:val="0"/>
          <w:sz w:val="21"/>
          <w:szCs w:val="21"/>
          <w:highlight w:val="none"/>
        </w:rPr>
        <w:t>100</w:t>
      </w:r>
      <w:r>
        <w:rPr>
          <w:rFonts w:hint="eastAsia" w:ascii="宋体" w:hAnsi="宋体" w:cs="宋体"/>
          <w:color w:val="auto"/>
          <w:kern w:val="0"/>
          <w:sz w:val="21"/>
          <w:szCs w:val="21"/>
          <w:highlight w:val="none"/>
        </w:rPr>
        <w:t>万元以下的为微型企业。</w:t>
      </w:r>
    </w:p>
    <w:p w14:paraId="1A2FF73C">
      <w:pPr>
        <w:pStyle w:val="8"/>
        <w:wordWrap w:val="0"/>
        <w:spacing w:after="0" w:line="400" w:lineRule="exact"/>
        <w:ind w:firstLine="422" w:firstLineChars="200"/>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（八）邮政业</w:t>
      </w:r>
    </w:p>
    <w:p w14:paraId="545D6FEB">
      <w:pPr>
        <w:pStyle w:val="8"/>
        <w:wordWrap w:val="0"/>
        <w:spacing w:after="0" w:line="400" w:lineRule="exact"/>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从业人员</w:t>
      </w:r>
      <w:r>
        <w:rPr>
          <w:rFonts w:ascii="宋体" w:hAnsi="宋体" w:cs="宋体"/>
          <w:color w:val="auto"/>
          <w:kern w:val="0"/>
          <w:sz w:val="21"/>
          <w:szCs w:val="21"/>
          <w:highlight w:val="none"/>
        </w:rPr>
        <w:t>1000</w:t>
      </w:r>
      <w:r>
        <w:rPr>
          <w:rFonts w:hint="eastAsia" w:ascii="宋体" w:hAnsi="宋体" w:cs="宋体"/>
          <w:color w:val="auto"/>
          <w:kern w:val="0"/>
          <w:sz w:val="21"/>
          <w:szCs w:val="21"/>
          <w:highlight w:val="none"/>
        </w:rPr>
        <w:t>人以下或营业收入</w:t>
      </w:r>
      <w:r>
        <w:rPr>
          <w:rFonts w:ascii="宋体" w:hAnsi="宋体" w:cs="宋体"/>
          <w:color w:val="auto"/>
          <w:kern w:val="0"/>
          <w:sz w:val="21"/>
          <w:szCs w:val="21"/>
          <w:highlight w:val="none"/>
        </w:rPr>
        <w:t>30000</w:t>
      </w:r>
      <w:r>
        <w:rPr>
          <w:rFonts w:hint="eastAsia" w:ascii="宋体" w:hAnsi="宋体" w:cs="宋体"/>
          <w:color w:val="auto"/>
          <w:kern w:val="0"/>
          <w:sz w:val="21"/>
          <w:szCs w:val="21"/>
          <w:highlight w:val="none"/>
        </w:rPr>
        <w:t>万元以下的为中小微型企业。其中，从业人员</w:t>
      </w:r>
      <w:r>
        <w:rPr>
          <w:rFonts w:ascii="宋体" w:hAnsi="宋体" w:cs="宋体"/>
          <w:color w:val="auto"/>
          <w:kern w:val="0"/>
          <w:sz w:val="21"/>
          <w:szCs w:val="21"/>
          <w:highlight w:val="none"/>
        </w:rPr>
        <w:t>300</w:t>
      </w:r>
      <w:r>
        <w:rPr>
          <w:rFonts w:hint="eastAsia" w:ascii="宋体" w:hAnsi="宋体" w:cs="宋体"/>
          <w:color w:val="auto"/>
          <w:kern w:val="0"/>
          <w:sz w:val="21"/>
          <w:szCs w:val="21"/>
          <w:highlight w:val="none"/>
        </w:rPr>
        <w:t>人及以上，且营业收入</w:t>
      </w:r>
      <w:r>
        <w:rPr>
          <w:rFonts w:ascii="宋体" w:hAnsi="宋体" w:cs="宋体"/>
          <w:color w:val="auto"/>
          <w:kern w:val="0"/>
          <w:sz w:val="21"/>
          <w:szCs w:val="21"/>
          <w:highlight w:val="none"/>
        </w:rPr>
        <w:t>2000</w:t>
      </w:r>
      <w:r>
        <w:rPr>
          <w:rFonts w:hint="eastAsia" w:ascii="宋体" w:hAnsi="宋体" w:cs="宋体"/>
          <w:color w:val="auto"/>
          <w:kern w:val="0"/>
          <w:sz w:val="21"/>
          <w:szCs w:val="21"/>
          <w:highlight w:val="none"/>
        </w:rPr>
        <w:t>万元及以上的为中型企业；从业人员</w:t>
      </w:r>
      <w:r>
        <w:rPr>
          <w:rFonts w:ascii="宋体" w:hAnsi="宋体" w:cs="宋体"/>
          <w:color w:val="auto"/>
          <w:kern w:val="0"/>
          <w:sz w:val="21"/>
          <w:szCs w:val="21"/>
          <w:highlight w:val="none"/>
        </w:rPr>
        <w:t>20</w:t>
      </w:r>
      <w:r>
        <w:rPr>
          <w:rFonts w:hint="eastAsia" w:ascii="宋体" w:hAnsi="宋体" w:cs="宋体"/>
          <w:color w:val="auto"/>
          <w:kern w:val="0"/>
          <w:sz w:val="21"/>
          <w:szCs w:val="21"/>
          <w:highlight w:val="none"/>
        </w:rPr>
        <w:t>人及以上，且营业收入</w:t>
      </w:r>
      <w:r>
        <w:rPr>
          <w:rFonts w:ascii="宋体" w:hAnsi="宋体" w:cs="宋体"/>
          <w:color w:val="auto"/>
          <w:kern w:val="0"/>
          <w:sz w:val="21"/>
          <w:szCs w:val="21"/>
          <w:highlight w:val="none"/>
        </w:rPr>
        <w:t>100</w:t>
      </w:r>
      <w:r>
        <w:rPr>
          <w:rFonts w:hint="eastAsia" w:ascii="宋体" w:hAnsi="宋体" w:cs="宋体"/>
          <w:color w:val="auto"/>
          <w:kern w:val="0"/>
          <w:sz w:val="21"/>
          <w:szCs w:val="21"/>
          <w:highlight w:val="none"/>
        </w:rPr>
        <w:t>万元及以上的为小型企业；从业人员</w:t>
      </w:r>
      <w:r>
        <w:rPr>
          <w:rFonts w:ascii="宋体" w:hAnsi="宋体" w:cs="宋体"/>
          <w:color w:val="auto"/>
          <w:kern w:val="0"/>
          <w:sz w:val="21"/>
          <w:szCs w:val="21"/>
          <w:highlight w:val="none"/>
        </w:rPr>
        <w:t>20</w:t>
      </w:r>
      <w:r>
        <w:rPr>
          <w:rFonts w:hint="eastAsia" w:ascii="宋体" w:hAnsi="宋体" w:cs="宋体"/>
          <w:color w:val="auto"/>
          <w:kern w:val="0"/>
          <w:sz w:val="21"/>
          <w:szCs w:val="21"/>
          <w:highlight w:val="none"/>
        </w:rPr>
        <w:t>人以下或营业收入</w:t>
      </w:r>
      <w:r>
        <w:rPr>
          <w:rFonts w:ascii="宋体" w:hAnsi="宋体" w:cs="宋体"/>
          <w:color w:val="auto"/>
          <w:kern w:val="0"/>
          <w:sz w:val="21"/>
          <w:szCs w:val="21"/>
          <w:highlight w:val="none"/>
        </w:rPr>
        <w:t>100</w:t>
      </w:r>
      <w:r>
        <w:rPr>
          <w:rFonts w:hint="eastAsia" w:ascii="宋体" w:hAnsi="宋体" w:cs="宋体"/>
          <w:color w:val="auto"/>
          <w:kern w:val="0"/>
          <w:sz w:val="21"/>
          <w:szCs w:val="21"/>
          <w:highlight w:val="none"/>
        </w:rPr>
        <w:t>万元以下的为微型企业。</w:t>
      </w:r>
    </w:p>
    <w:p w14:paraId="1355DD12">
      <w:pPr>
        <w:pStyle w:val="8"/>
        <w:wordWrap w:val="0"/>
        <w:spacing w:after="0" w:line="400" w:lineRule="exact"/>
        <w:ind w:firstLine="422" w:firstLineChars="200"/>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（九）住宿业</w:t>
      </w:r>
    </w:p>
    <w:p w14:paraId="245CFE70">
      <w:pPr>
        <w:pStyle w:val="8"/>
        <w:wordWrap w:val="0"/>
        <w:spacing w:after="0" w:line="400" w:lineRule="exact"/>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从业人员</w:t>
      </w:r>
      <w:r>
        <w:rPr>
          <w:rFonts w:ascii="宋体" w:hAnsi="宋体" w:cs="宋体"/>
          <w:color w:val="auto"/>
          <w:kern w:val="0"/>
          <w:sz w:val="21"/>
          <w:szCs w:val="21"/>
          <w:highlight w:val="none"/>
        </w:rPr>
        <w:t>300</w:t>
      </w:r>
      <w:r>
        <w:rPr>
          <w:rFonts w:hint="eastAsia" w:ascii="宋体" w:hAnsi="宋体" w:cs="宋体"/>
          <w:color w:val="auto"/>
          <w:kern w:val="0"/>
          <w:sz w:val="21"/>
          <w:szCs w:val="21"/>
          <w:highlight w:val="none"/>
        </w:rPr>
        <w:t>人以下或营业收入</w:t>
      </w:r>
      <w:r>
        <w:rPr>
          <w:rFonts w:ascii="宋体" w:hAnsi="宋体" w:cs="宋体"/>
          <w:color w:val="auto"/>
          <w:kern w:val="0"/>
          <w:sz w:val="21"/>
          <w:szCs w:val="21"/>
          <w:highlight w:val="none"/>
        </w:rPr>
        <w:t>10000</w:t>
      </w:r>
      <w:r>
        <w:rPr>
          <w:rFonts w:hint="eastAsia" w:ascii="宋体" w:hAnsi="宋体" w:cs="宋体"/>
          <w:color w:val="auto"/>
          <w:kern w:val="0"/>
          <w:sz w:val="21"/>
          <w:szCs w:val="21"/>
          <w:highlight w:val="none"/>
        </w:rPr>
        <w:t>万元以下的为中小微型企业。其中，从业人员</w:t>
      </w:r>
      <w:r>
        <w:rPr>
          <w:rFonts w:ascii="宋体" w:hAnsi="宋体" w:cs="宋体"/>
          <w:color w:val="auto"/>
          <w:kern w:val="0"/>
          <w:sz w:val="21"/>
          <w:szCs w:val="21"/>
          <w:highlight w:val="none"/>
        </w:rPr>
        <w:t>100</w:t>
      </w:r>
      <w:r>
        <w:rPr>
          <w:rFonts w:hint="eastAsia" w:ascii="宋体" w:hAnsi="宋体" w:cs="宋体"/>
          <w:color w:val="auto"/>
          <w:kern w:val="0"/>
          <w:sz w:val="21"/>
          <w:szCs w:val="21"/>
          <w:highlight w:val="none"/>
        </w:rPr>
        <w:t>人及以上，且营业收入</w:t>
      </w:r>
      <w:r>
        <w:rPr>
          <w:rFonts w:ascii="宋体" w:hAnsi="宋体" w:cs="宋体"/>
          <w:color w:val="auto"/>
          <w:kern w:val="0"/>
          <w:sz w:val="21"/>
          <w:szCs w:val="21"/>
          <w:highlight w:val="none"/>
        </w:rPr>
        <w:t>2000</w:t>
      </w:r>
      <w:r>
        <w:rPr>
          <w:rFonts w:hint="eastAsia" w:ascii="宋体" w:hAnsi="宋体" w:cs="宋体"/>
          <w:color w:val="auto"/>
          <w:kern w:val="0"/>
          <w:sz w:val="21"/>
          <w:szCs w:val="21"/>
          <w:highlight w:val="none"/>
        </w:rPr>
        <w:t>万元及以上的为中型企业；从业人员</w:t>
      </w:r>
      <w:r>
        <w:rPr>
          <w:rFonts w:ascii="宋体" w:hAnsi="宋体" w:cs="宋体"/>
          <w:color w:val="auto"/>
          <w:kern w:val="0"/>
          <w:sz w:val="21"/>
          <w:szCs w:val="21"/>
          <w:highlight w:val="none"/>
        </w:rPr>
        <w:t>10</w:t>
      </w:r>
      <w:r>
        <w:rPr>
          <w:rFonts w:hint="eastAsia" w:ascii="宋体" w:hAnsi="宋体" w:cs="宋体"/>
          <w:color w:val="auto"/>
          <w:kern w:val="0"/>
          <w:sz w:val="21"/>
          <w:szCs w:val="21"/>
          <w:highlight w:val="none"/>
        </w:rPr>
        <w:t>人及以上，且营业收入</w:t>
      </w:r>
      <w:r>
        <w:rPr>
          <w:rFonts w:ascii="宋体" w:hAnsi="宋体" w:cs="宋体"/>
          <w:color w:val="auto"/>
          <w:kern w:val="0"/>
          <w:sz w:val="21"/>
          <w:szCs w:val="21"/>
          <w:highlight w:val="none"/>
        </w:rPr>
        <w:t>100</w:t>
      </w:r>
      <w:r>
        <w:rPr>
          <w:rFonts w:hint="eastAsia" w:ascii="宋体" w:hAnsi="宋体" w:cs="宋体"/>
          <w:color w:val="auto"/>
          <w:kern w:val="0"/>
          <w:sz w:val="21"/>
          <w:szCs w:val="21"/>
          <w:highlight w:val="none"/>
        </w:rPr>
        <w:t>万元及以上的为小型企业；从业人员</w:t>
      </w:r>
      <w:r>
        <w:rPr>
          <w:rFonts w:ascii="宋体" w:hAnsi="宋体" w:cs="宋体"/>
          <w:color w:val="auto"/>
          <w:kern w:val="0"/>
          <w:sz w:val="21"/>
          <w:szCs w:val="21"/>
          <w:highlight w:val="none"/>
        </w:rPr>
        <w:t>10</w:t>
      </w:r>
      <w:r>
        <w:rPr>
          <w:rFonts w:hint="eastAsia" w:ascii="宋体" w:hAnsi="宋体" w:cs="宋体"/>
          <w:color w:val="auto"/>
          <w:kern w:val="0"/>
          <w:sz w:val="21"/>
          <w:szCs w:val="21"/>
          <w:highlight w:val="none"/>
        </w:rPr>
        <w:t>人以下或营业收入</w:t>
      </w:r>
      <w:r>
        <w:rPr>
          <w:rFonts w:ascii="宋体" w:hAnsi="宋体" w:cs="宋体"/>
          <w:color w:val="auto"/>
          <w:kern w:val="0"/>
          <w:sz w:val="21"/>
          <w:szCs w:val="21"/>
          <w:highlight w:val="none"/>
        </w:rPr>
        <w:t>100</w:t>
      </w:r>
      <w:r>
        <w:rPr>
          <w:rFonts w:hint="eastAsia" w:ascii="宋体" w:hAnsi="宋体" w:cs="宋体"/>
          <w:color w:val="auto"/>
          <w:kern w:val="0"/>
          <w:sz w:val="21"/>
          <w:szCs w:val="21"/>
          <w:highlight w:val="none"/>
        </w:rPr>
        <w:t>万元以下的为微型企业。</w:t>
      </w:r>
    </w:p>
    <w:p w14:paraId="6C7F0B79">
      <w:pPr>
        <w:pStyle w:val="8"/>
        <w:wordWrap w:val="0"/>
        <w:spacing w:after="0" w:line="400" w:lineRule="exact"/>
        <w:ind w:firstLine="422" w:firstLineChars="200"/>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（十）餐饮业</w:t>
      </w:r>
    </w:p>
    <w:p w14:paraId="0950DD84">
      <w:pPr>
        <w:pStyle w:val="8"/>
        <w:wordWrap w:val="0"/>
        <w:spacing w:after="0" w:line="400" w:lineRule="exact"/>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从业人员</w:t>
      </w:r>
      <w:r>
        <w:rPr>
          <w:rFonts w:ascii="宋体" w:hAnsi="宋体" w:cs="宋体"/>
          <w:color w:val="auto"/>
          <w:kern w:val="0"/>
          <w:sz w:val="21"/>
          <w:szCs w:val="21"/>
          <w:highlight w:val="none"/>
        </w:rPr>
        <w:t>300</w:t>
      </w:r>
      <w:r>
        <w:rPr>
          <w:rFonts w:hint="eastAsia" w:ascii="宋体" w:hAnsi="宋体" w:cs="宋体"/>
          <w:color w:val="auto"/>
          <w:kern w:val="0"/>
          <w:sz w:val="21"/>
          <w:szCs w:val="21"/>
          <w:highlight w:val="none"/>
        </w:rPr>
        <w:t>人以下或营业收入</w:t>
      </w:r>
      <w:r>
        <w:rPr>
          <w:rFonts w:ascii="宋体" w:hAnsi="宋体" w:cs="宋体"/>
          <w:color w:val="auto"/>
          <w:kern w:val="0"/>
          <w:sz w:val="21"/>
          <w:szCs w:val="21"/>
          <w:highlight w:val="none"/>
        </w:rPr>
        <w:t>10000</w:t>
      </w:r>
      <w:r>
        <w:rPr>
          <w:rFonts w:hint="eastAsia" w:ascii="宋体" w:hAnsi="宋体" w:cs="宋体"/>
          <w:color w:val="auto"/>
          <w:kern w:val="0"/>
          <w:sz w:val="21"/>
          <w:szCs w:val="21"/>
          <w:highlight w:val="none"/>
        </w:rPr>
        <w:t>万元以下的为中小微型企业。其中，从业人员</w:t>
      </w:r>
      <w:r>
        <w:rPr>
          <w:rFonts w:ascii="宋体" w:hAnsi="宋体" w:cs="宋体"/>
          <w:color w:val="auto"/>
          <w:kern w:val="0"/>
          <w:sz w:val="21"/>
          <w:szCs w:val="21"/>
          <w:highlight w:val="none"/>
        </w:rPr>
        <w:t>100</w:t>
      </w:r>
      <w:r>
        <w:rPr>
          <w:rFonts w:hint="eastAsia" w:ascii="宋体" w:hAnsi="宋体" w:cs="宋体"/>
          <w:color w:val="auto"/>
          <w:kern w:val="0"/>
          <w:sz w:val="21"/>
          <w:szCs w:val="21"/>
          <w:highlight w:val="none"/>
        </w:rPr>
        <w:t>人及以上，且营业收入</w:t>
      </w:r>
      <w:r>
        <w:rPr>
          <w:rFonts w:ascii="宋体" w:hAnsi="宋体" w:cs="宋体"/>
          <w:color w:val="auto"/>
          <w:kern w:val="0"/>
          <w:sz w:val="21"/>
          <w:szCs w:val="21"/>
          <w:highlight w:val="none"/>
        </w:rPr>
        <w:t>2000</w:t>
      </w:r>
      <w:r>
        <w:rPr>
          <w:rFonts w:hint="eastAsia" w:ascii="宋体" w:hAnsi="宋体" w:cs="宋体"/>
          <w:color w:val="auto"/>
          <w:kern w:val="0"/>
          <w:sz w:val="21"/>
          <w:szCs w:val="21"/>
          <w:highlight w:val="none"/>
        </w:rPr>
        <w:t>万元及以上的为中型企业；从业人员</w:t>
      </w:r>
      <w:r>
        <w:rPr>
          <w:rFonts w:ascii="宋体" w:hAnsi="宋体" w:cs="宋体"/>
          <w:color w:val="auto"/>
          <w:kern w:val="0"/>
          <w:sz w:val="21"/>
          <w:szCs w:val="21"/>
          <w:highlight w:val="none"/>
        </w:rPr>
        <w:t>10</w:t>
      </w:r>
      <w:r>
        <w:rPr>
          <w:rFonts w:hint="eastAsia" w:ascii="宋体" w:hAnsi="宋体" w:cs="宋体"/>
          <w:color w:val="auto"/>
          <w:kern w:val="0"/>
          <w:sz w:val="21"/>
          <w:szCs w:val="21"/>
          <w:highlight w:val="none"/>
        </w:rPr>
        <w:t>人及以上，且营业收入</w:t>
      </w:r>
      <w:r>
        <w:rPr>
          <w:rFonts w:ascii="宋体" w:hAnsi="宋体" w:cs="宋体"/>
          <w:color w:val="auto"/>
          <w:kern w:val="0"/>
          <w:sz w:val="21"/>
          <w:szCs w:val="21"/>
          <w:highlight w:val="none"/>
        </w:rPr>
        <w:t>100</w:t>
      </w:r>
      <w:r>
        <w:rPr>
          <w:rFonts w:hint="eastAsia" w:ascii="宋体" w:hAnsi="宋体" w:cs="宋体"/>
          <w:color w:val="auto"/>
          <w:kern w:val="0"/>
          <w:sz w:val="21"/>
          <w:szCs w:val="21"/>
          <w:highlight w:val="none"/>
        </w:rPr>
        <w:t>万元及以上的为小型企业；从业人员</w:t>
      </w:r>
      <w:r>
        <w:rPr>
          <w:rFonts w:ascii="宋体" w:hAnsi="宋体" w:cs="宋体"/>
          <w:color w:val="auto"/>
          <w:kern w:val="0"/>
          <w:sz w:val="21"/>
          <w:szCs w:val="21"/>
          <w:highlight w:val="none"/>
        </w:rPr>
        <w:t>10</w:t>
      </w:r>
      <w:r>
        <w:rPr>
          <w:rFonts w:hint="eastAsia" w:ascii="宋体" w:hAnsi="宋体" w:cs="宋体"/>
          <w:color w:val="auto"/>
          <w:kern w:val="0"/>
          <w:sz w:val="21"/>
          <w:szCs w:val="21"/>
          <w:highlight w:val="none"/>
        </w:rPr>
        <w:t>人以下或营业收入</w:t>
      </w:r>
      <w:r>
        <w:rPr>
          <w:rFonts w:ascii="宋体" w:hAnsi="宋体" w:cs="宋体"/>
          <w:color w:val="auto"/>
          <w:kern w:val="0"/>
          <w:sz w:val="21"/>
          <w:szCs w:val="21"/>
          <w:highlight w:val="none"/>
        </w:rPr>
        <w:t>100</w:t>
      </w:r>
      <w:r>
        <w:rPr>
          <w:rFonts w:hint="eastAsia" w:ascii="宋体" w:hAnsi="宋体" w:cs="宋体"/>
          <w:color w:val="auto"/>
          <w:kern w:val="0"/>
          <w:sz w:val="21"/>
          <w:szCs w:val="21"/>
          <w:highlight w:val="none"/>
        </w:rPr>
        <w:t>万元以下的为微型企业。</w:t>
      </w:r>
    </w:p>
    <w:p w14:paraId="37D0DAEC">
      <w:pPr>
        <w:pStyle w:val="8"/>
        <w:wordWrap w:val="0"/>
        <w:spacing w:after="0" w:line="400" w:lineRule="exact"/>
        <w:ind w:firstLine="422" w:firstLineChars="200"/>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（十一）信息传输业</w:t>
      </w:r>
    </w:p>
    <w:p w14:paraId="588A59CE">
      <w:pPr>
        <w:pStyle w:val="8"/>
        <w:wordWrap w:val="0"/>
        <w:spacing w:after="0" w:line="400" w:lineRule="exact"/>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从业人员</w:t>
      </w:r>
      <w:r>
        <w:rPr>
          <w:rFonts w:ascii="宋体" w:hAnsi="宋体" w:cs="宋体"/>
          <w:color w:val="auto"/>
          <w:kern w:val="0"/>
          <w:sz w:val="21"/>
          <w:szCs w:val="21"/>
          <w:highlight w:val="none"/>
        </w:rPr>
        <w:t>2000</w:t>
      </w:r>
      <w:r>
        <w:rPr>
          <w:rFonts w:hint="eastAsia" w:ascii="宋体" w:hAnsi="宋体" w:cs="宋体"/>
          <w:color w:val="auto"/>
          <w:kern w:val="0"/>
          <w:sz w:val="21"/>
          <w:szCs w:val="21"/>
          <w:highlight w:val="none"/>
        </w:rPr>
        <w:t>人以下或营业收入</w:t>
      </w:r>
      <w:r>
        <w:rPr>
          <w:rFonts w:ascii="宋体" w:hAnsi="宋体" w:cs="宋体"/>
          <w:color w:val="auto"/>
          <w:kern w:val="0"/>
          <w:sz w:val="21"/>
          <w:szCs w:val="21"/>
          <w:highlight w:val="none"/>
        </w:rPr>
        <w:t>100000</w:t>
      </w:r>
      <w:r>
        <w:rPr>
          <w:rFonts w:hint="eastAsia" w:ascii="宋体" w:hAnsi="宋体" w:cs="宋体"/>
          <w:color w:val="auto"/>
          <w:kern w:val="0"/>
          <w:sz w:val="21"/>
          <w:szCs w:val="21"/>
          <w:highlight w:val="none"/>
        </w:rPr>
        <w:t>万元以下的为中小微型企业。其中，从业人员</w:t>
      </w:r>
      <w:r>
        <w:rPr>
          <w:rFonts w:ascii="宋体" w:hAnsi="宋体" w:cs="宋体"/>
          <w:color w:val="auto"/>
          <w:kern w:val="0"/>
          <w:sz w:val="21"/>
          <w:szCs w:val="21"/>
          <w:highlight w:val="none"/>
        </w:rPr>
        <w:t>100</w:t>
      </w:r>
      <w:r>
        <w:rPr>
          <w:rFonts w:hint="eastAsia" w:ascii="宋体" w:hAnsi="宋体" w:cs="宋体"/>
          <w:color w:val="auto"/>
          <w:kern w:val="0"/>
          <w:sz w:val="21"/>
          <w:szCs w:val="21"/>
          <w:highlight w:val="none"/>
        </w:rPr>
        <w:t>人及以上，且营业收入</w:t>
      </w:r>
      <w:r>
        <w:rPr>
          <w:rFonts w:ascii="宋体" w:hAnsi="宋体" w:cs="宋体"/>
          <w:color w:val="auto"/>
          <w:kern w:val="0"/>
          <w:sz w:val="21"/>
          <w:szCs w:val="21"/>
          <w:highlight w:val="none"/>
        </w:rPr>
        <w:t>1000</w:t>
      </w:r>
      <w:r>
        <w:rPr>
          <w:rFonts w:hint="eastAsia" w:ascii="宋体" w:hAnsi="宋体" w:cs="宋体"/>
          <w:color w:val="auto"/>
          <w:kern w:val="0"/>
          <w:sz w:val="21"/>
          <w:szCs w:val="21"/>
          <w:highlight w:val="none"/>
        </w:rPr>
        <w:t>万元及以上的为中型企业；从业人员</w:t>
      </w:r>
      <w:r>
        <w:rPr>
          <w:rFonts w:ascii="宋体" w:hAnsi="宋体" w:cs="宋体"/>
          <w:color w:val="auto"/>
          <w:kern w:val="0"/>
          <w:sz w:val="21"/>
          <w:szCs w:val="21"/>
          <w:highlight w:val="none"/>
        </w:rPr>
        <w:t>10</w:t>
      </w:r>
      <w:r>
        <w:rPr>
          <w:rFonts w:hint="eastAsia" w:ascii="宋体" w:hAnsi="宋体" w:cs="宋体"/>
          <w:color w:val="auto"/>
          <w:kern w:val="0"/>
          <w:sz w:val="21"/>
          <w:szCs w:val="21"/>
          <w:highlight w:val="none"/>
        </w:rPr>
        <w:t>人及以上，且营业收入</w:t>
      </w:r>
      <w:r>
        <w:rPr>
          <w:rFonts w:ascii="宋体" w:hAnsi="宋体" w:cs="宋体"/>
          <w:color w:val="auto"/>
          <w:kern w:val="0"/>
          <w:sz w:val="21"/>
          <w:szCs w:val="21"/>
          <w:highlight w:val="none"/>
        </w:rPr>
        <w:t>100</w:t>
      </w:r>
      <w:r>
        <w:rPr>
          <w:rFonts w:hint="eastAsia" w:ascii="宋体" w:hAnsi="宋体" w:cs="宋体"/>
          <w:color w:val="auto"/>
          <w:kern w:val="0"/>
          <w:sz w:val="21"/>
          <w:szCs w:val="21"/>
          <w:highlight w:val="none"/>
        </w:rPr>
        <w:t>万元及以上的为小型企业；从业人员</w:t>
      </w:r>
      <w:r>
        <w:rPr>
          <w:rFonts w:ascii="宋体" w:hAnsi="宋体" w:cs="宋体"/>
          <w:color w:val="auto"/>
          <w:kern w:val="0"/>
          <w:sz w:val="21"/>
          <w:szCs w:val="21"/>
          <w:highlight w:val="none"/>
        </w:rPr>
        <w:t>10</w:t>
      </w:r>
      <w:r>
        <w:rPr>
          <w:rFonts w:hint="eastAsia" w:ascii="宋体" w:hAnsi="宋体" w:cs="宋体"/>
          <w:color w:val="auto"/>
          <w:kern w:val="0"/>
          <w:sz w:val="21"/>
          <w:szCs w:val="21"/>
          <w:highlight w:val="none"/>
        </w:rPr>
        <w:t>人以下或营业收入</w:t>
      </w:r>
      <w:r>
        <w:rPr>
          <w:rFonts w:ascii="宋体" w:hAnsi="宋体" w:cs="宋体"/>
          <w:color w:val="auto"/>
          <w:kern w:val="0"/>
          <w:sz w:val="21"/>
          <w:szCs w:val="21"/>
          <w:highlight w:val="none"/>
        </w:rPr>
        <w:t>100</w:t>
      </w:r>
      <w:r>
        <w:rPr>
          <w:rFonts w:hint="eastAsia" w:ascii="宋体" w:hAnsi="宋体" w:cs="宋体"/>
          <w:color w:val="auto"/>
          <w:kern w:val="0"/>
          <w:sz w:val="21"/>
          <w:szCs w:val="21"/>
          <w:highlight w:val="none"/>
        </w:rPr>
        <w:t>万元以下的为微型企业。</w:t>
      </w:r>
    </w:p>
    <w:p w14:paraId="6D9D8213">
      <w:pPr>
        <w:pStyle w:val="8"/>
        <w:wordWrap w:val="0"/>
        <w:spacing w:after="0" w:line="400" w:lineRule="exact"/>
        <w:ind w:firstLine="422" w:firstLineChars="200"/>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（十二）软件和信息技术服务业</w:t>
      </w:r>
    </w:p>
    <w:p w14:paraId="7B6D8B55">
      <w:pPr>
        <w:pStyle w:val="8"/>
        <w:wordWrap w:val="0"/>
        <w:spacing w:after="0" w:line="400" w:lineRule="exact"/>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从业人员</w:t>
      </w:r>
      <w:r>
        <w:rPr>
          <w:rFonts w:ascii="宋体" w:hAnsi="宋体" w:cs="宋体"/>
          <w:color w:val="auto"/>
          <w:kern w:val="0"/>
          <w:sz w:val="21"/>
          <w:szCs w:val="21"/>
          <w:highlight w:val="none"/>
        </w:rPr>
        <w:t>300</w:t>
      </w:r>
      <w:r>
        <w:rPr>
          <w:rFonts w:hint="eastAsia" w:ascii="宋体" w:hAnsi="宋体" w:cs="宋体"/>
          <w:color w:val="auto"/>
          <w:kern w:val="0"/>
          <w:sz w:val="21"/>
          <w:szCs w:val="21"/>
          <w:highlight w:val="none"/>
        </w:rPr>
        <w:t>人以下或营业收入</w:t>
      </w:r>
      <w:r>
        <w:rPr>
          <w:rFonts w:ascii="宋体" w:hAnsi="宋体" w:cs="宋体"/>
          <w:color w:val="auto"/>
          <w:kern w:val="0"/>
          <w:sz w:val="21"/>
          <w:szCs w:val="21"/>
          <w:highlight w:val="none"/>
        </w:rPr>
        <w:t>10000</w:t>
      </w:r>
      <w:r>
        <w:rPr>
          <w:rFonts w:hint="eastAsia" w:ascii="宋体" w:hAnsi="宋体" w:cs="宋体"/>
          <w:color w:val="auto"/>
          <w:kern w:val="0"/>
          <w:sz w:val="21"/>
          <w:szCs w:val="21"/>
          <w:highlight w:val="none"/>
        </w:rPr>
        <w:t>万元以下的为中小微型企业。其中，从业人员</w:t>
      </w:r>
      <w:r>
        <w:rPr>
          <w:rFonts w:ascii="宋体" w:hAnsi="宋体" w:cs="宋体"/>
          <w:color w:val="auto"/>
          <w:kern w:val="0"/>
          <w:sz w:val="21"/>
          <w:szCs w:val="21"/>
          <w:highlight w:val="none"/>
        </w:rPr>
        <w:t>100</w:t>
      </w:r>
      <w:r>
        <w:rPr>
          <w:rFonts w:hint="eastAsia" w:ascii="宋体" w:hAnsi="宋体" w:cs="宋体"/>
          <w:color w:val="auto"/>
          <w:kern w:val="0"/>
          <w:sz w:val="21"/>
          <w:szCs w:val="21"/>
          <w:highlight w:val="none"/>
        </w:rPr>
        <w:t>人及以上，且营业收入</w:t>
      </w:r>
      <w:r>
        <w:rPr>
          <w:rFonts w:ascii="宋体" w:hAnsi="宋体" w:cs="宋体"/>
          <w:color w:val="auto"/>
          <w:kern w:val="0"/>
          <w:sz w:val="21"/>
          <w:szCs w:val="21"/>
          <w:highlight w:val="none"/>
        </w:rPr>
        <w:t>1000</w:t>
      </w:r>
      <w:r>
        <w:rPr>
          <w:rFonts w:hint="eastAsia" w:ascii="宋体" w:hAnsi="宋体" w:cs="宋体"/>
          <w:color w:val="auto"/>
          <w:kern w:val="0"/>
          <w:sz w:val="21"/>
          <w:szCs w:val="21"/>
          <w:highlight w:val="none"/>
        </w:rPr>
        <w:t>万元及以上的为中型企业；从业人员</w:t>
      </w:r>
      <w:r>
        <w:rPr>
          <w:rFonts w:ascii="宋体" w:hAnsi="宋体" w:cs="宋体"/>
          <w:color w:val="auto"/>
          <w:kern w:val="0"/>
          <w:sz w:val="21"/>
          <w:szCs w:val="21"/>
          <w:highlight w:val="none"/>
        </w:rPr>
        <w:t>10</w:t>
      </w:r>
      <w:r>
        <w:rPr>
          <w:rFonts w:hint="eastAsia" w:ascii="宋体" w:hAnsi="宋体" w:cs="宋体"/>
          <w:color w:val="auto"/>
          <w:kern w:val="0"/>
          <w:sz w:val="21"/>
          <w:szCs w:val="21"/>
          <w:highlight w:val="none"/>
        </w:rPr>
        <w:t>人及以上，且营业收入</w:t>
      </w:r>
      <w:r>
        <w:rPr>
          <w:rFonts w:ascii="宋体" w:hAnsi="宋体" w:cs="宋体"/>
          <w:color w:val="auto"/>
          <w:kern w:val="0"/>
          <w:sz w:val="21"/>
          <w:szCs w:val="21"/>
          <w:highlight w:val="none"/>
        </w:rPr>
        <w:t>50</w:t>
      </w:r>
      <w:r>
        <w:rPr>
          <w:rFonts w:hint="eastAsia" w:ascii="宋体" w:hAnsi="宋体" w:cs="宋体"/>
          <w:color w:val="auto"/>
          <w:kern w:val="0"/>
          <w:sz w:val="21"/>
          <w:szCs w:val="21"/>
          <w:highlight w:val="none"/>
        </w:rPr>
        <w:t>万元及以上的为小型企业；从业人员</w:t>
      </w:r>
      <w:r>
        <w:rPr>
          <w:rFonts w:ascii="宋体" w:hAnsi="宋体" w:cs="宋体"/>
          <w:color w:val="auto"/>
          <w:kern w:val="0"/>
          <w:sz w:val="21"/>
          <w:szCs w:val="21"/>
          <w:highlight w:val="none"/>
        </w:rPr>
        <w:t>10</w:t>
      </w:r>
      <w:r>
        <w:rPr>
          <w:rFonts w:hint="eastAsia" w:ascii="宋体" w:hAnsi="宋体" w:cs="宋体"/>
          <w:color w:val="auto"/>
          <w:kern w:val="0"/>
          <w:sz w:val="21"/>
          <w:szCs w:val="21"/>
          <w:highlight w:val="none"/>
        </w:rPr>
        <w:t>人以下或营业收入</w:t>
      </w:r>
      <w:r>
        <w:rPr>
          <w:rFonts w:ascii="宋体" w:hAnsi="宋体" w:cs="宋体"/>
          <w:color w:val="auto"/>
          <w:kern w:val="0"/>
          <w:sz w:val="21"/>
          <w:szCs w:val="21"/>
          <w:highlight w:val="none"/>
        </w:rPr>
        <w:t>50</w:t>
      </w:r>
      <w:r>
        <w:rPr>
          <w:rFonts w:hint="eastAsia" w:ascii="宋体" w:hAnsi="宋体" w:cs="宋体"/>
          <w:color w:val="auto"/>
          <w:kern w:val="0"/>
          <w:sz w:val="21"/>
          <w:szCs w:val="21"/>
          <w:highlight w:val="none"/>
        </w:rPr>
        <w:t>万元以下的为微型企业。</w:t>
      </w:r>
    </w:p>
    <w:p w14:paraId="3246B919">
      <w:pPr>
        <w:pStyle w:val="8"/>
        <w:wordWrap w:val="0"/>
        <w:spacing w:after="0" w:line="400" w:lineRule="exact"/>
        <w:ind w:firstLine="422" w:firstLineChars="200"/>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（十三）房地产开发经营</w:t>
      </w:r>
    </w:p>
    <w:p w14:paraId="6CB01D10">
      <w:pPr>
        <w:pStyle w:val="8"/>
        <w:wordWrap w:val="0"/>
        <w:spacing w:after="0" w:line="400" w:lineRule="exact"/>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营业收入</w:t>
      </w:r>
      <w:r>
        <w:rPr>
          <w:rFonts w:ascii="宋体" w:hAnsi="宋体" w:cs="宋体"/>
          <w:color w:val="auto"/>
          <w:kern w:val="0"/>
          <w:sz w:val="21"/>
          <w:szCs w:val="21"/>
          <w:highlight w:val="none"/>
        </w:rPr>
        <w:t>200000</w:t>
      </w:r>
      <w:r>
        <w:rPr>
          <w:rFonts w:hint="eastAsia" w:ascii="宋体" w:hAnsi="宋体" w:cs="宋体"/>
          <w:color w:val="auto"/>
          <w:kern w:val="0"/>
          <w:sz w:val="21"/>
          <w:szCs w:val="21"/>
          <w:highlight w:val="none"/>
        </w:rPr>
        <w:t>万元以下或资产总额</w:t>
      </w:r>
      <w:r>
        <w:rPr>
          <w:rFonts w:ascii="宋体" w:hAnsi="宋体" w:cs="宋体"/>
          <w:color w:val="auto"/>
          <w:kern w:val="0"/>
          <w:sz w:val="21"/>
          <w:szCs w:val="21"/>
          <w:highlight w:val="none"/>
        </w:rPr>
        <w:t>10000</w:t>
      </w:r>
      <w:r>
        <w:rPr>
          <w:rFonts w:hint="eastAsia" w:ascii="宋体" w:hAnsi="宋体" w:cs="宋体"/>
          <w:color w:val="auto"/>
          <w:kern w:val="0"/>
          <w:sz w:val="21"/>
          <w:szCs w:val="21"/>
          <w:highlight w:val="none"/>
        </w:rPr>
        <w:t>万元以下的为中小微型企业。其中，营业收入</w:t>
      </w:r>
      <w:r>
        <w:rPr>
          <w:rFonts w:ascii="宋体" w:hAnsi="宋体" w:cs="宋体"/>
          <w:color w:val="auto"/>
          <w:kern w:val="0"/>
          <w:sz w:val="21"/>
          <w:szCs w:val="21"/>
          <w:highlight w:val="none"/>
        </w:rPr>
        <w:t>1000</w:t>
      </w:r>
      <w:r>
        <w:rPr>
          <w:rFonts w:hint="eastAsia" w:ascii="宋体" w:hAnsi="宋体" w:cs="宋体"/>
          <w:color w:val="auto"/>
          <w:kern w:val="0"/>
          <w:sz w:val="21"/>
          <w:szCs w:val="21"/>
          <w:highlight w:val="none"/>
        </w:rPr>
        <w:t>万元及以上，且资产总额</w:t>
      </w:r>
      <w:r>
        <w:rPr>
          <w:rFonts w:ascii="宋体" w:hAnsi="宋体" w:cs="宋体"/>
          <w:color w:val="auto"/>
          <w:kern w:val="0"/>
          <w:sz w:val="21"/>
          <w:szCs w:val="21"/>
          <w:highlight w:val="none"/>
        </w:rPr>
        <w:t>5000</w:t>
      </w:r>
      <w:r>
        <w:rPr>
          <w:rFonts w:hint="eastAsia" w:ascii="宋体" w:hAnsi="宋体" w:cs="宋体"/>
          <w:color w:val="auto"/>
          <w:kern w:val="0"/>
          <w:sz w:val="21"/>
          <w:szCs w:val="21"/>
          <w:highlight w:val="none"/>
        </w:rPr>
        <w:t>万元及以上的为中型企业；营业收入</w:t>
      </w:r>
      <w:r>
        <w:rPr>
          <w:rFonts w:ascii="宋体" w:hAnsi="宋体" w:cs="宋体"/>
          <w:color w:val="auto"/>
          <w:kern w:val="0"/>
          <w:sz w:val="21"/>
          <w:szCs w:val="21"/>
          <w:highlight w:val="none"/>
        </w:rPr>
        <w:t>100</w:t>
      </w:r>
      <w:r>
        <w:rPr>
          <w:rFonts w:hint="eastAsia" w:ascii="宋体" w:hAnsi="宋体" w:cs="宋体"/>
          <w:color w:val="auto"/>
          <w:kern w:val="0"/>
          <w:sz w:val="21"/>
          <w:szCs w:val="21"/>
          <w:highlight w:val="none"/>
        </w:rPr>
        <w:t>万元及以上，且资产总额</w:t>
      </w:r>
      <w:r>
        <w:rPr>
          <w:rFonts w:ascii="宋体" w:hAnsi="宋体" w:cs="宋体"/>
          <w:color w:val="auto"/>
          <w:kern w:val="0"/>
          <w:sz w:val="21"/>
          <w:szCs w:val="21"/>
          <w:highlight w:val="none"/>
        </w:rPr>
        <w:t>2000</w:t>
      </w:r>
      <w:r>
        <w:rPr>
          <w:rFonts w:hint="eastAsia" w:ascii="宋体" w:hAnsi="宋体" w:cs="宋体"/>
          <w:color w:val="auto"/>
          <w:kern w:val="0"/>
          <w:sz w:val="21"/>
          <w:szCs w:val="21"/>
          <w:highlight w:val="none"/>
        </w:rPr>
        <w:t>万元及以上的为小型企业；营业收入</w:t>
      </w:r>
      <w:r>
        <w:rPr>
          <w:rFonts w:ascii="宋体" w:hAnsi="宋体" w:cs="宋体"/>
          <w:color w:val="auto"/>
          <w:kern w:val="0"/>
          <w:sz w:val="21"/>
          <w:szCs w:val="21"/>
          <w:highlight w:val="none"/>
        </w:rPr>
        <w:t>100</w:t>
      </w:r>
      <w:r>
        <w:rPr>
          <w:rFonts w:hint="eastAsia" w:ascii="宋体" w:hAnsi="宋体" w:cs="宋体"/>
          <w:color w:val="auto"/>
          <w:kern w:val="0"/>
          <w:sz w:val="21"/>
          <w:szCs w:val="21"/>
          <w:highlight w:val="none"/>
        </w:rPr>
        <w:t>万元以下或资产总额</w:t>
      </w:r>
      <w:r>
        <w:rPr>
          <w:rFonts w:ascii="宋体" w:hAnsi="宋体" w:cs="宋体"/>
          <w:color w:val="auto"/>
          <w:kern w:val="0"/>
          <w:sz w:val="21"/>
          <w:szCs w:val="21"/>
          <w:highlight w:val="none"/>
        </w:rPr>
        <w:t>2000</w:t>
      </w:r>
      <w:r>
        <w:rPr>
          <w:rFonts w:hint="eastAsia" w:ascii="宋体" w:hAnsi="宋体" w:cs="宋体"/>
          <w:color w:val="auto"/>
          <w:kern w:val="0"/>
          <w:sz w:val="21"/>
          <w:szCs w:val="21"/>
          <w:highlight w:val="none"/>
        </w:rPr>
        <w:t>万元以下的为微型企业。</w:t>
      </w:r>
    </w:p>
    <w:p w14:paraId="0E8F7982">
      <w:pPr>
        <w:pStyle w:val="8"/>
        <w:wordWrap w:val="0"/>
        <w:spacing w:after="0" w:line="400" w:lineRule="exact"/>
        <w:ind w:firstLine="422" w:firstLineChars="200"/>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（十四）物业管理</w:t>
      </w:r>
    </w:p>
    <w:p w14:paraId="6D8757E6">
      <w:pPr>
        <w:pStyle w:val="8"/>
        <w:wordWrap w:val="0"/>
        <w:spacing w:after="0" w:line="400" w:lineRule="exact"/>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从业人员</w:t>
      </w:r>
      <w:r>
        <w:rPr>
          <w:rFonts w:ascii="宋体" w:hAnsi="宋体" w:cs="宋体"/>
          <w:color w:val="auto"/>
          <w:kern w:val="0"/>
          <w:sz w:val="21"/>
          <w:szCs w:val="21"/>
          <w:highlight w:val="none"/>
        </w:rPr>
        <w:t>1000</w:t>
      </w:r>
      <w:r>
        <w:rPr>
          <w:rFonts w:hint="eastAsia" w:ascii="宋体" w:hAnsi="宋体" w:cs="宋体"/>
          <w:color w:val="auto"/>
          <w:kern w:val="0"/>
          <w:sz w:val="21"/>
          <w:szCs w:val="21"/>
          <w:highlight w:val="none"/>
        </w:rPr>
        <w:t>人以下或营业收入</w:t>
      </w:r>
      <w:r>
        <w:rPr>
          <w:rFonts w:ascii="宋体" w:hAnsi="宋体" w:cs="宋体"/>
          <w:color w:val="auto"/>
          <w:kern w:val="0"/>
          <w:sz w:val="21"/>
          <w:szCs w:val="21"/>
          <w:highlight w:val="none"/>
        </w:rPr>
        <w:t>5000</w:t>
      </w:r>
      <w:r>
        <w:rPr>
          <w:rFonts w:hint="eastAsia" w:ascii="宋体" w:hAnsi="宋体" w:cs="宋体"/>
          <w:color w:val="auto"/>
          <w:kern w:val="0"/>
          <w:sz w:val="21"/>
          <w:szCs w:val="21"/>
          <w:highlight w:val="none"/>
        </w:rPr>
        <w:t>万元以下的为中小微型企业。其中，从业人员</w:t>
      </w:r>
      <w:r>
        <w:rPr>
          <w:rFonts w:ascii="宋体" w:hAnsi="宋体" w:cs="宋体"/>
          <w:color w:val="auto"/>
          <w:kern w:val="0"/>
          <w:sz w:val="21"/>
          <w:szCs w:val="21"/>
          <w:highlight w:val="none"/>
        </w:rPr>
        <w:t>300</w:t>
      </w:r>
      <w:r>
        <w:rPr>
          <w:rFonts w:hint="eastAsia" w:ascii="宋体" w:hAnsi="宋体" w:cs="宋体"/>
          <w:color w:val="auto"/>
          <w:kern w:val="0"/>
          <w:sz w:val="21"/>
          <w:szCs w:val="21"/>
          <w:highlight w:val="none"/>
        </w:rPr>
        <w:t>人及以上，且营业收入</w:t>
      </w:r>
      <w:r>
        <w:rPr>
          <w:rFonts w:ascii="宋体" w:hAnsi="宋体" w:cs="宋体"/>
          <w:color w:val="auto"/>
          <w:kern w:val="0"/>
          <w:sz w:val="21"/>
          <w:szCs w:val="21"/>
          <w:highlight w:val="none"/>
        </w:rPr>
        <w:t>1000</w:t>
      </w:r>
      <w:r>
        <w:rPr>
          <w:rFonts w:hint="eastAsia" w:ascii="宋体" w:hAnsi="宋体" w:cs="宋体"/>
          <w:color w:val="auto"/>
          <w:kern w:val="0"/>
          <w:sz w:val="21"/>
          <w:szCs w:val="21"/>
          <w:highlight w:val="none"/>
        </w:rPr>
        <w:t>万元及以上的为中型企业；从业人员</w:t>
      </w:r>
      <w:r>
        <w:rPr>
          <w:rFonts w:ascii="宋体" w:hAnsi="宋体" w:cs="宋体"/>
          <w:color w:val="auto"/>
          <w:kern w:val="0"/>
          <w:sz w:val="21"/>
          <w:szCs w:val="21"/>
          <w:highlight w:val="none"/>
        </w:rPr>
        <w:t>100</w:t>
      </w:r>
      <w:r>
        <w:rPr>
          <w:rFonts w:hint="eastAsia" w:ascii="宋体" w:hAnsi="宋体" w:cs="宋体"/>
          <w:color w:val="auto"/>
          <w:kern w:val="0"/>
          <w:sz w:val="21"/>
          <w:szCs w:val="21"/>
          <w:highlight w:val="none"/>
        </w:rPr>
        <w:t>人及以上，且营业收入</w:t>
      </w:r>
      <w:r>
        <w:rPr>
          <w:rFonts w:ascii="宋体" w:hAnsi="宋体" w:cs="宋体"/>
          <w:color w:val="auto"/>
          <w:kern w:val="0"/>
          <w:sz w:val="21"/>
          <w:szCs w:val="21"/>
          <w:highlight w:val="none"/>
        </w:rPr>
        <w:t>500</w:t>
      </w:r>
      <w:r>
        <w:rPr>
          <w:rFonts w:hint="eastAsia" w:ascii="宋体" w:hAnsi="宋体" w:cs="宋体"/>
          <w:color w:val="auto"/>
          <w:kern w:val="0"/>
          <w:sz w:val="21"/>
          <w:szCs w:val="21"/>
          <w:highlight w:val="none"/>
        </w:rPr>
        <w:t>万元及以上的为小型企业；从业人员</w:t>
      </w:r>
      <w:r>
        <w:rPr>
          <w:rFonts w:ascii="宋体" w:hAnsi="宋体" w:cs="宋体"/>
          <w:color w:val="auto"/>
          <w:kern w:val="0"/>
          <w:sz w:val="21"/>
          <w:szCs w:val="21"/>
          <w:highlight w:val="none"/>
        </w:rPr>
        <w:t>100</w:t>
      </w:r>
      <w:r>
        <w:rPr>
          <w:rFonts w:hint="eastAsia" w:ascii="宋体" w:hAnsi="宋体" w:cs="宋体"/>
          <w:color w:val="auto"/>
          <w:kern w:val="0"/>
          <w:sz w:val="21"/>
          <w:szCs w:val="21"/>
          <w:highlight w:val="none"/>
        </w:rPr>
        <w:t>人以下或营业收入</w:t>
      </w:r>
      <w:r>
        <w:rPr>
          <w:rFonts w:ascii="宋体" w:hAnsi="宋体" w:cs="宋体"/>
          <w:color w:val="auto"/>
          <w:kern w:val="0"/>
          <w:sz w:val="21"/>
          <w:szCs w:val="21"/>
          <w:highlight w:val="none"/>
        </w:rPr>
        <w:t>500</w:t>
      </w:r>
      <w:r>
        <w:rPr>
          <w:rFonts w:hint="eastAsia" w:ascii="宋体" w:hAnsi="宋体" w:cs="宋体"/>
          <w:color w:val="auto"/>
          <w:kern w:val="0"/>
          <w:sz w:val="21"/>
          <w:szCs w:val="21"/>
          <w:highlight w:val="none"/>
        </w:rPr>
        <w:t>万元以下的为微型企业。</w:t>
      </w:r>
    </w:p>
    <w:p w14:paraId="00DA5131">
      <w:pPr>
        <w:pStyle w:val="8"/>
        <w:wordWrap w:val="0"/>
        <w:spacing w:after="0" w:line="400" w:lineRule="exact"/>
        <w:ind w:firstLine="422" w:firstLineChars="200"/>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（十五）租赁和商务服务业</w:t>
      </w:r>
    </w:p>
    <w:p w14:paraId="54BE728D">
      <w:pPr>
        <w:pStyle w:val="8"/>
        <w:wordWrap w:val="0"/>
        <w:spacing w:after="0" w:line="400" w:lineRule="exact"/>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从业人员</w:t>
      </w:r>
      <w:r>
        <w:rPr>
          <w:rFonts w:ascii="宋体" w:hAnsi="宋体" w:cs="宋体"/>
          <w:color w:val="auto"/>
          <w:kern w:val="0"/>
          <w:sz w:val="21"/>
          <w:szCs w:val="21"/>
          <w:highlight w:val="none"/>
        </w:rPr>
        <w:t>300</w:t>
      </w:r>
      <w:r>
        <w:rPr>
          <w:rFonts w:hint="eastAsia" w:ascii="宋体" w:hAnsi="宋体" w:cs="宋体"/>
          <w:color w:val="auto"/>
          <w:kern w:val="0"/>
          <w:sz w:val="21"/>
          <w:szCs w:val="21"/>
          <w:highlight w:val="none"/>
        </w:rPr>
        <w:t>人以下或资产总额</w:t>
      </w:r>
      <w:r>
        <w:rPr>
          <w:rFonts w:ascii="宋体" w:hAnsi="宋体" w:cs="宋体"/>
          <w:color w:val="auto"/>
          <w:kern w:val="0"/>
          <w:sz w:val="21"/>
          <w:szCs w:val="21"/>
          <w:highlight w:val="none"/>
        </w:rPr>
        <w:t>120000</w:t>
      </w:r>
      <w:r>
        <w:rPr>
          <w:rFonts w:hint="eastAsia" w:ascii="宋体" w:hAnsi="宋体" w:cs="宋体"/>
          <w:color w:val="auto"/>
          <w:kern w:val="0"/>
          <w:sz w:val="21"/>
          <w:szCs w:val="21"/>
          <w:highlight w:val="none"/>
        </w:rPr>
        <w:t>万元以下的为中小微型企业。其中，从业人员</w:t>
      </w:r>
      <w:r>
        <w:rPr>
          <w:rFonts w:ascii="宋体" w:hAnsi="宋体" w:cs="宋体"/>
          <w:color w:val="auto"/>
          <w:kern w:val="0"/>
          <w:sz w:val="21"/>
          <w:szCs w:val="21"/>
          <w:highlight w:val="none"/>
        </w:rPr>
        <w:t>100</w:t>
      </w:r>
      <w:r>
        <w:rPr>
          <w:rFonts w:hint="eastAsia" w:ascii="宋体" w:hAnsi="宋体" w:cs="宋体"/>
          <w:color w:val="auto"/>
          <w:kern w:val="0"/>
          <w:sz w:val="21"/>
          <w:szCs w:val="21"/>
          <w:highlight w:val="none"/>
        </w:rPr>
        <w:t>人及以上，且资产总额</w:t>
      </w:r>
      <w:r>
        <w:rPr>
          <w:rFonts w:ascii="宋体" w:hAnsi="宋体" w:cs="宋体"/>
          <w:color w:val="auto"/>
          <w:kern w:val="0"/>
          <w:sz w:val="21"/>
          <w:szCs w:val="21"/>
          <w:highlight w:val="none"/>
        </w:rPr>
        <w:t>8000</w:t>
      </w:r>
      <w:r>
        <w:rPr>
          <w:rFonts w:hint="eastAsia" w:ascii="宋体" w:hAnsi="宋体" w:cs="宋体"/>
          <w:color w:val="auto"/>
          <w:kern w:val="0"/>
          <w:sz w:val="21"/>
          <w:szCs w:val="21"/>
          <w:highlight w:val="none"/>
        </w:rPr>
        <w:t>万元及以上的为中型企业；从业人员</w:t>
      </w:r>
      <w:r>
        <w:rPr>
          <w:rFonts w:ascii="宋体" w:hAnsi="宋体" w:cs="宋体"/>
          <w:color w:val="auto"/>
          <w:kern w:val="0"/>
          <w:sz w:val="21"/>
          <w:szCs w:val="21"/>
          <w:highlight w:val="none"/>
        </w:rPr>
        <w:t>10</w:t>
      </w:r>
      <w:r>
        <w:rPr>
          <w:rFonts w:hint="eastAsia" w:ascii="宋体" w:hAnsi="宋体" w:cs="宋体"/>
          <w:color w:val="auto"/>
          <w:kern w:val="0"/>
          <w:sz w:val="21"/>
          <w:szCs w:val="21"/>
          <w:highlight w:val="none"/>
        </w:rPr>
        <w:t>人及以上，且资产总额</w:t>
      </w:r>
      <w:r>
        <w:rPr>
          <w:rFonts w:ascii="宋体" w:hAnsi="宋体" w:cs="宋体"/>
          <w:color w:val="auto"/>
          <w:kern w:val="0"/>
          <w:sz w:val="21"/>
          <w:szCs w:val="21"/>
          <w:highlight w:val="none"/>
        </w:rPr>
        <w:t>100</w:t>
      </w:r>
      <w:r>
        <w:rPr>
          <w:rFonts w:hint="eastAsia" w:ascii="宋体" w:hAnsi="宋体" w:cs="宋体"/>
          <w:color w:val="auto"/>
          <w:kern w:val="0"/>
          <w:sz w:val="21"/>
          <w:szCs w:val="21"/>
          <w:highlight w:val="none"/>
        </w:rPr>
        <w:t>万元及以上的为小型企业；从业人员</w:t>
      </w:r>
      <w:r>
        <w:rPr>
          <w:rFonts w:ascii="宋体" w:hAnsi="宋体" w:cs="宋体"/>
          <w:color w:val="auto"/>
          <w:kern w:val="0"/>
          <w:sz w:val="21"/>
          <w:szCs w:val="21"/>
          <w:highlight w:val="none"/>
        </w:rPr>
        <w:t>10</w:t>
      </w:r>
      <w:r>
        <w:rPr>
          <w:rFonts w:hint="eastAsia" w:ascii="宋体" w:hAnsi="宋体" w:cs="宋体"/>
          <w:color w:val="auto"/>
          <w:kern w:val="0"/>
          <w:sz w:val="21"/>
          <w:szCs w:val="21"/>
          <w:highlight w:val="none"/>
        </w:rPr>
        <w:t>人以下或资产总额</w:t>
      </w:r>
      <w:r>
        <w:rPr>
          <w:rFonts w:ascii="宋体" w:hAnsi="宋体" w:cs="宋体"/>
          <w:color w:val="auto"/>
          <w:kern w:val="0"/>
          <w:sz w:val="21"/>
          <w:szCs w:val="21"/>
          <w:highlight w:val="none"/>
        </w:rPr>
        <w:t>100</w:t>
      </w:r>
      <w:r>
        <w:rPr>
          <w:rFonts w:hint="eastAsia" w:ascii="宋体" w:hAnsi="宋体" w:cs="宋体"/>
          <w:color w:val="auto"/>
          <w:kern w:val="0"/>
          <w:sz w:val="21"/>
          <w:szCs w:val="21"/>
          <w:highlight w:val="none"/>
        </w:rPr>
        <w:t>万元以下的为微型企业。</w:t>
      </w:r>
    </w:p>
    <w:p w14:paraId="7D1C46E1">
      <w:pPr>
        <w:pStyle w:val="8"/>
        <w:wordWrap w:val="0"/>
        <w:spacing w:after="0" w:line="400" w:lineRule="exact"/>
        <w:ind w:firstLine="422" w:firstLineChars="200"/>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（十六）其他未列明行业</w:t>
      </w:r>
    </w:p>
    <w:p w14:paraId="456B21E6">
      <w:pPr>
        <w:pStyle w:val="8"/>
        <w:wordWrap w:val="0"/>
        <w:spacing w:after="0" w:line="400" w:lineRule="exact"/>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从业人员</w:t>
      </w:r>
      <w:r>
        <w:rPr>
          <w:rFonts w:ascii="宋体" w:hAnsi="宋体" w:cs="宋体"/>
          <w:color w:val="auto"/>
          <w:kern w:val="0"/>
          <w:sz w:val="21"/>
          <w:szCs w:val="21"/>
          <w:highlight w:val="none"/>
        </w:rPr>
        <w:t>300</w:t>
      </w:r>
      <w:r>
        <w:rPr>
          <w:rFonts w:hint="eastAsia" w:ascii="宋体" w:hAnsi="宋体" w:cs="宋体"/>
          <w:color w:val="auto"/>
          <w:kern w:val="0"/>
          <w:sz w:val="21"/>
          <w:szCs w:val="21"/>
          <w:highlight w:val="none"/>
        </w:rPr>
        <w:t>人以下的为中小微型企业。其中，从业人员</w:t>
      </w:r>
      <w:r>
        <w:rPr>
          <w:rFonts w:ascii="宋体" w:hAnsi="宋体" w:cs="宋体"/>
          <w:color w:val="auto"/>
          <w:kern w:val="0"/>
          <w:sz w:val="21"/>
          <w:szCs w:val="21"/>
          <w:highlight w:val="none"/>
        </w:rPr>
        <w:t>100</w:t>
      </w:r>
      <w:r>
        <w:rPr>
          <w:rFonts w:hint="eastAsia" w:ascii="宋体" w:hAnsi="宋体" w:cs="宋体"/>
          <w:color w:val="auto"/>
          <w:kern w:val="0"/>
          <w:sz w:val="21"/>
          <w:szCs w:val="21"/>
          <w:highlight w:val="none"/>
        </w:rPr>
        <w:t>人及以上的为中型企业；从业人员</w:t>
      </w:r>
      <w:r>
        <w:rPr>
          <w:rFonts w:ascii="宋体" w:hAnsi="宋体" w:cs="宋体"/>
          <w:color w:val="auto"/>
          <w:kern w:val="0"/>
          <w:sz w:val="21"/>
          <w:szCs w:val="21"/>
          <w:highlight w:val="none"/>
        </w:rPr>
        <w:t>10</w:t>
      </w:r>
      <w:r>
        <w:rPr>
          <w:rFonts w:hint="eastAsia" w:ascii="宋体" w:hAnsi="宋体" w:cs="宋体"/>
          <w:color w:val="auto"/>
          <w:kern w:val="0"/>
          <w:sz w:val="21"/>
          <w:szCs w:val="21"/>
          <w:highlight w:val="none"/>
        </w:rPr>
        <w:t>人及以上的为小型企业；从业人员</w:t>
      </w:r>
      <w:r>
        <w:rPr>
          <w:rFonts w:ascii="宋体" w:hAnsi="宋体" w:cs="宋体"/>
          <w:color w:val="auto"/>
          <w:kern w:val="0"/>
          <w:sz w:val="21"/>
          <w:szCs w:val="21"/>
          <w:highlight w:val="none"/>
        </w:rPr>
        <w:t>10</w:t>
      </w:r>
      <w:r>
        <w:rPr>
          <w:rFonts w:hint="eastAsia" w:ascii="宋体" w:hAnsi="宋体" w:cs="宋体"/>
          <w:color w:val="auto"/>
          <w:kern w:val="0"/>
          <w:sz w:val="21"/>
          <w:szCs w:val="21"/>
          <w:highlight w:val="none"/>
        </w:rPr>
        <w:t>人以下的为微型企业。</w:t>
      </w:r>
    </w:p>
    <w:p w14:paraId="389E1BBB">
      <w:pPr>
        <w:snapToGrid w:val="0"/>
        <w:spacing w:line="360" w:lineRule="auto"/>
        <w:rPr>
          <w:rFonts w:ascii="宋体" w:cs="宋体"/>
          <w:b/>
          <w:color w:val="auto"/>
          <w:sz w:val="24"/>
          <w:highlight w:val="none"/>
        </w:rPr>
      </w:pPr>
      <w:r>
        <w:rPr>
          <w:rFonts w:hint="eastAsia" w:ascii="宋体" w:hAnsi="宋体" w:cs="宋体"/>
          <w:b/>
          <w:color w:val="auto"/>
          <w:sz w:val="24"/>
          <w:highlight w:val="none"/>
        </w:rPr>
        <w:t>监狱企业、残疾人福利性单位视同为小微企业。</w:t>
      </w:r>
    </w:p>
    <w:p w14:paraId="56C2A6B0">
      <w:pPr>
        <w:snapToGrid w:val="0"/>
        <w:spacing w:line="360" w:lineRule="auto"/>
        <w:jc w:val="center"/>
        <w:rPr>
          <w:rFonts w:ascii="宋体" w:cs="宋体"/>
          <w:b/>
          <w:color w:val="auto"/>
          <w:sz w:val="28"/>
          <w:szCs w:val="28"/>
          <w:highlight w:val="none"/>
        </w:rPr>
      </w:pPr>
      <w:r>
        <w:rPr>
          <w:rFonts w:hint="eastAsia" w:ascii="宋体" w:hAnsi="宋体" w:cs="宋体"/>
          <w:b/>
          <w:color w:val="auto"/>
          <w:sz w:val="28"/>
          <w:szCs w:val="28"/>
          <w:highlight w:val="none"/>
        </w:rPr>
        <w:t>残疾人福利性单位声明函</w:t>
      </w:r>
    </w:p>
    <w:p w14:paraId="394B334F">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本单位郑重声明，根据《财政部</w:t>
      </w:r>
      <w:r>
        <w:rPr>
          <w:rFonts w:ascii="宋体" w:hAnsi="宋体" w:cs="宋体"/>
          <w:color w:val="auto"/>
          <w:szCs w:val="21"/>
          <w:highlight w:val="none"/>
        </w:rPr>
        <w:t xml:space="preserve"> </w:t>
      </w:r>
      <w:r>
        <w:rPr>
          <w:rFonts w:hint="eastAsia" w:ascii="宋体" w:hAnsi="宋体" w:cs="宋体"/>
          <w:color w:val="auto"/>
          <w:szCs w:val="21"/>
          <w:highlight w:val="none"/>
        </w:rPr>
        <w:t>民政部</w:t>
      </w:r>
      <w:r>
        <w:rPr>
          <w:rFonts w:ascii="宋体" w:hAnsi="宋体" w:cs="宋体"/>
          <w:color w:val="auto"/>
          <w:szCs w:val="21"/>
          <w:highlight w:val="none"/>
        </w:rPr>
        <w:t xml:space="preserve"> </w:t>
      </w:r>
      <w:r>
        <w:rPr>
          <w:rFonts w:hint="eastAsia" w:ascii="宋体" w:hAnsi="宋体" w:cs="宋体"/>
          <w:color w:val="auto"/>
          <w:szCs w:val="21"/>
          <w:highlight w:val="none"/>
        </w:rPr>
        <w:t>中国残疾人联合会关于促进残疾人就业政府采购政策的通知》（财库〔</w:t>
      </w:r>
      <w:r>
        <w:rPr>
          <w:rFonts w:ascii="宋体" w:hAnsi="宋体" w:cs="宋体"/>
          <w:color w:val="auto"/>
          <w:szCs w:val="21"/>
          <w:highlight w:val="none"/>
        </w:rPr>
        <w:t>2017</w:t>
      </w:r>
      <w:r>
        <w:rPr>
          <w:rFonts w:hint="eastAsia" w:ascii="宋体" w:hAnsi="宋体" w:cs="宋体"/>
          <w:color w:val="auto"/>
          <w:szCs w:val="21"/>
          <w:highlight w:val="none"/>
        </w:rPr>
        <w:t>〕</w:t>
      </w:r>
      <w:r>
        <w:rPr>
          <w:rFonts w:ascii="宋体" w:hAnsi="宋体" w:cs="宋体"/>
          <w:color w:val="auto"/>
          <w:szCs w:val="21"/>
          <w:highlight w:val="none"/>
        </w:rPr>
        <w:t xml:space="preserve"> 141</w:t>
      </w:r>
      <w:r>
        <w:rPr>
          <w:rFonts w:hint="eastAsia" w:ascii="宋体" w:hAnsi="宋体" w:cs="宋体"/>
          <w:color w:val="auto"/>
          <w:szCs w:val="21"/>
          <w:highlight w:val="none"/>
        </w:rPr>
        <w:t>号）的规定，本单位为符合条件的残疾人福利性单位，且本单位参加</w:t>
      </w:r>
      <w:r>
        <w:rPr>
          <w:rFonts w:ascii="宋体" w:hAnsi="宋体" w:cs="宋体"/>
          <w:color w:val="auto"/>
          <w:szCs w:val="21"/>
          <w:highlight w:val="none"/>
        </w:rPr>
        <w:t>______</w:t>
      </w:r>
      <w:r>
        <w:rPr>
          <w:rFonts w:hint="eastAsia" w:ascii="宋体" w:hAnsi="宋体" w:cs="宋体"/>
          <w:color w:val="auto"/>
          <w:szCs w:val="21"/>
          <w:highlight w:val="none"/>
        </w:rPr>
        <w:t>单位的</w:t>
      </w:r>
      <w:r>
        <w:rPr>
          <w:rFonts w:ascii="宋体" w:hAnsi="宋体" w:cs="宋体"/>
          <w:color w:val="auto"/>
          <w:szCs w:val="21"/>
          <w:highlight w:val="none"/>
        </w:rPr>
        <w:t>______</w:t>
      </w:r>
      <w:r>
        <w:rPr>
          <w:rFonts w:hint="eastAsia" w:ascii="宋体" w:hAnsi="宋体" w:cs="宋体"/>
          <w:color w:val="auto"/>
          <w:szCs w:val="21"/>
          <w:highlight w:val="none"/>
        </w:rPr>
        <w:t>项目采购活动提供本单位制造的货物（由本单位承担工程</w:t>
      </w:r>
      <w:r>
        <w:rPr>
          <w:rFonts w:ascii="宋体" w:hAnsi="宋体" w:cs="宋体"/>
          <w:color w:val="auto"/>
          <w:szCs w:val="21"/>
          <w:highlight w:val="none"/>
        </w:rPr>
        <w:t>/</w:t>
      </w:r>
      <w:r>
        <w:rPr>
          <w:rFonts w:hint="eastAsia" w:ascii="宋体" w:hAnsi="宋体" w:cs="宋体"/>
          <w:color w:val="auto"/>
          <w:szCs w:val="21"/>
          <w:highlight w:val="none"/>
        </w:rPr>
        <w:t>提供服务），或者提供其他残疾人福利性单位制造的货物（不包括使用非残疾人福利性单位注册商标的货物）。</w:t>
      </w:r>
    </w:p>
    <w:p w14:paraId="74BDCA96">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14:paraId="719873C1">
      <w:pPr>
        <w:snapToGrid w:val="0"/>
        <w:spacing w:line="360" w:lineRule="auto"/>
        <w:ind w:firstLine="420" w:firstLineChars="200"/>
        <w:rPr>
          <w:rFonts w:ascii="宋体" w:cs="宋体"/>
          <w:color w:val="auto"/>
          <w:szCs w:val="21"/>
          <w:highlight w:val="none"/>
        </w:rPr>
      </w:pPr>
    </w:p>
    <w:p w14:paraId="1C607D6D">
      <w:pPr>
        <w:snapToGrid w:val="0"/>
        <w:spacing w:line="360" w:lineRule="auto"/>
        <w:ind w:firstLine="420" w:firstLineChars="200"/>
        <w:rPr>
          <w:rFonts w:ascii="宋体" w:cs="宋体"/>
          <w:color w:val="auto"/>
          <w:szCs w:val="21"/>
          <w:highlight w:val="none"/>
        </w:rPr>
      </w:pPr>
    </w:p>
    <w:p w14:paraId="34FD3091">
      <w:pPr>
        <w:tabs>
          <w:tab w:val="left" w:pos="4860"/>
        </w:tabs>
        <w:snapToGrid w:val="0"/>
        <w:spacing w:line="360" w:lineRule="auto"/>
        <w:ind w:right="1560" w:firstLine="420" w:firstLineChars="200"/>
        <w:jc w:val="left"/>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供应商盖章：</w:t>
      </w:r>
    </w:p>
    <w:p w14:paraId="27A17E96">
      <w:pPr>
        <w:tabs>
          <w:tab w:val="left" w:pos="4860"/>
        </w:tabs>
        <w:snapToGrid w:val="0"/>
        <w:spacing w:line="360" w:lineRule="auto"/>
        <w:ind w:right="1560" w:firstLine="420" w:firstLineChars="200"/>
        <w:jc w:val="left"/>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日</w:t>
      </w:r>
      <w:r>
        <w:rPr>
          <w:rFonts w:ascii="宋体" w:hAnsi="宋体" w:cs="宋体"/>
          <w:color w:val="auto"/>
          <w:szCs w:val="21"/>
          <w:highlight w:val="none"/>
        </w:rPr>
        <w:t xml:space="preserve">  </w:t>
      </w:r>
      <w:r>
        <w:rPr>
          <w:rFonts w:hint="eastAsia" w:ascii="宋体" w:hAnsi="宋体" w:cs="宋体"/>
          <w:color w:val="auto"/>
          <w:szCs w:val="21"/>
          <w:highlight w:val="none"/>
        </w:rPr>
        <w:t>期：</w:t>
      </w:r>
    </w:p>
    <w:p w14:paraId="7633DEDA">
      <w:pPr>
        <w:pStyle w:val="53"/>
        <w:snapToGrid w:val="0"/>
        <w:spacing w:line="360" w:lineRule="auto"/>
        <w:ind w:firstLine="210" w:firstLineChars="100"/>
        <w:jc w:val="left"/>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提供社保缴纳人员名单、录用的残疾人的《中华人民共和国残疾人证》或者《中华人民共和国残疾军人证</w:t>
      </w:r>
      <w:r>
        <w:rPr>
          <w:rFonts w:ascii="宋体" w:hAnsi="宋体" w:cs="宋体"/>
          <w:color w:val="auto"/>
          <w:szCs w:val="21"/>
          <w:highlight w:val="none"/>
        </w:rPr>
        <w:t>(1</w:t>
      </w:r>
      <w:r>
        <w:rPr>
          <w:rFonts w:hint="eastAsia" w:ascii="宋体" w:hAnsi="宋体" w:cs="宋体"/>
          <w:color w:val="auto"/>
          <w:szCs w:val="21"/>
          <w:highlight w:val="none"/>
        </w:rPr>
        <w:t>至</w:t>
      </w:r>
      <w:r>
        <w:rPr>
          <w:rFonts w:ascii="宋体" w:hAnsi="宋体" w:cs="宋体"/>
          <w:color w:val="auto"/>
          <w:szCs w:val="21"/>
          <w:highlight w:val="none"/>
        </w:rPr>
        <w:t>8</w:t>
      </w:r>
      <w:r>
        <w:rPr>
          <w:rFonts w:hint="eastAsia" w:ascii="宋体" w:hAnsi="宋体" w:cs="宋体"/>
          <w:color w:val="auto"/>
          <w:szCs w:val="21"/>
          <w:highlight w:val="none"/>
        </w:rPr>
        <w:t>级</w:t>
      </w:r>
      <w:r>
        <w:rPr>
          <w:rFonts w:ascii="宋体" w:hAnsi="宋体" w:cs="宋体"/>
          <w:color w:val="auto"/>
          <w:szCs w:val="21"/>
          <w:highlight w:val="none"/>
        </w:rPr>
        <w:t>)</w:t>
      </w:r>
      <w:r>
        <w:rPr>
          <w:rFonts w:hint="eastAsia" w:ascii="宋体" w:hAnsi="宋体" w:cs="宋体"/>
          <w:color w:val="auto"/>
          <w:szCs w:val="21"/>
          <w:highlight w:val="none"/>
        </w:rPr>
        <w:t>》复印件</w:t>
      </w:r>
    </w:p>
    <w:p w14:paraId="52313597">
      <w:pPr>
        <w:snapToGrid w:val="0"/>
        <w:spacing w:line="360" w:lineRule="auto"/>
        <w:jc w:val="center"/>
        <w:rPr>
          <w:rFonts w:ascii="宋体" w:cs="宋体"/>
          <w:b/>
          <w:color w:val="auto"/>
          <w:kern w:val="0"/>
          <w:sz w:val="28"/>
          <w:szCs w:val="28"/>
          <w:highlight w:val="none"/>
        </w:rPr>
      </w:pPr>
    </w:p>
    <w:p w14:paraId="7AB0A83B">
      <w:pPr>
        <w:snapToGrid w:val="0"/>
        <w:spacing w:line="360" w:lineRule="auto"/>
        <w:jc w:val="center"/>
        <w:rPr>
          <w:rFonts w:ascii="宋体" w:cs="宋体"/>
          <w:b/>
          <w:color w:val="auto"/>
          <w:kern w:val="0"/>
          <w:sz w:val="28"/>
          <w:szCs w:val="28"/>
          <w:highlight w:val="none"/>
        </w:rPr>
      </w:pPr>
    </w:p>
    <w:p w14:paraId="0F30F72C">
      <w:pPr>
        <w:snapToGrid w:val="0"/>
        <w:spacing w:line="360" w:lineRule="auto"/>
        <w:jc w:val="center"/>
        <w:rPr>
          <w:rFonts w:ascii="宋体" w:cs="宋体"/>
          <w:b/>
          <w:color w:val="auto"/>
          <w:kern w:val="0"/>
          <w:sz w:val="28"/>
          <w:szCs w:val="28"/>
          <w:highlight w:val="none"/>
        </w:rPr>
      </w:pPr>
    </w:p>
    <w:p w14:paraId="5637F96A">
      <w:pPr>
        <w:snapToGrid w:val="0"/>
        <w:spacing w:line="360" w:lineRule="auto"/>
        <w:jc w:val="center"/>
        <w:rPr>
          <w:rFonts w:ascii="宋体" w:cs="宋体"/>
          <w:b/>
          <w:color w:val="auto"/>
          <w:kern w:val="0"/>
          <w:sz w:val="28"/>
          <w:szCs w:val="28"/>
          <w:highlight w:val="none"/>
        </w:rPr>
      </w:pPr>
    </w:p>
    <w:p w14:paraId="3CEAF263">
      <w:pPr>
        <w:snapToGrid w:val="0"/>
        <w:spacing w:line="360" w:lineRule="auto"/>
        <w:jc w:val="center"/>
        <w:rPr>
          <w:rFonts w:ascii="宋体" w:cs="宋体"/>
          <w:b/>
          <w:color w:val="auto"/>
          <w:kern w:val="0"/>
          <w:sz w:val="28"/>
          <w:szCs w:val="28"/>
          <w:highlight w:val="none"/>
        </w:rPr>
      </w:pPr>
    </w:p>
    <w:p w14:paraId="41DEFA39">
      <w:pPr>
        <w:snapToGrid w:val="0"/>
        <w:spacing w:line="360" w:lineRule="auto"/>
        <w:jc w:val="center"/>
        <w:rPr>
          <w:rFonts w:ascii="宋体" w:cs="宋体"/>
          <w:b/>
          <w:color w:val="auto"/>
          <w:kern w:val="0"/>
          <w:sz w:val="28"/>
          <w:szCs w:val="28"/>
          <w:highlight w:val="none"/>
        </w:rPr>
      </w:pPr>
    </w:p>
    <w:p w14:paraId="1A102E82">
      <w:pPr>
        <w:snapToGrid w:val="0"/>
        <w:spacing w:line="360" w:lineRule="auto"/>
        <w:jc w:val="center"/>
        <w:rPr>
          <w:rFonts w:ascii="宋体" w:cs="宋体"/>
          <w:b/>
          <w:color w:val="auto"/>
          <w:kern w:val="0"/>
          <w:sz w:val="28"/>
          <w:szCs w:val="28"/>
          <w:highlight w:val="none"/>
        </w:rPr>
      </w:pPr>
    </w:p>
    <w:p w14:paraId="3F09B06C">
      <w:pPr>
        <w:snapToGrid w:val="0"/>
        <w:spacing w:line="360" w:lineRule="auto"/>
        <w:jc w:val="center"/>
        <w:rPr>
          <w:rFonts w:ascii="宋体" w:cs="宋体"/>
          <w:b/>
          <w:color w:val="auto"/>
          <w:kern w:val="0"/>
          <w:sz w:val="28"/>
          <w:szCs w:val="28"/>
          <w:highlight w:val="none"/>
        </w:rPr>
      </w:pPr>
    </w:p>
    <w:p w14:paraId="0D370C2F">
      <w:pPr>
        <w:snapToGrid w:val="0"/>
        <w:spacing w:line="360" w:lineRule="auto"/>
        <w:jc w:val="center"/>
        <w:rPr>
          <w:rFonts w:ascii="宋体" w:cs="宋体"/>
          <w:b/>
          <w:color w:val="auto"/>
          <w:kern w:val="0"/>
          <w:sz w:val="28"/>
          <w:szCs w:val="28"/>
          <w:highlight w:val="none"/>
        </w:rPr>
      </w:pPr>
    </w:p>
    <w:p w14:paraId="3CD850C9">
      <w:pPr>
        <w:snapToGrid w:val="0"/>
        <w:spacing w:line="360" w:lineRule="auto"/>
        <w:jc w:val="center"/>
        <w:rPr>
          <w:rFonts w:ascii="宋体" w:cs="宋体"/>
          <w:b/>
          <w:color w:val="auto"/>
          <w:kern w:val="0"/>
          <w:sz w:val="28"/>
          <w:szCs w:val="28"/>
          <w:highlight w:val="none"/>
        </w:rPr>
      </w:pPr>
    </w:p>
    <w:p w14:paraId="676F169E">
      <w:pPr>
        <w:snapToGrid w:val="0"/>
        <w:spacing w:line="360" w:lineRule="auto"/>
        <w:jc w:val="center"/>
        <w:rPr>
          <w:rFonts w:ascii="宋体" w:cs="宋体"/>
          <w:b/>
          <w:color w:val="auto"/>
          <w:kern w:val="0"/>
          <w:sz w:val="28"/>
          <w:szCs w:val="28"/>
          <w:highlight w:val="none"/>
        </w:rPr>
      </w:pPr>
    </w:p>
    <w:p w14:paraId="7A4EEE2B">
      <w:pPr>
        <w:snapToGrid w:val="0"/>
        <w:spacing w:line="360" w:lineRule="auto"/>
        <w:jc w:val="center"/>
        <w:rPr>
          <w:rFonts w:ascii="宋体" w:cs="宋体"/>
          <w:b/>
          <w:color w:val="auto"/>
          <w:kern w:val="0"/>
          <w:sz w:val="28"/>
          <w:szCs w:val="28"/>
          <w:highlight w:val="none"/>
        </w:rPr>
      </w:pPr>
    </w:p>
    <w:p w14:paraId="5B55774D">
      <w:pPr>
        <w:snapToGrid w:val="0"/>
        <w:spacing w:line="360" w:lineRule="auto"/>
        <w:jc w:val="center"/>
        <w:rPr>
          <w:rFonts w:ascii="宋体" w:cs="宋体"/>
          <w:b/>
          <w:color w:val="auto"/>
          <w:kern w:val="0"/>
          <w:sz w:val="28"/>
          <w:szCs w:val="28"/>
          <w:highlight w:val="none"/>
        </w:rPr>
      </w:pPr>
    </w:p>
    <w:p w14:paraId="750BC6E8">
      <w:pPr>
        <w:snapToGrid w:val="0"/>
        <w:spacing w:line="360" w:lineRule="auto"/>
        <w:jc w:val="center"/>
        <w:rPr>
          <w:rFonts w:ascii="宋体" w:cs="宋体"/>
          <w:b/>
          <w:color w:val="auto"/>
          <w:kern w:val="0"/>
          <w:sz w:val="28"/>
          <w:szCs w:val="28"/>
          <w:highlight w:val="none"/>
        </w:rPr>
      </w:pPr>
    </w:p>
    <w:p w14:paraId="25D2A1D4">
      <w:pPr>
        <w:pStyle w:val="12"/>
        <w:widowControl w:val="0"/>
        <w:rPr>
          <w:color w:val="auto"/>
          <w:highlight w:val="none"/>
        </w:rPr>
      </w:pPr>
    </w:p>
    <w:p w14:paraId="67999CB1">
      <w:pPr>
        <w:snapToGrid w:val="0"/>
        <w:spacing w:line="360" w:lineRule="auto"/>
        <w:jc w:val="center"/>
        <w:rPr>
          <w:rFonts w:ascii="宋体" w:cs="宋体"/>
          <w:b/>
          <w:color w:val="auto"/>
          <w:kern w:val="0"/>
          <w:sz w:val="28"/>
          <w:szCs w:val="28"/>
          <w:highlight w:val="none"/>
        </w:rPr>
      </w:pPr>
      <w:r>
        <w:rPr>
          <w:rFonts w:hint="eastAsia" w:ascii="宋体" w:hAnsi="宋体" w:cs="宋体"/>
          <w:b/>
          <w:color w:val="auto"/>
          <w:kern w:val="0"/>
          <w:sz w:val="28"/>
          <w:szCs w:val="28"/>
          <w:highlight w:val="none"/>
        </w:rPr>
        <w:t>监狱企业声明函</w:t>
      </w:r>
    </w:p>
    <w:p w14:paraId="60BC6D2D">
      <w:pPr>
        <w:snapToGrid w:val="0"/>
        <w:spacing w:line="360" w:lineRule="auto"/>
        <w:ind w:firstLine="480" w:firstLineChars="200"/>
        <w:jc w:val="left"/>
        <w:rPr>
          <w:rFonts w:ascii="宋体" w:cs="宋体"/>
          <w:color w:val="auto"/>
          <w:kern w:val="0"/>
          <w:sz w:val="24"/>
          <w:highlight w:val="none"/>
        </w:rPr>
      </w:pPr>
    </w:p>
    <w:p w14:paraId="719A4C8E">
      <w:pPr>
        <w:snapToGrid w:val="0"/>
        <w:spacing w:line="360" w:lineRule="auto"/>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本公司郑重声明，根据《关于政府采购支持监狱企业发展有关问题的通知》</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（财库</w:t>
      </w:r>
      <w:r>
        <w:rPr>
          <w:rFonts w:ascii="宋体" w:hAnsi="宋体" w:cs="宋体"/>
          <w:color w:val="auto"/>
          <w:kern w:val="0"/>
          <w:szCs w:val="21"/>
          <w:highlight w:val="none"/>
        </w:rPr>
        <w:t xml:space="preserve">[2014]68 </w:t>
      </w:r>
      <w:r>
        <w:rPr>
          <w:rFonts w:hint="eastAsia" w:ascii="宋体" w:hAnsi="宋体" w:cs="宋体"/>
          <w:color w:val="auto"/>
          <w:kern w:val="0"/>
          <w:szCs w:val="21"/>
          <w:highlight w:val="none"/>
        </w:rPr>
        <w:t>号）的规定，本公司为</w:t>
      </w:r>
      <w:r>
        <w:rPr>
          <w:rFonts w:hint="eastAsia" w:ascii="宋体" w:hAnsi="宋体" w:cs="宋体"/>
          <w:color w:val="auto"/>
          <w:kern w:val="0"/>
          <w:szCs w:val="21"/>
          <w:highlight w:val="none"/>
          <w:u w:val="single"/>
        </w:rPr>
        <w:t>监狱企业</w:t>
      </w:r>
      <w:r>
        <w:rPr>
          <w:rFonts w:hint="eastAsia" w:ascii="宋体" w:hAnsi="宋体" w:cs="宋体"/>
          <w:color w:val="auto"/>
          <w:kern w:val="0"/>
          <w:szCs w:val="21"/>
          <w:highlight w:val="none"/>
        </w:rPr>
        <w:t>。</w:t>
      </w:r>
    </w:p>
    <w:p w14:paraId="709A4234">
      <w:pPr>
        <w:snapToGrid w:val="0"/>
        <w:spacing w:line="360" w:lineRule="auto"/>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根据上述标准，我公司属于监狱企业的理由为：</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1E5CAB49">
      <w:pPr>
        <w:snapToGrid w:val="0"/>
        <w:spacing w:line="360" w:lineRule="auto"/>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本公司为参加（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项目名称</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（项目编号：</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）采购活动提供本企业提供服务。</w:t>
      </w:r>
    </w:p>
    <w:p w14:paraId="1E221C29">
      <w:pPr>
        <w:snapToGrid w:val="0"/>
        <w:spacing w:line="360" w:lineRule="auto"/>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本公司对上述声明的真实性负责。如有虚假，将依法承担相应责任。</w:t>
      </w:r>
    </w:p>
    <w:p w14:paraId="1644A97E">
      <w:pPr>
        <w:snapToGrid w:val="0"/>
        <w:spacing w:line="360" w:lineRule="auto"/>
        <w:ind w:firstLine="420" w:firstLineChars="200"/>
        <w:jc w:val="left"/>
        <w:rPr>
          <w:rFonts w:ascii="宋体" w:cs="宋体"/>
          <w:color w:val="auto"/>
          <w:kern w:val="0"/>
          <w:szCs w:val="21"/>
          <w:highlight w:val="none"/>
        </w:rPr>
      </w:pPr>
    </w:p>
    <w:p w14:paraId="255685B2">
      <w:pPr>
        <w:snapToGrid w:val="0"/>
        <w:spacing w:line="360" w:lineRule="auto"/>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供应商盖章：</w:t>
      </w:r>
    </w:p>
    <w:p w14:paraId="58C57E2A">
      <w:pPr>
        <w:snapToGrid w:val="0"/>
        <w:spacing w:line="360" w:lineRule="auto"/>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日期：</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年</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月</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日</w:t>
      </w:r>
    </w:p>
    <w:p w14:paraId="588461B0">
      <w:pPr>
        <w:overflowPunct w:val="0"/>
        <w:spacing w:line="400" w:lineRule="exact"/>
        <w:jc w:val="left"/>
        <w:rPr>
          <w:rFonts w:ascii="宋体" w:hAnsi="宋体" w:cs="宋体"/>
          <w:color w:val="auto"/>
          <w:sz w:val="28"/>
          <w:szCs w:val="28"/>
          <w:highlight w:val="none"/>
        </w:rPr>
      </w:pPr>
    </w:p>
    <w:p w14:paraId="73F00283">
      <w:pPr>
        <w:overflowPunct w:val="0"/>
        <w:spacing w:line="400" w:lineRule="exact"/>
        <w:jc w:val="left"/>
        <w:rPr>
          <w:rFonts w:ascii="宋体" w:hAnsi="宋体" w:cs="宋体"/>
          <w:color w:val="auto"/>
          <w:sz w:val="28"/>
          <w:szCs w:val="28"/>
          <w:highlight w:val="none"/>
        </w:rPr>
      </w:pPr>
    </w:p>
    <w:p w14:paraId="18CA9BF1">
      <w:pPr>
        <w:overflowPunct w:val="0"/>
        <w:spacing w:line="400" w:lineRule="exact"/>
        <w:jc w:val="left"/>
        <w:rPr>
          <w:rFonts w:ascii="宋体" w:hAnsi="宋体" w:cs="宋体"/>
          <w:color w:val="auto"/>
          <w:sz w:val="28"/>
          <w:szCs w:val="28"/>
          <w:highlight w:val="none"/>
        </w:rPr>
      </w:pPr>
    </w:p>
    <w:p w14:paraId="3571C09F">
      <w:pPr>
        <w:overflowPunct w:val="0"/>
        <w:spacing w:line="400" w:lineRule="exact"/>
        <w:jc w:val="left"/>
        <w:rPr>
          <w:rFonts w:ascii="宋体" w:hAnsi="宋体" w:cs="宋体"/>
          <w:color w:val="auto"/>
          <w:sz w:val="28"/>
          <w:szCs w:val="28"/>
          <w:highlight w:val="none"/>
        </w:rPr>
      </w:pPr>
    </w:p>
    <w:p w14:paraId="5D1A073B">
      <w:pPr>
        <w:overflowPunct w:val="0"/>
        <w:spacing w:line="400" w:lineRule="exact"/>
        <w:jc w:val="left"/>
        <w:rPr>
          <w:rFonts w:ascii="宋体" w:hAnsi="宋体" w:cs="宋体"/>
          <w:color w:val="auto"/>
          <w:sz w:val="28"/>
          <w:szCs w:val="28"/>
          <w:highlight w:val="none"/>
        </w:rPr>
      </w:pPr>
    </w:p>
    <w:p w14:paraId="427D02F7">
      <w:pPr>
        <w:overflowPunct w:val="0"/>
        <w:spacing w:line="400" w:lineRule="exact"/>
        <w:jc w:val="left"/>
        <w:rPr>
          <w:rFonts w:ascii="宋体" w:hAnsi="宋体" w:cs="宋体"/>
          <w:color w:val="auto"/>
          <w:sz w:val="28"/>
          <w:szCs w:val="28"/>
          <w:highlight w:val="none"/>
        </w:rPr>
      </w:pPr>
    </w:p>
    <w:p w14:paraId="114D746C">
      <w:pPr>
        <w:overflowPunct w:val="0"/>
        <w:spacing w:line="400" w:lineRule="exact"/>
        <w:jc w:val="left"/>
        <w:rPr>
          <w:rFonts w:ascii="宋体" w:hAnsi="宋体" w:cs="宋体"/>
          <w:color w:val="auto"/>
          <w:sz w:val="28"/>
          <w:szCs w:val="28"/>
          <w:highlight w:val="none"/>
        </w:rPr>
      </w:pPr>
    </w:p>
    <w:p w14:paraId="2F988FAA">
      <w:pPr>
        <w:overflowPunct w:val="0"/>
        <w:spacing w:line="400" w:lineRule="exact"/>
        <w:jc w:val="left"/>
        <w:rPr>
          <w:rFonts w:ascii="宋体" w:hAnsi="宋体" w:cs="宋体"/>
          <w:color w:val="auto"/>
          <w:sz w:val="28"/>
          <w:szCs w:val="28"/>
          <w:highlight w:val="none"/>
        </w:rPr>
      </w:pPr>
    </w:p>
    <w:p w14:paraId="231D08D1">
      <w:pPr>
        <w:overflowPunct w:val="0"/>
        <w:spacing w:line="400" w:lineRule="exact"/>
        <w:jc w:val="left"/>
        <w:rPr>
          <w:rFonts w:ascii="宋体" w:hAnsi="宋体" w:cs="宋体"/>
          <w:color w:val="auto"/>
          <w:sz w:val="28"/>
          <w:szCs w:val="28"/>
          <w:highlight w:val="none"/>
        </w:rPr>
      </w:pPr>
    </w:p>
    <w:p w14:paraId="68F6252E">
      <w:pPr>
        <w:overflowPunct w:val="0"/>
        <w:spacing w:line="400" w:lineRule="exact"/>
        <w:jc w:val="left"/>
        <w:rPr>
          <w:rFonts w:ascii="宋体" w:hAnsi="宋体" w:cs="宋体"/>
          <w:color w:val="auto"/>
          <w:sz w:val="28"/>
          <w:szCs w:val="28"/>
          <w:highlight w:val="none"/>
        </w:rPr>
      </w:pPr>
    </w:p>
    <w:p w14:paraId="4BA3B71F">
      <w:pPr>
        <w:overflowPunct w:val="0"/>
        <w:spacing w:line="400" w:lineRule="exact"/>
        <w:jc w:val="left"/>
        <w:rPr>
          <w:rFonts w:ascii="宋体" w:hAnsi="宋体" w:cs="宋体"/>
          <w:color w:val="auto"/>
          <w:sz w:val="28"/>
          <w:szCs w:val="28"/>
          <w:highlight w:val="none"/>
        </w:rPr>
      </w:pPr>
    </w:p>
    <w:p w14:paraId="53CB2FEA">
      <w:pPr>
        <w:overflowPunct w:val="0"/>
        <w:spacing w:line="400" w:lineRule="exact"/>
        <w:jc w:val="left"/>
        <w:rPr>
          <w:rFonts w:ascii="宋体" w:hAnsi="宋体" w:cs="宋体"/>
          <w:color w:val="auto"/>
          <w:sz w:val="28"/>
          <w:szCs w:val="28"/>
          <w:highlight w:val="none"/>
        </w:rPr>
      </w:pPr>
    </w:p>
    <w:p w14:paraId="642FA7A3">
      <w:pPr>
        <w:overflowPunct w:val="0"/>
        <w:spacing w:line="400" w:lineRule="exact"/>
        <w:jc w:val="left"/>
        <w:rPr>
          <w:rFonts w:ascii="宋体" w:hAnsi="宋体" w:cs="宋体"/>
          <w:color w:val="auto"/>
          <w:sz w:val="28"/>
          <w:szCs w:val="28"/>
          <w:highlight w:val="none"/>
        </w:rPr>
      </w:pPr>
    </w:p>
    <w:p w14:paraId="01964D2D">
      <w:pPr>
        <w:overflowPunct w:val="0"/>
        <w:spacing w:line="400" w:lineRule="exact"/>
        <w:jc w:val="left"/>
        <w:rPr>
          <w:rFonts w:ascii="宋体" w:hAnsi="宋体" w:cs="宋体"/>
          <w:color w:val="auto"/>
          <w:sz w:val="28"/>
          <w:szCs w:val="28"/>
          <w:highlight w:val="none"/>
        </w:rPr>
      </w:pPr>
    </w:p>
    <w:p w14:paraId="2D945983">
      <w:pPr>
        <w:overflowPunct w:val="0"/>
        <w:spacing w:line="400" w:lineRule="exact"/>
        <w:jc w:val="left"/>
        <w:rPr>
          <w:rFonts w:ascii="宋体" w:hAnsi="宋体" w:cs="宋体"/>
          <w:color w:val="auto"/>
          <w:sz w:val="28"/>
          <w:szCs w:val="28"/>
          <w:highlight w:val="none"/>
        </w:rPr>
      </w:pPr>
    </w:p>
    <w:p w14:paraId="6603180F">
      <w:pPr>
        <w:overflowPunct w:val="0"/>
        <w:spacing w:line="400" w:lineRule="exact"/>
        <w:jc w:val="left"/>
        <w:rPr>
          <w:rFonts w:ascii="宋体" w:hAnsi="宋体" w:cs="宋体"/>
          <w:color w:val="auto"/>
          <w:sz w:val="28"/>
          <w:szCs w:val="28"/>
          <w:highlight w:val="none"/>
        </w:rPr>
      </w:pPr>
    </w:p>
    <w:p w14:paraId="62EE7CA3">
      <w:pPr>
        <w:overflowPunct w:val="0"/>
        <w:spacing w:line="400" w:lineRule="exact"/>
        <w:jc w:val="left"/>
        <w:rPr>
          <w:rFonts w:ascii="宋体" w:hAnsi="宋体" w:cs="宋体"/>
          <w:color w:val="auto"/>
          <w:sz w:val="28"/>
          <w:szCs w:val="28"/>
          <w:highlight w:val="none"/>
        </w:rPr>
      </w:pPr>
    </w:p>
    <w:p w14:paraId="38C0D50C">
      <w:pPr>
        <w:overflowPunct w:val="0"/>
        <w:spacing w:line="400" w:lineRule="exact"/>
        <w:jc w:val="left"/>
        <w:rPr>
          <w:rFonts w:ascii="宋体" w:hAnsi="宋体" w:cs="宋体"/>
          <w:color w:val="auto"/>
          <w:sz w:val="28"/>
          <w:szCs w:val="28"/>
          <w:highlight w:val="none"/>
        </w:rPr>
      </w:pPr>
    </w:p>
    <w:p w14:paraId="47EB9C93">
      <w:pPr>
        <w:overflowPunct w:val="0"/>
        <w:spacing w:line="400" w:lineRule="exact"/>
        <w:jc w:val="left"/>
        <w:rPr>
          <w:rFonts w:ascii="宋体" w:hAnsi="宋体" w:cs="宋体"/>
          <w:color w:val="auto"/>
          <w:sz w:val="28"/>
          <w:szCs w:val="28"/>
          <w:highlight w:val="none"/>
        </w:rPr>
      </w:pPr>
    </w:p>
    <w:p w14:paraId="0AC48E4E">
      <w:pPr>
        <w:overflowPunct w:val="0"/>
        <w:spacing w:line="400" w:lineRule="exact"/>
        <w:jc w:val="left"/>
        <w:rPr>
          <w:rFonts w:ascii="宋体" w:hAnsi="宋体" w:cs="宋体"/>
          <w:color w:val="auto"/>
          <w:sz w:val="28"/>
          <w:szCs w:val="28"/>
          <w:highlight w:val="none"/>
        </w:rPr>
      </w:pPr>
    </w:p>
    <w:p w14:paraId="0A70E3D5">
      <w:pPr>
        <w:overflowPunct w:val="0"/>
        <w:spacing w:line="400" w:lineRule="exact"/>
        <w:jc w:val="left"/>
        <w:rPr>
          <w:rFonts w:ascii="宋体" w:hAnsi="宋体" w:cs="宋体"/>
          <w:color w:val="auto"/>
          <w:sz w:val="28"/>
          <w:szCs w:val="28"/>
          <w:highlight w:val="none"/>
        </w:rPr>
      </w:pPr>
    </w:p>
    <w:p w14:paraId="1AF8FF14">
      <w:pPr>
        <w:overflowPunct w:val="0"/>
        <w:spacing w:line="400" w:lineRule="exact"/>
        <w:jc w:val="left"/>
        <w:rPr>
          <w:rFonts w:ascii="宋体" w:hAnsi="宋体" w:cs="宋体"/>
          <w:color w:val="auto"/>
          <w:sz w:val="28"/>
          <w:szCs w:val="28"/>
          <w:highlight w:val="none"/>
        </w:rPr>
      </w:pPr>
    </w:p>
    <w:p w14:paraId="15822CF1">
      <w:pPr>
        <w:overflowPunct w:val="0"/>
        <w:spacing w:line="400" w:lineRule="exact"/>
        <w:jc w:val="left"/>
        <w:rPr>
          <w:rFonts w:ascii="宋体" w:hAnsi="宋体" w:cs="宋体"/>
          <w:color w:val="auto"/>
          <w:sz w:val="28"/>
          <w:szCs w:val="28"/>
          <w:highlight w:val="none"/>
        </w:rPr>
      </w:pPr>
    </w:p>
    <w:p w14:paraId="7AE22079">
      <w:pPr>
        <w:overflowPunct w:val="0"/>
        <w:spacing w:line="400" w:lineRule="exact"/>
        <w:jc w:val="left"/>
        <w:rPr>
          <w:rFonts w:ascii="宋体" w:hAnsi="宋体" w:cs="宋体"/>
          <w:color w:val="auto"/>
          <w:sz w:val="28"/>
          <w:szCs w:val="28"/>
          <w:highlight w:val="none"/>
        </w:rPr>
      </w:pPr>
    </w:p>
    <w:p w14:paraId="4D85268D">
      <w:pPr>
        <w:overflowPunct w:val="0"/>
        <w:spacing w:line="400" w:lineRule="exact"/>
        <w:jc w:val="left"/>
        <w:rPr>
          <w:rFonts w:ascii="宋体" w:cs="宋体"/>
          <w:color w:val="auto"/>
          <w:sz w:val="28"/>
          <w:szCs w:val="28"/>
          <w:highlight w:val="none"/>
        </w:rPr>
      </w:pP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t>、法定代表人身份证明书</w:t>
      </w:r>
    </w:p>
    <w:p w14:paraId="6E9B37D1">
      <w:pPr>
        <w:overflowPunct w:val="0"/>
        <w:spacing w:before="156" w:beforeLines="50" w:after="156" w:afterLines="50" w:line="400" w:lineRule="exact"/>
        <w:jc w:val="center"/>
        <w:rPr>
          <w:rFonts w:ascii="宋体" w:cs="宋体"/>
          <w:bCs/>
          <w:color w:val="auto"/>
          <w:sz w:val="28"/>
          <w:szCs w:val="28"/>
          <w:highlight w:val="none"/>
        </w:rPr>
      </w:pPr>
    </w:p>
    <w:p w14:paraId="37F0CDE1">
      <w:pPr>
        <w:overflowPunct w:val="0"/>
        <w:spacing w:before="156" w:beforeLines="50" w:after="156" w:afterLines="50" w:line="400" w:lineRule="exact"/>
        <w:jc w:val="center"/>
        <w:rPr>
          <w:rFonts w:ascii="宋体" w:cs="宋体"/>
          <w:b/>
          <w:color w:val="auto"/>
          <w:sz w:val="28"/>
          <w:szCs w:val="28"/>
          <w:highlight w:val="none"/>
        </w:rPr>
      </w:pPr>
      <w:r>
        <w:rPr>
          <w:rFonts w:hint="eastAsia" w:ascii="宋体" w:hAnsi="宋体" w:cs="宋体"/>
          <w:b/>
          <w:color w:val="auto"/>
          <w:sz w:val="28"/>
          <w:szCs w:val="28"/>
          <w:highlight w:val="none"/>
        </w:rPr>
        <w:t>法定代表人身份证明书</w:t>
      </w:r>
    </w:p>
    <w:p w14:paraId="5E1AEB06">
      <w:pPr>
        <w:overflowPunct w:val="0"/>
        <w:spacing w:line="360" w:lineRule="auto"/>
        <w:rPr>
          <w:rFonts w:ascii="宋体" w:cs="宋体"/>
          <w:color w:val="auto"/>
          <w:szCs w:val="21"/>
          <w:highlight w:val="none"/>
        </w:rPr>
      </w:pPr>
      <w:r>
        <w:rPr>
          <w:rFonts w:hint="eastAsia" w:ascii="宋体" w:hAnsi="宋体" w:cs="宋体"/>
          <w:color w:val="auto"/>
          <w:szCs w:val="21"/>
          <w:highlight w:val="none"/>
        </w:rPr>
        <w:t>致</w:t>
      </w:r>
      <w:r>
        <w:rPr>
          <w:rFonts w:ascii="宋体" w:hAnsi="宋体" w:cs="宋体"/>
          <w:color w:val="auto"/>
          <w:szCs w:val="21"/>
          <w:highlight w:val="none"/>
          <w:u w:val="single"/>
        </w:rPr>
        <w:t xml:space="preserve">                  </w:t>
      </w:r>
      <w:r>
        <w:rPr>
          <w:rFonts w:hint="eastAsia" w:ascii="宋体" w:hAnsi="宋体" w:cs="宋体"/>
          <w:color w:val="auto"/>
          <w:szCs w:val="21"/>
          <w:highlight w:val="none"/>
          <w:lang w:val="zh-CN"/>
        </w:rPr>
        <w:t>：</w:t>
      </w:r>
    </w:p>
    <w:p w14:paraId="14F5D31B">
      <w:pPr>
        <w:overflowPunct w:val="0"/>
        <w:spacing w:before="156" w:beforeLines="50" w:after="156" w:afterLines="50" w:line="400" w:lineRule="exact"/>
        <w:rPr>
          <w:rFonts w:ascii="宋体" w:cs="宋体"/>
          <w:color w:val="auto"/>
          <w:szCs w:val="21"/>
          <w:highlight w:val="none"/>
          <w:u w:val="single"/>
        </w:rPr>
      </w:pPr>
      <w:r>
        <w:rPr>
          <w:rFonts w:ascii="宋体" w:hAnsi="宋体" w:cs="宋体"/>
          <w:bCs/>
          <w:color w:val="auto"/>
          <w:sz w:val="30"/>
          <w:highlight w:val="non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（法定代表人姓名）</w:t>
      </w:r>
      <w:r>
        <w:rPr>
          <w:rFonts w:ascii="宋体" w:hAnsi="宋体" w:cs="宋体"/>
          <w:color w:val="auto"/>
          <w:szCs w:val="21"/>
          <w:highlight w:val="none"/>
          <w:u w:val="single"/>
        </w:rPr>
        <w:t xml:space="preserve">   </w:t>
      </w:r>
      <w:r>
        <w:rPr>
          <w:rFonts w:hint="eastAsia" w:ascii="宋体" w:hAnsi="宋体" w:cs="宋体"/>
          <w:color w:val="auto"/>
          <w:szCs w:val="21"/>
          <w:highlight w:val="none"/>
        </w:rPr>
        <w:t>系</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（供应商名称）</w:t>
      </w:r>
      <w:r>
        <w:rPr>
          <w:rFonts w:ascii="宋体" w:hAnsi="宋体" w:cs="宋体"/>
          <w:color w:val="auto"/>
          <w:szCs w:val="21"/>
          <w:highlight w:val="none"/>
          <w:u w:val="single"/>
        </w:rPr>
        <w:t xml:space="preserve">  </w:t>
      </w:r>
      <w:r>
        <w:rPr>
          <w:rFonts w:hint="eastAsia" w:ascii="宋体" w:hAnsi="宋体" w:cs="宋体"/>
          <w:color w:val="auto"/>
          <w:szCs w:val="21"/>
          <w:highlight w:val="none"/>
        </w:rPr>
        <w:t>的法定代表人，性别</w:t>
      </w:r>
      <w:r>
        <w:rPr>
          <w:rFonts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ascii="宋体" w:hAnsi="宋体" w:cs="宋体"/>
          <w:color w:val="auto"/>
          <w:szCs w:val="21"/>
          <w:highlight w:val="none"/>
          <w:u w:val="single"/>
        </w:rPr>
        <w:t xml:space="preserve">   </w:t>
      </w:r>
    </w:p>
    <w:p w14:paraId="397B7718">
      <w:pPr>
        <w:overflowPunct w:val="0"/>
        <w:spacing w:before="156" w:beforeLines="50" w:after="156" w:afterLines="50" w:line="400" w:lineRule="exact"/>
        <w:rPr>
          <w:rFonts w:asci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，联系电话</w:t>
      </w:r>
      <w:r>
        <w:rPr>
          <w:rFonts w:ascii="宋体" w:hAnsi="宋体" w:cs="宋体"/>
          <w:color w:val="auto"/>
          <w:szCs w:val="21"/>
          <w:highlight w:val="none"/>
          <w:u w:val="single"/>
        </w:rPr>
        <w:t xml:space="preserve">         </w:t>
      </w:r>
      <w:r>
        <w:rPr>
          <w:rFonts w:hint="eastAsia" w:ascii="宋体" w:hAnsi="宋体" w:cs="宋体"/>
          <w:color w:val="auto"/>
          <w:szCs w:val="21"/>
          <w:highlight w:val="none"/>
        </w:rPr>
        <w:t>传真</w:t>
      </w:r>
      <w:r>
        <w:rPr>
          <w:rFonts w:ascii="宋体" w:hAnsi="宋体" w:cs="宋体"/>
          <w:color w:val="auto"/>
          <w:szCs w:val="21"/>
          <w:highlight w:val="none"/>
          <w:u w:val="single"/>
        </w:rPr>
        <w:t xml:space="preserve">                </w:t>
      </w:r>
      <w:r>
        <w:rPr>
          <w:rFonts w:hint="eastAsia" w:ascii="宋体" w:hAnsi="宋体" w:cs="宋体"/>
          <w:color w:val="auto"/>
          <w:szCs w:val="21"/>
          <w:highlight w:val="none"/>
        </w:rPr>
        <w:t>，联系地址</w:t>
      </w:r>
      <w:r>
        <w:rPr>
          <w:rFonts w:ascii="宋体" w:hAnsi="宋体" w:cs="宋体"/>
          <w:color w:val="auto"/>
          <w:szCs w:val="21"/>
          <w:highlight w:val="none"/>
          <w:u w:val="single"/>
        </w:rPr>
        <w:t xml:space="preserve">                 </w:t>
      </w:r>
      <w:r>
        <w:rPr>
          <w:rFonts w:hint="eastAsia" w:ascii="宋体" w:hAnsi="宋体" w:cs="宋体"/>
          <w:color w:val="auto"/>
          <w:szCs w:val="21"/>
          <w:highlight w:val="none"/>
        </w:rPr>
        <w:t>，邮编</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r>
        <w:rPr>
          <w:rFonts w:ascii="宋体" w:hAnsi="宋体" w:cs="宋体"/>
          <w:color w:val="auto"/>
          <w:szCs w:val="21"/>
          <w:highlight w:val="none"/>
        </w:rPr>
        <w:t xml:space="preserve">          </w:t>
      </w:r>
    </w:p>
    <w:p w14:paraId="77552699">
      <w:pPr>
        <w:overflowPunct w:val="0"/>
        <w:spacing w:before="156" w:beforeLines="50" w:after="156" w:afterLines="50" w:line="400" w:lineRule="exact"/>
        <w:rPr>
          <w:rFonts w:ascii="宋体" w:cs="宋体"/>
          <w:color w:val="auto"/>
          <w:szCs w:val="21"/>
          <w:highlight w:val="none"/>
        </w:rPr>
      </w:pPr>
    </w:p>
    <w:p w14:paraId="5F99298C">
      <w:pPr>
        <w:overflowPunct w:val="0"/>
        <w:spacing w:before="156" w:beforeLines="50" w:after="156" w:afterLines="50" w:line="400" w:lineRule="exact"/>
        <w:jc w:val="center"/>
        <w:rPr>
          <w:rFonts w:ascii="宋体" w:cs="宋体"/>
          <w:color w:val="auto"/>
          <w:szCs w:val="21"/>
          <w:highlight w:val="none"/>
        </w:rPr>
      </w:pPr>
      <w:r>
        <w:rPr>
          <w:rFonts w:hint="eastAsia" w:ascii="宋体" w:hAnsi="宋体" w:cs="宋体"/>
          <w:color w:val="auto"/>
          <w:szCs w:val="21"/>
          <w:highlight w:val="none"/>
        </w:rPr>
        <w:t>特此证明</w:t>
      </w:r>
    </w:p>
    <w:p w14:paraId="305BB740">
      <w:pPr>
        <w:overflowPunct w:val="0"/>
        <w:spacing w:before="156" w:beforeLines="50" w:after="156" w:afterLines="50" w:line="400" w:lineRule="exact"/>
        <w:jc w:val="right"/>
        <w:rPr>
          <w:rFonts w:ascii="宋体" w:cs="宋体"/>
          <w:color w:val="auto"/>
          <w:szCs w:val="21"/>
          <w:highlight w:val="none"/>
        </w:rPr>
      </w:pPr>
    </w:p>
    <w:p w14:paraId="47A6020D">
      <w:pPr>
        <w:overflowPunct w:val="0"/>
        <w:spacing w:before="156" w:beforeLines="50" w:after="156" w:afterLines="50" w:line="400" w:lineRule="exact"/>
        <w:jc w:val="right"/>
        <w:rPr>
          <w:rFonts w:ascii="宋体" w:cs="宋体"/>
          <w:color w:val="auto"/>
          <w:szCs w:val="21"/>
          <w:highlight w:val="none"/>
        </w:rPr>
      </w:pPr>
      <w:r>
        <w:rPr>
          <w:rFonts w:hint="eastAsia" w:ascii="宋体" w:hAnsi="宋体" w:cs="宋体"/>
          <w:color w:val="auto"/>
          <w:szCs w:val="21"/>
          <w:highlight w:val="none"/>
        </w:rPr>
        <w:t>供应商名称（公章）</w:t>
      </w:r>
    </w:p>
    <w:p w14:paraId="271934DE">
      <w:pPr>
        <w:pBdr>
          <w:bottom w:val="single" w:color="auto" w:sz="4" w:space="0"/>
        </w:pBdr>
        <w:overflowPunct w:val="0"/>
        <w:spacing w:before="156" w:beforeLines="50" w:after="156" w:afterLines="50" w:line="400" w:lineRule="exact"/>
        <w:jc w:val="right"/>
        <w:rPr>
          <w:rFonts w:ascii="宋体" w:cs="宋体"/>
          <w:color w:val="auto"/>
          <w:szCs w:val="21"/>
          <w:highlight w:val="none"/>
        </w:rPr>
      </w:pPr>
      <w:r>
        <w:rPr>
          <w:rFonts w:hint="eastAsia" w:ascii="宋体" w:hAnsi="宋体" w:cs="宋体"/>
          <w:color w:val="auto"/>
          <w:szCs w:val="21"/>
          <w:highlight w:val="none"/>
        </w:rPr>
        <w:t>日期：</w:t>
      </w: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p w14:paraId="35C11E5E">
      <w:pPr>
        <w:pStyle w:val="30"/>
        <w:widowControl w:val="0"/>
        <w:overflowPunct w:val="0"/>
        <w:rPr>
          <w:color w:val="auto"/>
          <w:highlight w:val="none"/>
        </w:rPr>
      </w:pPr>
    </w:p>
    <w:p w14:paraId="7856CDB8">
      <w:pPr>
        <w:overflowPunct w:val="0"/>
        <w:spacing w:before="156" w:beforeLines="50" w:after="156" w:afterLines="50" w:line="400" w:lineRule="exact"/>
        <w:jc w:val="center"/>
        <w:rPr>
          <w:rFonts w:ascii="宋体" w:cs="宋体"/>
          <w:color w:val="auto"/>
          <w:szCs w:val="21"/>
          <w:highlight w:val="none"/>
        </w:rPr>
      </w:pPr>
      <w:r>
        <w:rPr>
          <w:rFonts w:hint="eastAsia" w:ascii="宋体" w:hAnsi="宋体" w:cs="宋体"/>
          <w:color w:val="auto"/>
          <w:szCs w:val="21"/>
          <w:highlight w:val="none"/>
        </w:rPr>
        <w:t>附法定代表人身份证复印件</w:t>
      </w:r>
    </w:p>
    <w:p w14:paraId="0F99FFCF">
      <w:pPr>
        <w:overflowPunct w:val="0"/>
        <w:spacing w:before="156" w:beforeLines="50" w:after="156" w:afterLines="50" w:line="400" w:lineRule="exact"/>
        <w:rPr>
          <w:rFonts w:ascii="宋体" w:cs="宋体"/>
          <w:color w:val="auto"/>
          <w:szCs w:val="21"/>
          <w:highlight w:val="none"/>
        </w:rPr>
      </w:pPr>
      <w:r>
        <w:rPr>
          <w:rFonts w:ascii="宋体" w:hAnsi="宋体" w:cs="宋体"/>
          <w:color w:val="auto"/>
          <w:szCs w:val="21"/>
          <w:highlight w:val="none"/>
        </w:rPr>
        <w:t xml:space="preserve">   </w:t>
      </w:r>
    </w:p>
    <w:p w14:paraId="780F5D8B">
      <w:pPr>
        <w:overflowPunct w:val="0"/>
        <w:spacing w:before="156" w:beforeLines="50" w:after="156" w:afterLines="50" w:line="400" w:lineRule="exact"/>
        <w:rPr>
          <w:rFonts w:ascii="宋体" w:cs="宋体"/>
          <w:color w:val="auto"/>
          <w:szCs w:val="21"/>
          <w:highlight w:val="none"/>
        </w:rPr>
      </w:pPr>
    </w:p>
    <w:p w14:paraId="05757EB8">
      <w:pPr>
        <w:overflowPunct w:val="0"/>
        <w:spacing w:before="156" w:beforeLines="50" w:after="156" w:afterLines="50" w:line="400" w:lineRule="exact"/>
        <w:rPr>
          <w:rFonts w:ascii="宋体" w:cs="宋体"/>
          <w:color w:val="auto"/>
          <w:szCs w:val="21"/>
          <w:highlight w:val="none"/>
        </w:rPr>
      </w:pPr>
    </w:p>
    <w:p w14:paraId="118DB0D9">
      <w:pPr>
        <w:overflowPunct w:val="0"/>
        <w:spacing w:line="400" w:lineRule="exact"/>
        <w:rPr>
          <w:rFonts w:ascii="宋体" w:cs="宋体"/>
          <w:color w:val="auto"/>
          <w:highlight w:val="none"/>
        </w:rPr>
      </w:pPr>
    </w:p>
    <w:p w14:paraId="06CC08BA">
      <w:pPr>
        <w:overflowPunct w:val="0"/>
        <w:spacing w:line="400" w:lineRule="exact"/>
        <w:rPr>
          <w:rFonts w:ascii="宋体" w:cs="宋体"/>
          <w:color w:val="auto"/>
          <w:highlight w:val="none"/>
        </w:rPr>
      </w:pPr>
    </w:p>
    <w:p w14:paraId="32EBF4FE">
      <w:pPr>
        <w:overflowPunct w:val="0"/>
        <w:spacing w:line="400" w:lineRule="exact"/>
        <w:rPr>
          <w:rFonts w:ascii="宋体" w:cs="宋体"/>
          <w:color w:val="auto"/>
          <w:highlight w:val="none"/>
        </w:rPr>
      </w:pPr>
    </w:p>
    <w:p w14:paraId="7D18B7E2">
      <w:pPr>
        <w:overflowPunct w:val="0"/>
        <w:spacing w:line="400" w:lineRule="exact"/>
        <w:rPr>
          <w:rFonts w:ascii="宋体" w:cs="宋体"/>
          <w:color w:val="auto"/>
          <w:highlight w:val="none"/>
        </w:rPr>
      </w:pPr>
    </w:p>
    <w:p w14:paraId="6433CCEE">
      <w:pPr>
        <w:overflowPunct w:val="0"/>
        <w:spacing w:line="400" w:lineRule="exact"/>
        <w:rPr>
          <w:rFonts w:ascii="宋体" w:cs="宋体"/>
          <w:color w:val="auto"/>
          <w:highlight w:val="none"/>
        </w:rPr>
      </w:pPr>
    </w:p>
    <w:p w14:paraId="5C98084D">
      <w:pPr>
        <w:overflowPunct w:val="0"/>
        <w:spacing w:line="400" w:lineRule="exact"/>
        <w:rPr>
          <w:rFonts w:ascii="宋体" w:cs="宋体"/>
          <w:color w:val="auto"/>
          <w:highlight w:val="none"/>
        </w:rPr>
      </w:pPr>
    </w:p>
    <w:p w14:paraId="51D2B88F">
      <w:pPr>
        <w:overflowPunct w:val="0"/>
        <w:spacing w:line="400" w:lineRule="exact"/>
        <w:rPr>
          <w:rFonts w:ascii="宋体" w:cs="宋体"/>
          <w:color w:val="auto"/>
          <w:highlight w:val="none"/>
        </w:rPr>
      </w:pPr>
    </w:p>
    <w:p w14:paraId="763A3589">
      <w:pPr>
        <w:overflowPunct w:val="0"/>
        <w:spacing w:line="400" w:lineRule="exact"/>
        <w:rPr>
          <w:rFonts w:ascii="宋体" w:cs="宋体"/>
          <w:color w:val="auto"/>
          <w:highlight w:val="none"/>
        </w:rPr>
      </w:pPr>
    </w:p>
    <w:p w14:paraId="29FB48F6">
      <w:pPr>
        <w:overflowPunct w:val="0"/>
        <w:spacing w:line="400" w:lineRule="exact"/>
        <w:rPr>
          <w:rFonts w:ascii="宋体" w:cs="宋体"/>
          <w:color w:val="auto"/>
          <w:highlight w:val="none"/>
        </w:rPr>
      </w:pPr>
    </w:p>
    <w:p w14:paraId="17FF6961">
      <w:pPr>
        <w:overflowPunct w:val="0"/>
        <w:spacing w:line="400" w:lineRule="exact"/>
        <w:rPr>
          <w:rFonts w:ascii="宋体" w:cs="宋体"/>
          <w:color w:val="auto"/>
          <w:highlight w:val="none"/>
        </w:rPr>
      </w:pPr>
    </w:p>
    <w:p w14:paraId="4E4EBA9B">
      <w:pPr>
        <w:overflowPunct w:val="0"/>
        <w:spacing w:line="400" w:lineRule="exact"/>
        <w:jc w:val="left"/>
        <w:rPr>
          <w:rFonts w:ascii="宋体" w:cs="宋体"/>
          <w:color w:val="auto"/>
          <w:sz w:val="28"/>
          <w:szCs w:val="28"/>
          <w:highlight w:val="none"/>
        </w:rPr>
      </w:pPr>
    </w:p>
    <w:p w14:paraId="02DE654E">
      <w:pPr>
        <w:overflowPunct w:val="0"/>
        <w:spacing w:line="400" w:lineRule="exact"/>
        <w:jc w:val="left"/>
        <w:rPr>
          <w:rFonts w:ascii="宋体" w:cs="宋体"/>
          <w:color w:val="auto"/>
          <w:sz w:val="28"/>
          <w:szCs w:val="28"/>
          <w:highlight w:val="none"/>
        </w:rPr>
      </w:pP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、法定代表人授权委托书格式</w:t>
      </w:r>
    </w:p>
    <w:p w14:paraId="64D4318C">
      <w:pPr>
        <w:overflowPunct w:val="0"/>
        <w:spacing w:before="156" w:beforeLines="50" w:after="156" w:afterLines="50" w:line="400" w:lineRule="exact"/>
        <w:jc w:val="center"/>
        <w:rPr>
          <w:rFonts w:ascii="宋体" w:cs="宋体"/>
          <w:bCs/>
          <w:color w:val="auto"/>
          <w:sz w:val="28"/>
          <w:szCs w:val="28"/>
          <w:highlight w:val="none"/>
        </w:rPr>
      </w:pPr>
    </w:p>
    <w:p w14:paraId="03AE8728">
      <w:pPr>
        <w:overflowPunct w:val="0"/>
        <w:spacing w:before="156" w:beforeLines="50" w:after="156" w:afterLines="50" w:line="400" w:lineRule="exact"/>
        <w:jc w:val="center"/>
        <w:rPr>
          <w:rFonts w:ascii="宋体" w:cs="宋体"/>
          <w:b/>
          <w:color w:val="auto"/>
          <w:sz w:val="28"/>
          <w:szCs w:val="28"/>
          <w:highlight w:val="none"/>
        </w:rPr>
      </w:pPr>
      <w:r>
        <w:rPr>
          <w:rFonts w:hint="eastAsia" w:ascii="宋体" w:hAnsi="宋体" w:cs="宋体"/>
          <w:b/>
          <w:color w:val="auto"/>
          <w:sz w:val="28"/>
          <w:szCs w:val="28"/>
          <w:highlight w:val="none"/>
        </w:rPr>
        <w:t>法定代表人授权委托书</w:t>
      </w:r>
    </w:p>
    <w:p w14:paraId="3944AB09">
      <w:pPr>
        <w:overflowPunct w:val="0"/>
        <w:spacing w:line="360" w:lineRule="auto"/>
        <w:rPr>
          <w:rFonts w:ascii="宋体" w:cs="宋体"/>
          <w:color w:val="auto"/>
          <w:szCs w:val="21"/>
          <w:highlight w:val="none"/>
        </w:rPr>
      </w:pPr>
      <w:r>
        <w:rPr>
          <w:rFonts w:hint="eastAsia" w:ascii="宋体" w:hAnsi="宋体" w:cs="宋体"/>
          <w:color w:val="auto"/>
          <w:szCs w:val="21"/>
          <w:highlight w:val="none"/>
        </w:rPr>
        <w:t>致</w:t>
      </w:r>
      <w:r>
        <w:rPr>
          <w:rFonts w:ascii="宋体" w:hAnsi="宋体" w:cs="宋体"/>
          <w:color w:val="auto"/>
          <w:szCs w:val="21"/>
          <w:highlight w:val="none"/>
          <w:u w:val="single"/>
        </w:rPr>
        <w:t xml:space="preserve">                   </w:t>
      </w:r>
      <w:r>
        <w:rPr>
          <w:rFonts w:hint="eastAsia" w:ascii="宋体" w:hAnsi="宋体" w:cs="宋体"/>
          <w:color w:val="auto"/>
          <w:szCs w:val="21"/>
          <w:highlight w:val="none"/>
          <w:lang w:val="zh-CN"/>
        </w:rPr>
        <w:t>：</w:t>
      </w:r>
    </w:p>
    <w:p w14:paraId="13F9F720">
      <w:pPr>
        <w:overflowPunct w:val="0"/>
        <w:spacing w:line="360" w:lineRule="auto"/>
        <w:ind w:firstLine="612"/>
        <w:rPr>
          <w:rFonts w:ascii="宋体" w:cs="宋体"/>
          <w:color w:val="auto"/>
          <w:szCs w:val="21"/>
          <w:highlight w:val="none"/>
        </w:rPr>
      </w:pPr>
      <w:r>
        <w:rPr>
          <w:rFonts w:hint="eastAsia" w:ascii="宋体" w:hAnsi="宋体" w:cs="宋体"/>
          <w:color w:val="auto"/>
          <w:szCs w:val="21"/>
          <w:highlight w:val="none"/>
        </w:rPr>
        <w:t>本授权委托书声明：我</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（法定代表人姓名）</w:t>
      </w:r>
      <w:r>
        <w:rPr>
          <w:rFonts w:ascii="宋体" w:hAnsi="宋体" w:cs="宋体"/>
          <w:color w:val="auto"/>
          <w:szCs w:val="21"/>
          <w:highlight w:val="none"/>
          <w:u w:val="single"/>
        </w:rPr>
        <w:t xml:space="preserve">   </w:t>
      </w:r>
      <w:r>
        <w:rPr>
          <w:rFonts w:hint="eastAsia" w:ascii="宋体" w:hAnsi="宋体" w:cs="宋体"/>
          <w:color w:val="auto"/>
          <w:szCs w:val="21"/>
          <w:highlight w:val="none"/>
        </w:rPr>
        <w:t>系</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（供应商）</w:t>
      </w:r>
      <w:r>
        <w:rPr>
          <w:rFonts w:ascii="宋体" w:hAnsi="宋体" w:cs="宋体"/>
          <w:color w:val="auto"/>
          <w:szCs w:val="21"/>
          <w:highlight w:val="none"/>
          <w:u w:val="single"/>
        </w:rPr>
        <w:t xml:space="preserve">  </w:t>
      </w:r>
      <w:r>
        <w:rPr>
          <w:rFonts w:hint="eastAsia" w:ascii="宋体" w:hAnsi="宋体" w:cs="宋体"/>
          <w:color w:val="auto"/>
          <w:szCs w:val="21"/>
          <w:highlight w:val="none"/>
        </w:rPr>
        <w:t>的法定代表人，现授权委托</w:t>
      </w:r>
      <w:r>
        <w:rPr>
          <w:rFonts w:hint="eastAsia" w:ascii="宋体" w:hAnsi="宋体" w:cs="宋体"/>
          <w:color w:val="auto"/>
          <w:szCs w:val="21"/>
          <w:highlight w:val="none"/>
          <w:u w:val="single"/>
        </w:rPr>
        <w:t>（授权代表姓名）</w:t>
      </w:r>
      <w:r>
        <w:rPr>
          <w:rFonts w:ascii="宋体" w:hAnsi="宋体" w:cs="宋体"/>
          <w:color w:val="auto"/>
          <w:szCs w:val="21"/>
          <w:highlight w:val="none"/>
          <w:u w:val="single"/>
        </w:rPr>
        <w:t xml:space="preserve">  </w:t>
      </w:r>
      <w:r>
        <w:rPr>
          <w:rFonts w:hint="eastAsia" w:ascii="宋体" w:hAnsi="宋体" w:cs="宋体"/>
          <w:color w:val="auto"/>
          <w:szCs w:val="21"/>
          <w:highlight w:val="none"/>
        </w:rPr>
        <w:t>为我公司法定代表人授权代表，参加贵处组织的</w:t>
      </w:r>
      <w:r>
        <w:rPr>
          <w:rFonts w:ascii="宋体" w:hAnsi="宋体" w:cs="宋体"/>
          <w:color w:val="auto"/>
          <w:szCs w:val="21"/>
          <w:highlight w:val="none"/>
        </w:rPr>
        <w:t xml:space="preserve">  </w:t>
      </w:r>
      <w:r>
        <w:rPr>
          <w:rFonts w:hint="eastAsia" w:ascii="宋体" w:hAnsi="宋体" w:cs="宋体"/>
          <w:color w:val="auto"/>
          <w:szCs w:val="21"/>
          <w:highlight w:val="none"/>
          <w:u w:val="single"/>
        </w:rPr>
        <w:t>项目名称，</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（项目编号）</w:t>
      </w:r>
      <w:r>
        <w:rPr>
          <w:rFonts w:ascii="宋体" w:hAnsi="宋体" w:cs="宋体"/>
          <w:color w:val="auto"/>
          <w:szCs w:val="21"/>
          <w:highlight w:val="none"/>
          <w:u w:val="single"/>
        </w:rPr>
        <w:t xml:space="preserve">  </w:t>
      </w:r>
      <w:r>
        <w:rPr>
          <w:rFonts w:hint="eastAsia" w:ascii="宋体" w:hAnsi="宋体" w:cs="宋体"/>
          <w:color w:val="auto"/>
          <w:szCs w:val="21"/>
          <w:highlight w:val="none"/>
        </w:rPr>
        <w:t>项目谈判，全权处理本次谈判活动中的一切事宜，我承认授权代表全权代表我所签署的本项目的响应文件的内容。</w:t>
      </w:r>
    </w:p>
    <w:p w14:paraId="7B434858">
      <w:pPr>
        <w:overflowPunct w:val="0"/>
        <w:spacing w:line="360" w:lineRule="auto"/>
        <w:jc w:val="center"/>
        <w:rPr>
          <w:rFonts w:ascii="宋体" w:cs="宋体"/>
          <w:color w:val="auto"/>
          <w:szCs w:val="21"/>
          <w:highlight w:val="none"/>
        </w:rPr>
      </w:pPr>
      <w:r>
        <w:rPr>
          <w:rFonts w:hint="eastAsia" w:ascii="宋体" w:hAnsi="宋体" w:cs="宋体"/>
          <w:color w:val="auto"/>
          <w:szCs w:val="21"/>
          <w:highlight w:val="none"/>
        </w:rPr>
        <w:t>授权代表无转授权，特此授权。</w:t>
      </w:r>
    </w:p>
    <w:p w14:paraId="30817BFF">
      <w:pPr>
        <w:overflowPunct w:val="0"/>
        <w:spacing w:line="360" w:lineRule="auto"/>
        <w:ind w:firstLine="420" w:firstLineChars="200"/>
        <w:rPr>
          <w:rFonts w:ascii="宋体" w:cs="宋体"/>
          <w:color w:val="auto"/>
          <w:szCs w:val="21"/>
          <w:highlight w:val="none"/>
        </w:rPr>
      </w:pPr>
    </w:p>
    <w:p w14:paraId="7D2D5D43">
      <w:pPr>
        <w:overflowPunct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授权代表：</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（签字）</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性别：</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年龄：</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职务：</w:t>
      </w:r>
      <w:r>
        <w:rPr>
          <w:rFonts w:ascii="宋体" w:hAnsi="宋体" w:cs="宋体"/>
          <w:color w:val="auto"/>
          <w:szCs w:val="21"/>
          <w:highlight w:val="none"/>
          <w:u w:val="single"/>
        </w:rPr>
        <w:t xml:space="preserve">        </w:t>
      </w:r>
    </w:p>
    <w:p w14:paraId="07AF5E25">
      <w:pPr>
        <w:overflowPunct w:val="0"/>
        <w:spacing w:line="360" w:lineRule="auto"/>
        <w:ind w:firstLine="420" w:firstLineChars="200"/>
        <w:rPr>
          <w:rFonts w:ascii="宋体" w:cs="宋体"/>
          <w:color w:val="auto"/>
          <w:szCs w:val="21"/>
          <w:highlight w:val="none"/>
          <w:u w:val="single"/>
        </w:rPr>
      </w:pPr>
      <w:r>
        <w:rPr>
          <w:rFonts w:hint="eastAsia" w:ascii="宋体" w:hAnsi="宋体" w:cs="宋体"/>
          <w:color w:val="auto"/>
          <w:szCs w:val="21"/>
          <w:highlight w:val="none"/>
        </w:rPr>
        <w:t>详细通讯地址：</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邮政编码：</w:t>
      </w:r>
      <w:r>
        <w:rPr>
          <w:rFonts w:ascii="宋体" w:hAnsi="宋体" w:cs="宋体"/>
          <w:color w:val="auto"/>
          <w:szCs w:val="21"/>
          <w:highlight w:val="none"/>
          <w:u w:val="single"/>
        </w:rPr>
        <w:t xml:space="preserve">           </w:t>
      </w:r>
    </w:p>
    <w:p w14:paraId="1AE979DC">
      <w:pPr>
        <w:overflowPunct w:val="0"/>
        <w:spacing w:line="360" w:lineRule="auto"/>
        <w:ind w:firstLine="420" w:firstLineChars="200"/>
        <w:rPr>
          <w:rFonts w:ascii="宋体" w:cs="宋体"/>
          <w:color w:val="auto"/>
          <w:szCs w:val="21"/>
          <w:highlight w:val="none"/>
          <w:u w:val="single"/>
        </w:rPr>
      </w:pPr>
      <w:r>
        <w:rPr>
          <w:rFonts w:hint="eastAsia" w:ascii="宋体" w:hAnsi="宋体" w:cs="宋体"/>
          <w:color w:val="auto"/>
          <w:szCs w:val="21"/>
          <w:highlight w:val="none"/>
        </w:rPr>
        <w:t>电话：</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传真：</w:t>
      </w:r>
      <w:r>
        <w:rPr>
          <w:rFonts w:ascii="宋体" w:hAnsi="宋体" w:cs="宋体"/>
          <w:color w:val="auto"/>
          <w:szCs w:val="21"/>
          <w:highlight w:val="none"/>
          <w:u w:val="single"/>
        </w:rPr>
        <w:t xml:space="preserve">                      </w:t>
      </w:r>
    </w:p>
    <w:p w14:paraId="4963C502">
      <w:pPr>
        <w:overflowPunct w:val="0"/>
        <w:ind w:left="1" w:firstLine="403" w:firstLineChars="192"/>
        <w:rPr>
          <w:rFonts w:ascii="宋体" w:cs="宋体"/>
          <w:color w:val="auto"/>
          <w:szCs w:val="21"/>
          <w:highlight w:val="none"/>
        </w:rPr>
      </w:pPr>
      <w:r>
        <w:rPr>
          <w:rFonts w:ascii="宋体" w:hAnsi="宋体" w:cs="宋体"/>
          <w:color w:val="auto"/>
          <w:szCs w:val="21"/>
          <w:highlight w:val="none"/>
        </w:rPr>
        <w:t xml:space="preserve">   </w:t>
      </w:r>
    </w:p>
    <w:p w14:paraId="3BC12C02">
      <w:pPr>
        <w:overflowPunct w:val="0"/>
        <w:spacing w:line="360" w:lineRule="auto"/>
        <w:ind w:left="424" w:right="420"/>
        <w:jc w:val="right"/>
        <w:rPr>
          <w:rFonts w:ascii="宋体" w:cs="宋体"/>
          <w:color w:val="auto"/>
          <w:szCs w:val="21"/>
          <w:highlight w:val="none"/>
        </w:rPr>
      </w:pPr>
      <w:r>
        <w:rPr>
          <w:rFonts w:hint="eastAsia" w:ascii="宋体" w:hAnsi="宋体" w:cs="宋体"/>
          <w:color w:val="auto"/>
          <w:szCs w:val="21"/>
          <w:highlight w:val="none"/>
        </w:rPr>
        <w:t>供应商名称：（盖章）</w:t>
      </w:r>
      <w:r>
        <w:rPr>
          <w:rFonts w:ascii="宋体" w:hAnsi="宋体" w:cs="宋体"/>
          <w:color w:val="auto"/>
          <w:szCs w:val="21"/>
          <w:highlight w:val="none"/>
          <w:u w:val="single"/>
        </w:rPr>
        <w:t xml:space="preserve">                                   </w:t>
      </w:r>
    </w:p>
    <w:p w14:paraId="50A5E1C4">
      <w:pPr>
        <w:overflowPunct w:val="0"/>
        <w:spacing w:line="360" w:lineRule="auto"/>
        <w:ind w:left="424" w:right="420"/>
        <w:jc w:val="right"/>
        <w:rPr>
          <w:rFonts w:ascii="宋体" w:cs="宋体"/>
          <w:color w:val="auto"/>
          <w:szCs w:val="21"/>
          <w:highlight w:val="none"/>
        </w:rPr>
      </w:pPr>
      <w:r>
        <w:rPr>
          <w:rFonts w:hint="eastAsia" w:ascii="宋体" w:hAnsi="宋体" w:cs="宋体"/>
          <w:color w:val="auto"/>
          <w:szCs w:val="21"/>
          <w:highlight w:val="none"/>
        </w:rPr>
        <w:t>法定代表人（签字）：</w:t>
      </w:r>
    </w:p>
    <w:p w14:paraId="4F50B99E">
      <w:pPr>
        <w:overflowPunct w:val="0"/>
        <w:spacing w:line="360" w:lineRule="auto"/>
        <w:ind w:left="424" w:right="420"/>
        <w:jc w:val="right"/>
        <w:rPr>
          <w:rFonts w:ascii="宋体" w:cs="宋体"/>
          <w:color w:val="auto"/>
          <w:szCs w:val="21"/>
          <w:highlight w:val="none"/>
        </w:rPr>
      </w:pPr>
      <w:r>
        <w:rPr>
          <w:rFonts w:hint="eastAsia" w:ascii="宋体" w:hAnsi="宋体" w:cs="宋体"/>
          <w:color w:val="auto"/>
          <w:szCs w:val="21"/>
          <w:highlight w:val="none"/>
        </w:rPr>
        <w:t>日期：</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14:paraId="296B7628">
      <w:pPr>
        <w:overflowPunct w:val="0"/>
        <w:spacing w:line="360" w:lineRule="auto"/>
        <w:rPr>
          <w:rFonts w:ascii="宋体" w:cs="宋体"/>
          <w:color w:val="auto"/>
          <w:sz w:val="24"/>
          <w:highlight w:val="none"/>
        </w:rPr>
      </w:pPr>
      <w:r>
        <w:rPr>
          <w:rFonts w:ascii="宋体" w:cs="宋体"/>
          <w:color w:val="auto"/>
          <w:sz w:val="24"/>
          <w:highlight w:val="none"/>
        </w:rPr>
        <w:t>------------------------------------------------------------------------</w:t>
      </w:r>
    </w:p>
    <w:p w14:paraId="6270EC98">
      <w:pPr>
        <w:pStyle w:val="12"/>
        <w:widowControl w:val="0"/>
        <w:rPr>
          <w:color w:val="auto"/>
          <w:highlight w:val="none"/>
        </w:rPr>
      </w:pPr>
    </w:p>
    <w:p w14:paraId="62EA6683">
      <w:pPr>
        <w:pStyle w:val="19"/>
        <w:overflowPunct w:val="0"/>
        <w:ind w:firstLine="420" w:firstLineChars="200"/>
        <w:rPr>
          <w:rFonts w:ascii="宋体" w:cs="宋体"/>
          <w:color w:val="auto"/>
          <w:highlight w:val="none"/>
        </w:rPr>
      </w:pPr>
      <w:r>
        <w:rPr>
          <w:rFonts w:hint="eastAsia" w:ascii="宋体" w:hAnsi="宋体" w:cs="宋体"/>
          <w:color w:val="auto"/>
          <w:highlight w:val="none"/>
        </w:rPr>
        <w:t>授权代表身份证复印件</w:t>
      </w:r>
    </w:p>
    <w:p w14:paraId="37F46319">
      <w:pPr>
        <w:pStyle w:val="19"/>
        <w:overflowPunct w:val="0"/>
        <w:ind w:firstLine="420" w:firstLineChars="200"/>
        <w:rPr>
          <w:rFonts w:ascii="宋体" w:cs="宋体"/>
          <w:color w:val="auto"/>
          <w:highlight w:val="none"/>
        </w:rPr>
      </w:pPr>
    </w:p>
    <w:p w14:paraId="0D138122">
      <w:pPr>
        <w:overflowPunct w:val="0"/>
        <w:spacing w:line="400" w:lineRule="exact"/>
        <w:jc w:val="left"/>
        <w:rPr>
          <w:rFonts w:ascii="宋体" w:cs="宋体"/>
          <w:color w:val="auto"/>
          <w:szCs w:val="21"/>
          <w:highlight w:val="none"/>
        </w:rPr>
      </w:pPr>
    </w:p>
    <w:p w14:paraId="1A87BD6D">
      <w:pPr>
        <w:overflowPunct w:val="0"/>
        <w:spacing w:line="400" w:lineRule="exact"/>
        <w:jc w:val="left"/>
        <w:rPr>
          <w:rFonts w:ascii="宋体" w:cs="宋体"/>
          <w:color w:val="auto"/>
          <w:szCs w:val="21"/>
          <w:highlight w:val="none"/>
        </w:rPr>
      </w:pPr>
    </w:p>
    <w:p w14:paraId="6459A49B">
      <w:pPr>
        <w:overflowPunct w:val="0"/>
        <w:spacing w:line="400" w:lineRule="exact"/>
        <w:jc w:val="left"/>
        <w:rPr>
          <w:rFonts w:ascii="宋体" w:cs="宋体"/>
          <w:color w:val="auto"/>
          <w:szCs w:val="21"/>
          <w:highlight w:val="none"/>
        </w:rPr>
      </w:pPr>
    </w:p>
    <w:p w14:paraId="6E855CDD">
      <w:pPr>
        <w:overflowPunct w:val="0"/>
        <w:spacing w:line="400" w:lineRule="exact"/>
        <w:jc w:val="left"/>
        <w:rPr>
          <w:rFonts w:ascii="宋体" w:cs="宋体"/>
          <w:color w:val="auto"/>
          <w:szCs w:val="21"/>
          <w:highlight w:val="none"/>
        </w:rPr>
      </w:pPr>
    </w:p>
    <w:p w14:paraId="2C26EB91">
      <w:pPr>
        <w:overflowPunct w:val="0"/>
        <w:spacing w:line="400" w:lineRule="exact"/>
        <w:jc w:val="left"/>
        <w:rPr>
          <w:rFonts w:ascii="宋体" w:cs="宋体"/>
          <w:color w:val="auto"/>
          <w:szCs w:val="21"/>
          <w:highlight w:val="none"/>
        </w:rPr>
      </w:pPr>
    </w:p>
    <w:p w14:paraId="0607C394">
      <w:pPr>
        <w:overflowPunct w:val="0"/>
        <w:spacing w:line="400" w:lineRule="exact"/>
        <w:jc w:val="left"/>
        <w:rPr>
          <w:rFonts w:ascii="宋体" w:cs="宋体"/>
          <w:color w:val="auto"/>
          <w:szCs w:val="21"/>
          <w:highlight w:val="none"/>
        </w:rPr>
      </w:pPr>
    </w:p>
    <w:p w14:paraId="13F4771E">
      <w:pPr>
        <w:overflowPunct w:val="0"/>
        <w:spacing w:line="400" w:lineRule="exact"/>
        <w:jc w:val="left"/>
        <w:rPr>
          <w:rFonts w:ascii="宋体" w:cs="宋体"/>
          <w:color w:val="auto"/>
          <w:szCs w:val="21"/>
          <w:highlight w:val="none"/>
        </w:rPr>
      </w:pPr>
    </w:p>
    <w:p w14:paraId="26D8BFB6">
      <w:pPr>
        <w:overflowPunct w:val="0"/>
        <w:spacing w:line="400" w:lineRule="exact"/>
        <w:jc w:val="left"/>
        <w:rPr>
          <w:rFonts w:ascii="宋体" w:cs="宋体"/>
          <w:color w:val="auto"/>
          <w:szCs w:val="21"/>
          <w:highlight w:val="none"/>
        </w:rPr>
      </w:pPr>
    </w:p>
    <w:p w14:paraId="1DFCC1D0">
      <w:pPr>
        <w:overflowPunct w:val="0"/>
        <w:autoSpaceDE w:val="0"/>
        <w:autoSpaceDN w:val="0"/>
        <w:adjustRightInd w:val="0"/>
        <w:snapToGrid w:val="0"/>
        <w:spacing w:line="400" w:lineRule="exact"/>
        <w:ind w:firstLine="649" w:firstLineChars="202"/>
        <w:jc w:val="center"/>
        <w:textAlignment w:val="bottom"/>
        <w:rPr>
          <w:rFonts w:ascii="宋体" w:cs="宋体"/>
          <w:b/>
          <w:color w:val="auto"/>
          <w:sz w:val="32"/>
          <w:szCs w:val="32"/>
          <w:highlight w:val="none"/>
        </w:rPr>
      </w:pPr>
      <w:r>
        <w:rPr>
          <w:rFonts w:hint="eastAsia" w:ascii="宋体" w:hAnsi="宋体" w:cs="宋体"/>
          <w:b/>
          <w:color w:val="auto"/>
          <w:sz w:val="32"/>
          <w:szCs w:val="32"/>
          <w:highlight w:val="none"/>
        </w:rPr>
        <w:t>目</w:t>
      </w:r>
      <w:r>
        <w:rPr>
          <w:rFonts w:ascii="宋体" w:hAnsi="宋体" w:cs="宋体"/>
          <w:b/>
          <w:color w:val="auto"/>
          <w:sz w:val="32"/>
          <w:szCs w:val="32"/>
          <w:highlight w:val="none"/>
        </w:rPr>
        <w:t xml:space="preserve">  </w:t>
      </w:r>
      <w:r>
        <w:rPr>
          <w:rFonts w:hint="eastAsia" w:ascii="宋体" w:hAnsi="宋体" w:cs="宋体"/>
          <w:b/>
          <w:color w:val="auto"/>
          <w:sz w:val="32"/>
          <w:szCs w:val="32"/>
          <w:highlight w:val="none"/>
        </w:rPr>
        <w:t>录</w:t>
      </w:r>
    </w:p>
    <w:p w14:paraId="02CAB793">
      <w:pPr>
        <w:overflowPunct w:val="0"/>
        <w:autoSpaceDE w:val="0"/>
        <w:autoSpaceDN w:val="0"/>
        <w:adjustRightInd w:val="0"/>
        <w:snapToGrid w:val="0"/>
        <w:spacing w:line="400" w:lineRule="exact"/>
        <w:ind w:firstLine="426" w:firstLineChars="202"/>
        <w:textAlignment w:val="bottom"/>
        <w:rPr>
          <w:rFonts w:ascii="宋体" w:cs="宋体"/>
          <w:b/>
          <w:color w:val="auto"/>
          <w:szCs w:val="21"/>
          <w:highlight w:val="none"/>
        </w:rPr>
      </w:pPr>
      <w:r>
        <w:rPr>
          <w:rFonts w:hint="eastAsia" w:ascii="宋体" w:hAnsi="宋体" w:cs="宋体"/>
          <w:b/>
          <w:color w:val="auto"/>
          <w:szCs w:val="21"/>
          <w:highlight w:val="none"/>
        </w:rPr>
        <w:t>商务技术文件</w:t>
      </w:r>
    </w:p>
    <w:p w14:paraId="718AEE9B">
      <w:pPr>
        <w:numPr>
          <w:ilvl w:val="0"/>
          <w:numId w:val="10"/>
        </w:numPr>
        <w:autoSpaceDE w:val="0"/>
        <w:autoSpaceDN w:val="0"/>
        <w:snapToGrid w:val="0"/>
        <w:spacing w:line="400" w:lineRule="exact"/>
        <w:ind w:left="0"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磋商声明书（格式见附件）；</w:t>
      </w:r>
    </w:p>
    <w:p w14:paraId="2BE1CB77">
      <w:pPr>
        <w:numPr>
          <w:ilvl w:val="0"/>
          <w:numId w:val="10"/>
        </w:numPr>
        <w:autoSpaceDE w:val="0"/>
        <w:autoSpaceDN w:val="0"/>
        <w:snapToGrid w:val="0"/>
        <w:spacing w:line="400" w:lineRule="exact"/>
        <w:ind w:left="0"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营业执照复印件；</w:t>
      </w:r>
    </w:p>
    <w:p w14:paraId="5E0353CC">
      <w:pPr>
        <w:numPr>
          <w:ilvl w:val="0"/>
          <w:numId w:val="10"/>
        </w:numPr>
        <w:autoSpaceDE w:val="0"/>
        <w:autoSpaceDN w:val="0"/>
        <w:snapToGrid w:val="0"/>
        <w:spacing w:line="400" w:lineRule="exact"/>
        <w:ind w:left="0"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供应商情况一览表（格式见附件）；</w:t>
      </w:r>
    </w:p>
    <w:p w14:paraId="54F2A8F4">
      <w:pPr>
        <w:numPr>
          <w:ilvl w:val="0"/>
          <w:numId w:val="10"/>
        </w:numPr>
        <w:autoSpaceDE w:val="0"/>
        <w:autoSpaceDN w:val="0"/>
        <w:snapToGrid w:val="0"/>
        <w:spacing w:line="400" w:lineRule="exact"/>
        <w:ind w:left="0"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成功案例及业绩（同类项目实施情况一览表）（格式见附件）；</w:t>
      </w:r>
    </w:p>
    <w:p w14:paraId="2CE06711">
      <w:pPr>
        <w:numPr>
          <w:ilvl w:val="0"/>
          <w:numId w:val="10"/>
        </w:numPr>
        <w:autoSpaceDE w:val="0"/>
        <w:autoSpaceDN w:val="0"/>
        <w:snapToGrid w:val="0"/>
        <w:spacing w:line="400" w:lineRule="exact"/>
        <w:ind w:left="0"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商务响应表（格式见附件）；</w:t>
      </w:r>
    </w:p>
    <w:p w14:paraId="069C23D7">
      <w:pPr>
        <w:numPr>
          <w:ilvl w:val="0"/>
          <w:numId w:val="10"/>
        </w:numPr>
        <w:autoSpaceDE w:val="0"/>
        <w:autoSpaceDN w:val="0"/>
        <w:snapToGrid w:val="0"/>
        <w:spacing w:line="400" w:lineRule="exact"/>
        <w:ind w:left="0"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技术响应表（格式见附件）；</w:t>
      </w:r>
    </w:p>
    <w:p w14:paraId="38F891CA">
      <w:pPr>
        <w:numPr>
          <w:ilvl w:val="0"/>
          <w:numId w:val="10"/>
        </w:numPr>
        <w:autoSpaceDE w:val="0"/>
        <w:autoSpaceDN w:val="0"/>
        <w:snapToGrid w:val="0"/>
        <w:spacing w:line="400" w:lineRule="exact"/>
        <w:ind w:left="0" w:firstLine="420" w:firstLineChars="200"/>
        <w:textAlignment w:val="bottom"/>
        <w:rPr>
          <w:rFonts w:ascii="宋体" w:hAnsi="宋体" w:cs="宋体"/>
          <w:bCs/>
          <w:color w:val="auto"/>
          <w:szCs w:val="21"/>
          <w:highlight w:val="none"/>
        </w:rPr>
      </w:pPr>
      <w:r>
        <w:rPr>
          <w:rFonts w:hint="eastAsia" w:ascii="宋体" w:hAnsi="宋体" w:cs="仿宋"/>
          <w:bCs/>
          <w:color w:val="auto"/>
          <w:szCs w:val="21"/>
          <w:highlight w:val="none"/>
        </w:rPr>
        <w:t>项目实施方案</w:t>
      </w:r>
      <w:r>
        <w:rPr>
          <w:rFonts w:hint="eastAsia" w:ascii="宋体" w:hAnsi="宋体" w:cs="宋体"/>
          <w:bCs/>
          <w:color w:val="auto"/>
          <w:szCs w:val="21"/>
          <w:highlight w:val="none"/>
        </w:rPr>
        <w:t>；</w:t>
      </w:r>
    </w:p>
    <w:p w14:paraId="20EED72A">
      <w:pPr>
        <w:numPr>
          <w:ilvl w:val="0"/>
          <w:numId w:val="10"/>
        </w:numPr>
        <w:autoSpaceDE w:val="0"/>
        <w:autoSpaceDN w:val="0"/>
        <w:snapToGrid w:val="0"/>
        <w:spacing w:line="400" w:lineRule="exact"/>
        <w:ind w:left="0" w:firstLine="420" w:firstLineChars="200"/>
        <w:textAlignment w:val="bottom"/>
        <w:rPr>
          <w:rFonts w:ascii="宋体" w:hAnsi="宋体" w:cs="宋体"/>
          <w:bCs/>
          <w:color w:val="auto"/>
          <w:szCs w:val="21"/>
          <w:highlight w:val="none"/>
        </w:rPr>
      </w:pPr>
      <w:r>
        <w:rPr>
          <w:rFonts w:hint="eastAsia" w:ascii="宋体" w:hAnsi="宋体" w:eastAsia="宋体" w:cs="宋体"/>
          <w:color w:val="auto"/>
          <w:kern w:val="2"/>
          <w:sz w:val="21"/>
          <w:szCs w:val="21"/>
          <w:highlight w:val="none"/>
          <w:lang w:val="en-US" w:eastAsia="zh-CN"/>
        </w:rPr>
        <w:t>工学一体服务能力</w:t>
      </w:r>
      <w:r>
        <w:rPr>
          <w:rFonts w:hint="eastAsia" w:ascii="宋体" w:hAnsi="宋体" w:cs="宋体"/>
          <w:color w:val="auto"/>
          <w:szCs w:val="21"/>
          <w:highlight w:val="none"/>
        </w:rPr>
        <w:t>；</w:t>
      </w:r>
    </w:p>
    <w:p w14:paraId="2EF326AA">
      <w:pPr>
        <w:numPr>
          <w:ilvl w:val="0"/>
          <w:numId w:val="10"/>
        </w:numPr>
        <w:autoSpaceDE w:val="0"/>
        <w:autoSpaceDN w:val="0"/>
        <w:snapToGrid w:val="0"/>
        <w:spacing w:line="400" w:lineRule="exact"/>
        <w:ind w:left="0" w:firstLine="420" w:firstLineChars="200"/>
        <w:textAlignment w:val="bottom"/>
        <w:rPr>
          <w:rFonts w:ascii="宋体" w:hAnsi="宋体" w:cs="宋体"/>
          <w:bCs/>
          <w:color w:val="auto"/>
          <w:szCs w:val="21"/>
          <w:highlight w:val="none"/>
        </w:rPr>
      </w:pPr>
      <w:r>
        <w:rPr>
          <w:rFonts w:hint="eastAsia" w:ascii="宋体" w:hAnsi="宋体" w:cs="宋体"/>
          <w:color w:val="auto"/>
          <w:szCs w:val="21"/>
          <w:highlight w:val="none"/>
        </w:rPr>
        <w:t>重点难点分析和解决措施</w:t>
      </w:r>
      <w:r>
        <w:rPr>
          <w:rFonts w:hint="eastAsia" w:ascii="宋体" w:hAnsi="宋体"/>
          <w:color w:val="auto"/>
          <w:szCs w:val="21"/>
          <w:highlight w:val="none"/>
        </w:rPr>
        <w:t>；</w:t>
      </w:r>
    </w:p>
    <w:p w14:paraId="66D46C2C">
      <w:pPr>
        <w:numPr>
          <w:ilvl w:val="0"/>
          <w:numId w:val="10"/>
        </w:numPr>
        <w:autoSpaceDE w:val="0"/>
        <w:autoSpaceDN w:val="0"/>
        <w:snapToGrid w:val="0"/>
        <w:spacing w:line="400" w:lineRule="exact"/>
        <w:ind w:left="0" w:firstLine="420" w:firstLineChars="200"/>
        <w:textAlignment w:val="bottom"/>
        <w:rPr>
          <w:rFonts w:ascii="宋体" w:hAnsi="宋体" w:cs="宋体"/>
          <w:bCs/>
          <w:color w:val="auto"/>
          <w:szCs w:val="21"/>
          <w:highlight w:val="none"/>
        </w:rPr>
      </w:pPr>
      <w:r>
        <w:rPr>
          <w:rFonts w:hint="eastAsia" w:ascii="宋体" w:hAnsi="宋体" w:cs="宋体"/>
          <w:color w:val="auto"/>
          <w:szCs w:val="21"/>
          <w:highlight w:val="none"/>
        </w:rPr>
        <w:t>质量保障措施；</w:t>
      </w:r>
    </w:p>
    <w:p w14:paraId="1C298EB7">
      <w:pPr>
        <w:numPr>
          <w:ilvl w:val="0"/>
          <w:numId w:val="10"/>
        </w:numPr>
        <w:autoSpaceDE w:val="0"/>
        <w:autoSpaceDN w:val="0"/>
        <w:snapToGrid w:val="0"/>
        <w:spacing w:line="400" w:lineRule="exact"/>
        <w:ind w:left="0" w:firstLine="420" w:firstLineChars="200"/>
        <w:textAlignment w:val="bottom"/>
        <w:rPr>
          <w:rFonts w:ascii="宋体" w:hAnsi="宋体" w:cs="宋体"/>
          <w:bCs/>
          <w:color w:val="auto"/>
          <w:szCs w:val="21"/>
          <w:highlight w:val="none"/>
        </w:rPr>
      </w:pPr>
      <w:r>
        <w:rPr>
          <w:rFonts w:hint="eastAsia" w:ascii="宋体" w:hAnsi="宋体" w:cs="宋体"/>
          <w:color w:val="auto"/>
          <w:kern w:val="0"/>
          <w:szCs w:val="21"/>
          <w:highlight w:val="none"/>
          <w:lang w:val="zh-TW"/>
        </w:rPr>
        <w:t>安全与保密措施</w:t>
      </w:r>
      <w:r>
        <w:rPr>
          <w:rFonts w:hint="eastAsia" w:ascii="宋体" w:hAnsi="宋体" w:cs="宋体"/>
          <w:bCs/>
          <w:color w:val="auto"/>
          <w:szCs w:val="21"/>
          <w:highlight w:val="none"/>
        </w:rPr>
        <w:t>；</w:t>
      </w:r>
    </w:p>
    <w:p w14:paraId="017B2791">
      <w:pPr>
        <w:numPr>
          <w:ilvl w:val="0"/>
          <w:numId w:val="10"/>
        </w:numPr>
        <w:autoSpaceDE w:val="0"/>
        <w:autoSpaceDN w:val="0"/>
        <w:snapToGrid w:val="0"/>
        <w:spacing w:line="400" w:lineRule="exact"/>
        <w:ind w:left="0"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项目实施人员一览表（格式见附件）；</w:t>
      </w:r>
    </w:p>
    <w:p w14:paraId="56143A0F">
      <w:pPr>
        <w:numPr>
          <w:ilvl w:val="0"/>
          <w:numId w:val="10"/>
        </w:numPr>
        <w:autoSpaceDE w:val="0"/>
        <w:autoSpaceDN w:val="0"/>
        <w:snapToGrid w:val="0"/>
        <w:spacing w:line="400" w:lineRule="exact"/>
        <w:ind w:left="0" w:firstLine="420" w:firstLineChars="200"/>
        <w:textAlignment w:val="bottom"/>
        <w:rPr>
          <w:rFonts w:ascii="宋体" w:hAnsi="宋体" w:cs="宋体"/>
          <w:bCs/>
          <w:color w:val="auto"/>
          <w:szCs w:val="21"/>
          <w:highlight w:val="none"/>
        </w:rPr>
      </w:pPr>
      <w:r>
        <w:rPr>
          <w:rFonts w:hint="eastAsia" w:ascii="宋体" w:hAnsi="宋体" w:cs="宋体"/>
          <w:color w:val="auto"/>
          <w:szCs w:val="21"/>
          <w:highlight w:val="none"/>
        </w:rPr>
        <w:t>项目团队人员</w:t>
      </w:r>
      <w:r>
        <w:rPr>
          <w:rFonts w:hint="eastAsia" w:ascii="宋体" w:hAnsi="宋体" w:cs="宋体"/>
          <w:bCs/>
          <w:color w:val="auto"/>
          <w:szCs w:val="21"/>
          <w:highlight w:val="none"/>
        </w:rPr>
        <w:t>；</w:t>
      </w:r>
    </w:p>
    <w:p w14:paraId="1B134B0A">
      <w:pPr>
        <w:numPr>
          <w:ilvl w:val="0"/>
          <w:numId w:val="10"/>
        </w:numPr>
        <w:autoSpaceDE w:val="0"/>
        <w:autoSpaceDN w:val="0"/>
        <w:snapToGrid w:val="0"/>
        <w:spacing w:line="400" w:lineRule="exact"/>
        <w:ind w:left="0" w:firstLine="420" w:firstLineChars="200"/>
        <w:textAlignment w:val="bottom"/>
        <w:rPr>
          <w:rFonts w:ascii="宋体" w:hAnsi="宋体" w:cs="宋体"/>
          <w:bCs/>
          <w:color w:val="auto"/>
          <w:szCs w:val="21"/>
          <w:highlight w:val="none"/>
        </w:rPr>
      </w:pPr>
      <w:r>
        <w:rPr>
          <w:rFonts w:hint="eastAsia" w:ascii="宋体" w:hAnsi="宋体" w:cs="仿宋"/>
          <w:bCs/>
          <w:color w:val="auto"/>
          <w:szCs w:val="21"/>
          <w:highlight w:val="none"/>
        </w:rPr>
        <w:t>售后服务</w:t>
      </w:r>
      <w:r>
        <w:rPr>
          <w:rFonts w:hint="eastAsia" w:ascii="宋体" w:hAnsi="宋体" w:cs="宋体"/>
          <w:bCs/>
          <w:color w:val="auto"/>
          <w:szCs w:val="21"/>
          <w:highlight w:val="none"/>
        </w:rPr>
        <w:t>；</w:t>
      </w:r>
    </w:p>
    <w:p w14:paraId="633F2CF4">
      <w:pPr>
        <w:numPr>
          <w:ilvl w:val="0"/>
          <w:numId w:val="10"/>
        </w:numPr>
        <w:autoSpaceDE w:val="0"/>
        <w:autoSpaceDN w:val="0"/>
        <w:snapToGrid w:val="0"/>
        <w:spacing w:line="400" w:lineRule="exact"/>
        <w:ind w:left="0" w:firstLine="420" w:firstLineChars="200"/>
        <w:textAlignment w:val="bottom"/>
        <w:rPr>
          <w:rFonts w:ascii="宋体" w:hAnsi="宋体" w:cs="宋体"/>
          <w:bCs/>
          <w:color w:val="auto"/>
          <w:szCs w:val="21"/>
          <w:highlight w:val="none"/>
        </w:rPr>
      </w:pPr>
      <w:r>
        <w:rPr>
          <w:rFonts w:hint="eastAsia" w:ascii="宋体" w:hAnsi="宋体" w:cs="仿宋"/>
          <w:bCs/>
          <w:color w:val="auto"/>
          <w:szCs w:val="21"/>
          <w:highlight w:val="none"/>
        </w:rPr>
        <w:t>权威认证、经营许可</w:t>
      </w:r>
      <w:r>
        <w:rPr>
          <w:rFonts w:hint="eastAsia" w:ascii="宋体" w:hAnsi="宋体" w:cs="宋体"/>
          <w:bCs/>
          <w:color w:val="auto"/>
          <w:szCs w:val="21"/>
          <w:highlight w:val="none"/>
        </w:rPr>
        <w:t>；</w:t>
      </w:r>
    </w:p>
    <w:p w14:paraId="2AD538D4">
      <w:pPr>
        <w:numPr>
          <w:ilvl w:val="0"/>
          <w:numId w:val="10"/>
        </w:numPr>
        <w:autoSpaceDE w:val="0"/>
        <w:autoSpaceDN w:val="0"/>
        <w:snapToGrid w:val="0"/>
        <w:spacing w:line="400" w:lineRule="exact"/>
        <w:ind w:left="0"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采购文件要求的及供应商认为可能需要的其他文件资料。</w:t>
      </w:r>
    </w:p>
    <w:p w14:paraId="483DF2EC">
      <w:pPr>
        <w:overflowPunct w:val="0"/>
        <w:rPr>
          <w:rFonts w:ascii="宋体" w:cs="宋体"/>
          <w:color w:val="auto"/>
          <w:highlight w:val="none"/>
        </w:rPr>
      </w:pPr>
    </w:p>
    <w:p w14:paraId="6087DDC6">
      <w:pPr>
        <w:overflowPunct w:val="0"/>
        <w:spacing w:line="400" w:lineRule="exact"/>
        <w:jc w:val="left"/>
        <w:rPr>
          <w:rFonts w:ascii="宋体" w:cs="宋体"/>
          <w:color w:val="auto"/>
          <w:sz w:val="28"/>
          <w:szCs w:val="28"/>
          <w:highlight w:val="none"/>
        </w:rPr>
      </w:pPr>
    </w:p>
    <w:p w14:paraId="2BFD89A1">
      <w:pPr>
        <w:overflowPunct w:val="0"/>
        <w:spacing w:line="400" w:lineRule="exact"/>
        <w:jc w:val="left"/>
        <w:rPr>
          <w:rFonts w:ascii="宋体" w:cs="宋体"/>
          <w:color w:val="auto"/>
          <w:sz w:val="28"/>
          <w:szCs w:val="28"/>
          <w:highlight w:val="none"/>
        </w:rPr>
      </w:pPr>
    </w:p>
    <w:p w14:paraId="764C41FD">
      <w:pPr>
        <w:pStyle w:val="76"/>
        <w:spacing w:before="156"/>
        <w:ind w:firstLine="0"/>
        <w:rPr>
          <w:rFonts w:ascii="宋体" w:cs="宋体"/>
          <w:color w:val="auto"/>
          <w:sz w:val="28"/>
          <w:szCs w:val="28"/>
          <w:highlight w:val="none"/>
        </w:rPr>
      </w:pPr>
    </w:p>
    <w:p w14:paraId="38E76A3A">
      <w:pPr>
        <w:pStyle w:val="76"/>
        <w:spacing w:before="156"/>
        <w:ind w:firstLine="0"/>
        <w:rPr>
          <w:rFonts w:ascii="宋体" w:cs="宋体"/>
          <w:color w:val="auto"/>
          <w:sz w:val="28"/>
          <w:szCs w:val="28"/>
          <w:highlight w:val="none"/>
        </w:rPr>
      </w:pPr>
    </w:p>
    <w:p w14:paraId="186F573F">
      <w:pPr>
        <w:pStyle w:val="76"/>
        <w:spacing w:before="156"/>
        <w:ind w:firstLine="0"/>
        <w:rPr>
          <w:rFonts w:ascii="宋体" w:cs="宋体"/>
          <w:color w:val="auto"/>
          <w:sz w:val="28"/>
          <w:szCs w:val="28"/>
          <w:highlight w:val="none"/>
        </w:rPr>
      </w:pPr>
    </w:p>
    <w:p w14:paraId="773ABA58">
      <w:pPr>
        <w:pStyle w:val="76"/>
        <w:spacing w:before="156"/>
        <w:ind w:firstLine="0"/>
        <w:rPr>
          <w:rFonts w:ascii="宋体" w:cs="宋体"/>
          <w:color w:val="auto"/>
          <w:sz w:val="28"/>
          <w:szCs w:val="28"/>
          <w:highlight w:val="none"/>
        </w:rPr>
      </w:pPr>
    </w:p>
    <w:p w14:paraId="6BEF45E8">
      <w:pPr>
        <w:pStyle w:val="76"/>
        <w:spacing w:before="156"/>
        <w:ind w:firstLine="0"/>
        <w:rPr>
          <w:rFonts w:ascii="宋体" w:cs="宋体"/>
          <w:color w:val="auto"/>
          <w:sz w:val="28"/>
          <w:szCs w:val="28"/>
          <w:highlight w:val="none"/>
        </w:rPr>
      </w:pPr>
    </w:p>
    <w:p w14:paraId="2E9C81C8">
      <w:pPr>
        <w:pStyle w:val="76"/>
        <w:spacing w:before="156"/>
        <w:ind w:firstLine="0"/>
        <w:rPr>
          <w:rFonts w:ascii="宋体" w:cs="宋体"/>
          <w:color w:val="auto"/>
          <w:sz w:val="28"/>
          <w:szCs w:val="28"/>
          <w:highlight w:val="none"/>
        </w:rPr>
      </w:pPr>
    </w:p>
    <w:p w14:paraId="7DE9DB6C">
      <w:pPr>
        <w:overflowPunct w:val="0"/>
        <w:spacing w:line="400" w:lineRule="exact"/>
        <w:jc w:val="left"/>
        <w:rPr>
          <w:rFonts w:ascii="宋体" w:hAnsi="宋体" w:cs="宋体"/>
          <w:color w:val="auto"/>
          <w:sz w:val="28"/>
          <w:szCs w:val="28"/>
          <w:highlight w:val="none"/>
        </w:rPr>
      </w:pPr>
    </w:p>
    <w:p w14:paraId="3D589D79">
      <w:pPr>
        <w:overflowPunct w:val="0"/>
        <w:spacing w:line="400" w:lineRule="exact"/>
        <w:jc w:val="left"/>
        <w:rPr>
          <w:rFonts w:hint="eastAsia" w:ascii="宋体" w:hAnsi="宋体" w:cs="宋体"/>
          <w:color w:val="auto"/>
          <w:sz w:val="28"/>
          <w:szCs w:val="28"/>
          <w:highlight w:val="none"/>
          <w:lang w:val="en-US" w:eastAsia="zh-CN"/>
        </w:rPr>
      </w:pPr>
    </w:p>
    <w:p w14:paraId="0552E8D3">
      <w:pPr>
        <w:overflowPunct w:val="0"/>
        <w:spacing w:line="400" w:lineRule="exact"/>
        <w:jc w:val="left"/>
        <w:rPr>
          <w:rFonts w:ascii="宋体" w:cs="宋体"/>
          <w:color w:val="auto"/>
          <w:sz w:val="28"/>
          <w:szCs w:val="28"/>
          <w:highlight w:val="none"/>
        </w:rPr>
      </w:pP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t>、磋商声明书</w:t>
      </w:r>
    </w:p>
    <w:p w14:paraId="4D19577F">
      <w:pPr>
        <w:overflowPunct w:val="0"/>
        <w:spacing w:line="360" w:lineRule="auto"/>
        <w:jc w:val="center"/>
        <w:rPr>
          <w:rFonts w:ascii="宋体" w:cs="宋体"/>
          <w:b/>
          <w:color w:val="auto"/>
          <w:sz w:val="28"/>
          <w:szCs w:val="28"/>
          <w:highlight w:val="none"/>
        </w:rPr>
      </w:pPr>
      <w:bookmarkStart w:id="184" w:name="_Toc414960388"/>
      <w:r>
        <w:rPr>
          <w:rFonts w:hint="eastAsia" w:ascii="宋体" w:hAnsi="宋体" w:cs="宋体"/>
          <w:b/>
          <w:color w:val="auto"/>
          <w:sz w:val="28"/>
          <w:szCs w:val="28"/>
          <w:highlight w:val="none"/>
        </w:rPr>
        <w:t>磋商声明书</w:t>
      </w:r>
      <w:bookmarkEnd w:id="184"/>
    </w:p>
    <w:p w14:paraId="50645AFC">
      <w:pPr>
        <w:overflowPunct w:val="0"/>
        <w:spacing w:line="400" w:lineRule="exact"/>
        <w:rPr>
          <w:rFonts w:ascii="宋体" w:cs="宋体"/>
          <w:color w:val="auto"/>
          <w:szCs w:val="21"/>
          <w:highlight w:val="none"/>
          <w:u w:val="single"/>
        </w:rPr>
      </w:pPr>
      <w:r>
        <w:rPr>
          <w:rFonts w:hint="eastAsia" w:ascii="宋体" w:hAnsi="宋体" w:cs="宋体"/>
          <w:color w:val="auto"/>
          <w:szCs w:val="21"/>
          <w:highlight w:val="none"/>
          <w:u w:val="single"/>
        </w:rPr>
        <w:t>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w:t>
      </w:r>
    </w:p>
    <w:p w14:paraId="6D08ACC7">
      <w:pPr>
        <w:overflowPunct w:val="0"/>
        <w:spacing w:line="400" w:lineRule="exact"/>
        <w:ind w:firstLine="420" w:firstLineChars="200"/>
        <w:rPr>
          <w:rFonts w:asci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（供应商全称）</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授权</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（授权代表名称、职务、职称）</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为本公司授权代表，参加贵方组织的</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项目名称（项目编号）</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竞争性磋商有关活动，进行磋商。为此</w:t>
      </w:r>
      <w:r>
        <w:rPr>
          <w:rFonts w:hint="eastAsia" w:ascii="宋体" w:hAnsi="宋体" w:cs="宋体"/>
          <w:color w:val="auto"/>
          <w:szCs w:val="21"/>
          <w:highlight w:val="none"/>
          <w:lang w:val="zh-CN"/>
        </w:rPr>
        <w:t>承诺如下</w:t>
      </w:r>
      <w:r>
        <w:rPr>
          <w:rFonts w:hint="eastAsia" w:ascii="宋体" w:hAnsi="宋体" w:cs="宋体"/>
          <w:color w:val="auto"/>
          <w:szCs w:val="21"/>
          <w:highlight w:val="none"/>
        </w:rPr>
        <w:t>：</w:t>
      </w:r>
    </w:p>
    <w:p w14:paraId="35E5C43B">
      <w:pPr>
        <w:overflowPunct w:val="0"/>
        <w:spacing w:line="400" w:lineRule="exact"/>
        <w:ind w:firstLine="420" w:firstLineChars="200"/>
        <w:rPr>
          <w:rFonts w:ascii="宋体" w:cs="宋体"/>
          <w:color w:val="auto"/>
          <w:szCs w:val="21"/>
          <w:highlight w:val="none"/>
          <w:u w:val="single"/>
        </w:rPr>
      </w:pPr>
      <w:r>
        <w:rPr>
          <w:rFonts w:ascii="宋体" w:hAnsi="宋体" w:cs="宋体"/>
          <w:color w:val="auto"/>
          <w:szCs w:val="21"/>
          <w:highlight w:val="none"/>
        </w:rPr>
        <w:t>1</w:t>
      </w:r>
      <w:r>
        <w:rPr>
          <w:rFonts w:hint="eastAsia" w:ascii="宋体" w:hAnsi="宋体" w:cs="宋体"/>
          <w:color w:val="auto"/>
          <w:szCs w:val="21"/>
          <w:highlight w:val="none"/>
        </w:rPr>
        <w:t>、按照磋商文件要求制作并提交规定的资格证明文件，商务技术文件。</w:t>
      </w:r>
    </w:p>
    <w:p w14:paraId="23753E88">
      <w:pPr>
        <w:overflowPunct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、本项目负责人：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；联系电话：</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7A870F0A">
      <w:pPr>
        <w:overflowPunct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、保证遵守磋商文件中的有关规定和收费标准。</w:t>
      </w:r>
    </w:p>
    <w:p w14:paraId="34E6B6C7">
      <w:pPr>
        <w:overflowPunct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、保证严格执行甲、乙双方所签的合同，并承担全部规定的责任义务。</w:t>
      </w:r>
    </w:p>
    <w:p w14:paraId="62949FAE">
      <w:pPr>
        <w:overflowPunct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、我们已详细审查全部磋商文件，包括磋商补充文件（如果有的话）。我们完全理解并同意放弃对这方面有不明及误解的权力。</w:t>
      </w:r>
    </w:p>
    <w:p w14:paraId="77F00EA1">
      <w:pPr>
        <w:overflowPunct w:val="0"/>
        <w:spacing w:line="460" w:lineRule="exact"/>
        <w:ind w:firstLine="420" w:firstLineChars="200"/>
        <w:rPr>
          <w:rFonts w:asci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、我们已对项目现场进行实地踏勘，充分了解项目要求。</w:t>
      </w:r>
    </w:p>
    <w:p w14:paraId="03C80FEA">
      <w:pPr>
        <w:overflowPunct w:val="0"/>
        <w:spacing w:line="460" w:lineRule="exact"/>
        <w:ind w:firstLine="420" w:firstLineChars="200"/>
        <w:rPr>
          <w:rFonts w:asci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、愿意向贵方提供任何与该项目有关的数据、情况和技术资料，完全理解贵方不一定接受最低价成交的决定。</w:t>
      </w:r>
    </w:p>
    <w:p w14:paraId="4CBCB5DC">
      <w:pPr>
        <w:overflowPunct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、本文件自磋商之日起</w:t>
      </w:r>
      <w:r>
        <w:rPr>
          <w:rFonts w:ascii="宋体" w:hAnsi="宋体" w:cs="宋体"/>
          <w:color w:val="auto"/>
          <w:szCs w:val="21"/>
          <w:highlight w:val="none"/>
          <w:u w:val="single"/>
        </w:rPr>
        <w:t xml:space="preserve"> 90 </w:t>
      </w:r>
      <w:r>
        <w:rPr>
          <w:rFonts w:hint="eastAsia" w:ascii="宋体" w:hAnsi="宋体" w:cs="宋体"/>
          <w:color w:val="auto"/>
          <w:szCs w:val="21"/>
          <w:highlight w:val="none"/>
        </w:rPr>
        <w:t>天内有效。</w:t>
      </w:r>
    </w:p>
    <w:p w14:paraId="2C8AB1AD">
      <w:pPr>
        <w:overflowPunct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、与本项目有关的一切往来通讯请寄：</w:t>
      </w:r>
    </w:p>
    <w:p w14:paraId="048F295D">
      <w:pPr>
        <w:overflowPunct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地址：</w:t>
      </w:r>
      <w:r>
        <w:rPr>
          <w:rFonts w:ascii="宋体" w:hAnsi="宋体" w:cs="宋体"/>
          <w:color w:val="auto"/>
          <w:szCs w:val="21"/>
          <w:highlight w:val="none"/>
          <w:u w:val="single"/>
        </w:rPr>
        <w:t xml:space="preserve">                               </w:t>
      </w:r>
    </w:p>
    <w:p w14:paraId="328CD259">
      <w:pPr>
        <w:overflowPunct w:val="0"/>
        <w:spacing w:line="400" w:lineRule="exact"/>
        <w:ind w:firstLine="420" w:firstLineChars="200"/>
        <w:rPr>
          <w:rFonts w:ascii="宋体" w:cs="宋体"/>
          <w:color w:val="auto"/>
          <w:szCs w:val="21"/>
          <w:highlight w:val="none"/>
          <w:u w:val="single"/>
        </w:rPr>
      </w:pPr>
      <w:r>
        <w:rPr>
          <w:rFonts w:hint="eastAsia" w:ascii="宋体" w:hAnsi="宋体" w:cs="宋体"/>
          <w:color w:val="auto"/>
          <w:szCs w:val="21"/>
          <w:highlight w:val="none"/>
        </w:rPr>
        <w:t>邮编：</w:t>
      </w:r>
      <w:r>
        <w:rPr>
          <w:rFonts w:ascii="宋体" w:hAnsi="宋体" w:cs="宋体"/>
          <w:color w:val="auto"/>
          <w:szCs w:val="21"/>
          <w:highlight w:val="none"/>
          <w:u w:val="single"/>
        </w:rPr>
        <w:t xml:space="preserve">              </w:t>
      </w:r>
      <w:r>
        <w:rPr>
          <w:rFonts w:hint="eastAsia" w:ascii="宋体" w:hAnsi="宋体" w:cs="宋体"/>
          <w:color w:val="auto"/>
          <w:szCs w:val="21"/>
          <w:highlight w:val="none"/>
        </w:rPr>
        <w:t>电话：</w:t>
      </w:r>
      <w:r>
        <w:rPr>
          <w:rFonts w:ascii="宋体" w:hAnsi="宋体" w:cs="宋体"/>
          <w:color w:val="auto"/>
          <w:szCs w:val="21"/>
          <w:highlight w:val="none"/>
          <w:u w:val="single"/>
        </w:rPr>
        <w:t xml:space="preserve">              </w:t>
      </w:r>
      <w:r>
        <w:rPr>
          <w:rFonts w:hint="eastAsia" w:ascii="宋体" w:hAnsi="宋体" w:cs="宋体"/>
          <w:color w:val="auto"/>
          <w:szCs w:val="21"/>
          <w:highlight w:val="none"/>
        </w:rPr>
        <w:t>传真：</w:t>
      </w:r>
      <w:r>
        <w:rPr>
          <w:rFonts w:ascii="宋体" w:hAnsi="宋体" w:cs="宋体"/>
          <w:color w:val="auto"/>
          <w:szCs w:val="21"/>
          <w:highlight w:val="none"/>
          <w:u w:val="single"/>
        </w:rPr>
        <w:t xml:space="preserve">              </w:t>
      </w:r>
    </w:p>
    <w:p w14:paraId="23FD693A">
      <w:pPr>
        <w:pStyle w:val="16"/>
        <w:widowControl w:val="0"/>
        <w:overflowPunct w:val="0"/>
        <w:spacing w:line="460" w:lineRule="atLeast"/>
        <w:jc w:val="center"/>
        <w:rPr>
          <w:rFonts w:cs="宋体"/>
          <w:color w:val="auto"/>
          <w:highlight w:val="none"/>
        </w:rPr>
      </w:pPr>
    </w:p>
    <w:p w14:paraId="059C0C65">
      <w:pPr>
        <w:overflowPunct w:val="0"/>
        <w:spacing w:before="156" w:beforeLines="50" w:after="156" w:afterLines="50"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供应商（盖章）：</w:t>
      </w:r>
    </w:p>
    <w:p w14:paraId="5ACA9223">
      <w:pPr>
        <w:overflowPunct w:val="0"/>
        <w:spacing w:before="156" w:beforeLines="50" w:after="156" w:afterLines="50"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授权代表（签字）：</w:t>
      </w:r>
    </w:p>
    <w:p w14:paraId="36A85DF9">
      <w:pPr>
        <w:overflowPunct w:val="0"/>
        <w:spacing w:before="156" w:beforeLines="50" w:after="156" w:afterLines="50"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日期： </w:t>
      </w:r>
    </w:p>
    <w:p w14:paraId="2CE6384F">
      <w:pPr>
        <w:overflowPunct w:val="0"/>
        <w:ind w:firstLine="315" w:firstLineChars="150"/>
        <w:rPr>
          <w:rFonts w:ascii="宋体" w:cs="宋体"/>
          <w:color w:val="auto"/>
          <w:highlight w:val="none"/>
        </w:rPr>
      </w:pPr>
    </w:p>
    <w:p w14:paraId="181675D1">
      <w:pPr>
        <w:overflowPunct w:val="0"/>
        <w:spacing w:line="400" w:lineRule="exact"/>
        <w:jc w:val="left"/>
        <w:rPr>
          <w:rFonts w:ascii="宋体" w:cs="宋体"/>
          <w:color w:val="auto"/>
          <w:sz w:val="28"/>
          <w:szCs w:val="28"/>
          <w:highlight w:val="none"/>
        </w:rPr>
      </w:pPr>
    </w:p>
    <w:p w14:paraId="436D6378">
      <w:pPr>
        <w:overflowPunct w:val="0"/>
        <w:spacing w:line="400" w:lineRule="exact"/>
        <w:jc w:val="left"/>
        <w:rPr>
          <w:rFonts w:ascii="宋体" w:cs="宋体"/>
          <w:color w:val="auto"/>
          <w:sz w:val="28"/>
          <w:szCs w:val="28"/>
          <w:highlight w:val="none"/>
        </w:rPr>
      </w:pPr>
    </w:p>
    <w:p w14:paraId="2AF0D3B6">
      <w:pPr>
        <w:overflowPunct w:val="0"/>
        <w:spacing w:line="400" w:lineRule="exact"/>
        <w:jc w:val="left"/>
        <w:rPr>
          <w:rFonts w:ascii="宋体" w:cs="宋体"/>
          <w:color w:val="auto"/>
          <w:sz w:val="28"/>
          <w:szCs w:val="28"/>
          <w:highlight w:val="none"/>
        </w:rPr>
      </w:pPr>
    </w:p>
    <w:p w14:paraId="3E9C489F">
      <w:pPr>
        <w:overflowPunct w:val="0"/>
        <w:spacing w:line="400" w:lineRule="exact"/>
        <w:jc w:val="left"/>
        <w:rPr>
          <w:rFonts w:ascii="宋体" w:cs="宋体"/>
          <w:color w:val="auto"/>
          <w:sz w:val="28"/>
          <w:szCs w:val="28"/>
          <w:highlight w:val="none"/>
        </w:rPr>
      </w:pPr>
    </w:p>
    <w:p w14:paraId="5EFCC43F">
      <w:pPr>
        <w:pStyle w:val="12"/>
        <w:rPr>
          <w:color w:val="auto"/>
          <w:sz w:val="28"/>
          <w:szCs w:val="28"/>
          <w:highlight w:val="none"/>
        </w:rPr>
      </w:pPr>
    </w:p>
    <w:p w14:paraId="15FB474D">
      <w:pPr>
        <w:pStyle w:val="12"/>
        <w:rPr>
          <w:color w:val="auto"/>
          <w:sz w:val="28"/>
          <w:szCs w:val="28"/>
          <w:highlight w:val="none"/>
        </w:rPr>
      </w:pPr>
    </w:p>
    <w:p w14:paraId="507534D2">
      <w:pPr>
        <w:overflowPunct w:val="0"/>
        <w:spacing w:line="400" w:lineRule="exact"/>
        <w:jc w:val="left"/>
        <w:rPr>
          <w:rFonts w:ascii="宋体" w:cs="宋体"/>
          <w:color w:val="auto"/>
          <w:sz w:val="28"/>
          <w:szCs w:val="28"/>
          <w:highlight w:val="none"/>
        </w:rPr>
      </w:pPr>
      <w:r>
        <w:rPr>
          <w:rFonts w:hint="eastAsia" w:ascii="宋体" w:hAnsi="宋体" w:cs="宋体"/>
          <w:color w:val="auto"/>
          <w:sz w:val="28"/>
          <w:szCs w:val="28"/>
          <w:highlight w:val="none"/>
          <w:lang w:val="en-US" w:eastAsia="zh-CN"/>
        </w:rPr>
        <w:t>7</w:t>
      </w:r>
      <w:r>
        <w:rPr>
          <w:rFonts w:hint="eastAsia" w:ascii="宋体" w:hAnsi="宋体" w:cs="宋体"/>
          <w:color w:val="auto"/>
          <w:sz w:val="28"/>
          <w:szCs w:val="28"/>
          <w:highlight w:val="none"/>
        </w:rPr>
        <w:t>、供应商的情况一览表</w:t>
      </w:r>
    </w:p>
    <w:p w14:paraId="4B86BA73">
      <w:pPr>
        <w:overflowPunct w:val="0"/>
        <w:adjustRightInd w:val="0"/>
        <w:snapToGrid w:val="0"/>
        <w:spacing w:line="360" w:lineRule="auto"/>
        <w:jc w:val="center"/>
        <w:rPr>
          <w:rFonts w:ascii="宋体" w:cs="宋体"/>
          <w:b/>
          <w:bCs/>
          <w:color w:val="auto"/>
          <w:kern w:val="0"/>
          <w:sz w:val="28"/>
          <w:szCs w:val="28"/>
          <w:highlight w:val="none"/>
        </w:rPr>
      </w:pPr>
    </w:p>
    <w:p w14:paraId="1D32015A">
      <w:pPr>
        <w:overflowPunct w:val="0"/>
        <w:adjustRightInd w:val="0"/>
        <w:snapToGrid w:val="0"/>
        <w:spacing w:line="360" w:lineRule="auto"/>
        <w:jc w:val="center"/>
        <w:rPr>
          <w:rFonts w:ascii="宋体" w:cs="宋体"/>
          <w:b/>
          <w:color w:val="auto"/>
          <w:sz w:val="28"/>
          <w:szCs w:val="28"/>
          <w:highlight w:val="none"/>
        </w:rPr>
      </w:pPr>
      <w:r>
        <w:rPr>
          <w:rFonts w:hint="eastAsia" w:ascii="宋体" w:hAnsi="宋体" w:cs="宋体"/>
          <w:b/>
          <w:bCs/>
          <w:color w:val="auto"/>
          <w:kern w:val="0"/>
          <w:sz w:val="28"/>
          <w:szCs w:val="28"/>
          <w:highlight w:val="none"/>
        </w:rPr>
        <w:t>供应商</w:t>
      </w:r>
      <w:r>
        <w:rPr>
          <w:rFonts w:hint="eastAsia" w:ascii="宋体" w:hAnsi="宋体" w:cs="宋体"/>
          <w:b/>
          <w:color w:val="auto"/>
          <w:sz w:val="28"/>
          <w:szCs w:val="28"/>
          <w:highlight w:val="none"/>
        </w:rPr>
        <w:t>情况一览表</w:t>
      </w:r>
    </w:p>
    <w:tbl>
      <w:tblPr>
        <w:tblStyle w:val="31"/>
        <w:tblW w:w="8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116"/>
        <w:gridCol w:w="1720"/>
        <w:gridCol w:w="1859"/>
        <w:gridCol w:w="1758"/>
        <w:gridCol w:w="1369"/>
      </w:tblGrid>
      <w:tr w14:paraId="66AA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81" w:type="dxa"/>
            <w:gridSpan w:val="3"/>
            <w:vAlign w:val="center"/>
          </w:tcPr>
          <w:p w14:paraId="371AC013">
            <w:pPr>
              <w:overflowPunct w:val="0"/>
              <w:spacing w:line="240" w:lineRule="atLeast"/>
              <w:rPr>
                <w:rFonts w:ascii="宋体" w:cs="宋体"/>
                <w:color w:val="auto"/>
                <w:szCs w:val="21"/>
                <w:highlight w:val="none"/>
              </w:rPr>
            </w:pPr>
            <w:r>
              <w:rPr>
                <w:rFonts w:hint="eastAsia" w:ascii="宋体" w:hAnsi="宋体" w:cs="宋体"/>
                <w:color w:val="auto"/>
                <w:szCs w:val="21"/>
                <w:highlight w:val="none"/>
              </w:rPr>
              <w:t>供应商名称</w:t>
            </w:r>
          </w:p>
        </w:tc>
        <w:tc>
          <w:tcPr>
            <w:tcW w:w="4986" w:type="dxa"/>
            <w:gridSpan w:val="3"/>
            <w:vAlign w:val="center"/>
          </w:tcPr>
          <w:p w14:paraId="7345D37F">
            <w:pPr>
              <w:overflowPunct w:val="0"/>
              <w:spacing w:line="240" w:lineRule="atLeast"/>
              <w:rPr>
                <w:rFonts w:ascii="宋体" w:cs="宋体"/>
                <w:color w:val="auto"/>
                <w:szCs w:val="21"/>
                <w:highlight w:val="none"/>
              </w:rPr>
            </w:pPr>
          </w:p>
        </w:tc>
      </w:tr>
      <w:tr w14:paraId="13F7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81" w:type="dxa"/>
            <w:gridSpan w:val="3"/>
            <w:vAlign w:val="center"/>
          </w:tcPr>
          <w:p w14:paraId="4666D2A7">
            <w:pPr>
              <w:overflowPunct w:val="0"/>
              <w:spacing w:line="240" w:lineRule="atLeast"/>
              <w:rPr>
                <w:rFonts w:ascii="宋体" w:cs="宋体"/>
                <w:color w:val="auto"/>
                <w:szCs w:val="21"/>
                <w:highlight w:val="none"/>
              </w:rPr>
            </w:pPr>
            <w:r>
              <w:rPr>
                <w:rFonts w:hint="eastAsia" w:ascii="宋体" w:hAnsi="宋体" w:cs="宋体"/>
                <w:color w:val="auto"/>
                <w:szCs w:val="21"/>
                <w:highlight w:val="none"/>
              </w:rPr>
              <w:t>地址、邮编</w:t>
            </w:r>
          </w:p>
        </w:tc>
        <w:tc>
          <w:tcPr>
            <w:tcW w:w="4986" w:type="dxa"/>
            <w:gridSpan w:val="3"/>
            <w:vAlign w:val="center"/>
          </w:tcPr>
          <w:p w14:paraId="3287F11B">
            <w:pPr>
              <w:overflowPunct w:val="0"/>
              <w:spacing w:line="240" w:lineRule="atLeast"/>
              <w:rPr>
                <w:rFonts w:ascii="宋体" w:cs="宋体"/>
                <w:color w:val="auto"/>
                <w:szCs w:val="21"/>
                <w:highlight w:val="none"/>
              </w:rPr>
            </w:pPr>
          </w:p>
        </w:tc>
      </w:tr>
      <w:tr w14:paraId="50E0D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81" w:type="dxa"/>
            <w:gridSpan w:val="3"/>
            <w:vAlign w:val="center"/>
          </w:tcPr>
          <w:p w14:paraId="6635688D">
            <w:pPr>
              <w:overflowPunct w:val="0"/>
              <w:spacing w:line="240" w:lineRule="atLeast"/>
              <w:rPr>
                <w:rFonts w:ascii="宋体" w:cs="宋体"/>
                <w:color w:val="auto"/>
                <w:szCs w:val="21"/>
                <w:highlight w:val="none"/>
              </w:rPr>
            </w:pPr>
            <w:r>
              <w:rPr>
                <w:rFonts w:hint="eastAsia" w:ascii="宋体" w:hAnsi="宋体" w:cs="宋体"/>
                <w:color w:val="auto"/>
                <w:szCs w:val="21"/>
                <w:highlight w:val="none"/>
              </w:rPr>
              <w:t>主要业务范围</w:t>
            </w:r>
          </w:p>
        </w:tc>
        <w:tc>
          <w:tcPr>
            <w:tcW w:w="4986" w:type="dxa"/>
            <w:gridSpan w:val="3"/>
            <w:vAlign w:val="center"/>
          </w:tcPr>
          <w:p w14:paraId="0BD9E0A4">
            <w:pPr>
              <w:overflowPunct w:val="0"/>
              <w:spacing w:line="240" w:lineRule="atLeast"/>
              <w:rPr>
                <w:rFonts w:ascii="宋体" w:cs="宋体"/>
                <w:color w:val="auto"/>
                <w:szCs w:val="21"/>
                <w:highlight w:val="none"/>
              </w:rPr>
            </w:pPr>
          </w:p>
        </w:tc>
      </w:tr>
      <w:tr w14:paraId="7C06A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81" w:type="dxa"/>
            <w:gridSpan w:val="3"/>
            <w:vAlign w:val="center"/>
          </w:tcPr>
          <w:p w14:paraId="2AE70BD4">
            <w:pPr>
              <w:overflowPunct w:val="0"/>
              <w:spacing w:line="240" w:lineRule="atLeast"/>
              <w:rPr>
                <w:rFonts w:ascii="宋体" w:cs="宋体"/>
                <w:color w:val="auto"/>
                <w:szCs w:val="21"/>
                <w:highlight w:val="none"/>
              </w:rPr>
            </w:pPr>
            <w:r>
              <w:rPr>
                <w:rFonts w:hint="eastAsia" w:ascii="宋体" w:hAnsi="宋体" w:cs="宋体"/>
                <w:color w:val="auto"/>
                <w:szCs w:val="21"/>
                <w:highlight w:val="none"/>
              </w:rPr>
              <w:t>成立时间</w:t>
            </w:r>
          </w:p>
        </w:tc>
        <w:tc>
          <w:tcPr>
            <w:tcW w:w="4986" w:type="dxa"/>
            <w:gridSpan w:val="3"/>
            <w:vAlign w:val="center"/>
          </w:tcPr>
          <w:p w14:paraId="7D70D119">
            <w:pPr>
              <w:overflowPunct w:val="0"/>
              <w:spacing w:line="240" w:lineRule="atLeast"/>
              <w:rPr>
                <w:rFonts w:ascii="宋体" w:cs="宋体"/>
                <w:color w:val="auto"/>
                <w:szCs w:val="21"/>
                <w:highlight w:val="none"/>
              </w:rPr>
            </w:pPr>
          </w:p>
        </w:tc>
      </w:tr>
      <w:tr w14:paraId="5CB0C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7" w:type="dxa"/>
            <w:gridSpan w:val="6"/>
            <w:vAlign w:val="center"/>
          </w:tcPr>
          <w:p w14:paraId="1BE5C194">
            <w:pPr>
              <w:overflowPunct w:val="0"/>
              <w:spacing w:line="240" w:lineRule="atLeast"/>
              <w:rPr>
                <w:rFonts w:ascii="宋体" w:cs="宋体"/>
                <w:color w:val="auto"/>
                <w:szCs w:val="21"/>
                <w:highlight w:val="none"/>
              </w:rPr>
            </w:pPr>
            <w:r>
              <w:rPr>
                <w:rFonts w:hint="eastAsia" w:ascii="宋体" w:hAnsi="宋体" w:cs="宋体"/>
                <w:color w:val="auto"/>
                <w:szCs w:val="21"/>
                <w:highlight w:val="none"/>
              </w:rPr>
              <w:t>领导班子构成情况</w:t>
            </w:r>
          </w:p>
        </w:tc>
      </w:tr>
      <w:tr w14:paraId="0209A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1" w:type="dxa"/>
            <w:gridSpan w:val="2"/>
            <w:vAlign w:val="center"/>
          </w:tcPr>
          <w:p w14:paraId="30C007CB">
            <w:pPr>
              <w:overflowPunct w:val="0"/>
              <w:spacing w:line="240" w:lineRule="atLeast"/>
              <w:rPr>
                <w:rFonts w:ascii="宋体" w:cs="宋体"/>
                <w:color w:val="auto"/>
                <w:szCs w:val="21"/>
                <w:highlight w:val="none"/>
              </w:rPr>
            </w:pPr>
            <w:r>
              <w:rPr>
                <w:rFonts w:hint="eastAsia" w:ascii="宋体" w:hAnsi="宋体" w:cs="宋体"/>
                <w:color w:val="auto"/>
                <w:szCs w:val="21"/>
                <w:highlight w:val="none"/>
              </w:rPr>
              <w:t>法人代表</w:t>
            </w:r>
          </w:p>
        </w:tc>
        <w:tc>
          <w:tcPr>
            <w:tcW w:w="1720" w:type="dxa"/>
            <w:vAlign w:val="center"/>
          </w:tcPr>
          <w:p w14:paraId="21352304">
            <w:pPr>
              <w:overflowPunct w:val="0"/>
              <w:spacing w:line="240" w:lineRule="atLeast"/>
              <w:rPr>
                <w:rFonts w:ascii="宋体" w:cs="宋体"/>
                <w:color w:val="auto"/>
                <w:szCs w:val="21"/>
                <w:highlight w:val="none"/>
              </w:rPr>
            </w:pPr>
            <w:r>
              <w:rPr>
                <w:rFonts w:hint="eastAsia" w:ascii="宋体" w:hAnsi="宋体" w:cs="宋体"/>
                <w:color w:val="auto"/>
                <w:szCs w:val="21"/>
                <w:highlight w:val="none"/>
              </w:rPr>
              <w:t>公司经理</w:t>
            </w:r>
          </w:p>
        </w:tc>
        <w:tc>
          <w:tcPr>
            <w:tcW w:w="1859" w:type="dxa"/>
            <w:vAlign w:val="center"/>
          </w:tcPr>
          <w:p w14:paraId="3402DD86">
            <w:pPr>
              <w:overflowPunct w:val="0"/>
              <w:spacing w:line="240" w:lineRule="atLeast"/>
              <w:rPr>
                <w:rFonts w:ascii="宋体" w:cs="宋体"/>
                <w:color w:val="auto"/>
                <w:szCs w:val="21"/>
                <w:highlight w:val="none"/>
              </w:rPr>
            </w:pPr>
            <w:r>
              <w:rPr>
                <w:rFonts w:hint="eastAsia" w:ascii="宋体" w:hAnsi="宋体" w:cs="宋体"/>
                <w:color w:val="auto"/>
                <w:szCs w:val="21"/>
                <w:highlight w:val="none"/>
              </w:rPr>
              <w:t>总工程师</w:t>
            </w:r>
          </w:p>
        </w:tc>
        <w:tc>
          <w:tcPr>
            <w:tcW w:w="1758" w:type="dxa"/>
            <w:vAlign w:val="center"/>
          </w:tcPr>
          <w:p w14:paraId="5086112D">
            <w:pPr>
              <w:overflowPunct w:val="0"/>
              <w:spacing w:line="240" w:lineRule="atLeast"/>
              <w:rPr>
                <w:rFonts w:ascii="宋体" w:cs="宋体"/>
                <w:color w:val="auto"/>
                <w:szCs w:val="21"/>
                <w:highlight w:val="none"/>
              </w:rPr>
            </w:pPr>
            <w:r>
              <w:rPr>
                <w:rFonts w:hint="eastAsia" w:ascii="宋体" w:hAnsi="宋体" w:cs="宋体"/>
                <w:color w:val="auto"/>
                <w:szCs w:val="21"/>
                <w:highlight w:val="none"/>
              </w:rPr>
              <w:t>总经济师</w:t>
            </w:r>
          </w:p>
        </w:tc>
        <w:tc>
          <w:tcPr>
            <w:tcW w:w="1369" w:type="dxa"/>
            <w:vAlign w:val="center"/>
          </w:tcPr>
          <w:p w14:paraId="4A35F99F">
            <w:pPr>
              <w:overflowPunct w:val="0"/>
              <w:spacing w:line="240" w:lineRule="atLeast"/>
              <w:rPr>
                <w:rFonts w:ascii="宋体" w:cs="宋体"/>
                <w:color w:val="auto"/>
                <w:szCs w:val="21"/>
                <w:highlight w:val="none"/>
              </w:rPr>
            </w:pPr>
            <w:r>
              <w:rPr>
                <w:rFonts w:hint="eastAsia" w:ascii="宋体" w:hAnsi="宋体" w:cs="宋体"/>
                <w:color w:val="auto"/>
                <w:szCs w:val="21"/>
                <w:highlight w:val="none"/>
              </w:rPr>
              <w:t>总会计师</w:t>
            </w:r>
          </w:p>
        </w:tc>
      </w:tr>
      <w:tr w14:paraId="47353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1" w:type="dxa"/>
            <w:gridSpan w:val="2"/>
            <w:vAlign w:val="center"/>
          </w:tcPr>
          <w:p w14:paraId="56311957">
            <w:pPr>
              <w:overflowPunct w:val="0"/>
              <w:spacing w:line="240" w:lineRule="atLeast"/>
              <w:rPr>
                <w:rFonts w:ascii="宋体" w:cs="宋体"/>
                <w:color w:val="auto"/>
                <w:szCs w:val="21"/>
                <w:highlight w:val="none"/>
              </w:rPr>
            </w:pPr>
          </w:p>
        </w:tc>
        <w:tc>
          <w:tcPr>
            <w:tcW w:w="1720" w:type="dxa"/>
            <w:vAlign w:val="center"/>
          </w:tcPr>
          <w:p w14:paraId="208F7F42">
            <w:pPr>
              <w:overflowPunct w:val="0"/>
              <w:spacing w:line="240" w:lineRule="atLeast"/>
              <w:rPr>
                <w:rFonts w:ascii="宋体" w:cs="宋体"/>
                <w:color w:val="auto"/>
                <w:szCs w:val="21"/>
                <w:highlight w:val="none"/>
              </w:rPr>
            </w:pPr>
          </w:p>
        </w:tc>
        <w:tc>
          <w:tcPr>
            <w:tcW w:w="1859" w:type="dxa"/>
            <w:vAlign w:val="center"/>
          </w:tcPr>
          <w:p w14:paraId="240A509D">
            <w:pPr>
              <w:overflowPunct w:val="0"/>
              <w:spacing w:line="240" w:lineRule="atLeast"/>
              <w:rPr>
                <w:rFonts w:ascii="宋体" w:cs="宋体"/>
                <w:color w:val="auto"/>
                <w:szCs w:val="21"/>
                <w:highlight w:val="none"/>
              </w:rPr>
            </w:pPr>
          </w:p>
        </w:tc>
        <w:tc>
          <w:tcPr>
            <w:tcW w:w="1758" w:type="dxa"/>
            <w:vAlign w:val="center"/>
          </w:tcPr>
          <w:p w14:paraId="1E3BACDE">
            <w:pPr>
              <w:overflowPunct w:val="0"/>
              <w:spacing w:line="240" w:lineRule="atLeast"/>
              <w:rPr>
                <w:rFonts w:ascii="宋体" w:cs="宋体"/>
                <w:color w:val="auto"/>
                <w:szCs w:val="21"/>
                <w:highlight w:val="none"/>
              </w:rPr>
            </w:pPr>
          </w:p>
        </w:tc>
        <w:tc>
          <w:tcPr>
            <w:tcW w:w="1369" w:type="dxa"/>
            <w:vAlign w:val="center"/>
          </w:tcPr>
          <w:p w14:paraId="6F7E76AB">
            <w:pPr>
              <w:overflowPunct w:val="0"/>
              <w:spacing w:line="240" w:lineRule="atLeast"/>
              <w:rPr>
                <w:rFonts w:ascii="宋体" w:cs="宋体"/>
                <w:color w:val="auto"/>
                <w:szCs w:val="21"/>
                <w:highlight w:val="none"/>
              </w:rPr>
            </w:pPr>
          </w:p>
        </w:tc>
      </w:tr>
      <w:tr w14:paraId="45E7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7" w:type="dxa"/>
            <w:gridSpan w:val="6"/>
            <w:vAlign w:val="center"/>
          </w:tcPr>
          <w:p w14:paraId="56AC6F95">
            <w:pPr>
              <w:overflowPunct w:val="0"/>
              <w:spacing w:line="240" w:lineRule="atLeast"/>
              <w:rPr>
                <w:rFonts w:ascii="宋体" w:cs="宋体"/>
                <w:color w:val="auto"/>
                <w:szCs w:val="21"/>
                <w:highlight w:val="none"/>
              </w:rPr>
            </w:pPr>
            <w:r>
              <w:rPr>
                <w:rFonts w:hint="eastAsia" w:ascii="宋体" w:hAnsi="宋体" w:cs="宋体"/>
                <w:color w:val="auto"/>
                <w:szCs w:val="21"/>
                <w:highlight w:val="none"/>
              </w:rPr>
              <w:t>人员职称构成情况</w:t>
            </w:r>
          </w:p>
        </w:tc>
      </w:tr>
      <w:tr w14:paraId="09EEB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1" w:type="dxa"/>
            <w:gridSpan w:val="2"/>
            <w:vMerge w:val="restart"/>
            <w:vAlign w:val="center"/>
          </w:tcPr>
          <w:p w14:paraId="03480436">
            <w:pPr>
              <w:overflowPunct w:val="0"/>
              <w:spacing w:line="240" w:lineRule="atLeast"/>
              <w:rPr>
                <w:rFonts w:ascii="宋体" w:cs="宋体"/>
                <w:color w:val="auto"/>
                <w:szCs w:val="21"/>
                <w:highlight w:val="none"/>
              </w:rPr>
            </w:pPr>
            <w:r>
              <w:rPr>
                <w:rFonts w:hint="eastAsia" w:ascii="宋体" w:hAnsi="宋体" w:cs="宋体"/>
                <w:color w:val="auto"/>
                <w:szCs w:val="21"/>
                <w:highlight w:val="none"/>
              </w:rPr>
              <w:t>人员总数（人）</w:t>
            </w:r>
          </w:p>
        </w:tc>
        <w:tc>
          <w:tcPr>
            <w:tcW w:w="1720" w:type="dxa"/>
            <w:vAlign w:val="center"/>
          </w:tcPr>
          <w:p w14:paraId="5875672A">
            <w:pPr>
              <w:overflowPunct w:val="0"/>
              <w:spacing w:line="240" w:lineRule="atLeast"/>
              <w:rPr>
                <w:rFonts w:ascii="宋体" w:cs="宋体"/>
                <w:color w:val="auto"/>
                <w:szCs w:val="21"/>
                <w:highlight w:val="none"/>
              </w:rPr>
            </w:pPr>
            <w:r>
              <w:rPr>
                <w:rFonts w:hint="eastAsia" w:ascii="宋体" w:hAnsi="宋体" w:cs="宋体"/>
                <w:color w:val="auto"/>
                <w:szCs w:val="21"/>
                <w:highlight w:val="none"/>
              </w:rPr>
              <w:t>高级职称</w:t>
            </w:r>
          </w:p>
        </w:tc>
        <w:tc>
          <w:tcPr>
            <w:tcW w:w="1859" w:type="dxa"/>
            <w:vAlign w:val="center"/>
          </w:tcPr>
          <w:p w14:paraId="303F163C">
            <w:pPr>
              <w:overflowPunct w:val="0"/>
              <w:spacing w:line="240" w:lineRule="atLeast"/>
              <w:rPr>
                <w:rFonts w:ascii="宋体" w:cs="宋体"/>
                <w:color w:val="auto"/>
                <w:szCs w:val="21"/>
                <w:highlight w:val="none"/>
              </w:rPr>
            </w:pPr>
            <w:r>
              <w:rPr>
                <w:rFonts w:hint="eastAsia" w:ascii="宋体" w:hAnsi="宋体" w:cs="宋体"/>
                <w:color w:val="auto"/>
                <w:szCs w:val="21"/>
                <w:highlight w:val="none"/>
              </w:rPr>
              <w:t>中级职称</w:t>
            </w:r>
          </w:p>
        </w:tc>
        <w:tc>
          <w:tcPr>
            <w:tcW w:w="1758" w:type="dxa"/>
            <w:vAlign w:val="center"/>
          </w:tcPr>
          <w:p w14:paraId="523A84CF">
            <w:pPr>
              <w:overflowPunct w:val="0"/>
              <w:spacing w:line="240" w:lineRule="atLeast"/>
              <w:rPr>
                <w:rFonts w:ascii="宋体" w:cs="宋体"/>
                <w:color w:val="auto"/>
                <w:szCs w:val="21"/>
                <w:highlight w:val="none"/>
              </w:rPr>
            </w:pPr>
            <w:r>
              <w:rPr>
                <w:rFonts w:hint="eastAsia" w:ascii="宋体" w:hAnsi="宋体" w:cs="宋体"/>
                <w:color w:val="auto"/>
                <w:szCs w:val="21"/>
                <w:highlight w:val="none"/>
              </w:rPr>
              <w:t>初级职称</w:t>
            </w:r>
          </w:p>
        </w:tc>
        <w:tc>
          <w:tcPr>
            <w:tcW w:w="1369" w:type="dxa"/>
            <w:vAlign w:val="center"/>
          </w:tcPr>
          <w:p w14:paraId="5B4CB431">
            <w:pPr>
              <w:overflowPunct w:val="0"/>
              <w:spacing w:line="240" w:lineRule="atLeast"/>
              <w:rPr>
                <w:rFonts w:ascii="宋体" w:cs="宋体"/>
                <w:color w:val="auto"/>
                <w:szCs w:val="21"/>
                <w:highlight w:val="none"/>
              </w:rPr>
            </w:pPr>
            <w:r>
              <w:rPr>
                <w:rFonts w:hint="eastAsia" w:ascii="宋体" w:hAnsi="宋体" w:cs="宋体"/>
                <w:color w:val="auto"/>
                <w:szCs w:val="21"/>
                <w:highlight w:val="none"/>
              </w:rPr>
              <w:t>其他</w:t>
            </w:r>
          </w:p>
        </w:tc>
      </w:tr>
      <w:tr w14:paraId="390F5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1" w:type="dxa"/>
            <w:gridSpan w:val="2"/>
            <w:vMerge w:val="continue"/>
            <w:vAlign w:val="center"/>
          </w:tcPr>
          <w:p w14:paraId="464E7275">
            <w:pPr>
              <w:overflowPunct w:val="0"/>
              <w:spacing w:line="240" w:lineRule="atLeast"/>
              <w:rPr>
                <w:rFonts w:ascii="宋体" w:cs="宋体"/>
                <w:color w:val="auto"/>
                <w:szCs w:val="21"/>
                <w:highlight w:val="none"/>
              </w:rPr>
            </w:pPr>
          </w:p>
        </w:tc>
        <w:tc>
          <w:tcPr>
            <w:tcW w:w="1720" w:type="dxa"/>
            <w:vAlign w:val="center"/>
          </w:tcPr>
          <w:p w14:paraId="7401A9D6">
            <w:pPr>
              <w:overflowPunct w:val="0"/>
              <w:spacing w:line="240" w:lineRule="atLeast"/>
              <w:rPr>
                <w:rFonts w:ascii="宋体" w:cs="宋体"/>
                <w:color w:val="auto"/>
                <w:szCs w:val="21"/>
                <w:highlight w:val="none"/>
              </w:rPr>
            </w:pPr>
          </w:p>
        </w:tc>
        <w:tc>
          <w:tcPr>
            <w:tcW w:w="1859" w:type="dxa"/>
            <w:vAlign w:val="center"/>
          </w:tcPr>
          <w:p w14:paraId="1665B562">
            <w:pPr>
              <w:overflowPunct w:val="0"/>
              <w:spacing w:line="240" w:lineRule="atLeast"/>
              <w:rPr>
                <w:rFonts w:ascii="宋体" w:cs="宋体"/>
                <w:color w:val="auto"/>
                <w:szCs w:val="21"/>
                <w:highlight w:val="none"/>
              </w:rPr>
            </w:pPr>
          </w:p>
        </w:tc>
        <w:tc>
          <w:tcPr>
            <w:tcW w:w="1758" w:type="dxa"/>
            <w:vAlign w:val="center"/>
          </w:tcPr>
          <w:p w14:paraId="0DE8B223">
            <w:pPr>
              <w:overflowPunct w:val="0"/>
              <w:spacing w:line="240" w:lineRule="atLeast"/>
              <w:rPr>
                <w:rFonts w:ascii="宋体" w:cs="宋体"/>
                <w:color w:val="auto"/>
                <w:szCs w:val="21"/>
                <w:highlight w:val="none"/>
              </w:rPr>
            </w:pPr>
          </w:p>
        </w:tc>
        <w:tc>
          <w:tcPr>
            <w:tcW w:w="1369" w:type="dxa"/>
            <w:vAlign w:val="center"/>
          </w:tcPr>
          <w:p w14:paraId="7D7CF8FD">
            <w:pPr>
              <w:overflowPunct w:val="0"/>
              <w:spacing w:line="240" w:lineRule="atLeast"/>
              <w:rPr>
                <w:rFonts w:ascii="宋体" w:cs="宋体"/>
                <w:color w:val="auto"/>
                <w:szCs w:val="21"/>
                <w:highlight w:val="none"/>
              </w:rPr>
            </w:pPr>
          </w:p>
        </w:tc>
      </w:tr>
      <w:tr w14:paraId="67863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1" w:type="dxa"/>
            <w:gridSpan w:val="2"/>
            <w:vMerge w:val="restart"/>
            <w:vAlign w:val="center"/>
          </w:tcPr>
          <w:p w14:paraId="02A7C5A2">
            <w:pPr>
              <w:overflowPunct w:val="0"/>
              <w:spacing w:line="240" w:lineRule="atLeast"/>
              <w:rPr>
                <w:rFonts w:ascii="宋体" w:cs="宋体"/>
                <w:color w:val="auto"/>
                <w:szCs w:val="21"/>
                <w:highlight w:val="none"/>
              </w:rPr>
            </w:pPr>
            <w:r>
              <w:rPr>
                <w:rFonts w:hint="eastAsia" w:ascii="宋体" w:hAnsi="宋体" w:cs="宋体"/>
                <w:color w:val="auto"/>
                <w:szCs w:val="21"/>
                <w:highlight w:val="none"/>
              </w:rPr>
              <w:t>人员构成（</w:t>
            </w:r>
            <w:r>
              <w:rPr>
                <w:rFonts w:ascii="宋体" w:hAnsi="宋体" w:cs="宋体"/>
                <w:color w:val="auto"/>
                <w:szCs w:val="21"/>
                <w:highlight w:val="none"/>
              </w:rPr>
              <w:t>%</w:t>
            </w:r>
            <w:r>
              <w:rPr>
                <w:rFonts w:hint="eastAsia" w:ascii="宋体" w:hAnsi="宋体" w:cs="宋体"/>
                <w:color w:val="auto"/>
                <w:szCs w:val="21"/>
                <w:highlight w:val="none"/>
              </w:rPr>
              <w:t>）</w:t>
            </w:r>
          </w:p>
        </w:tc>
        <w:tc>
          <w:tcPr>
            <w:tcW w:w="1720" w:type="dxa"/>
            <w:vAlign w:val="center"/>
          </w:tcPr>
          <w:p w14:paraId="69E1FABE">
            <w:pPr>
              <w:overflowPunct w:val="0"/>
              <w:spacing w:line="240" w:lineRule="atLeast"/>
              <w:rPr>
                <w:rFonts w:ascii="宋体" w:cs="宋体"/>
                <w:color w:val="auto"/>
                <w:szCs w:val="21"/>
                <w:highlight w:val="none"/>
              </w:rPr>
            </w:pPr>
            <w:r>
              <w:rPr>
                <w:rFonts w:hint="eastAsia" w:ascii="宋体" w:hAnsi="宋体" w:cs="宋体"/>
                <w:color w:val="auto"/>
                <w:szCs w:val="21"/>
                <w:highlight w:val="none"/>
              </w:rPr>
              <w:t>管理人员</w:t>
            </w:r>
          </w:p>
        </w:tc>
        <w:tc>
          <w:tcPr>
            <w:tcW w:w="1859" w:type="dxa"/>
            <w:vAlign w:val="center"/>
          </w:tcPr>
          <w:p w14:paraId="74013736">
            <w:pPr>
              <w:overflowPunct w:val="0"/>
              <w:spacing w:line="240" w:lineRule="atLeast"/>
              <w:rPr>
                <w:rFonts w:ascii="宋体" w:cs="宋体"/>
                <w:color w:val="auto"/>
                <w:szCs w:val="21"/>
                <w:highlight w:val="none"/>
              </w:rPr>
            </w:pPr>
            <w:r>
              <w:rPr>
                <w:rFonts w:hint="eastAsia" w:ascii="宋体" w:hAnsi="宋体" w:cs="宋体"/>
                <w:color w:val="auto"/>
                <w:szCs w:val="21"/>
                <w:highlight w:val="none"/>
              </w:rPr>
              <w:t>技术人员</w:t>
            </w:r>
          </w:p>
        </w:tc>
        <w:tc>
          <w:tcPr>
            <w:tcW w:w="1758" w:type="dxa"/>
            <w:vAlign w:val="center"/>
          </w:tcPr>
          <w:p w14:paraId="1EA3B00B">
            <w:pPr>
              <w:overflowPunct w:val="0"/>
              <w:spacing w:line="240" w:lineRule="atLeast"/>
              <w:rPr>
                <w:rFonts w:ascii="宋体" w:cs="宋体"/>
                <w:color w:val="auto"/>
                <w:szCs w:val="21"/>
                <w:highlight w:val="none"/>
              </w:rPr>
            </w:pPr>
            <w:r>
              <w:rPr>
                <w:rFonts w:hint="eastAsia" w:ascii="宋体" w:hAnsi="宋体" w:cs="宋体"/>
                <w:color w:val="auto"/>
                <w:szCs w:val="21"/>
                <w:highlight w:val="none"/>
              </w:rPr>
              <w:t>后勤人员</w:t>
            </w:r>
          </w:p>
        </w:tc>
        <w:tc>
          <w:tcPr>
            <w:tcW w:w="1369" w:type="dxa"/>
            <w:vAlign w:val="center"/>
          </w:tcPr>
          <w:p w14:paraId="4D24C300">
            <w:pPr>
              <w:overflowPunct w:val="0"/>
              <w:spacing w:line="240" w:lineRule="atLeast"/>
              <w:rPr>
                <w:rFonts w:ascii="宋体" w:cs="宋体"/>
                <w:color w:val="auto"/>
                <w:szCs w:val="21"/>
                <w:highlight w:val="none"/>
              </w:rPr>
            </w:pPr>
            <w:r>
              <w:rPr>
                <w:rFonts w:hint="eastAsia" w:ascii="宋体" w:hAnsi="宋体" w:cs="宋体"/>
                <w:color w:val="auto"/>
                <w:szCs w:val="21"/>
                <w:highlight w:val="none"/>
              </w:rPr>
              <w:t>其他</w:t>
            </w:r>
          </w:p>
        </w:tc>
      </w:tr>
      <w:tr w14:paraId="49E9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1" w:type="dxa"/>
            <w:gridSpan w:val="2"/>
            <w:vMerge w:val="continue"/>
            <w:vAlign w:val="center"/>
          </w:tcPr>
          <w:p w14:paraId="4375C569">
            <w:pPr>
              <w:overflowPunct w:val="0"/>
              <w:spacing w:line="240" w:lineRule="atLeast"/>
              <w:rPr>
                <w:rFonts w:ascii="宋体" w:cs="宋体"/>
                <w:color w:val="auto"/>
                <w:szCs w:val="21"/>
                <w:highlight w:val="none"/>
              </w:rPr>
            </w:pPr>
          </w:p>
        </w:tc>
        <w:tc>
          <w:tcPr>
            <w:tcW w:w="1720" w:type="dxa"/>
            <w:vAlign w:val="center"/>
          </w:tcPr>
          <w:p w14:paraId="03B2BDAB">
            <w:pPr>
              <w:overflowPunct w:val="0"/>
              <w:spacing w:line="240" w:lineRule="atLeast"/>
              <w:rPr>
                <w:rFonts w:ascii="宋体" w:cs="宋体"/>
                <w:color w:val="auto"/>
                <w:szCs w:val="21"/>
                <w:highlight w:val="none"/>
              </w:rPr>
            </w:pPr>
          </w:p>
        </w:tc>
        <w:tc>
          <w:tcPr>
            <w:tcW w:w="1859" w:type="dxa"/>
            <w:vAlign w:val="center"/>
          </w:tcPr>
          <w:p w14:paraId="0AA324AF">
            <w:pPr>
              <w:overflowPunct w:val="0"/>
              <w:spacing w:line="240" w:lineRule="atLeast"/>
              <w:rPr>
                <w:rFonts w:ascii="宋体" w:cs="宋体"/>
                <w:color w:val="auto"/>
                <w:szCs w:val="21"/>
                <w:highlight w:val="none"/>
              </w:rPr>
            </w:pPr>
          </w:p>
        </w:tc>
        <w:tc>
          <w:tcPr>
            <w:tcW w:w="1758" w:type="dxa"/>
            <w:vAlign w:val="center"/>
          </w:tcPr>
          <w:p w14:paraId="13CF9E2E">
            <w:pPr>
              <w:overflowPunct w:val="0"/>
              <w:spacing w:line="240" w:lineRule="atLeast"/>
              <w:rPr>
                <w:rFonts w:ascii="宋体" w:cs="宋体"/>
                <w:color w:val="auto"/>
                <w:szCs w:val="21"/>
                <w:highlight w:val="none"/>
              </w:rPr>
            </w:pPr>
          </w:p>
        </w:tc>
        <w:tc>
          <w:tcPr>
            <w:tcW w:w="1369" w:type="dxa"/>
            <w:vAlign w:val="center"/>
          </w:tcPr>
          <w:p w14:paraId="0CF09D39">
            <w:pPr>
              <w:overflowPunct w:val="0"/>
              <w:spacing w:line="240" w:lineRule="atLeast"/>
              <w:rPr>
                <w:rFonts w:ascii="宋体" w:cs="宋体"/>
                <w:color w:val="auto"/>
                <w:szCs w:val="21"/>
                <w:highlight w:val="none"/>
              </w:rPr>
            </w:pPr>
          </w:p>
        </w:tc>
      </w:tr>
      <w:tr w14:paraId="6121A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exact"/>
          <w:jc w:val="center"/>
        </w:trPr>
        <w:tc>
          <w:tcPr>
            <w:tcW w:w="645" w:type="dxa"/>
            <w:vAlign w:val="center"/>
          </w:tcPr>
          <w:p w14:paraId="1F9F9F72">
            <w:pPr>
              <w:overflowPunct w:val="0"/>
              <w:rPr>
                <w:rFonts w:ascii="宋体" w:cs="宋体"/>
                <w:color w:val="auto"/>
                <w:szCs w:val="21"/>
                <w:highlight w:val="none"/>
              </w:rPr>
            </w:pPr>
            <w:r>
              <w:rPr>
                <w:rFonts w:hint="eastAsia" w:ascii="宋体" w:hAnsi="宋体" w:cs="宋体"/>
                <w:color w:val="auto"/>
                <w:szCs w:val="21"/>
                <w:highlight w:val="none"/>
              </w:rPr>
              <w:t>单位概况</w:t>
            </w:r>
          </w:p>
        </w:tc>
        <w:tc>
          <w:tcPr>
            <w:tcW w:w="7822" w:type="dxa"/>
            <w:gridSpan w:val="5"/>
            <w:vAlign w:val="center"/>
          </w:tcPr>
          <w:p w14:paraId="7D29087F">
            <w:pPr>
              <w:overflowPunct w:val="0"/>
              <w:rPr>
                <w:rFonts w:ascii="宋体" w:cs="宋体"/>
                <w:color w:val="auto"/>
                <w:szCs w:val="21"/>
                <w:highlight w:val="none"/>
              </w:rPr>
            </w:pPr>
          </w:p>
        </w:tc>
      </w:tr>
    </w:tbl>
    <w:p w14:paraId="269B5F42">
      <w:pPr>
        <w:overflowPunct w:val="0"/>
        <w:adjustRightInd w:val="0"/>
        <w:snapToGrid w:val="0"/>
        <w:spacing w:line="360" w:lineRule="auto"/>
        <w:rPr>
          <w:rFonts w:ascii="宋体" w:cs="宋体"/>
          <w:color w:val="auto"/>
          <w:sz w:val="28"/>
          <w:szCs w:val="28"/>
          <w:highlight w:val="none"/>
        </w:rPr>
      </w:pPr>
    </w:p>
    <w:p w14:paraId="78249442">
      <w:pPr>
        <w:overflowPunct w:val="0"/>
        <w:spacing w:before="156" w:beforeLines="50" w:after="156" w:afterLines="50"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供应商（盖章）：</w:t>
      </w:r>
    </w:p>
    <w:p w14:paraId="59BA5BD4">
      <w:pPr>
        <w:overflowPunct w:val="0"/>
        <w:spacing w:before="156" w:beforeLines="50" w:after="156" w:afterLines="50"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授权代表（签字）：</w:t>
      </w:r>
    </w:p>
    <w:p w14:paraId="19CC2C88">
      <w:pPr>
        <w:overflowPunct w:val="0"/>
        <w:spacing w:before="156" w:beforeLines="50" w:after="156" w:afterLines="50"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日期： </w:t>
      </w:r>
    </w:p>
    <w:p w14:paraId="7329B527">
      <w:pPr>
        <w:pStyle w:val="19"/>
        <w:overflowPunct w:val="0"/>
        <w:rPr>
          <w:rFonts w:ascii="宋体" w:cs="宋体"/>
          <w:color w:val="auto"/>
          <w:highlight w:val="none"/>
        </w:rPr>
      </w:pPr>
      <w:r>
        <w:rPr>
          <w:rFonts w:hint="eastAsia" w:ascii="宋体" w:hAnsi="宋体" w:cs="宋体"/>
          <w:color w:val="auto"/>
          <w:highlight w:val="none"/>
        </w:rPr>
        <w:t>说明：本表格可视情形添加或删减。除表格外，可另附文字、图片等情况加以说明。</w:t>
      </w:r>
    </w:p>
    <w:p w14:paraId="6F06E3C7">
      <w:pPr>
        <w:overflowPunct w:val="0"/>
        <w:spacing w:line="400" w:lineRule="exact"/>
        <w:jc w:val="left"/>
        <w:rPr>
          <w:rFonts w:ascii="宋体" w:cs="宋体"/>
          <w:color w:val="auto"/>
          <w:sz w:val="28"/>
          <w:szCs w:val="28"/>
          <w:highlight w:val="none"/>
        </w:rPr>
      </w:pPr>
      <w:r>
        <w:rPr>
          <w:rFonts w:hint="eastAsia" w:ascii="宋体" w:hAnsi="宋体" w:cs="宋体"/>
          <w:color w:val="auto"/>
          <w:sz w:val="28"/>
          <w:szCs w:val="28"/>
          <w:highlight w:val="none"/>
          <w:lang w:val="en-US" w:eastAsia="zh-CN"/>
        </w:rPr>
        <w:t>8</w:t>
      </w:r>
      <w:r>
        <w:rPr>
          <w:rFonts w:hint="eastAsia" w:ascii="宋体" w:hAnsi="宋体" w:cs="宋体"/>
          <w:color w:val="auto"/>
          <w:sz w:val="28"/>
          <w:szCs w:val="28"/>
          <w:highlight w:val="none"/>
        </w:rPr>
        <w:t>、同类项目实施情况一览表</w:t>
      </w:r>
    </w:p>
    <w:p w14:paraId="4DF40BB9">
      <w:pPr>
        <w:overflowPunct w:val="0"/>
        <w:spacing w:line="400" w:lineRule="exact"/>
        <w:jc w:val="left"/>
        <w:rPr>
          <w:rFonts w:ascii="宋体" w:cs="宋体"/>
          <w:bCs/>
          <w:color w:val="auto"/>
          <w:sz w:val="28"/>
          <w:szCs w:val="28"/>
          <w:highlight w:val="none"/>
        </w:rPr>
      </w:pPr>
    </w:p>
    <w:p w14:paraId="207ECA0C">
      <w:pPr>
        <w:overflowPunct w:val="0"/>
        <w:spacing w:line="360" w:lineRule="auto"/>
        <w:jc w:val="center"/>
        <w:rPr>
          <w:rFonts w:ascii="宋体" w:cs="宋体"/>
          <w:b/>
          <w:color w:val="auto"/>
          <w:sz w:val="28"/>
          <w:szCs w:val="28"/>
          <w:highlight w:val="none"/>
        </w:rPr>
      </w:pPr>
      <w:r>
        <w:rPr>
          <w:rFonts w:hint="eastAsia" w:ascii="宋体" w:hAnsi="宋体" w:cs="宋体"/>
          <w:bCs/>
          <w:color w:val="auto"/>
          <w:sz w:val="28"/>
          <w:szCs w:val="28"/>
          <w:highlight w:val="none"/>
        </w:rPr>
        <w:t>同类项目实施情况一览表</w:t>
      </w:r>
    </w:p>
    <w:p w14:paraId="7726A8E3">
      <w:pPr>
        <w:overflowPunct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项目名称：</w:t>
      </w:r>
      <w:r>
        <w:rPr>
          <w:rFonts w:ascii="宋体" w:hAnsi="宋体" w:cs="宋体"/>
          <w:color w:val="auto"/>
          <w:szCs w:val="21"/>
          <w:highlight w:val="none"/>
        </w:rPr>
        <w:t xml:space="preserve">                          </w:t>
      </w:r>
      <w:r>
        <w:rPr>
          <w:rFonts w:hint="eastAsia" w:ascii="宋体" w:hAnsi="宋体" w:cs="宋体"/>
          <w:color w:val="auto"/>
          <w:szCs w:val="21"/>
          <w:highlight w:val="none"/>
        </w:rPr>
        <w:t>项目编号：</w:t>
      </w:r>
    </w:p>
    <w:tbl>
      <w:tblPr>
        <w:tblStyle w:val="31"/>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676"/>
        <w:gridCol w:w="803"/>
        <w:gridCol w:w="1138"/>
        <w:gridCol w:w="2037"/>
        <w:gridCol w:w="973"/>
      </w:tblGrid>
      <w:tr w14:paraId="58AF7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jc w:val="center"/>
        </w:trPr>
        <w:tc>
          <w:tcPr>
            <w:tcW w:w="1008" w:type="dxa"/>
            <w:vAlign w:val="center"/>
          </w:tcPr>
          <w:p w14:paraId="6179EEE4">
            <w:pPr>
              <w:overflowPunct w:val="0"/>
              <w:snapToGrid w:val="0"/>
              <w:spacing w:line="320" w:lineRule="exact"/>
              <w:jc w:val="center"/>
              <w:rPr>
                <w:rFonts w:ascii="宋体" w:cs="宋体"/>
                <w:bCs/>
                <w:color w:val="auto"/>
                <w:szCs w:val="21"/>
                <w:highlight w:val="none"/>
              </w:rPr>
            </w:pPr>
            <w:r>
              <w:rPr>
                <w:rFonts w:hint="eastAsia" w:ascii="宋体" w:hAnsi="宋体" w:cs="宋体"/>
                <w:bCs/>
                <w:color w:val="auto"/>
                <w:szCs w:val="21"/>
                <w:highlight w:val="none"/>
              </w:rPr>
              <w:t>采购单位名称</w:t>
            </w:r>
          </w:p>
        </w:tc>
        <w:tc>
          <w:tcPr>
            <w:tcW w:w="2676" w:type="dxa"/>
            <w:vAlign w:val="center"/>
          </w:tcPr>
          <w:p w14:paraId="50136CF9">
            <w:pPr>
              <w:overflowPunct w:val="0"/>
              <w:snapToGrid w:val="0"/>
              <w:spacing w:line="320" w:lineRule="exact"/>
              <w:jc w:val="center"/>
              <w:rPr>
                <w:rFonts w:ascii="宋体" w:cs="宋体"/>
                <w:bCs/>
                <w:color w:val="auto"/>
                <w:szCs w:val="21"/>
                <w:highlight w:val="none"/>
              </w:rPr>
            </w:pPr>
            <w:r>
              <w:rPr>
                <w:rFonts w:hint="eastAsia" w:ascii="宋体" w:hAnsi="宋体" w:cs="宋体"/>
                <w:bCs/>
                <w:color w:val="auto"/>
                <w:szCs w:val="21"/>
                <w:highlight w:val="none"/>
              </w:rPr>
              <w:t>项目名称</w:t>
            </w:r>
          </w:p>
        </w:tc>
        <w:tc>
          <w:tcPr>
            <w:tcW w:w="803" w:type="dxa"/>
            <w:vAlign w:val="center"/>
          </w:tcPr>
          <w:p w14:paraId="0E6C5ABA">
            <w:pPr>
              <w:overflowPunct w:val="0"/>
              <w:snapToGrid w:val="0"/>
              <w:spacing w:line="320" w:lineRule="exact"/>
              <w:jc w:val="center"/>
              <w:rPr>
                <w:rFonts w:ascii="宋体" w:cs="宋体"/>
                <w:bCs/>
                <w:color w:val="auto"/>
                <w:szCs w:val="21"/>
                <w:highlight w:val="none"/>
              </w:rPr>
            </w:pPr>
            <w:r>
              <w:rPr>
                <w:rFonts w:hint="eastAsia" w:ascii="宋体" w:hAnsi="宋体" w:cs="宋体"/>
                <w:bCs/>
                <w:color w:val="auto"/>
                <w:szCs w:val="21"/>
                <w:highlight w:val="none"/>
              </w:rPr>
              <w:t>数量</w:t>
            </w:r>
          </w:p>
        </w:tc>
        <w:tc>
          <w:tcPr>
            <w:tcW w:w="1138" w:type="dxa"/>
            <w:vAlign w:val="center"/>
          </w:tcPr>
          <w:p w14:paraId="203DA230">
            <w:pPr>
              <w:overflowPunct w:val="0"/>
              <w:snapToGrid w:val="0"/>
              <w:spacing w:line="320" w:lineRule="exact"/>
              <w:jc w:val="center"/>
              <w:rPr>
                <w:rFonts w:ascii="宋体" w:cs="宋体"/>
                <w:bCs/>
                <w:color w:val="auto"/>
                <w:szCs w:val="21"/>
                <w:highlight w:val="none"/>
              </w:rPr>
            </w:pPr>
            <w:r>
              <w:rPr>
                <w:rFonts w:hint="eastAsia" w:ascii="宋体" w:hAnsi="宋体" w:cs="宋体"/>
                <w:bCs/>
                <w:color w:val="auto"/>
                <w:szCs w:val="21"/>
                <w:highlight w:val="none"/>
              </w:rPr>
              <w:t>合同金额</w:t>
            </w:r>
          </w:p>
          <w:p w14:paraId="3228D8C3">
            <w:pPr>
              <w:overflowPunct w:val="0"/>
              <w:snapToGrid w:val="0"/>
              <w:spacing w:line="320" w:lineRule="exact"/>
              <w:jc w:val="center"/>
              <w:rPr>
                <w:rFonts w:ascii="宋体" w:cs="宋体"/>
                <w:bCs/>
                <w:color w:val="auto"/>
                <w:szCs w:val="21"/>
                <w:highlight w:val="none"/>
              </w:rPr>
            </w:pPr>
            <w:r>
              <w:rPr>
                <w:rFonts w:hint="eastAsia" w:ascii="宋体" w:hAnsi="宋体" w:cs="宋体"/>
                <w:bCs/>
                <w:color w:val="auto"/>
                <w:szCs w:val="21"/>
                <w:highlight w:val="none"/>
              </w:rPr>
              <w:t>（万元）</w:t>
            </w:r>
          </w:p>
        </w:tc>
        <w:tc>
          <w:tcPr>
            <w:tcW w:w="2037" w:type="dxa"/>
            <w:vAlign w:val="center"/>
          </w:tcPr>
          <w:p w14:paraId="538043EC">
            <w:pPr>
              <w:overflowPunct w:val="0"/>
              <w:snapToGrid w:val="0"/>
              <w:spacing w:line="320" w:lineRule="exact"/>
              <w:jc w:val="center"/>
              <w:rPr>
                <w:rFonts w:ascii="宋体" w:cs="宋体"/>
                <w:bCs/>
                <w:color w:val="auto"/>
                <w:szCs w:val="21"/>
                <w:highlight w:val="none"/>
              </w:rPr>
            </w:pPr>
            <w:r>
              <w:rPr>
                <w:rFonts w:hint="eastAsia" w:ascii="宋体" w:hAnsi="宋体" w:cs="宋体"/>
                <w:bCs/>
                <w:color w:val="auto"/>
                <w:szCs w:val="21"/>
                <w:highlight w:val="none"/>
              </w:rPr>
              <w:t>采购单位联系人及联系电话</w:t>
            </w:r>
          </w:p>
        </w:tc>
        <w:tc>
          <w:tcPr>
            <w:tcW w:w="973" w:type="dxa"/>
            <w:vAlign w:val="center"/>
          </w:tcPr>
          <w:p w14:paraId="546A1C15">
            <w:pPr>
              <w:overflowPunct w:val="0"/>
              <w:spacing w:line="320" w:lineRule="exact"/>
              <w:jc w:val="center"/>
              <w:rPr>
                <w:rFonts w:ascii="宋体" w:cs="宋体"/>
                <w:bCs/>
                <w:color w:val="auto"/>
                <w:szCs w:val="21"/>
                <w:highlight w:val="none"/>
              </w:rPr>
            </w:pPr>
            <w:r>
              <w:rPr>
                <w:rFonts w:hint="eastAsia" w:ascii="宋体" w:hAnsi="宋体" w:cs="宋体"/>
                <w:bCs/>
                <w:color w:val="auto"/>
                <w:szCs w:val="21"/>
                <w:highlight w:val="none"/>
              </w:rPr>
              <w:t>备注</w:t>
            </w:r>
          </w:p>
        </w:tc>
      </w:tr>
      <w:tr w14:paraId="55F01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008" w:type="dxa"/>
            <w:vAlign w:val="center"/>
          </w:tcPr>
          <w:p w14:paraId="4F762469">
            <w:pPr>
              <w:overflowPunct w:val="0"/>
              <w:jc w:val="center"/>
              <w:rPr>
                <w:rFonts w:ascii="宋体" w:cs="宋体"/>
                <w:bCs/>
                <w:color w:val="auto"/>
                <w:szCs w:val="21"/>
                <w:highlight w:val="none"/>
              </w:rPr>
            </w:pPr>
          </w:p>
        </w:tc>
        <w:tc>
          <w:tcPr>
            <w:tcW w:w="2676" w:type="dxa"/>
            <w:vAlign w:val="center"/>
          </w:tcPr>
          <w:p w14:paraId="7E4387DA">
            <w:pPr>
              <w:overflowPunct w:val="0"/>
              <w:jc w:val="center"/>
              <w:rPr>
                <w:rFonts w:ascii="宋体" w:cs="宋体"/>
                <w:bCs/>
                <w:color w:val="auto"/>
                <w:szCs w:val="21"/>
                <w:highlight w:val="none"/>
              </w:rPr>
            </w:pPr>
          </w:p>
        </w:tc>
        <w:tc>
          <w:tcPr>
            <w:tcW w:w="803" w:type="dxa"/>
            <w:vAlign w:val="center"/>
          </w:tcPr>
          <w:p w14:paraId="288EF8C6">
            <w:pPr>
              <w:overflowPunct w:val="0"/>
              <w:jc w:val="center"/>
              <w:rPr>
                <w:rFonts w:ascii="宋体" w:cs="宋体"/>
                <w:bCs/>
                <w:color w:val="auto"/>
                <w:szCs w:val="21"/>
                <w:highlight w:val="none"/>
              </w:rPr>
            </w:pPr>
          </w:p>
        </w:tc>
        <w:tc>
          <w:tcPr>
            <w:tcW w:w="1138" w:type="dxa"/>
            <w:vAlign w:val="center"/>
          </w:tcPr>
          <w:p w14:paraId="06124B2D">
            <w:pPr>
              <w:overflowPunct w:val="0"/>
              <w:jc w:val="center"/>
              <w:rPr>
                <w:rFonts w:ascii="宋体" w:cs="宋体"/>
                <w:bCs/>
                <w:color w:val="auto"/>
                <w:szCs w:val="21"/>
                <w:highlight w:val="none"/>
              </w:rPr>
            </w:pPr>
          </w:p>
        </w:tc>
        <w:tc>
          <w:tcPr>
            <w:tcW w:w="2037" w:type="dxa"/>
            <w:vAlign w:val="center"/>
          </w:tcPr>
          <w:p w14:paraId="52E5ABC6">
            <w:pPr>
              <w:overflowPunct w:val="0"/>
              <w:jc w:val="center"/>
              <w:rPr>
                <w:rFonts w:ascii="宋体" w:cs="宋体"/>
                <w:bCs/>
                <w:color w:val="auto"/>
                <w:szCs w:val="21"/>
                <w:highlight w:val="none"/>
              </w:rPr>
            </w:pPr>
          </w:p>
        </w:tc>
        <w:tc>
          <w:tcPr>
            <w:tcW w:w="973" w:type="dxa"/>
          </w:tcPr>
          <w:p w14:paraId="25072C1C">
            <w:pPr>
              <w:overflowPunct w:val="0"/>
              <w:jc w:val="center"/>
              <w:rPr>
                <w:rFonts w:ascii="宋体" w:cs="宋体"/>
                <w:bCs/>
                <w:color w:val="auto"/>
                <w:szCs w:val="21"/>
                <w:highlight w:val="none"/>
              </w:rPr>
            </w:pPr>
          </w:p>
        </w:tc>
      </w:tr>
      <w:tr w14:paraId="6319B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008" w:type="dxa"/>
            <w:vAlign w:val="center"/>
          </w:tcPr>
          <w:p w14:paraId="61893969">
            <w:pPr>
              <w:overflowPunct w:val="0"/>
              <w:jc w:val="center"/>
              <w:rPr>
                <w:rFonts w:ascii="宋体" w:cs="宋体"/>
                <w:bCs/>
                <w:color w:val="auto"/>
                <w:szCs w:val="21"/>
                <w:highlight w:val="none"/>
              </w:rPr>
            </w:pPr>
          </w:p>
        </w:tc>
        <w:tc>
          <w:tcPr>
            <w:tcW w:w="2676" w:type="dxa"/>
            <w:vAlign w:val="center"/>
          </w:tcPr>
          <w:p w14:paraId="36C772EC">
            <w:pPr>
              <w:overflowPunct w:val="0"/>
              <w:jc w:val="center"/>
              <w:rPr>
                <w:rFonts w:ascii="宋体" w:cs="宋体"/>
                <w:bCs/>
                <w:color w:val="auto"/>
                <w:szCs w:val="21"/>
                <w:highlight w:val="none"/>
              </w:rPr>
            </w:pPr>
          </w:p>
        </w:tc>
        <w:tc>
          <w:tcPr>
            <w:tcW w:w="803" w:type="dxa"/>
            <w:vAlign w:val="center"/>
          </w:tcPr>
          <w:p w14:paraId="509DD711">
            <w:pPr>
              <w:overflowPunct w:val="0"/>
              <w:jc w:val="center"/>
              <w:rPr>
                <w:rFonts w:ascii="宋体" w:cs="宋体"/>
                <w:bCs/>
                <w:color w:val="auto"/>
                <w:szCs w:val="21"/>
                <w:highlight w:val="none"/>
              </w:rPr>
            </w:pPr>
          </w:p>
        </w:tc>
        <w:tc>
          <w:tcPr>
            <w:tcW w:w="1138" w:type="dxa"/>
            <w:vAlign w:val="center"/>
          </w:tcPr>
          <w:p w14:paraId="05962147">
            <w:pPr>
              <w:overflowPunct w:val="0"/>
              <w:jc w:val="center"/>
              <w:rPr>
                <w:rFonts w:ascii="宋体" w:cs="宋体"/>
                <w:bCs/>
                <w:color w:val="auto"/>
                <w:szCs w:val="21"/>
                <w:highlight w:val="none"/>
              </w:rPr>
            </w:pPr>
          </w:p>
        </w:tc>
        <w:tc>
          <w:tcPr>
            <w:tcW w:w="2037" w:type="dxa"/>
            <w:vAlign w:val="center"/>
          </w:tcPr>
          <w:p w14:paraId="7E159A84">
            <w:pPr>
              <w:overflowPunct w:val="0"/>
              <w:jc w:val="center"/>
              <w:rPr>
                <w:rFonts w:ascii="宋体" w:cs="宋体"/>
                <w:bCs/>
                <w:color w:val="auto"/>
                <w:szCs w:val="21"/>
                <w:highlight w:val="none"/>
              </w:rPr>
            </w:pPr>
          </w:p>
        </w:tc>
        <w:tc>
          <w:tcPr>
            <w:tcW w:w="973" w:type="dxa"/>
          </w:tcPr>
          <w:p w14:paraId="02BFF089">
            <w:pPr>
              <w:overflowPunct w:val="0"/>
              <w:jc w:val="center"/>
              <w:rPr>
                <w:rFonts w:ascii="宋体" w:cs="宋体"/>
                <w:bCs/>
                <w:color w:val="auto"/>
                <w:szCs w:val="21"/>
                <w:highlight w:val="none"/>
              </w:rPr>
            </w:pPr>
          </w:p>
        </w:tc>
      </w:tr>
      <w:tr w14:paraId="755C3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008" w:type="dxa"/>
            <w:vAlign w:val="center"/>
          </w:tcPr>
          <w:p w14:paraId="2812F973">
            <w:pPr>
              <w:overflowPunct w:val="0"/>
              <w:jc w:val="center"/>
              <w:rPr>
                <w:rFonts w:ascii="宋体" w:cs="宋体"/>
                <w:bCs/>
                <w:color w:val="auto"/>
                <w:szCs w:val="21"/>
                <w:highlight w:val="none"/>
              </w:rPr>
            </w:pPr>
          </w:p>
        </w:tc>
        <w:tc>
          <w:tcPr>
            <w:tcW w:w="2676" w:type="dxa"/>
            <w:vAlign w:val="center"/>
          </w:tcPr>
          <w:p w14:paraId="272D78DB">
            <w:pPr>
              <w:overflowPunct w:val="0"/>
              <w:jc w:val="center"/>
              <w:rPr>
                <w:rFonts w:ascii="宋体" w:cs="宋体"/>
                <w:bCs/>
                <w:color w:val="auto"/>
                <w:szCs w:val="21"/>
                <w:highlight w:val="none"/>
              </w:rPr>
            </w:pPr>
          </w:p>
        </w:tc>
        <w:tc>
          <w:tcPr>
            <w:tcW w:w="803" w:type="dxa"/>
            <w:vAlign w:val="center"/>
          </w:tcPr>
          <w:p w14:paraId="0ED16D6D">
            <w:pPr>
              <w:overflowPunct w:val="0"/>
              <w:jc w:val="center"/>
              <w:rPr>
                <w:rFonts w:ascii="宋体" w:cs="宋体"/>
                <w:bCs/>
                <w:color w:val="auto"/>
                <w:szCs w:val="21"/>
                <w:highlight w:val="none"/>
              </w:rPr>
            </w:pPr>
          </w:p>
        </w:tc>
        <w:tc>
          <w:tcPr>
            <w:tcW w:w="1138" w:type="dxa"/>
            <w:vAlign w:val="center"/>
          </w:tcPr>
          <w:p w14:paraId="65027A44">
            <w:pPr>
              <w:overflowPunct w:val="0"/>
              <w:jc w:val="center"/>
              <w:rPr>
                <w:rFonts w:ascii="宋体" w:cs="宋体"/>
                <w:bCs/>
                <w:color w:val="auto"/>
                <w:szCs w:val="21"/>
                <w:highlight w:val="none"/>
              </w:rPr>
            </w:pPr>
          </w:p>
        </w:tc>
        <w:tc>
          <w:tcPr>
            <w:tcW w:w="2037" w:type="dxa"/>
            <w:vAlign w:val="center"/>
          </w:tcPr>
          <w:p w14:paraId="0D4F4941">
            <w:pPr>
              <w:overflowPunct w:val="0"/>
              <w:jc w:val="center"/>
              <w:rPr>
                <w:rFonts w:ascii="宋体" w:cs="宋体"/>
                <w:bCs/>
                <w:color w:val="auto"/>
                <w:szCs w:val="21"/>
                <w:highlight w:val="none"/>
              </w:rPr>
            </w:pPr>
          </w:p>
        </w:tc>
        <w:tc>
          <w:tcPr>
            <w:tcW w:w="973" w:type="dxa"/>
          </w:tcPr>
          <w:p w14:paraId="039E58AF">
            <w:pPr>
              <w:overflowPunct w:val="0"/>
              <w:jc w:val="center"/>
              <w:rPr>
                <w:rFonts w:ascii="宋体" w:cs="宋体"/>
                <w:bCs/>
                <w:color w:val="auto"/>
                <w:szCs w:val="21"/>
                <w:highlight w:val="none"/>
              </w:rPr>
            </w:pPr>
          </w:p>
        </w:tc>
      </w:tr>
      <w:tr w14:paraId="3078B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008" w:type="dxa"/>
            <w:vAlign w:val="center"/>
          </w:tcPr>
          <w:p w14:paraId="693183F6">
            <w:pPr>
              <w:overflowPunct w:val="0"/>
              <w:jc w:val="center"/>
              <w:rPr>
                <w:rFonts w:ascii="宋体" w:cs="宋体"/>
                <w:bCs/>
                <w:color w:val="auto"/>
                <w:szCs w:val="21"/>
                <w:highlight w:val="none"/>
              </w:rPr>
            </w:pPr>
          </w:p>
        </w:tc>
        <w:tc>
          <w:tcPr>
            <w:tcW w:w="2676" w:type="dxa"/>
            <w:vAlign w:val="center"/>
          </w:tcPr>
          <w:p w14:paraId="2C9E2C55">
            <w:pPr>
              <w:overflowPunct w:val="0"/>
              <w:jc w:val="center"/>
              <w:rPr>
                <w:rFonts w:ascii="宋体" w:cs="宋体"/>
                <w:bCs/>
                <w:color w:val="auto"/>
                <w:szCs w:val="21"/>
                <w:highlight w:val="none"/>
              </w:rPr>
            </w:pPr>
          </w:p>
        </w:tc>
        <w:tc>
          <w:tcPr>
            <w:tcW w:w="803" w:type="dxa"/>
            <w:vAlign w:val="center"/>
          </w:tcPr>
          <w:p w14:paraId="0CCE0EDC">
            <w:pPr>
              <w:overflowPunct w:val="0"/>
              <w:jc w:val="center"/>
              <w:rPr>
                <w:rFonts w:ascii="宋体" w:cs="宋体"/>
                <w:bCs/>
                <w:color w:val="auto"/>
                <w:szCs w:val="21"/>
                <w:highlight w:val="none"/>
              </w:rPr>
            </w:pPr>
          </w:p>
        </w:tc>
        <w:tc>
          <w:tcPr>
            <w:tcW w:w="1138" w:type="dxa"/>
            <w:vAlign w:val="center"/>
          </w:tcPr>
          <w:p w14:paraId="4F931737">
            <w:pPr>
              <w:overflowPunct w:val="0"/>
              <w:jc w:val="center"/>
              <w:rPr>
                <w:rFonts w:ascii="宋体" w:cs="宋体"/>
                <w:bCs/>
                <w:color w:val="auto"/>
                <w:szCs w:val="21"/>
                <w:highlight w:val="none"/>
              </w:rPr>
            </w:pPr>
          </w:p>
        </w:tc>
        <w:tc>
          <w:tcPr>
            <w:tcW w:w="2037" w:type="dxa"/>
            <w:vAlign w:val="center"/>
          </w:tcPr>
          <w:p w14:paraId="60D1F2F7">
            <w:pPr>
              <w:overflowPunct w:val="0"/>
              <w:jc w:val="center"/>
              <w:rPr>
                <w:rFonts w:ascii="宋体" w:cs="宋体"/>
                <w:bCs/>
                <w:color w:val="auto"/>
                <w:szCs w:val="21"/>
                <w:highlight w:val="none"/>
              </w:rPr>
            </w:pPr>
          </w:p>
        </w:tc>
        <w:tc>
          <w:tcPr>
            <w:tcW w:w="973" w:type="dxa"/>
          </w:tcPr>
          <w:p w14:paraId="0F6A235A">
            <w:pPr>
              <w:overflowPunct w:val="0"/>
              <w:jc w:val="center"/>
              <w:rPr>
                <w:rFonts w:ascii="宋体" w:cs="宋体"/>
                <w:bCs/>
                <w:color w:val="auto"/>
                <w:szCs w:val="21"/>
                <w:highlight w:val="none"/>
              </w:rPr>
            </w:pPr>
          </w:p>
        </w:tc>
      </w:tr>
      <w:tr w14:paraId="0058D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008" w:type="dxa"/>
            <w:vAlign w:val="center"/>
          </w:tcPr>
          <w:p w14:paraId="635F657E">
            <w:pPr>
              <w:overflowPunct w:val="0"/>
              <w:jc w:val="center"/>
              <w:rPr>
                <w:rFonts w:ascii="宋体" w:cs="宋体"/>
                <w:bCs/>
                <w:color w:val="auto"/>
                <w:szCs w:val="21"/>
                <w:highlight w:val="none"/>
              </w:rPr>
            </w:pPr>
          </w:p>
        </w:tc>
        <w:tc>
          <w:tcPr>
            <w:tcW w:w="2676" w:type="dxa"/>
            <w:vAlign w:val="center"/>
          </w:tcPr>
          <w:p w14:paraId="3CD0AA36">
            <w:pPr>
              <w:overflowPunct w:val="0"/>
              <w:jc w:val="center"/>
              <w:rPr>
                <w:rFonts w:ascii="宋体" w:cs="宋体"/>
                <w:bCs/>
                <w:color w:val="auto"/>
                <w:szCs w:val="21"/>
                <w:highlight w:val="none"/>
              </w:rPr>
            </w:pPr>
          </w:p>
        </w:tc>
        <w:tc>
          <w:tcPr>
            <w:tcW w:w="803" w:type="dxa"/>
            <w:vAlign w:val="center"/>
          </w:tcPr>
          <w:p w14:paraId="411CE152">
            <w:pPr>
              <w:overflowPunct w:val="0"/>
              <w:jc w:val="center"/>
              <w:rPr>
                <w:rFonts w:ascii="宋体" w:cs="宋体"/>
                <w:bCs/>
                <w:color w:val="auto"/>
                <w:szCs w:val="21"/>
                <w:highlight w:val="none"/>
              </w:rPr>
            </w:pPr>
          </w:p>
        </w:tc>
        <w:tc>
          <w:tcPr>
            <w:tcW w:w="1138" w:type="dxa"/>
            <w:vAlign w:val="center"/>
          </w:tcPr>
          <w:p w14:paraId="6D27ADBC">
            <w:pPr>
              <w:overflowPunct w:val="0"/>
              <w:jc w:val="center"/>
              <w:rPr>
                <w:rFonts w:ascii="宋体" w:cs="宋体"/>
                <w:bCs/>
                <w:color w:val="auto"/>
                <w:szCs w:val="21"/>
                <w:highlight w:val="none"/>
              </w:rPr>
            </w:pPr>
          </w:p>
        </w:tc>
        <w:tc>
          <w:tcPr>
            <w:tcW w:w="2037" w:type="dxa"/>
            <w:vAlign w:val="center"/>
          </w:tcPr>
          <w:p w14:paraId="28CBE9CE">
            <w:pPr>
              <w:overflowPunct w:val="0"/>
              <w:jc w:val="center"/>
              <w:rPr>
                <w:rFonts w:ascii="宋体" w:cs="宋体"/>
                <w:bCs/>
                <w:color w:val="auto"/>
                <w:szCs w:val="21"/>
                <w:highlight w:val="none"/>
              </w:rPr>
            </w:pPr>
          </w:p>
        </w:tc>
        <w:tc>
          <w:tcPr>
            <w:tcW w:w="973" w:type="dxa"/>
          </w:tcPr>
          <w:p w14:paraId="588AEF48">
            <w:pPr>
              <w:overflowPunct w:val="0"/>
              <w:jc w:val="center"/>
              <w:rPr>
                <w:rFonts w:ascii="宋体" w:cs="宋体"/>
                <w:bCs/>
                <w:color w:val="auto"/>
                <w:szCs w:val="21"/>
                <w:highlight w:val="none"/>
              </w:rPr>
            </w:pPr>
          </w:p>
        </w:tc>
      </w:tr>
      <w:tr w14:paraId="55FB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008" w:type="dxa"/>
            <w:vAlign w:val="center"/>
          </w:tcPr>
          <w:p w14:paraId="02736DC3">
            <w:pPr>
              <w:overflowPunct w:val="0"/>
              <w:jc w:val="center"/>
              <w:rPr>
                <w:rFonts w:ascii="宋体" w:cs="宋体"/>
                <w:bCs/>
                <w:color w:val="auto"/>
                <w:szCs w:val="21"/>
                <w:highlight w:val="none"/>
              </w:rPr>
            </w:pPr>
          </w:p>
        </w:tc>
        <w:tc>
          <w:tcPr>
            <w:tcW w:w="2676" w:type="dxa"/>
            <w:vAlign w:val="center"/>
          </w:tcPr>
          <w:p w14:paraId="3ADBCAB4">
            <w:pPr>
              <w:overflowPunct w:val="0"/>
              <w:jc w:val="center"/>
              <w:rPr>
                <w:rFonts w:ascii="宋体" w:cs="宋体"/>
                <w:bCs/>
                <w:color w:val="auto"/>
                <w:szCs w:val="21"/>
                <w:highlight w:val="none"/>
              </w:rPr>
            </w:pPr>
          </w:p>
        </w:tc>
        <w:tc>
          <w:tcPr>
            <w:tcW w:w="803" w:type="dxa"/>
            <w:vAlign w:val="center"/>
          </w:tcPr>
          <w:p w14:paraId="38F72E8C">
            <w:pPr>
              <w:overflowPunct w:val="0"/>
              <w:jc w:val="center"/>
              <w:rPr>
                <w:rFonts w:ascii="宋体" w:cs="宋体"/>
                <w:bCs/>
                <w:color w:val="auto"/>
                <w:szCs w:val="21"/>
                <w:highlight w:val="none"/>
              </w:rPr>
            </w:pPr>
          </w:p>
        </w:tc>
        <w:tc>
          <w:tcPr>
            <w:tcW w:w="1138" w:type="dxa"/>
            <w:vAlign w:val="center"/>
          </w:tcPr>
          <w:p w14:paraId="0BC4D670">
            <w:pPr>
              <w:overflowPunct w:val="0"/>
              <w:jc w:val="center"/>
              <w:rPr>
                <w:rFonts w:ascii="宋体" w:cs="宋体"/>
                <w:bCs/>
                <w:color w:val="auto"/>
                <w:szCs w:val="21"/>
                <w:highlight w:val="none"/>
              </w:rPr>
            </w:pPr>
          </w:p>
        </w:tc>
        <w:tc>
          <w:tcPr>
            <w:tcW w:w="2037" w:type="dxa"/>
            <w:vAlign w:val="center"/>
          </w:tcPr>
          <w:p w14:paraId="37560683">
            <w:pPr>
              <w:overflowPunct w:val="0"/>
              <w:jc w:val="center"/>
              <w:rPr>
                <w:rFonts w:ascii="宋体" w:cs="宋体"/>
                <w:bCs/>
                <w:color w:val="auto"/>
                <w:szCs w:val="21"/>
                <w:highlight w:val="none"/>
              </w:rPr>
            </w:pPr>
          </w:p>
        </w:tc>
        <w:tc>
          <w:tcPr>
            <w:tcW w:w="973" w:type="dxa"/>
          </w:tcPr>
          <w:p w14:paraId="5445AC40">
            <w:pPr>
              <w:overflowPunct w:val="0"/>
              <w:jc w:val="center"/>
              <w:rPr>
                <w:rFonts w:ascii="宋体" w:cs="宋体"/>
                <w:bCs/>
                <w:color w:val="auto"/>
                <w:szCs w:val="21"/>
                <w:highlight w:val="none"/>
              </w:rPr>
            </w:pPr>
          </w:p>
        </w:tc>
      </w:tr>
    </w:tbl>
    <w:p w14:paraId="15F7A3A6">
      <w:pPr>
        <w:overflowPunct w:val="0"/>
        <w:spacing w:line="600" w:lineRule="atLeast"/>
        <w:ind w:firstLine="420" w:firstLineChars="200"/>
        <w:rPr>
          <w:rFonts w:ascii="宋体" w:cs="宋体"/>
          <w:color w:val="auto"/>
          <w:szCs w:val="21"/>
          <w:highlight w:val="none"/>
        </w:rPr>
      </w:pPr>
    </w:p>
    <w:p w14:paraId="090887B3">
      <w:pPr>
        <w:overflowPunct w:val="0"/>
        <w:adjustRightInd w:val="0"/>
        <w:snapToGrid w:val="0"/>
        <w:spacing w:line="360" w:lineRule="auto"/>
        <w:ind w:firstLine="420" w:firstLineChars="200"/>
        <w:rPr>
          <w:rFonts w:ascii="宋体" w:hAnsi="宋体" w:cs="宋体"/>
          <w:bCs/>
          <w:color w:val="auto"/>
          <w:kern w:val="0"/>
          <w:szCs w:val="21"/>
          <w:highlight w:val="none"/>
        </w:rPr>
      </w:pPr>
    </w:p>
    <w:p w14:paraId="16D42A47">
      <w:pPr>
        <w:overflowPunct w:val="0"/>
        <w:adjustRightInd w:val="0"/>
        <w:snapToGrid w:val="0"/>
        <w:spacing w:line="360" w:lineRule="auto"/>
        <w:ind w:firstLine="420" w:firstLineChars="200"/>
        <w:rPr>
          <w:rFonts w:ascii="宋体" w:hAnsi="宋体" w:cs="宋体"/>
          <w:bCs/>
          <w:color w:val="auto"/>
          <w:kern w:val="0"/>
          <w:szCs w:val="21"/>
          <w:highlight w:val="none"/>
        </w:rPr>
      </w:pPr>
    </w:p>
    <w:p w14:paraId="17809107">
      <w:pPr>
        <w:overflowPunct w:val="0"/>
        <w:spacing w:before="156" w:beforeLines="50" w:after="156" w:afterLines="50"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供应商（盖章）：</w:t>
      </w:r>
    </w:p>
    <w:p w14:paraId="3C8D5C1B">
      <w:pPr>
        <w:overflowPunct w:val="0"/>
        <w:spacing w:before="156" w:beforeLines="50" w:after="156" w:afterLines="50"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授权代表（签字）：</w:t>
      </w:r>
    </w:p>
    <w:p w14:paraId="488295E2">
      <w:pPr>
        <w:overflowPunct w:val="0"/>
        <w:spacing w:before="156" w:beforeLines="50" w:after="156" w:afterLines="50"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日期： </w:t>
      </w:r>
    </w:p>
    <w:p w14:paraId="7742D16B">
      <w:pPr>
        <w:overflowPunct w:val="0"/>
        <w:spacing w:line="600" w:lineRule="atLeast"/>
        <w:ind w:firstLine="420" w:firstLineChars="200"/>
        <w:rPr>
          <w:rFonts w:ascii="宋体" w:cs="宋体"/>
          <w:color w:val="auto"/>
          <w:szCs w:val="21"/>
          <w:highlight w:val="none"/>
        </w:rPr>
      </w:pPr>
      <w:r>
        <w:rPr>
          <w:rFonts w:ascii="宋体" w:hAnsi="宋体" w:cs="宋体"/>
          <w:color w:val="auto"/>
          <w:szCs w:val="21"/>
          <w:highlight w:val="none"/>
        </w:rPr>
        <w:t xml:space="preserve">  </w:t>
      </w:r>
    </w:p>
    <w:p w14:paraId="68F0DCE0">
      <w:pPr>
        <w:overflowPunct w:val="0"/>
        <w:rPr>
          <w:rFonts w:ascii="宋体" w:cs="宋体"/>
          <w:color w:val="auto"/>
          <w:szCs w:val="21"/>
          <w:highlight w:val="none"/>
        </w:rPr>
      </w:pPr>
    </w:p>
    <w:p w14:paraId="3C69CEA1">
      <w:pPr>
        <w:overflowPunct w:val="0"/>
        <w:rPr>
          <w:rFonts w:ascii="宋体" w:cs="宋体"/>
          <w:color w:val="auto"/>
          <w:szCs w:val="21"/>
          <w:highlight w:val="none"/>
          <w:u w:val="single"/>
        </w:rPr>
      </w:pPr>
      <w:r>
        <w:rPr>
          <w:rFonts w:ascii="宋体" w:hAnsi="宋体" w:cs="宋体"/>
          <w:color w:val="auto"/>
          <w:szCs w:val="21"/>
          <w:highlight w:val="none"/>
        </w:rPr>
        <w:t xml:space="preserve">               </w:t>
      </w:r>
    </w:p>
    <w:p w14:paraId="09D6C68A">
      <w:pPr>
        <w:overflowPunct w:val="0"/>
        <w:autoSpaceDE w:val="0"/>
        <w:autoSpaceDN w:val="0"/>
        <w:snapToGrid w:val="0"/>
        <w:spacing w:line="420" w:lineRule="exact"/>
        <w:textAlignment w:val="bottom"/>
        <w:rPr>
          <w:rFonts w:ascii="宋体" w:cs="宋体"/>
          <w:color w:val="auto"/>
          <w:szCs w:val="21"/>
          <w:highlight w:val="none"/>
        </w:rPr>
      </w:pPr>
    </w:p>
    <w:p w14:paraId="25A0E463">
      <w:pPr>
        <w:overflowPunct w:val="0"/>
        <w:autoSpaceDE w:val="0"/>
        <w:autoSpaceDN w:val="0"/>
        <w:snapToGrid w:val="0"/>
        <w:spacing w:line="420" w:lineRule="exact"/>
        <w:textAlignment w:val="bottom"/>
        <w:rPr>
          <w:rFonts w:ascii="宋体" w:cs="宋体"/>
          <w:color w:val="auto"/>
          <w:szCs w:val="21"/>
          <w:highlight w:val="none"/>
        </w:rPr>
      </w:pPr>
    </w:p>
    <w:p w14:paraId="13B19B29">
      <w:pPr>
        <w:overflowPunct w:val="0"/>
        <w:autoSpaceDE w:val="0"/>
        <w:autoSpaceDN w:val="0"/>
        <w:snapToGrid w:val="0"/>
        <w:spacing w:line="420" w:lineRule="exact"/>
        <w:textAlignment w:val="bottom"/>
        <w:rPr>
          <w:rFonts w:ascii="宋体" w:cs="宋体"/>
          <w:color w:val="auto"/>
          <w:szCs w:val="21"/>
          <w:highlight w:val="none"/>
        </w:rPr>
      </w:pPr>
    </w:p>
    <w:p w14:paraId="0C8C301F">
      <w:pPr>
        <w:overflowPunct w:val="0"/>
        <w:autoSpaceDE w:val="0"/>
        <w:autoSpaceDN w:val="0"/>
        <w:snapToGrid w:val="0"/>
        <w:spacing w:line="420" w:lineRule="exact"/>
        <w:textAlignment w:val="bottom"/>
        <w:rPr>
          <w:rFonts w:ascii="宋体" w:cs="宋体"/>
          <w:color w:val="auto"/>
          <w:szCs w:val="21"/>
          <w:highlight w:val="none"/>
        </w:rPr>
      </w:pPr>
    </w:p>
    <w:p w14:paraId="2F2457E1">
      <w:pPr>
        <w:overflowPunct w:val="0"/>
        <w:autoSpaceDE w:val="0"/>
        <w:autoSpaceDN w:val="0"/>
        <w:snapToGrid w:val="0"/>
        <w:spacing w:line="420" w:lineRule="exact"/>
        <w:textAlignment w:val="bottom"/>
        <w:rPr>
          <w:rFonts w:ascii="宋体" w:cs="宋体"/>
          <w:color w:val="auto"/>
          <w:szCs w:val="21"/>
          <w:highlight w:val="none"/>
        </w:rPr>
      </w:pPr>
    </w:p>
    <w:p w14:paraId="1155623B">
      <w:pPr>
        <w:overflowPunct w:val="0"/>
        <w:autoSpaceDE w:val="0"/>
        <w:autoSpaceDN w:val="0"/>
        <w:snapToGrid w:val="0"/>
        <w:spacing w:line="420" w:lineRule="exact"/>
        <w:textAlignment w:val="bottom"/>
        <w:rPr>
          <w:rFonts w:ascii="宋体" w:cs="宋体"/>
          <w:color w:val="auto"/>
          <w:szCs w:val="21"/>
          <w:highlight w:val="none"/>
        </w:rPr>
      </w:pPr>
    </w:p>
    <w:p w14:paraId="4CE7DF6D">
      <w:pPr>
        <w:overflowPunct w:val="0"/>
        <w:autoSpaceDE w:val="0"/>
        <w:autoSpaceDN w:val="0"/>
        <w:snapToGrid w:val="0"/>
        <w:spacing w:line="420" w:lineRule="exact"/>
        <w:textAlignment w:val="bottom"/>
        <w:rPr>
          <w:rFonts w:ascii="宋体" w:cs="宋体"/>
          <w:color w:val="auto"/>
          <w:szCs w:val="21"/>
          <w:highlight w:val="none"/>
        </w:rPr>
      </w:pPr>
    </w:p>
    <w:p w14:paraId="12D3F54E">
      <w:pPr>
        <w:overflowPunct w:val="0"/>
        <w:autoSpaceDE w:val="0"/>
        <w:autoSpaceDN w:val="0"/>
        <w:snapToGrid w:val="0"/>
        <w:spacing w:line="420" w:lineRule="exact"/>
        <w:textAlignment w:val="bottom"/>
        <w:rPr>
          <w:rFonts w:ascii="宋体" w:cs="宋体"/>
          <w:color w:val="auto"/>
          <w:szCs w:val="21"/>
          <w:highlight w:val="none"/>
        </w:rPr>
      </w:pPr>
    </w:p>
    <w:p w14:paraId="62D6E281">
      <w:pPr>
        <w:overflowPunct w:val="0"/>
        <w:autoSpaceDE w:val="0"/>
        <w:autoSpaceDN w:val="0"/>
        <w:snapToGrid w:val="0"/>
        <w:spacing w:line="420" w:lineRule="exact"/>
        <w:textAlignment w:val="bottom"/>
        <w:rPr>
          <w:rFonts w:ascii="宋体" w:cs="宋体"/>
          <w:color w:val="auto"/>
          <w:szCs w:val="21"/>
          <w:highlight w:val="none"/>
        </w:rPr>
      </w:pPr>
    </w:p>
    <w:p w14:paraId="1375C31E">
      <w:pPr>
        <w:overflowPunct w:val="0"/>
        <w:autoSpaceDE w:val="0"/>
        <w:autoSpaceDN w:val="0"/>
        <w:snapToGrid w:val="0"/>
        <w:spacing w:line="420" w:lineRule="exact"/>
        <w:textAlignment w:val="bottom"/>
        <w:rPr>
          <w:rFonts w:ascii="宋体" w:cs="宋体"/>
          <w:color w:val="auto"/>
          <w:szCs w:val="21"/>
          <w:highlight w:val="none"/>
        </w:rPr>
      </w:pPr>
    </w:p>
    <w:p w14:paraId="3DD9BDEA">
      <w:pPr>
        <w:overflowPunct w:val="0"/>
        <w:spacing w:line="400" w:lineRule="exact"/>
        <w:jc w:val="left"/>
        <w:rPr>
          <w:rFonts w:ascii="宋体" w:cs="宋体"/>
          <w:color w:val="auto"/>
          <w:sz w:val="28"/>
          <w:szCs w:val="28"/>
          <w:highlight w:val="none"/>
        </w:rPr>
      </w:pPr>
      <w:r>
        <w:rPr>
          <w:rFonts w:hint="eastAsia" w:ascii="宋体" w:hAnsi="宋体" w:cs="宋体"/>
          <w:color w:val="auto"/>
          <w:sz w:val="28"/>
          <w:szCs w:val="28"/>
          <w:highlight w:val="none"/>
          <w:lang w:val="en-US" w:eastAsia="zh-CN"/>
        </w:rPr>
        <w:t>9</w:t>
      </w:r>
      <w:r>
        <w:rPr>
          <w:rFonts w:hint="eastAsia" w:ascii="宋体" w:hAnsi="宋体" w:cs="宋体"/>
          <w:color w:val="auto"/>
          <w:sz w:val="28"/>
          <w:szCs w:val="28"/>
          <w:highlight w:val="none"/>
        </w:rPr>
        <w:t>、商务响应表</w:t>
      </w:r>
    </w:p>
    <w:p w14:paraId="45B46C4C">
      <w:pPr>
        <w:overflowPunct w:val="0"/>
        <w:spacing w:line="360" w:lineRule="auto"/>
        <w:jc w:val="center"/>
        <w:rPr>
          <w:rFonts w:ascii="宋体" w:cs="宋体"/>
          <w:bCs/>
          <w:color w:val="auto"/>
          <w:sz w:val="28"/>
          <w:szCs w:val="28"/>
          <w:highlight w:val="none"/>
        </w:rPr>
      </w:pPr>
      <w:r>
        <w:rPr>
          <w:rFonts w:hint="eastAsia" w:ascii="宋体" w:hAnsi="宋体" w:cs="宋体"/>
          <w:bCs/>
          <w:color w:val="auto"/>
          <w:sz w:val="28"/>
          <w:szCs w:val="28"/>
          <w:highlight w:val="none"/>
        </w:rPr>
        <w:t>商务响应表</w:t>
      </w:r>
    </w:p>
    <w:tbl>
      <w:tblPr>
        <w:tblStyle w:val="31"/>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22"/>
        <w:gridCol w:w="2348"/>
        <w:gridCol w:w="2162"/>
        <w:gridCol w:w="1085"/>
        <w:gridCol w:w="1113"/>
      </w:tblGrid>
      <w:tr w14:paraId="5CF52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738" w:type="dxa"/>
            <w:vAlign w:val="center"/>
          </w:tcPr>
          <w:p w14:paraId="3C2038CA">
            <w:pPr>
              <w:overflowPunct w:val="0"/>
              <w:spacing w:line="36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1522" w:type="dxa"/>
            <w:vAlign w:val="center"/>
          </w:tcPr>
          <w:p w14:paraId="3EA5CCDD">
            <w:pPr>
              <w:overflowPunct w:val="0"/>
              <w:spacing w:line="360" w:lineRule="exact"/>
              <w:jc w:val="center"/>
              <w:rPr>
                <w:rFonts w:ascii="宋体" w:cs="宋体"/>
                <w:color w:val="auto"/>
                <w:szCs w:val="21"/>
                <w:highlight w:val="none"/>
              </w:rPr>
            </w:pPr>
            <w:r>
              <w:rPr>
                <w:rFonts w:hint="eastAsia" w:ascii="宋体" w:hAnsi="宋体" w:cs="宋体"/>
                <w:color w:val="auto"/>
                <w:szCs w:val="21"/>
                <w:highlight w:val="none"/>
              </w:rPr>
              <w:t>内容</w:t>
            </w:r>
          </w:p>
        </w:tc>
        <w:tc>
          <w:tcPr>
            <w:tcW w:w="2348" w:type="dxa"/>
            <w:vAlign w:val="center"/>
          </w:tcPr>
          <w:p w14:paraId="23BDA651">
            <w:pPr>
              <w:overflowPunct w:val="0"/>
              <w:spacing w:line="360" w:lineRule="exact"/>
              <w:jc w:val="center"/>
              <w:rPr>
                <w:rFonts w:ascii="宋体" w:cs="宋体"/>
                <w:color w:val="auto"/>
                <w:szCs w:val="21"/>
                <w:highlight w:val="none"/>
              </w:rPr>
            </w:pPr>
            <w:r>
              <w:rPr>
                <w:rFonts w:hint="eastAsia" w:ascii="宋体" w:hAnsi="宋体" w:cs="宋体"/>
                <w:color w:val="auto"/>
                <w:szCs w:val="21"/>
                <w:highlight w:val="none"/>
              </w:rPr>
              <w:t>磋商文件规范要求</w:t>
            </w:r>
          </w:p>
        </w:tc>
        <w:tc>
          <w:tcPr>
            <w:tcW w:w="2162" w:type="dxa"/>
            <w:vAlign w:val="center"/>
          </w:tcPr>
          <w:p w14:paraId="015F9880">
            <w:pPr>
              <w:overflowPunct w:val="0"/>
              <w:spacing w:line="360" w:lineRule="exact"/>
              <w:jc w:val="center"/>
              <w:rPr>
                <w:rFonts w:ascii="宋体" w:cs="宋体"/>
                <w:color w:val="auto"/>
                <w:szCs w:val="21"/>
                <w:highlight w:val="none"/>
              </w:rPr>
            </w:pPr>
            <w:r>
              <w:rPr>
                <w:rFonts w:hint="eastAsia" w:ascii="宋体" w:hAnsi="宋体" w:cs="宋体"/>
                <w:color w:val="auto"/>
                <w:szCs w:val="21"/>
                <w:highlight w:val="none"/>
              </w:rPr>
              <w:t>响应文件对应规范</w:t>
            </w:r>
          </w:p>
        </w:tc>
        <w:tc>
          <w:tcPr>
            <w:tcW w:w="1085" w:type="dxa"/>
            <w:vAlign w:val="center"/>
          </w:tcPr>
          <w:p w14:paraId="3099886C">
            <w:pPr>
              <w:overflowPunct w:val="0"/>
              <w:spacing w:line="360" w:lineRule="exact"/>
              <w:jc w:val="center"/>
              <w:rPr>
                <w:rFonts w:ascii="宋体" w:cs="宋体"/>
                <w:b/>
                <w:color w:val="auto"/>
                <w:highlight w:val="none"/>
              </w:rPr>
            </w:pPr>
            <w:r>
              <w:rPr>
                <w:rFonts w:hint="eastAsia" w:ascii="宋体" w:hAnsi="宋体" w:cs="宋体"/>
                <w:color w:val="auto"/>
                <w:szCs w:val="21"/>
                <w:highlight w:val="none"/>
              </w:rPr>
              <w:t>偏离情况</w:t>
            </w:r>
          </w:p>
        </w:tc>
        <w:tc>
          <w:tcPr>
            <w:tcW w:w="1113" w:type="dxa"/>
            <w:vAlign w:val="center"/>
          </w:tcPr>
          <w:p w14:paraId="2571B8DF">
            <w:pPr>
              <w:overflowPunct w:val="0"/>
              <w:spacing w:line="360" w:lineRule="exact"/>
              <w:jc w:val="center"/>
              <w:rPr>
                <w:rFonts w:ascii="宋体" w:cs="宋体"/>
                <w:b/>
                <w:color w:val="auto"/>
                <w:highlight w:val="none"/>
              </w:rPr>
            </w:pPr>
            <w:r>
              <w:rPr>
                <w:rFonts w:hint="eastAsia" w:ascii="宋体" w:hAnsi="宋体" w:cs="宋体"/>
                <w:color w:val="auto"/>
                <w:szCs w:val="21"/>
                <w:highlight w:val="none"/>
              </w:rPr>
              <w:t>偏离原因</w:t>
            </w:r>
          </w:p>
        </w:tc>
      </w:tr>
      <w:tr w14:paraId="1C0D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8" w:type="dxa"/>
          </w:tcPr>
          <w:p w14:paraId="72DB19FA">
            <w:pPr>
              <w:overflowPunct w:val="0"/>
              <w:spacing w:line="360" w:lineRule="auto"/>
              <w:jc w:val="center"/>
              <w:rPr>
                <w:rFonts w:ascii="宋体" w:cs="宋体"/>
                <w:color w:val="auto"/>
                <w:highlight w:val="none"/>
              </w:rPr>
            </w:pPr>
            <w:r>
              <w:rPr>
                <w:rFonts w:ascii="宋体" w:hAnsi="宋体" w:cs="宋体"/>
                <w:color w:val="auto"/>
                <w:highlight w:val="none"/>
              </w:rPr>
              <w:t>1</w:t>
            </w:r>
          </w:p>
        </w:tc>
        <w:tc>
          <w:tcPr>
            <w:tcW w:w="1522" w:type="dxa"/>
            <w:vAlign w:val="center"/>
          </w:tcPr>
          <w:p w14:paraId="1AE761DD">
            <w:pPr>
              <w:overflowPunct w:val="0"/>
              <w:spacing w:line="360" w:lineRule="auto"/>
              <w:jc w:val="left"/>
              <w:rPr>
                <w:rFonts w:ascii="宋体" w:cs="宋体"/>
                <w:bCs/>
                <w:color w:val="auto"/>
                <w:highlight w:val="none"/>
              </w:rPr>
            </w:pPr>
          </w:p>
        </w:tc>
        <w:tc>
          <w:tcPr>
            <w:tcW w:w="2348" w:type="dxa"/>
          </w:tcPr>
          <w:p w14:paraId="1BF2723B">
            <w:pPr>
              <w:overflowPunct w:val="0"/>
              <w:spacing w:line="360" w:lineRule="auto"/>
              <w:ind w:firstLine="420" w:firstLineChars="200"/>
              <w:rPr>
                <w:rFonts w:ascii="宋体" w:cs="宋体"/>
                <w:color w:val="auto"/>
                <w:highlight w:val="none"/>
              </w:rPr>
            </w:pPr>
          </w:p>
        </w:tc>
        <w:tc>
          <w:tcPr>
            <w:tcW w:w="2162" w:type="dxa"/>
          </w:tcPr>
          <w:p w14:paraId="3DA677FF">
            <w:pPr>
              <w:overflowPunct w:val="0"/>
              <w:spacing w:line="360" w:lineRule="auto"/>
              <w:ind w:firstLine="420" w:firstLineChars="200"/>
              <w:rPr>
                <w:rFonts w:ascii="宋体" w:cs="宋体"/>
                <w:color w:val="auto"/>
                <w:highlight w:val="none"/>
              </w:rPr>
            </w:pPr>
          </w:p>
        </w:tc>
        <w:tc>
          <w:tcPr>
            <w:tcW w:w="1085" w:type="dxa"/>
          </w:tcPr>
          <w:p w14:paraId="69A46CBA">
            <w:pPr>
              <w:overflowPunct w:val="0"/>
              <w:spacing w:line="360" w:lineRule="auto"/>
              <w:ind w:firstLine="420" w:firstLineChars="200"/>
              <w:rPr>
                <w:rFonts w:ascii="宋体" w:cs="宋体"/>
                <w:color w:val="auto"/>
                <w:highlight w:val="none"/>
              </w:rPr>
            </w:pPr>
          </w:p>
        </w:tc>
        <w:tc>
          <w:tcPr>
            <w:tcW w:w="1113" w:type="dxa"/>
          </w:tcPr>
          <w:p w14:paraId="1390ACF4">
            <w:pPr>
              <w:overflowPunct w:val="0"/>
              <w:spacing w:line="360" w:lineRule="auto"/>
              <w:ind w:firstLine="420" w:firstLineChars="200"/>
              <w:rPr>
                <w:rFonts w:ascii="宋体" w:cs="宋体"/>
                <w:color w:val="auto"/>
                <w:highlight w:val="none"/>
              </w:rPr>
            </w:pPr>
          </w:p>
        </w:tc>
      </w:tr>
      <w:tr w14:paraId="48981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738" w:type="dxa"/>
          </w:tcPr>
          <w:p w14:paraId="41A6C4E5">
            <w:pPr>
              <w:overflowPunct w:val="0"/>
              <w:spacing w:line="360" w:lineRule="auto"/>
              <w:jc w:val="center"/>
              <w:rPr>
                <w:rFonts w:ascii="宋体" w:cs="宋体"/>
                <w:color w:val="auto"/>
                <w:highlight w:val="none"/>
              </w:rPr>
            </w:pPr>
            <w:r>
              <w:rPr>
                <w:rFonts w:ascii="宋体" w:hAnsi="宋体" w:cs="宋体"/>
                <w:color w:val="auto"/>
                <w:highlight w:val="none"/>
              </w:rPr>
              <w:t>2</w:t>
            </w:r>
          </w:p>
        </w:tc>
        <w:tc>
          <w:tcPr>
            <w:tcW w:w="1522" w:type="dxa"/>
            <w:vAlign w:val="center"/>
          </w:tcPr>
          <w:p w14:paraId="2C53553E">
            <w:pPr>
              <w:overflowPunct w:val="0"/>
              <w:spacing w:line="360" w:lineRule="auto"/>
              <w:jc w:val="left"/>
              <w:rPr>
                <w:rFonts w:ascii="宋体" w:cs="宋体"/>
                <w:bCs/>
                <w:color w:val="auto"/>
                <w:highlight w:val="none"/>
              </w:rPr>
            </w:pPr>
          </w:p>
        </w:tc>
        <w:tc>
          <w:tcPr>
            <w:tcW w:w="2348" w:type="dxa"/>
          </w:tcPr>
          <w:p w14:paraId="13D66D67">
            <w:pPr>
              <w:overflowPunct w:val="0"/>
              <w:spacing w:line="360" w:lineRule="auto"/>
              <w:ind w:firstLine="420" w:firstLineChars="200"/>
              <w:rPr>
                <w:rFonts w:ascii="宋体" w:cs="宋体"/>
                <w:color w:val="auto"/>
                <w:highlight w:val="none"/>
              </w:rPr>
            </w:pPr>
          </w:p>
        </w:tc>
        <w:tc>
          <w:tcPr>
            <w:tcW w:w="2162" w:type="dxa"/>
          </w:tcPr>
          <w:p w14:paraId="01C7FDB4">
            <w:pPr>
              <w:overflowPunct w:val="0"/>
              <w:spacing w:line="360" w:lineRule="auto"/>
              <w:ind w:firstLine="420" w:firstLineChars="200"/>
              <w:rPr>
                <w:rFonts w:ascii="宋体" w:cs="宋体"/>
                <w:color w:val="auto"/>
                <w:highlight w:val="none"/>
              </w:rPr>
            </w:pPr>
          </w:p>
        </w:tc>
        <w:tc>
          <w:tcPr>
            <w:tcW w:w="1085" w:type="dxa"/>
          </w:tcPr>
          <w:p w14:paraId="5BD26D42">
            <w:pPr>
              <w:overflowPunct w:val="0"/>
              <w:spacing w:line="360" w:lineRule="auto"/>
              <w:ind w:firstLine="420" w:firstLineChars="200"/>
              <w:rPr>
                <w:rFonts w:ascii="宋体" w:cs="宋体"/>
                <w:color w:val="auto"/>
                <w:highlight w:val="none"/>
              </w:rPr>
            </w:pPr>
          </w:p>
        </w:tc>
        <w:tc>
          <w:tcPr>
            <w:tcW w:w="1113" w:type="dxa"/>
          </w:tcPr>
          <w:p w14:paraId="57E8FCB4">
            <w:pPr>
              <w:overflowPunct w:val="0"/>
              <w:spacing w:line="360" w:lineRule="auto"/>
              <w:ind w:firstLine="420" w:firstLineChars="200"/>
              <w:rPr>
                <w:rFonts w:ascii="宋体" w:cs="宋体"/>
                <w:color w:val="auto"/>
                <w:highlight w:val="none"/>
              </w:rPr>
            </w:pPr>
          </w:p>
        </w:tc>
      </w:tr>
      <w:tr w14:paraId="1BF4C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738" w:type="dxa"/>
          </w:tcPr>
          <w:p w14:paraId="0E0854A6">
            <w:pPr>
              <w:overflowPunct w:val="0"/>
              <w:spacing w:line="360" w:lineRule="auto"/>
              <w:jc w:val="center"/>
              <w:rPr>
                <w:rFonts w:ascii="宋体" w:cs="宋体"/>
                <w:color w:val="auto"/>
                <w:highlight w:val="none"/>
              </w:rPr>
            </w:pPr>
            <w:r>
              <w:rPr>
                <w:rFonts w:ascii="宋体" w:hAnsi="宋体" w:cs="宋体"/>
                <w:color w:val="auto"/>
                <w:highlight w:val="none"/>
              </w:rPr>
              <w:t>3</w:t>
            </w:r>
          </w:p>
        </w:tc>
        <w:tc>
          <w:tcPr>
            <w:tcW w:w="1522" w:type="dxa"/>
            <w:vAlign w:val="center"/>
          </w:tcPr>
          <w:p w14:paraId="1F2AE476">
            <w:pPr>
              <w:overflowPunct w:val="0"/>
              <w:spacing w:line="360" w:lineRule="auto"/>
              <w:jc w:val="left"/>
              <w:rPr>
                <w:rFonts w:ascii="宋体" w:cs="宋体"/>
                <w:bCs/>
                <w:color w:val="auto"/>
                <w:highlight w:val="none"/>
              </w:rPr>
            </w:pPr>
          </w:p>
        </w:tc>
        <w:tc>
          <w:tcPr>
            <w:tcW w:w="2348" w:type="dxa"/>
          </w:tcPr>
          <w:p w14:paraId="4BBDB5CA">
            <w:pPr>
              <w:overflowPunct w:val="0"/>
              <w:spacing w:line="360" w:lineRule="auto"/>
              <w:ind w:firstLine="420" w:firstLineChars="200"/>
              <w:rPr>
                <w:rFonts w:ascii="宋体" w:cs="宋体"/>
                <w:color w:val="auto"/>
                <w:highlight w:val="none"/>
              </w:rPr>
            </w:pPr>
          </w:p>
        </w:tc>
        <w:tc>
          <w:tcPr>
            <w:tcW w:w="2162" w:type="dxa"/>
          </w:tcPr>
          <w:p w14:paraId="4B37DF79">
            <w:pPr>
              <w:overflowPunct w:val="0"/>
              <w:spacing w:line="360" w:lineRule="auto"/>
              <w:ind w:firstLine="420" w:firstLineChars="200"/>
              <w:rPr>
                <w:rFonts w:ascii="宋体" w:cs="宋体"/>
                <w:color w:val="auto"/>
                <w:highlight w:val="none"/>
              </w:rPr>
            </w:pPr>
          </w:p>
        </w:tc>
        <w:tc>
          <w:tcPr>
            <w:tcW w:w="1085" w:type="dxa"/>
          </w:tcPr>
          <w:p w14:paraId="327DE9A4">
            <w:pPr>
              <w:overflowPunct w:val="0"/>
              <w:spacing w:line="360" w:lineRule="auto"/>
              <w:ind w:firstLine="420" w:firstLineChars="200"/>
              <w:rPr>
                <w:rFonts w:ascii="宋体" w:cs="宋体"/>
                <w:color w:val="auto"/>
                <w:highlight w:val="none"/>
              </w:rPr>
            </w:pPr>
          </w:p>
        </w:tc>
        <w:tc>
          <w:tcPr>
            <w:tcW w:w="1113" w:type="dxa"/>
          </w:tcPr>
          <w:p w14:paraId="4A6B7F43">
            <w:pPr>
              <w:overflowPunct w:val="0"/>
              <w:spacing w:line="360" w:lineRule="auto"/>
              <w:ind w:firstLine="420" w:firstLineChars="200"/>
              <w:rPr>
                <w:rFonts w:ascii="宋体" w:cs="宋体"/>
                <w:color w:val="auto"/>
                <w:highlight w:val="none"/>
              </w:rPr>
            </w:pPr>
          </w:p>
        </w:tc>
      </w:tr>
      <w:tr w14:paraId="64448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738" w:type="dxa"/>
          </w:tcPr>
          <w:p w14:paraId="07A582CC">
            <w:pPr>
              <w:overflowPunct w:val="0"/>
              <w:spacing w:line="360" w:lineRule="auto"/>
              <w:jc w:val="center"/>
              <w:rPr>
                <w:rFonts w:ascii="宋体" w:cs="宋体"/>
                <w:color w:val="auto"/>
                <w:highlight w:val="none"/>
              </w:rPr>
            </w:pPr>
            <w:r>
              <w:rPr>
                <w:rFonts w:ascii="宋体" w:hAnsi="宋体" w:cs="宋体"/>
                <w:color w:val="auto"/>
                <w:highlight w:val="none"/>
              </w:rPr>
              <w:t>4</w:t>
            </w:r>
          </w:p>
        </w:tc>
        <w:tc>
          <w:tcPr>
            <w:tcW w:w="1522" w:type="dxa"/>
            <w:vAlign w:val="center"/>
          </w:tcPr>
          <w:p w14:paraId="4537CA3F">
            <w:pPr>
              <w:overflowPunct w:val="0"/>
              <w:spacing w:line="360" w:lineRule="auto"/>
              <w:jc w:val="left"/>
              <w:rPr>
                <w:rFonts w:ascii="宋体" w:cs="宋体"/>
                <w:bCs/>
                <w:color w:val="auto"/>
                <w:highlight w:val="none"/>
              </w:rPr>
            </w:pPr>
          </w:p>
        </w:tc>
        <w:tc>
          <w:tcPr>
            <w:tcW w:w="2348" w:type="dxa"/>
          </w:tcPr>
          <w:p w14:paraId="2E48C738">
            <w:pPr>
              <w:overflowPunct w:val="0"/>
              <w:spacing w:line="360" w:lineRule="auto"/>
              <w:ind w:firstLine="420" w:firstLineChars="200"/>
              <w:rPr>
                <w:rFonts w:ascii="宋体" w:cs="宋体"/>
                <w:color w:val="auto"/>
                <w:highlight w:val="none"/>
              </w:rPr>
            </w:pPr>
          </w:p>
        </w:tc>
        <w:tc>
          <w:tcPr>
            <w:tcW w:w="2162" w:type="dxa"/>
          </w:tcPr>
          <w:p w14:paraId="232C4B14">
            <w:pPr>
              <w:overflowPunct w:val="0"/>
              <w:spacing w:line="360" w:lineRule="auto"/>
              <w:ind w:firstLine="420" w:firstLineChars="200"/>
              <w:rPr>
                <w:rFonts w:ascii="宋体" w:cs="宋体"/>
                <w:color w:val="auto"/>
                <w:highlight w:val="none"/>
              </w:rPr>
            </w:pPr>
          </w:p>
        </w:tc>
        <w:tc>
          <w:tcPr>
            <w:tcW w:w="1085" w:type="dxa"/>
          </w:tcPr>
          <w:p w14:paraId="5A3E5119">
            <w:pPr>
              <w:overflowPunct w:val="0"/>
              <w:spacing w:line="360" w:lineRule="auto"/>
              <w:ind w:firstLine="420" w:firstLineChars="200"/>
              <w:rPr>
                <w:rFonts w:ascii="宋体" w:cs="宋体"/>
                <w:color w:val="auto"/>
                <w:highlight w:val="none"/>
              </w:rPr>
            </w:pPr>
          </w:p>
        </w:tc>
        <w:tc>
          <w:tcPr>
            <w:tcW w:w="1113" w:type="dxa"/>
          </w:tcPr>
          <w:p w14:paraId="1A446D5F">
            <w:pPr>
              <w:overflowPunct w:val="0"/>
              <w:spacing w:line="360" w:lineRule="auto"/>
              <w:ind w:firstLine="420" w:firstLineChars="200"/>
              <w:rPr>
                <w:rFonts w:ascii="宋体" w:cs="宋体"/>
                <w:color w:val="auto"/>
                <w:highlight w:val="none"/>
              </w:rPr>
            </w:pPr>
          </w:p>
        </w:tc>
      </w:tr>
      <w:tr w14:paraId="2459C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8" w:type="dxa"/>
          </w:tcPr>
          <w:p w14:paraId="043F22E3">
            <w:pPr>
              <w:overflowPunct w:val="0"/>
              <w:spacing w:line="360" w:lineRule="auto"/>
              <w:ind w:firstLine="420" w:firstLineChars="200"/>
              <w:rPr>
                <w:rFonts w:ascii="宋体" w:cs="宋体"/>
                <w:color w:val="auto"/>
                <w:highlight w:val="none"/>
              </w:rPr>
            </w:pPr>
          </w:p>
        </w:tc>
        <w:tc>
          <w:tcPr>
            <w:tcW w:w="1522" w:type="dxa"/>
          </w:tcPr>
          <w:p w14:paraId="63B22001">
            <w:pPr>
              <w:overflowPunct w:val="0"/>
              <w:spacing w:line="360" w:lineRule="auto"/>
              <w:ind w:firstLine="420" w:firstLineChars="200"/>
              <w:rPr>
                <w:rFonts w:ascii="宋体" w:cs="宋体"/>
                <w:color w:val="auto"/>
                <w:highlight w:val="none"/>
              </w:rPr>
            </w:pPr>
          </w:p>
        </w:tc>
        <w:tc>
          <w:tcPr>
            <w:tcW w:w="2348" w:type="dxa"/>
          </w:tcPr>
          <w:p w14:paraId="2F396D27">
            <w:pPr>
              <w:overflowPunct w:val="0"/>
              <w:spacing w:line="360" w:lineRule="auto"/>
              <w:ind w:firstLine="420" w:firstLineChars="200"/>
              <w:rPr>
                <w:rFonts w:ascii="宋体" w:cs="宋体"/>
                <w:color w:val="auto"/>
                <w:highlight w:val="none"/>
              </w:rPr>
            </w:pPr>
          </w:p>
        </w:tc>
        <w:tc>
          <w:tcPr>
            <w:tcW w:w="2162" w:type="dxa"/>
          </w:tcPr>
          <w:p w14:paraId="5EA2CFC5">
            <w:pPr>
              <w:overflowPunct w:val="0"/>
              <w:spacing w:line="360" w:lineRule="auto"/>
              <w:ind w:firstLine="420" w:firstLineChars="200"/>
              <w:rPr>
                <w:rFonts w:ascii="宋体" w:cs="宋体"/>
                <w:color w:val="auto"/>
                <w:highlight w:val="none"/>
              </w:rPr>
            </w:pPr>
          </w:p>
        </w:tc>
        <w:tc>
          <w:tcPr>
            <w:tcW w:w="1085" w:type="dxa"/>
          </w:tcPr>
          <w:p w14:paraId="306CEEFA">
            <w:pPr>
              <w:overflowPunct w:val="0"/>
              <w:spacing w:line="360" w:lineRule="auto"/>
              <w:ind w:firstLine="420" w:firstLineChars="200"/>
              <w:rPr>
                <w:rFonts w:ascii="宋体" w:cs="宋体"/>
                <w:color w:val="auto"/>
                <w:highlight w:val="none"/>
              </w:rPr>
            </w:pPr>
          </w:p>
        </w:tc>
        <w:tc>
          <w:tcPr>
            <w:tcW w:w="1113" w:type="dxa"/>
          </w:tcPr>
          <w:p w14:paraId="79A2A5C5">
            <w:pPr>
              <w:overflowPunct w:val="0"/>
              <w:spacing w:line="360" w:lineRule="auto"/>
              <w:ind w:firstLine="420" w:firstLineChars="200"/>
              <w:rPr>
                <w:rFonts w:ascii="宋体" w:cs="宋体"/>
                <w:color w:val="auto"/>
                <w:highlight w:val="none"/>
              </w:rPr>
            </w:pPr>
          </w:p>
        </w:tc>
      </w:tr>
    </w:tbl>
    <w:p w14:paraId="6B33D2A2">
      <w:pPr>
        <w:overflowPunct w:val="0"/>
        <w:spacing w:line="340" w:lineRule="exact"/>
        <w:ind w:firstLine="420" w:firstLineChars="200"/>
        <w:rPr>
          <w:rFonts w:ascii="宋体" w:cs="宋体"/>
          <w:color w:val="auto"/>
          <w:highlight w:val="none"/>
        </w:rPr>
      </w:pPr>
      <w:r>
        <w:rPr>
          <w:rFonts w:ascii="宋体" w:hAnsi="宋体" w:cs="宋体"/>
          <w:color w:val="auto"/>
          <w:highlight w:val="none"/>
        </w:rPr>
        <w:t xml:space="preserve"> </w:t>
      </w:r>
    </w:p>
    <w:p w14:paraId="5CB82B28">
      <w:pPr>
        <w:overflowPunct w:val="0"/>
        <w:spacing w:line="400" w:lineRule="exact"/>
        <w:rPr>
          <w:rFonts w:ascii="宋体" w:cs="宋体"/>
          <w:color w:val="auto"/>
          <w:szCs w:val="21"/>
          <w:highlight w:val="none"/>
        </w:rPr>
      </w:pPr>
      <w:r>
        <w:rPr>
          <w:rFonts w:hint="eastAsia" w:ascii="宋体" w:hAnsi="宋体" w:cs="宋体"/>
          <w:color w:val="auto"/>
          <w:szCs w:val="21"/>
          <w:highlight w:val="none"/>
        </w:rPr>
        <w:t>注：在“偏离情况”栏注明“正偏离”、“负偏离”或“无偏离”。行数可视情况自行添加。此表可在不改变格式的情况下可自行制作。本表格为</w:t>
      </w:r>
      <w:r>
        <w:rPr>
          <w:rFonts w:hint="eastAsia" w:ascii="宋体" w:hAnsi="宋体" w:cs="宋体"/>
          <w:bCs/>
          <w:color w:val="auto"/>
          <w:szCs w:val="21"/>
          <w:highlight w:val="none"/>
        </w:rPr>
        <w:t>商务要求中除报价以外的其他要求，不填写视同完全响应磋商文件要求。</w:t>
      </w:r>
    </w:p>
    <w:p w14:paraId="0341B00E">
      <w:pPr>
        <w:overflowPunct w:val="0"/>
        <w:adjustRightInd w:val="0"/>
        <w:snapToGrid w:val="0"/>
        <w:spacing w:line="360" w:lineRule="auto"/>
        <w:ind w:firstLine="420" w:firstLineChars="200"/>
        <w:rPr>
          <w:rFonts w:ascii="宋体" w:hAnsi="宋体" w:cs="宋体"/>
          <w:bCs/>
          <w:color w:val="auto"/>
          <w:kern w:val="0"/>
          <w:szCs w:val="21"/>
          <w:highlight w:val="none"/>
        </w:rPr>
      </w:pPr>
    </w:p>
    <w:p w14:paraId="03EE0324">
      <w:pPr>
        <w:overflowPunct w:val="0"/>
        <w:spacing w:before="156" w:beforeLines="50" w:after="156" w:afterLines="50"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供应商（盖章）：</w:t>
      </w:r>
    </w:p>
    <w:p w14:paraId="072D07EB">
      <w:pPr>
        <w:overflowPunct w:val="0"/>
        <w:spacing w:before="156" w:beforeLines="50" w:after="156" w:afterLines="50"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授权代表（签字）：</w:t>
      </w:r>
    </w:p>
    <w:p w14:paraId="35BEF77E">
      <w:pPr>
        <w:overflowPunct w:val="0"/>
        <w:spacing w:before="156" w:beforeLines="50" w:after="156" w:afterLines="50"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日期： </w:t>
      </w:r>
    </w:p>
    <w:p w14:paraId="7856EA11">
      <w:pPr>
        <w:overflowPunct w:val="0"/>
        <w:rPr>
          <w:rFonts w:ascii="宋体" w:cs="宋体"/>
          <w:color w:val="auto"/>
          <w:sz w:val="24"/>
          <w:highlight w:val="none"/>
        </w:rPr>
      </w:pPr>
    </w:p>
    <w:p w14:paraId="2F77F14B">
      <w:pPr>
        <w:overflowPunct w:val="0"/>
        <w:autoSpaceDE w:val="0"/>
        <w:autoSpaceDN w:val="0"/>
        <w:snapToGrid w:val="0"/>
        <w:spacing w:line="420" w:lineRule="exact"/>
        <w:textAlignment w:val="bottom"/>
        <w:rPr>
          <w:rFonts w:ascii="宋体" w:cs="宋体"/>
          <w:color w:val="auto"/>
          <w:szCs w:val="21"/>
          <w:highlight w:val="none"/>
        </w:rPr>
      </w:pPr>
    </w:p>
    <w:p w14:paraId="09259636">
      <w:pPr>
        <w:overflowPunct w:val="0"/>
        <w:autoSpaceDE w:val="0"/>
        <w:autoSpaceDN w:val="0"/>
        <w:snapToGrid w:val="0"/>
        <w:spacing w:line="420" w:lineRule="exact"/>
        <w:textAlignment w:val="bottom"/>
        <w:rPr>
          <w:rFonts w:ascii="宋体" w:cs="宋体"/>
          <w:color w:val="auto"/>
          <w:szCs w:val="21"/>
          <w:highlight w:val="none"/>
        </w:rPr>
      </w:pPr>
    </w:p>
    <w:p w14:paraId="306BE10C">
      <w:pPr>
        <w:overflowPunct w:val="0"/>
        <w:autoSpaceDE w:val="0"/>
        <w:autoSpaceDN w:val="0"/>
        <w:snapToGrid w:val="0"/>
        <w:spacing w:line="420" w:lineRule="exact"/>
        <w:textAlignment w:val="bottom"/>
        <w:rPr>
          <w:rFonts w:ascii="宋体" w:cs="宋体"/>
          <w:color w:val="auto"/>
          <w:szCs w:val="21"/>
          <w:highlight w:val="none"/>
        </w:rPr>
      </w:pPr>
    </w:p>
    <w:p w14:paraId="0AFB575B">
      <w:pPr>
        <w:pStyle w:val="76"/>
        <w:overflowPunct w:val="0"/>
        <w:spacing w:before="156"/>
        <w:rPr>
          <w:rFonts w:ascii="宋体" w:cs="宋体"/>
          <w:color w:val="auto"/>
          <w:szCs w:val="21"/>
          <w:highlight w:val="none"/>
        </w:rPr>
      </w:pPr>
    </w:p>
    <w:p w14:paraId="078320C5">
      <w:pPr>
        <w:pStyle w:val="76"/>
        <w:overflowPunct w:val="0"/>
        <w:spacing w:before="156"/>
        <w:rPr>
          <w:rFonts w:ascii="宋体" w:cs="宋体"/>
          <w:color w:val="auto"/>
          <w:szCs w:val="21"/>
          <w:highlight w:val="none"/>
        </w:rPr>
      </w:pPr>
    </w:p>
    <w:p w14:paraId="2ECF8FEF">
      <w:pPr>
        <w:pStyle w:val="76"/>
        <w:overflowPunct w:val="0"/>
        <w:spacing w:before="156"/>
        <w:rPr>
          <w:rFonts w:ascii="宋体" w:cs="宋体"/>
          <w:color w:val="auto"/>
          <w:szCs w:val="21"/>
          <w:highlight w:val="none"/>
        </w:rPr>
      </w:pPr>
    </w:p>
    <w:p w14:paraId="1DB9A903">
      <w:pPr>
        <w:pStyle w:val="76"/>
        <w:overflowPunct w:val="0"/>
        <w:spacing w:before="156"/>
        <w:rPr>
          <w:rFonts w:ascii="宋体" w:cs="宋体"/>
          <w:color w:val="auto"/>
          <w:szCs w:val="21"/>
          <w:highlight w:val="none"/>
        </w:rPr>
      </w:pPr>
    </w:p>
    <w:p w14:paraId="1B977275">
      <w:pPr>
        <w:pStyle w:val="76"/>
        <w:overflowPunct w:val="0"/>
        <w:spacing w:before="156"/>
        <w:rPr>
          <w:rFonts w:ascii="宋体" w:cs="宋体"/>
          <w:color w:val="auto"/>
          <w:szCs w:val="21"/>
          <w:highlight w:val="none"/>
        </w:rPr>
      </w:pPr>
    </w:p>
    <w:p w14:paraId="0522D9FE">
      <w:pPr>
        <w:pStyle w:val="76"/>
        <w:overflowPunct w:val="0"/>
        <w:spacing w:before="156"/>
        <w:rPr>
          <w:rFonts w:ascii="宋体" w:cs="宋体"/>
          <w:color w:val="auto"/>
          <w:szCs w:val="21"/>
          <w:highlight w:val="none"/>
        </w:rPr>
      </w:pPr>
    </w:p>
    <w:p w14:paraId="353AA342">
      <w:pPr>
        <w:pStyle w:val="76"/>
        <w:overflowPunct w:val="0"/>
        <w:spacing w:before="156"/>
        <w:rPr>
          <w:rFonts w:ascii="宋体" w:cs="宋体"/>
          <w:color w:val="auto"/>
          <w:szCs w:val="21"/>
          <w:highlight w:val="none"/>
        </w:rPr>
      </w:pPr>
    </w:p>
    <w:p w14:paraId="3CCF61B2">
      <w:pPr>
        <w:pStyle w:val="76"/>
        <w:overflowPunct w:val="0"/>
        <w:spacing w:before="156"/>
        <w:rPr>
          <w:rFonts w:ascii="宋体" w:cs="宋体"/>
          <w:color w:val="auto"/>
          <w:szCs w:val="21"/>
          <w:highlight w:val="none"/>
        </w:rPr>
      </w:pPr>
    </w:p>
    <w:p w14:paraId="6466C87F">
      <w:pPr>
        <w:overflowPunct w:val="0"/>
        <w:spacing w:line="400" w:lineRule="exact"/>
        <w:jc w:val="left"/>
        <w:rPr>
          <w:rFonts w:ascii="宋体" w:cs="宋体"/>
          <w:color w:val="auto"/>
          <w:sz w:val="28"/>
          <w:szCs w:val="28"/>
          <w:highlight w:val="none"/>
        </w:rPr>
      </w:pPr>
      <w:r>
        <w:rPr>
          <w:rFonts w:hint="eastAsia" w:ascii="宋体" w:hAnsi="宋体"/>
          <w:bCs/>
          <w:color w:val="auto"/>
          <w:sz w:val="28"/>
          <w:szCs w:val="28"/>
          <w:highlight w:val="none"/>
          <w:lang w:val="en-US" w:eastAsia="zh-CN"/>
        </w:rPr>
        <w:t>10</w:t>
      </w:r>
      <w:r>
        <w:rPr>
          <w:rFonts w:hint="eastAsia" w:ascii="宋体" w:hAnsi="宋体"/>
          <w:bCs/>
          <w:color w:val="auto"/>
          <w:sz w:val="28"/>
          <w:szCs w:val="28"/>
          <w:highlight w:val="none"/>
        </w:rPr>
        <w:t>、</w:t>
      </w:r>
      <w:r>
        <w:rPr>
          <w:rFonts w:hint="eastAsia" w:ascii="宋体" w:hAnsi="宋体" w:cs="宋体"/>
          <w:color w:val="auto"/>
          <w:sz w:val="28"/>
          <w:szCs w:val="28"/>
          <w:highlight w:val="none"/>
        </w:rPr>
        <w:t>技术响应表</w:t>
      </w:r>
    </w:p>
    <w:p w14:paraId="683C4421">
      <w:pPr>
        <w:overflowPunct w:val="0"/>
        <w:spacing w:line="360" w:lineRule="auto"/>
        <w:jc w:val="center"/>
        <w:rPr>
          <w:rFonts w:ascii="宋体" w:cs="宋体"/>
          <w:bCs/>
          <w:color w:val="auto"/>
          <w:sz w:val="28"/>
          <w:szCs w:val="28"/>
          <w:highlight w:val="none"/>
        </w:rPr>
      </w:pPr>
      <w:r>
        <w:rPr>
          <w:rFonts w:hint="eastAsia" w:ascii="宋体" w:hAnsi="宋体" w:cs="宋体"/>
          <w:bCs/>
          <w:color w:val="auto"/>
          <w:sz w:val="28"/>
          <w:szCs w:val="28"/>
          <w:highlight w:val="none"/>
        </w:rPr>
        <w:t>技术响应表</w:t>
      </w:r>
    </w:p>
    <w:tbl>
      <w:tblPr>
        <w:tblStyle w:val="31"/>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22"/>
        <w:gridCol w:w="2348"/>
        <w:gridCol w:w="2162"/>
        <w:gridCol w:w="1085"/>
        <w:gridCol w:w="1113"/>
      </w:tblGrid>
      <w:tr w14:paraId="444E2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738" w:type="dxa"/>
            <w:vAlign w:val="center"/>
          </w:tcPr>
          <w:p w14:paraId="3A4D55AA">
            <w:pPr>
              <w:overflowPunct w:val="0"/>
              <w:spacing w:line="36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1522" w:type="dxa"/>
            <w:vAlign w:val="center"/>
          </w:tcPr>
          <w:p w14:paraId="2C45B91F">
            <w:pPr>
              <w:overflowPunct w:val="0"/>
              <w:spacing w:line="360" w:lineRule="exact"/>
              <w:jc w:val="center"/>
              <w:rPr>
                <w:rFonts w:ascii="宋体" w:cs="宋体"/>
                <w:color w:val="auto"/>
                <w:szCs w:val="21"/>
                <w:highlight w:val="none"/>
              </w:rPr>
            </w:pPr>
            <w:r>
              <w:rPr>
                <w:rFonts w:hint="eastAsia" w:ascii="宋体" w:hAnsi="宋体" w:cs="宋体"/>
                <w:color w:val="auto"/>
                <w:szCs w:val="21"/>
                <w:highlight w:val="none"/>
              </w:rPr>
              <w:t>内容</w:t>
            </w:r>
          </w:p>
        </w:tc>
        <w:tc>
          <w:tcPr>
            <w:tcW w:w="2348" w:type="dxa"/>
            <w:vAlign w:val="center"/>
          </w:tcPr>
          <w:p w14:paraId="68013DF8">
            <w:pPr>
              <w:overflowPunct w:val="0"/>
              <w:spacing w:line="360" w:lineRule="exact"/>
              <w:jc w:val="center"/>
              <w:rPr>
                <w:rFonts w:ascii="宋体" w:cs="宋体"/>
                <w:color w:val="auto"/>
                <w:szCs w:val="21"/>
                <w:highlight w:val="none"/>
              </w:rPr>
            </w:pPr>
            <w:r>
              <w:rPr>
                <w:rFonts w:hint="eastAsia" w:ascii="宋体" w:hAnsi="宋体" w:cs="宋体"/>
                <w:color w:val="auto"/>
                <w:szCs w:val="21"/>
                <w:highlight w:val="none"/>
              </w:rPr>
              <w:t>磋商文件规范要求</w:t>
            </w:r>
          </w:p>
        </w:tc>
        <w:tc>
          <w:tcPr>
            <w:tcW w:w="2162" w:type="dxa"/>
            <w:vAlign w:val="center"/>
          </w:tcPr>
          <w:p w14:paraId="68C8877B">
            <w:pPr>
              <w:overflowPunct w:val="0"/>
              <w:spacing w:line="360" w:lineRule="exact"/>
              <w:jc w:val="center"/>
              <w:rPr>
                <w:rFonts w:ascii="宋体" w:cs="宋体"/>
                <w:color w:val="auto"/>
                <w:szCs w:val="21"/>
                <w:highlight w:val="none"/>
              </w:rPr>
            </w:pPr>
            <w:r>
              <w:rPr>
                <w:rFonts w:hint="eastAsia" w:ascii="宋体" w:hAnsi="宋体" w:cs="宋体"/>
                <w:color w:val="auto"/>
                <w:szCs w:val="21"/>
                <w:highlight w:val="none"/>
              </w:rPr>
              <w:t>响应文件对应规范</w:t>
            </w:r>
          </w:p>
        </w:tc>
        <w:tc>
          <w:tcPr>
            <w:tcW w:w="1085" w:type="dxa"/>
            <w:vAlign w:val="center"/>
          </w:tcPr>
          <w:p w14:paraId="1DA1B21E">
            <w:pPr>
              <w:overflowPunct w:val="0"/>
              <w:spacing w:line="360" w:lineRule="exact"/>
              <w:jc w:val="center"/>
              <w:rPr>
                <w:rFonts w:ascii="宋体" w:cs="宋体"/>
                <w:b/>
                <w:color w:val="auto"/>
                <w:highlight w:val="none"/>
              </w:rPr>
            </w:pPr>
            <w:r>
              <w:rPr>
                <w:rFonts w:hint="eastAsia" w:ascii="宋体" w:hAnsi="宋体" w:cs="宋体"/>
                <w:color w:val="auto"/>
                <w:szCs w:val="21"/>
                <w:highlight w:val="none"/>
              </w:rPr>
              <w:t>偏离情况</w:t>
            </w:r>
          </w:p>
        </w:tc>
        <w:tc>
          <w:tcPr>
            <w:tcW w:w="1113" w:type="dxa"/>
            <w:vAlign w:val="center"/>
          </w:tcPr>
          <w:p w14:paraId="0AB35B32">
            <w:pPr>
              <w:overflowPunct w:val="0"/>
              <w:spacing w:line="360" w:lineRule="exact"/>
              <w:jc w:val="center"/>
              <w:rPr>
                <w:rFonts w:ascii="宋体" w:cs="宋体"/>
                <w:b/>
                <w:color w:val="auto"/>
                <w:highlight w:val="none"/>
              </w:rPr>
            </w:pPr>
            <w:r>
              <w:rPr>
                <w:rFonts w:hint="eastAsia" w:ascii="宋体" w:hAnsi="宋体" w:cs="宋体"/>
                <w:color w:val="auto"/>
                <w:szCs w:val="21"/>
                <w:highlight w:val="none"/>
              </w:rPr>
              <w:t>偏离原因</w:t>
            </w:r>
          </w:p>
        </w:tc>
      </w:tr>
      <w:tr w14:paraId="65B3C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8" w:type="dxa"/>
          </w:tcPr>
          <w:p w14:paraId="7F4758F9">
            <w:pPr>
              <w:overflowPunct w:val="0"/>
              <w:spacing w:line="360" w:lineRule="auto"/>
              <w:jc w:val="center"/>
              <w:rPr>
                <w:rFonts w:ascii="宋体" w:cs="宋体"/>
                <w:color w:val="auto"/>
                <w:highlight w:val="none"/>
              </w:rPr>
            </w:pPr>
            <w:r>
              <w:rPr>
                <w:rFonts w:ascii="宋体" w:hAnsi="宋体" w:cs="宋体"/>
                <w:color w:val="auto"/>
                <w:highlight w:val="none"/>
              </w:rPr>
              <w:t>1</w:t>
            </w:r>
          </w:p>
        </w:tc>
        <w:tc>
          <w:tcPr>
            <w:tcW w:w="1522" w:type="dxa"/>
            <w:vAlign w:val="center"/>
          </w:tcPr>
          <w:p w14:paraId="556C6D72">
            <w:pPr>
              <w:overflowPunct w:val="0"/>
              <w:spacing w:line="360" w:lineRule="auto"/>
              <w:jc w:val="left"/>
              <w:rPr>
                <w:rFonts w:ascii="宋体" w:cs="宋体"/>
                <w:bCs/>
                <w:color w:val="auto"/>
                <w:highlight w:val="none"/>
              </w:rPr>
            </w:pPr>
          </w:p>
        </w:tc>
        <w:tc>
          <w:tcPr>
            <w:tcW w:w="2348" w:type="dxa"/>
          </w:tcPr>
          <w:p w14:paraId="7B33D56A">
            <w:pPr>
              <w:overflowPunct w:val="0"/>
              <w:spacing w:line="360" w:lineRule="auto"/>
              <w:ind w:firstLine="420" w:firstLineChars="200"/>
              <w:rPr>
                <w:rFonts w:ascii="宋体" w:cs="宋体"/>
                <w:color w:val="auto"/>
                <w:highlight w:val="none"/>
              </w:rPr>
            </w:pPr>
          </w:p>
        </w:tc>
        <w:tc>
          <w:tcPr>
            <w:tcW w:w="2162" w:type="dxa"/>
          </w:tcPr>
          <w:p w14:paraId="3DEBB388">
            <w:pPr>
              <w:overflowPunct w:val="0"/>
              <w:spacing w:line="360" w:lineRule="auto"/>
              <w:ind w:firstLine="420" w:firstLineChars="200"/>
              <w:rPr>
                <w:rFonts w:ascii="宋体" w:cs="宋体"/>
                <w:color w:val="auto"/>
                <w:highlight w:val="none"/>
              </w:rPr>
            </w:pPr>
          </w:p>
        </w:tc>
        <w:tc>
          <w:tcPr>
            <w:tcW w:w="1085" w:type="dxa"/>
          </w:tcPr>
          <w:p w14:paraId="67C23A4B">
            <w:pPr>
              <w:overflowPunct w:val="0"/>
              <w:spacing w:line="360" w:lineRule="auto"/>
              <w:ind w:firstLine="420" w:firstLineChars="200"/>
              <w:rPr>
                <w:rFonts w:ascii="宋体" w:cs="宋体"/>
                <w:color w:val="auto"/>
                <w:highlight w:val="none"/>
              </w:rPr>
            </w:pPr>
          </w:p>
        </w:tc>
        <w:tc>
          <w:tcPr>
            <w:tcW w:w="1113" w:type="dxa"/>
          </w:tcPr>
          <w:p w14:paraId="037B324D">
            <w:pPr>
              <w:overflowPunct w:val="0"/>
              <w:spacing w:line="360" w:lineRule="auto"/>
              <w:ind w:firstLine="420" w:firstLineChars="200"/>
              <w:rPr>
                <w:rFonts w:ascii="宋体" w:cs="宋体"/>
                <w:color w:val="auto"/>
                <w:highlight w:val="none"/>
              </w:rPr>
            </w:pPr>
          </w:p>
        </w:tc>
      </w:tr>
      <w:tr w14:paraId="4F144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738" w:type="dxa"/>
          </w:tcPr>
          <w:p w14:paraId="4EE849CD">
            <w:pPr>
              <w:overflowPunct w:val="0"/>
              <w:spacing w:line="360" w:lineRule="auto"/>
              <w:jc w:val="center"/>
              <w:rPr>
                <w:rFonts w:ascii="宋体" w:cs="宋体"/>
                <w:color w:val="auto"/>
                <w:highlight w:val="none"/>
              </w:rPr>
            </w:pPr>
            <w:r>
              <w:rPr>
                <w:rFonts w:ascii="宋体" w:hAnsi="宋体" w:cs="宋体"/>
                <w:color w:val="auto"/>
                <w:highlight w:val="none"/>
              </w:rPr>
              <w:t>2</w:t>
            </w:r>
          </w:p>
        </w:tc>
        <w:tc>
          <w:tcPr>
            <w:tcW w:w="1522" w:type="dxa"/>
            <w:vAlign w:val="center"/>
          </w:tcPr>
          <w:p w14:paraId="480469C7">
            <w:pPr>
              <w:overflowPunct w:val="0"/>
              <w:spacing w:line="360" w:lineRule="auto"/>
              <w:jc w:val="left"/>
              <w:rPr>
                <w:rFonts w:ascii="宋体" w:cs="宋体"/>
                <w:bCs/>
                <w:color w:val="auto"/>
                <w:highlight w:val="none"/>
              </w:rPr>
            </w:pPr>
          </w:p>
        </w:tc>
        <w:tc>
          <w:tcPr>
            <w:tcW w:w="2348" w:type="dxa"/>
          </w:tcPr>
          <w:p w14:paraId="1A800888">
            <w:pPr>
              <w:overflowPunct w:val="0"/>
              <w:spacing w:line="360" w:lineRule="auto"/>
              <w:ind w:firstLine="420" w:firstLineChars="200"/>
              <w:rPr>
                <w:rFonts w:ascii="宋体" w:cs="宋体"/>
                <w:color w:val="auto"/>
                <w:highlight w:val="none"/>
              </w:rPr>
            </w:pPr>
          </w:p>
        </w:tc>
        <w:tc>
          <w:tcPr>
            <w:tcW w:w="2162" w:type="dxa"/>
          </w:tcPr>
          <w:p w14:paraId="523473E3">
            <w:pPr>
              <w:overflowPunct w:val="0"/>
              <w:spacing w:line="360" w:lineRule="auto"/>
              <w:ind w:firstLine="420" w:firstLineChars="200"/>
              <w:rPr>
                <w:rFonts w:ascii="宋体" w:cs="宋体"/>
                <w:color w:val="auto"/>
                <w:highlight w:val="none"/>
              </w:rPr>
            </w:pPr>
          </w:p>
        </w:tc>
        <w:tc>
          <w:tcPr>
            <w:tcW w:w="1085" w:type="dxa"/>
          </w:tcPr>
          <w:p w14:paraId="6CC26743">
            <w:pPr>
              <w:overflowPunct w:val="0"/>
              <w:spacing w:line="360" w:lineRule="auto"/>
              <w:ind w:firstLine="420" w:firstLineChars="200"/>
              <w:rPr>
                <w:rFonts w:ascii="宋体" w:cs="宋体"/>
                <w:color w:val="auto"/>
                <w:highlight w:val="none"/>
              </w:rPr>
            </w:pPr>
          </w:p>
        </w:tc>
        <w:tc>
          <w:tcPr>
            <w:tcW w:w="1113" w:type="dxa"/>
          </w:tcPr>
          <w:p w14:paraId="6E4840B4">
            <w:pPr>
              <w:overflowPunct w:val="0"/>
              <w:spacing w:line="360" w:lineRule="auto"/>
              <w:ind w:firstLine="420" w:firstLineChars="200"/>
              <w:rPr>
                <w:rFonts w:ascii="宋体" w:cs="宋体"/>
                <w:color w:val="auto"/>
                <w:highlight w:val="none"/>
              </w:rPr>
            </w:pPr>
          </w:p>
        </w:tc>
      </w:tr>
      <w:tr w14:paraId="7926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738" w:type="dxa"/>
          </w:tcPr>
          <w:p w14:paraId="3A146F28">
            <w:pPr>
              <w:overflowPunct w:val="0"/>
              <w:spacing w:line="360" w:lineRule="auto"/>
              <w:jc w:val="center"/>
              <w:rPr>
                <w:rFonts w:ascii="宋体" w:cs="宋体"/>
                <w:color w:val="auto"/>
                <w:highlight w:val="none"/>
              </w:rPr>
            </w:pPr>
            <w:r>
              <w:rPr>
                <w:rFonts w:ascii="宋体" w:hAnsi="宋体" w:cs="宋体"/>
                <w:color w:val="auto"/>
                <w:highlight w:val="none"/>
              </w:rPr>
              <w:t>3</w:t>
            </w:r>
          </w:p>
        </w:tc>
        <w:tc>
          <w:tcPr>
            <w:tcW w:w="1522" w:type="dxa"/>
            <w:vAlign w:val="center"/>
          </w:tcPr>
          <w:p w14:paraId="44675CBA">
            <w:pPr>
              <w:overflowPunct w:val="0"/>
              <w:spacing w:line="360" w:lineRule="auto"/>
              <w:jc w:val="left"/>
              <w:rPr>
                <w:rFonts w:ascii="宋体" w:cs="宋体"/>
                <w:bCs/>
                <w:color w:val="auto"/>
                <w:highlight w:val="none"/>
              </w:rPr>
            </w:pPr>
          </w:p>
        </w:tc>
        <w:tc>
          <w:tcPr>
            <w:tcW w:w="2348" w:type="dxa"/>
          </w:tcPr>
          <w:p w14:paraId="7A7150FE">
            <w:pPr>
              <w:overflowPunct w:val="0"/>
              <w:spacing w:line="360" w:lineRule="auto"/>
              <w:ind w:firstLine="420" w:firstLineChars="200"/>
              <w:rPr>
                <w:rFonts w:ascii="宋体" w:cs="宋体"/>
                <w:color w:val="auto"/>
                <w:highlight w:val="none"/>
              </w:rPr>
            </w:pPr>
          </w:p>
        </w:tc>
        <w:tc>
          <w:tcPr>
            <w:tcW w:w="2162" w:type="dxa"/>
          </w:tcPr>
          <w:p w14:paraId="24CDD1D0">
            <w:pPr>
              <w:overflowPunct w:val="0"/>
              <w:spacing w:line="360" w:lineRule="auto"/>
              <w:ind w:firstLine="420" w:firstLineChars="200"/>
              <w:rPr>
                <w:rFonts w:ascii="宋体" w:cs="宋体"/>
                <w:color w:val="auto"/>
                <w:highlight w:val="none"/>
              </w:rPr>
            </w:pPr>
          </w:p>
        </w:tc>
        <w:tc>
          <w:tcPr>
            <w:tcW w:w="1085" w:type="dxa"/>
          </w:tcPr>
          <w:p w14:paraId="596AF364">
            <w:pPr>
              <w:overflowPunct w:val="0"/>
              <w:spacing w:line="360" w:lineRule="auto"/>
              <w:ind w:firstLine="420" w:firstLineChars="200"/>
              <w:rPr>
                <w:rFonts w:ascii="宋体" w:cs="宋体"/>
                <w:color w:val="auto"/>
                <w:highlight w:val="none"/>
              </w:rPr>
            </w:pPr>
          </w:p>
        </w:tc>
        <w:tc>
          <w:tcPr>
            <w:tcW w:w="1113" w:type="dxa"/>
          </w:tcPr>
          <w:p w14:paraId="5AAC3F97">
            <w:pPr>
              <w:overflowPunct w:val="0"/>
              <w:spacing w:line="360" w:lineRule="auto"/>
              <w:ind w:firstLine="420" w:firstLineChars="200"/>
              <w:rPr>
                <w:rFonts w:ascii="宋体" w:cs="宋体"/>
                <w:color w:val="auto"/>
                <w:highlight w:val="none"/>
              </w:rPr>
            </w:pPr>
          </w:p>
        </w:tc>
      </w:tr>
      <w:tr w14:paraId="5840D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738" w:type="dxa"/>
          </w:tcPr>
          <w:p w14:paraId="014CEAC7">
            <w:pPr>
              <w:overflowPunct w:val="0"/>
              <w:spacing w:line="360" w:lineRule="auto"/>
              <w:jc w:val="center"/>
              <w:rPr>
                <w:rFonts w:ascii="宋体" w:cs="宋体"/>
                <w:color w:val="auto"/>
                <w:highlight w:val="none"/>
              </w:rPr>
            </w:pPr>
            <w:r>
              <w:rPr>
                <w:rFonts w:ascii="宋体" w:hAnsi="宋体" w:cs="宋体"/>
                <w:color w:val="auto"/>
                <w:highlight w:val="none"/>
              </w:rPr>
              <w:t>4</w:t>
            </w:r>
          </w:p>
        </w:tc>
        <w:tc>
          <w:tcPr>
            <w:tcW w:w="1522" w:type="dxa"/>
            <w:vAlign w:val="center"/>
          </w:tcPr>
          <w:p w14:paraId="444E800B">
            <w:pPr>
              <w:overflowPunct w:val="0"/>
              <w:spacing w:line="360" w:lineRule="auto"/>
              <w:jc w:val="left"/>
              <w:rPr>
                <w:rFonts w:ascii="宋体" w:cs="宋体"/>
                <w:bCs/>
                <w:color w:val="auto"/>
                <w:highlight w:val="none"/>
              </w:rPr>
            </w:pPr>
          </w:p>
        </w:tc>
        <w:tc>
          <w:tcPr>
            <w:tcW w:w="2348" w:type="dxa"/>
          </w:tcPr>
          <w:p w14:paraId="5674B161">
            <w:pPr>
              <w:overflowPunct w:val="0"/>
              <w:spacing w:line="360" w:lineRule="auto"/>
              <w:ind w:firstLine="420" w:firstLineChars="200"/>
              <w:rPr>
                <w:rFonts w:ascii="宋体" w:cs="宋体"/>
                <w:color w:val="auto"/>
                <w:highlight w:val="none"/>
              </w:rPr>
            </w:pPr>
          </w:p>
        </w:tc>
        <w:tc>
          <w:tcPr>
            <w:tcW w:w="2162" w:type="dxa"/>
          </w:tcPr>
          <w:p w14:paraId="730709C8">
            <w:pPr>
              <w:overflowPunct w:val="0"/>
              <w:spacing w:line="360" w:lineRule="auto"/>
              <w:ind w:firstLine="420" w:firstLineChars="200"/>
              <w:rPr>
                <w:rFonts w:ascii="宋体" w:cs="宋体"/>
                <w:color w:val="auto"/>
                <w:highlight w:val="none"/>
              </w:rPr>
            </w:pPr>
          </w:p>
        </w:tc>
        <w:tc>
          <w:tcPr>
            <w:tcW w:w="1085" w:type="dxa"/>
          </w:tcPr>
          <w:p w14:paraId="7035196C">
            <w:pPr>
              <w:overflowPunct w:val="0"/>
              <w:spacing w:line="360" w:lineRule="auto"/>
              <w:ind w:firstLine="420" w:firstLineChars="200"/>
              <w:rPr>
                <w:rFonts w:ascii="宋体" w:cs="宋体"/>
                <w:color w:val="auto"/>
                <w:highlight w:val="none"/>
              </w:rPr>
            </w:pPr>
          </w:p>
        </w:tc>
        <w:tc>
          <w:tcPr>
            <w:tcW w:w="1113" w:type="dxa"/>
          </w:tcPr>
          <w:p w14:paraId="3D3E1F96">
            <w:pPr>
              <w:overflowPunct w:val="0"/>
              <w:spacing w:line="360" w:lineRule="auto"/>
              <w:ind w:firstLine="420" w:firstLineChars="200"/>
              <w:rPr>
                <w:rFonts w:ascii="宋体" w:cs="宋体"/>
                <w:color w:val="auto"/>
                <w:highlight w:val="none"/>
              </w:rPr>
            </w:pPr>
          </w:p>
        </w:tc>
      </w:tr>
      <w:tr w14:paraId="7D7D3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8" w:type="dxa"/>
          </w:tcPr>
          <w:p w14:paraId="6F30D280">
            <w:pPr>
              <w:overflowPunct w:val="0"/>
              <w:spacing w:line="360" w:lineRule="auto"/>
              <w:ind w:firstLine="420" w:firstLineChars="200"/>
              <w:rPr>
                <w:rFonts w:ascii="宋体" w:cs="宋体"/>
                <w:color w:val="auto"/>
                <w:highlight w:val="none"/>
              </w:rPr>
            </w:pPr>
          </w:p>
        </w:tc>
        <w:tc>
          <w:tcPr>
            <w:tcW w:w="1522" w:type="dxa"/>
          </w:tcPr>
          <w:p w14:paraId="330FDDE7">
            <w:pPr>
              <w:overflowPunct w:val="0"/>
              <w:spacing w:line="360" w:lineRule="auto"/>
              <w:ind w:firstLine="420" w:firstLineChars="200"/>
              <w:rPr>
                <w:rFonts w:ascii="宋体" w:cs="宋体"/>
                <w:color w:val="auto"/>
                <w:highlight w:val="none"/>
              </w:rPr>
            </w:pPr>
          </w:p>
        </w:tc>
        <w:tc>
          <w:tcPr>
            <w:tcW w:w="2348" w:type="dxa"/>
          </w:tcPr>
          <w:p w14:paraId="2E371709">
            <w:pPr>
              <w:overflowPunct w:val="0"/>
              <w:spacing w:line="360" w:lineRule="auto"/>
              <w:ind w:firstLine="420" w:firstLineChars="200"/>
              <w:rPr>
                <w:rFonts w:ascii="宋体" w:cs="宋体"/>
                <w:color w:val="auto"/>
                <w:highlight w:val="none"/>
              </w:rPr>
            </w:pPr>
          </w:p>
        </w:tc>
        <w:tc>
          <w:tcPr>
            <w:tcW w:w="2162" w:type="dxa"/>
          </w:tcPr>
          <w:p w14:paraId="15318D88">
            <w:pPr>
              <w:overflowPunct w:val="0"/>
              <w:spacing w:line="360" w:lineRule="auto"/>
              <w:ind w:firstLine="420" w:firstLineChars="200"/>
              <w:rPr>
                <w:rFonts w:ascii="宋体" w:cs="宋体"/>
                <w:color w:val="auto"/>
                <w:highlight w:val="none"/>
              </w:rPr>
            </w:pPr>
          </w:p>
        </w:tc>
        <w:tc>
          <w:tcPr>
            <w:tcW w:w="1085" w:type="dxa"/>
          </w:tcPr>
          <w:p w14:paraId="6DEF4C75">
            <w:pPr>
              <w:overflowPunct w:val="0"/>
              <w:spacing w:line="360" w:lineRule="auto"/>
              <w:ind w:firstLine="420" w:firstLineChars="200"/>
              <w:rPr>
                <w:rFonts w:ascii="宋体" w:cs="宋体"/>
                <w:color w:val="auto"/>
                <w:highlight w:val="none"/>
              </w:rPr>
            </w:pPr>
          </w:p>
        </w:tc>
        <w:tc>
          <w:tcPr>
            <w:tcW w:w="1113" w:type="dxa"/>
          </w:tcPr>
          <w:p w14:paraId="0F82DCB4">
            <w:pPr>
              <w:overflowPunct w:val="0"/>
              <w:spacing w:line="360" w:lineRule="auto"/>
              <w:ind w:firstLine="420" w:firstLineChars="200"/>
              <w:rPr>
                <w:rFonts w:ascii="宋体" w:cs="宋体"/>
                <w:color w:val="auto"/>
                <w:highlight w:val="none"/>
              </w:rPr>
            </w:pPr>
          </w:p>
        </w:tc>
      </w:tr>
    </w:tbl>
    <w:p w14:paraId="1645CB1B">
      <w:pPr>
        <w:overflowPunct w:val="0"/>
        <w:spacing w:line="340" w:lineRule="exact"/>
        <w:ind w:firstLine="420" w:firstLineChars="200"/>
        <w:rPr>
          <w:rFonts w:ascii="宋体" w:cs="宋体"/>
          <w:color w:val="auto"/>
          <w:highlight w:val="none"/>
        </w:rPr>
      </w:pPr>
      <w:r>
        <w:rPr>
          <w:rFonts w:ascii="宋体" w:hAnsi="宋体" w:cs="宋体"/>
          <w:color w:val="auto"/>
          <w:highlight w:val="none"/>
        </w:rPr>
        <w:t xml:space="preserve"> </w:t>
      </w:r>
    </w:p>
    <w:p w14:paraId="4CE27060">
      <w:pPr>
        <w:overflowPunct w:val="0"/>
        <w:rPr>
          <w:rFonts w:ascii="宋体" w:cs="宋体"/>
          <w:color w:val="auto"/>
          <w:sz w:val="24"/>
          <w:highlight w:val="none"/>
        </w:rPr>
      </w:pPr>
    </w:p>
    <w:p w14:paraId="3091EDD2">
      <w:pPr>
        <w:overflowPunct w:val="0"/>
        <w:spacing w:line="400" w:lineRule="exact"/>
        <w:rPr>
          <w:rFonts w:ascii="宋体" w:cs="宋体"/>
          <w:color w:val="auto"/>
          <w:szCs w:val="21"/>
          <w:highlight w:val="none"/>
        </w:rPr>
      </w:pPr>
      <w:r>
        <w:rPr>
          <w:rFonts w:hint="eastAsia" w:ascii="宋体" w:hAnsi="宋体" w:cs="宋体"/>
          <w:color w:val="auto"/>
          <w:szCs w:val="21"/>
          <w:highlight w:val="none"/>
        </w:rPr>
        <w:t>注：在“偏离情况”栏注明“正偏离”、“负偏离”或“无偏离”。行数可视情况自行添加。此表可在不改变格式的情况下可自行制作。</w:t>
      </w:r>
      <w:r>
        <w:rPr>
          <w:rFonts w:hint="eastAsia" w:ascii="宋体" w:hAnsi="宋体" w:cs="宋体"/>
          <w:bCs/>
          <w:color w:val="auto"/>
          <w:szCs w:val="21"/>
          <w:highlight w:val="none"/>
        </w:rPr>
        <w:t>不填写视同完全响应磋商文件要求。</w:t>
      </w:r>
    </w:p>
    <w:p w14:paraId="262ACED0">
      <w:pPr>
        <w:snapToGrid w:val="0"/>
        <w:spacing w:line="400" w:lineRule="exact"/>
        <w:jc w:val="left"/>
        <w:rPr>
          <w:rFonts w:ascii="宋体" w:hAnsi="宋体"/>
          <w:color w:val="auto"/>
          <w:szCs w:val="21"/>
          <w:highlight w:val="none"/>
        </w:rPr>
      </w:pPr>
    </w:p>
    <w:p w14:paraId="32A72109">
      <w:pPr>
        <w:overflowPunct w:val="0"/>
        <w:spacing w:before="156" w:beforeLines="50" w:after="156" w:afterLines="50"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供应商（盖章）：</w:t>
      </w:r>
    </w:p>
    <w:p w14:paraId="2C8573CB">
      <w:pPr>
        <w:overflowPunct w:val="0"/>
        <w:spacing w:before="156" w:beforeLines="50" w:after="156" w:afterLines="50"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授权代表（签字）：</w:t>
      </w:r>
    </w:p>
    <w:p w14:paraId="4546B8C0">
      <w:pPr>
        <w:overflowPunct w:val="0"/>
        <w:spacing w:before="156" w:beforeLines="50" w:after="156" w:afterLines="50"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日期： </w:t>
      </w:r>
    </w:p>
    <w:p w14:paraId="6FD38B89">
      <w:pPr>
        <w:pStyle w:val="76"/>
        <w:overflowPunct w:val="0"/>
        <w:spacing w:before="156"/>
        <w:rPr>
          <w:rFonts w:ascii="宋体" w:cs="宋体"/>
          <w:color w:val="auto"/>
          <w:szCs w:val="21"/>
          <w:highlight w:val="none"/>
        </w:rPr>
      </w:pPr>
    </w:p>
    <w:p w14:paraId="5A2FD667">
      <w:pPr>
        <w:pStyle w:val="76"/>
        <w:overflowPunct w:val="0"/>
        <w:spacing w:before="156"/>
        <w:rPr>
          <w:rFonts w:ascii="宋体" w:cs="宋体"/>
          <w:color w:val="auto"/>
          <w:szCs w:val="21"/>
          <w:highlight w:val="none"/>
        </w:rPr>
      </w:pPr>
    </w:p>
    <w:p w14:paraId="3D1BFB95">
      <w:pPr>
        <w:pStyle w:val="76"/>
        <w:overflowPunct w:val="0"/>
        <w:spacing w:before="156"/>
        <w:rPr>
          <w:rFonts w:ascii="宋体" w:cs="宋体"/>
          <w:color w:val="auto"/>
          <w:szCs w:val="21"/>
          <w:highlight w:val="none"/>
        </w:rPr>
      </w:pPr>
    </w:p>
    <w:p w14:paraId="417FDDF1">
      <w:pPr>
        <w:pStyle w:val="76"/>
        <w:overflowPunct w:val="0"/>
        <w:spacing w:before="156"/>
        <w:rPr>
          <w:rFonts w:ascii="宋体" w:cs="宋体"/>
          <w:color w:val="auto"/>
          <w:szCs w:val="21"/>
          <w:highlight w:val="none"/>
        </w:rPr>
      </w:pPr>
    </w:p>
    <w:p w14:paraId="6183FFE2">
      <w:pPr>
        <w:pStyle w:val="76"/>
        <w:overflowPunct w:val="0"/>
        <w:spacing w:before="156"/>
        <w:rPr>
          <w:rFonts w:ascii="宋体" w:cs="宋体"/>
          <w:color w:val="auto"/>
          <w:szCs w:val="21"/>
          <w:highlight w:val="none"/>
        </w:rPr>
      </w:pPr>
    </w:p>
    <w:p w14:paraId="48C1E2FC">
      <w:pPr>
        <w:pStyle w:val="76"/>
        <w:overflowPunct w:val="0"/>
        <w:spacing w:before="156"/>
        <w:rPr>
          <w:rFonts w:ascii="宋体" w:cs="宋体"/>
          <w:color w:val="auto"/>
          <w:szCs w:val="21"/>
          <w:highlight w:val="none"/>
        </w:rPr>
      </w:pPr>
    </w:p>
    <w:p w14:paraId="7AEC73C5">
      <w:pPr>
        <w:pStyle w:val="76"/>
        <w:overflowPunct w:val="0"/>
        <w:spacing w:before="156"/>
        <w:rPr>
          <w:rFonts w:ascii="宋体" w:cs="宋体"/>
          <w:color w:val="auto"/>
          <w:szCs w:val="21"/>
          <w:highlight w:val="none"/>
        </w:rPr>
      </w:pPr>
    </w:p>
    <w:p w14:paraId="463ADC60">
      <w:pPr>
        <w:pStyle w:val="76"/>
        <w:overflowPunct w:val="0"/>
        <w:spacing w:before="156"/>
        <w:rPr>
          <w:rFonts w:ascii="宋体" w:cs="宋体"/>
          <w:color w:val="auto"/>
          <w:szCs w:val="21"/>
          <w:highlight w:val="none"/>
        </w:rPr>
      </w:pPr>
    </w:p>
    <w:p w14:paraId="7CC940D7">
      <w:pPr>
        <w:pStyle w:val="76"/>
        <w:overflowPunct w:val="0"/>
        <w:spacing w:before="156"/>
        <w:rPr>
          <w:rFonts w:ascii="宋体" w:cs="宋体"/>
          <w:color w:val="auto"/>
          <w:szCs w:val="21"/>
          <w:highlight w:val="none"/>
        </w:rPr>
      </w:pPr>
    </w:p>
    <w:p w14:paraId="788EC3E8">
      <w:pPr>
        <w:pStyle w:val="76"/>
        <w:overflowPunct w:val="0"/>
        <w:spacing w:before="156"/>
        <w:rPr>
          <w:rFonts w:ascii="宋体" w:cs="宋体"/>
          <w:color w:val="auto"/>
          <w:szCs w:val="21"/>
          <w:highlight w:val="none"/>
        </w:rPr>
      </w:pPr>
    </w:p>
    <w:p w14:paraId="1B2852DE">
      <w:pPr>
        <w:pStyle w:val="76"/>
        <w:overflowPunct w:val="0"/>
        <w:spacing w:before="156"/>
        <w:rPr>
          <w:rFonts w:ascii="宋体" w:cs="宋体"/>
          <w:color w:val="auto"/>
          <w:szCs w:val="21"/>
          <w:highlight w:val="none"/>
        </w:rPr>
      </w:pPr>
    </w:p>
    <w:p w14:paraId="68820477">
      <w:pPr>
        <w:pStyle w:val="76"/>
        <w:overflowPunct w:val="0"/>
        <w:spacing w:before="156"/>
        <w:rPr>
          <w:rFonts w:ascii="宋体" w:cs="宋体"/>
          <w:color w:val="auto"/>
          <w:szCs w:val="21"/>
          <w:highlight w:val="none"/>
        </w:rPr>
      </w:pPr>
    </w:p>
    <w:p w14:paraId="1BE3DB61">
      <w:pPr>
        <w:overflowPunct w:val="0"/>
        <w:spacing w:line="400" w:lineRule="exact"/>
        <w:jc w:val="left"/>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11</w:t>
      </w:r>
      <w:r>
        <w:rPr>
          <w:rFonts w:hint="eastAsia" w:ascii="宋体" w:hAnsi="宋体" w:cs="宋体"/>
          <w:color w:val="auto"/>
          <w:sz w:val="28"/>
          <w:szCs w:val="28"/>
          <w:highlight w:val="none"/>
        </w:rPr>
        <w:t>、项目实施人员一览表格式</w:t>
      </w:r>
    </w:p>
    <w:p w14:paraId="19E239D7">
      <w:pPr>
        <w:overflowPunct w:val="0"/>
        <w:spacing w:line="360" w:lineRule="auto"/>
        <w:jc w:val="center"/>
        <w:rPr>
          <w:rFonts w:ascii="宋体" w:hAnsi="宋体" w:cs="宋体"/>
          <w:bCs/>
          <w:color w:val="auto"/>
          <w:sz w:val="28"/>
          <w:szCs w:val="28"/>
          <w:highlight w:val="none"/>
        </w:rPr>
      </w:pPr>
    </w:p>
    <w:p w14:paraId="2961A00E">
      <w:pPr>
        <w:overflowPunct w:val="0"/>
        <w:spacing w:line="360" w:lineRule="auto"/>
        <w:jc w:val="center"/>
        <w:rPr>
          <w:rFonts w:ascii="宋体" w:hAnsi="宋体" w:cs="宋体"/>
          <w:bCs/>
          <w:color w:val="auto"/>
          <w:sz w:val="28"/>
          <w:szCs w:val="28"/>
          <w:highlight w:val="none"/>
        </w:rPr>
      </w:pPr>
      <w:r>
        <w:rPr>
          <w:rFonts w:hint="eastAsia" w:ascii="宋体" w:hAnsi="宋体" w:cs="宋体"/>
          <w:bCs/>
          <w:color w:val="auto"/>
          <w:sz w:val="28"/>
          <w:szCs w:val="28"/>
          <w:highlight w:val="none"/>
        </w:rPr>
        <w:t>项目实施人员一览表</w:t>
      </w:r>
    </w:p>
    <w:tbl>
      <w:tblPr>
        <w:tblStyle w:val="31"/>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730"/>
        <w:gridCol w:w="913"/>
        <w:gridCol w:w="1369"/>
        <w:gridCol w:w="896"/>
        <w:gridCol w:w="896"/>
        <w:gridCol w:w="896"/>
        <w:gridCol w:w="896"/>
      </w:tblGrid>
      <w:tr w14:paraId="4B99B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Merge w:val="restart"/>
            <w:vAlign w:val="center"/>
          </w:tcPr>
          <w:p w14:paraId="205EBBCA">
            <w:pPr>
              <w:overflowPunct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岗位</w:t>
            </w:r>
          </w:p>
        </w:tc>
        <w:tc>
          <w:tcPr>
            <w:tcW w:w="1730" w:type="dxa"/>
            <w:vMerge w:val="restart"/>
            <w:vAlign w:val="center"/>
          </w:tcPr>
          <w:p w14:paraId="382FD43D">
            <w:pPr>
              <w:overflowPunct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913" w:type="dxa"/>
            <w:vMerge w:val="restart"/>
            <w:vAlign w:val="center"/>
          </w:tcPr>
          <w:p w14:paraId="6107CC4E">
            <w:pPr>
              <w:overflowPunct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4057" w:type="dxa"/>
            <w:gridSpan w:val="4"/>
            <w:vAlign w:val="center"/>
          </w:tcPr>
          <w:p w14:paraId="09866788">
            <w:pPr>
              <w:overflowPunct w:val="0"/>
              <w:spacing w:line="400" w:lineRule="exact"/>
              <w:jc w:val="center"/>
              <w:rPr>
                <w:rFonts w:ascii="宋体" w:hAnsi="宋体" w:cs="宋体"/>
                <w:b/>
                <w:bCs/>
                <w:color w:val="auto"/>
                <w:kern w:val="0"/>
                <w:szCs w:val="21"/>
                <w:highlight w:val="none"/>
              </w:rPr>
            </w:pPr>
            <w:r>
              <w:rPr>
                <w:rFonts w:hint="eastAsia" w:ascii="宋体" w:hAnsi="宋体" w:cs="宋体"/>
                <w:color w:val="auto"/>
                <w:szCs w:val="21"/>
                <w:highlight w:val="none"/>
              </w:rPr>
              <w:t>执业或职业资格证明</w:t>
            </w:r>
          </w:p>
        </w:tc>
        <w:tc>
          <w:tcPr>
            <w:tcW w:w="896" w:type="dxa"/>
            <w:vMerge w:val="restart"/>
            <w:vAlign w:val="center"/>
          </w:tcPr>
          <w:p w14:paraId="59F439EF">
            <w:pPr>
              <w:overflowPunct w:val="0"/>
              <w:spacing w:line="400" w:lineRule="exact"/>
              <w:jc w:val="center"/>
              <w:rPr>
                <w:rFonts w:ascii="宋体" w:hAnsi="宋体" w:cs="宋体"/>
                <w:b/>
                <w:bCs/>
                <w:color w:val="auto"/>
                <w:kern w:val="0"/>
                <w:szCs w:val="21"/>
                <w:highlight w:val="none"/>
              </w:rPr>
            </w:pPr>
            <w:r>
              <w:rPr>
                <w:rFonts w:hint="eastAsia" w:ascii="宋体" w:hAnsi="宋体" w:cs="宋体"/>
                <w:color w:val="auto"/>
                <w:szCs w:val="21"/>
                <w:highlight w:val="none"/>
              </w:rPr>
              <w:t>备注</w:t>
            </w:r>
          </w:p>
        </w:tc>
      </w:tr>
      <w:tr w14:paraId="0F7E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Merge w:val="continue"/>
            <w:vAlign w:val="center"/>
          </w:tcPr>
          <w:p w14:paraId="445E20F3">
            <w:pPr>
              <w:overflowPunct w:val="0"/>
              <w:spacing w:line="400" w:lineRule="exact"/>
              <w:jc w:val="center"/>
              <w:rPr>
                <w:rFonts w:ascii="宋体" w:hAnsi="宋体" w:cs="宋体"/>
                <w:b/>
                <w:bCs/>
                <w:color w:val="auto"/>
                <w:kern w:val="0"/>
                <w:szCs w:val="21"/>
                <w:highlight w:val="none"/>
              </w:rPr>
            </w:pPr>
          </w:p>
        </w:tc>
        <w:tc>
          <w:tcPr>
            <w:tcW w:w="1730" w:type="dxa"/>
            <w:vMerge w:val="continue"/>
            <w:vAlign w:val="center"/>
          </w:tcPr>
          <w:p w14:paraId="71A05ED8">
            <w:pPr>
              <w:overflowPunct w:val="0"/>
              <w:spacing w:line="400" w:lineRule="exact"/>
              <w:jc w:val="center"/>
              <w:rPr>
                <w:rFonts w:ascii="宋体" w:hAnsi="宋体" w:cs="宋体"/>
                <w:b/>
                <w:bCs/>
                <w:color w:val="auto"/>
                <w:kern w:val="0"/>
                <w:szCs w:val="21"/>
                <w:highlight w:val="none"/>
              </w:rPr>
            </w:pPr>
          </w:p>
        </w:tc>
        <w:tc>
          <w:tcPr>
            <w:tcW w:w="913" w:type="dxa"/>
            <w:vMerge w:val="continue"/>
            <w:vAlign w:val="center"/>
          </w:tcPr>
          <w:p w14:paraId="0975956E">
            <w:pPr>
              <w:overflowPunct w:val="0"/>
              <w:spacing w:line="400" w:lineRule="exact"/>
              <w:jc w:val="center"/>
              <w:rPr>
                <w:rFonts w:ascii="宋体" w:hAnsi="宋体" w:cs="宋体"/>
                <w:b/>
                <w:bCs/>
                <w:color w:val="auto"/>
                <w:kern w:val="0"/>
                <w:szCs w:val="21"/>
                <w:highlight w:val="none"/>
              </w:rPr>
            </w:pPr>
          </w:p>
        </w:tc>
        <w:tc>
          <w:tcPr>
            <w:tcW w:w="1369" w:type="dxa"/>
            <w:vAlign w:val="center"/>
          </w:tcPr>
          <w:p w14:paraId="3408B58E">
            <w:pPr>
              <w:overflowPunct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证书名称</w:t>
            </w:r>
          </w:p>
        </w:tc>
        <w:tc>
          <w:tcPr>
            <w:tcW w:w="896" w:type="dxa"/>
            <w:vAlign w:val="center"/>
          </w:tcPr>
          <w:p w14:paraId="04B17B92">
            <w:pPr>
              <w:overflowPunct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级别</w:t>
            </w:r>
          </w:p>
        </w:tc>
        <w:tc>
          <w:tcPr>
            <w:tcW w:w="896" w:type="dxa"/>
            <w:vAlign w:val="center"/>
          </w:tcPr>
          <w:p w14:paraId="75E42EEB">
            <w:pPr>
              <w:overflowPunct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证号</w:t>
            </w:r>
          </w:p>
        </w:tc>
        <w:tc>
          <w:tcPr>
            <w:tcW w:w="896" w:type="dxa"/>
            <w:vAlign w:val="center"/>
          </w:tcPr>
          <w:p w14:paraId="00D849C7">
            <w:pPr>
              <w:overflowPunct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专业</w:t>
            </w:r>
          </w:p>
        </w:tc>
        <w:tc>
          <w:tcPr>
            <w:tcW w:w="896" w:type="dxa"/>
            <w:vMerge w:val="continue"/>
            <w:vAlign w:val="center"/>
          </w:tcPr>
          <w:p w14:paraId="5F7495BE">
            <w:pPr>
              <w:overflowPunct w:val="0"/>
              <w:spacing w:line="400" w:lineRule="exact"/>
              <w:jc w:val="center"/>
              <w:rPr>
                <w:rFonts w:ascii="宋体" w:hAnsi="宋体" w:cs="宋体"/>
                <w:b/>
                <w:bCs/>
                <w:color w:val="auto"/>
                <w:kern w:val="0"/>
                <w:szCs w:val="21"/>
                <w:highlight w:val="none"/>
              </w:rPr>
            </w:pPr>
          </w:p>
        </w:tc>
      </w:tr>
      <w:tr w14:paraId="28110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Align w:val="center"/>
          </w:tcPr>
          <w:p w14:paraId="2D837A28">
            <w:pPr>
              <w:overflowPunct w:val="0"/>
              <w:spacing w:line="400" w:lineRule="exact"/>
              <w:jc w:val="center"/>
              <w:rPr>
                <w:rFonts w:ascii="宋体" w:hAnsi="宋体" w:cs="宋体"/>
                <w:color w:val="auto"/>
                <w:szCs w:val="21"/>
                <w:highlight w:val="none"/>
              </w:rPr>
            </w:pPr>
          </w:p>
        </w:tc>
        <w:tc>
          <w:tcPr>
            <w:tcW w:w="1730" w:type="dxa"/>
            <w:vAlign w:val="center"/>
          </w:tcPr>
          <w:p w14:paraId="5A1AA279">
            <w:pPr>
              <w:overflowPunct w:val="0"/>
              <w:spacing w:line="400" w:lineRule="exact"/>
              <w:jc w:val="center"/>
              <w:rPr>
                <w:rFonts w:ascii="宋体" w:hAnsi="宋体" w:cs="宋体"/>
                <w:b/>
                <w:bCs/>
                <w:color w:val="auto"/>
                <w:kern w:val="0"/>
                <w:szCs w:val="21"/>
                <w:highlight w:val="none"/>
              </w:rPr>
            </w:pPr>
          </w:p>
        </w:tc>
        <w:tc>
          <w:tcPr>
            <w:tcW w:w="913" w:type="dxa"/>
            <w:vAlign w:val="center"/>
          </w:tcPr>
          <w:p w14:paraId="7F385347">
            <w:pPr>
              <w:overflowPunct w:val="0"/>
              <w:spacing w:line="400" w:lineRule="exact"/>
              <w:jc w:val="center"/>
              <w:rPr>
                <w:rFonts w:ascii="宋体" w:hAnsi="宋体" w:cs="宋体"/>
                <w:b/>
                <w:bCs/>
                <w:color w:val="auto"/>
                <w:kern w:val="0"/>
                <w:szCs w:val="21"/>
                <w:highlight w:val="none"/>
              </w:rPr>
            </w:pPr>
          </w:p>
        </w:tc>
        <w:tc>
          <w:tcPr>
            <w:tcW w:w="1369" w:type="dxa"/>
            <w:vAlign w:val="center"/>
          </w:tcPr>
          <w:p w14:paraId="345AF58D">
            <w:pPr>
              <w:overflowPunct w:val="0"/>
              <w:spacing w:line="400" w:lineRule="exact"/>
              <w:jc w:val="center"/>
              <w:rPr>
                <w:rFonts w:ascii="宋体" w:hAnsi="宋体" w:cs="宋体"/>
                <w:b/>
                <w:bCs/>
                <w:color w:val="auto"/>
                <w:kern w:val="0"/>
                <w:szCs w:val="21"/>
                <w:highlight w:val="none"/>
              </w:rPr>
            </w:pPr>
          </w:p>
        </w:tc>
        <w:tc>
          <w:tcPr>
            <w:tcW w:w="896" w:type="dxa"/>
            <w:vAlign w:val="center"/>
          </w:tcPr>
          <w:p w14:paraId="00503A41">
            <w:pPr>
              <w:overflowPunct w:val="0"/>
              <w:spacing w:line="400" w:lineRule="exact"/>
              <w:jc w:val="center"/>
              <w:rPr>
                <w:rFonts w:ascii="宋体" w:hAnsi="宋体" w:cs="宋体"/>
                <w:b/>
                <w:bCs/>
                <w:color w:val="auto"/>
                <w:kern w:val="0"/>
                <w:szCs w:val="21"/>
                <w:highlight w:val="none"/>
              </w:rPr>
            </w:pPr>
          </w:p>
        </w:tc>
        <w:tc>
          <w:tcPr>
            <w:tcW w:w="896" w:type="dxa"/>
            <w:vAlign w:val="center"/>
          </w:tcPr>
          <w:p w14:paraId="19225F25">
            <w:pPr>
              <w:overflowPunct w:val="0"/>
              <w:spacing w:line="400" w:lineRule="exact"/>
              <w:jc w:val="center"/>
              <w:rPr>
                <w:rFonts w:ascii="宋体" w:hAnsi="宋体" w:cs="宋体"/>
                <w:b/>
                <w:bCs/>
                <w:color w:val="auto"/>
                <w:kern w:val="0"/>
                <w:szCs w:val="21"/>
                <w:highlight w:val="none"/>
              </w:rPr>
            </w:pPr>
          </w:p>
        </w:tc>
        <w:tc>
          <w:tcPr>
            <w:tcW w:w="896" w:type="dxa"/>
            <w:vAlign w:val="center"/>
          </w:tcPr>
          <w:p w14:paraId="3A9F5212">
            <w:pPr>
              <w:overflowPunct w:val="0"/>
              <w:spacing w:line="400" w:lineRule="exact"/>
              <w:jc w:val="center"/>
              <w:rPr>
                <w:rFonts w:ascii="宋体" w:hAnsi="宋体" w:cs="宋体"/>
                <w:b/>
                <w:bCs/>
                <w:color w:val="auto"/>
                <w:kern w:val="0"/>
                <w:szCs w:val="21"/>
                <w:highlight w:val="none"/>
              </w:rPr>
            </w:pPr>
          </w:p>
        </w:tc>
        <w:tc>
          <w:tcPr>
            <w:tcW w:w="896" w:type="dxa"/>
            <w:vAlign w:val="center"/>
          </w:tcPr>
          <w:p w14:paraId="067CC58B">
            <w:pPr>
              <w:overflowPunct w:val="0"/>
              <w:spacing w:line="400" w:lineRule="exact"/>
              <w:jc w:val="center"/>
              <w:rPr>
                <w:rFonts w:ascii="宋体" w:hAnsi="宋体" w:cs="宋体"/>
                <w:b/>
                <w:bCs/>
                <w:color w:val="auto"/>
                <w:kern w:val="0"/>
                <w:szCs w:val="21"/>
                <w:highlight w:val="none"/>
              </w:rPr>
            </w:pPr>
          </w:p>
        </w:tc>
      </w:tr>
      <w:tr w14:paraId="04FC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Align w:val="center"/>
          </w:tcPr>
          <w:p w14:paraId="3BCACE32">
            <w:pPr>
              <w:overflowPunct w:val="0"/>
              <w:spacing w:line="400" w:lineRule="exact"/>
              <w:jc w:val="center"/>
              <w:rPr>
                <w:rFonts w:ascii="宋体" w:hAnsi="宋体" w:cs="宋体"/>
                <w:color w:val="auto"/>
                <w:szCs w:val="21"/>
                <w:highlight w:val="none"/>
              </w:rPr>
            </w:pPr>
          </w:p>
        </w:tc>
        <w:tc>
          <w:tcPr>
            <w:tcW w:w="1730" w:type="dxa"/>
            <w:vAlign w:val="center"/>
          </w:tcPr>
          <w:p w14:paraId="0C7CA0FD">
            <w:pPr>
              <w:overflowPunct w:val="0"/>
              <w:spacing w:line="400" w:lineRule="exact"/>
              <w:jc w:val="center"/>
              <w:rPr>
                <w:rFonts w:ascii="宋体" w:hAnsi="宋体" w:cs="宋体"/>
                <w:b/>
                <w:bCs/>
                <w:color w:val="auto"/>
                <w:kern w:val="0"/>
                <w:szCs w:val="21"/>
                <w:highlight w:val="none"/>
              </w:rPr>
            </w:pPr>
          </w:p>
        </w:tc>
        <w:tc>
          <w:tcPr>
            <w:tcW w:w="913" w:type="dxa"/>
            <w:vAlign w:val="center"/>
          </w:tcPr>
          <w:p w14:paraId="2B6670F2">
            <w:pPr>
              <w:overflowPunct w:val="0"/>
              <w:spacing w:line="400" w:lineRule="exact"/>
              <w:jc w:val="center"/>
              <w:rPr>
                <w:rFonts w:ascii="宋体" w:hAnsi="宋体" w:cs="宋体"/>
                <w:b/>
                <w:bCs/>
                <w:color w:val="auto"/>
                <w:kern w:val="0"/>
                <w:szCs w:val="21"/>
                <w:highlight w:val="none"/>
              </w:rPr>
            </w:pPr>
          </w:p>
        </w:tc>
        <w:tc>
          <w:tcPr>
            <w:tcW w:w="1369" w:type="dxa"/>
            <w:vAlign w:val="center"/>
          </w:tcPr>
          <w:p w14:paraId="2D1C720F">
            <w:pPr>
              <w:overflowPunct w:val="0"/>
              <w:spacing w:line="400" w:lineRule="exact"/>
              <w:jc w:val="center"/>
              <w:rPr>
                <w:rFonts w:ascii="宋体" w:hAnsi="宋体" w:cs="宋体"/>
                <w:b/>
                <w:bCs/>
                <w:color w:val="auto"/>
                <w:kern w:val="0"/>
                <w:szCs w:val="21"/>
                <w:highlight w:val="none"/>
              </w:rPr>
            </w:pPr>
          </w:p>
        </w:tc>
        <w:tc>
          <w:tcPr>
            <w:tcW w:w="896" w:type="dxa"/>
            <w:vAlign w:val="center"/>
          </w:tcPr>
          <w:p w14:paraId="1750C526">
            <w:pPr>
              <w:overflowPunct w:val="0"/>
              <w:spacing w:line="400" w:lineRule="exact"/>
              <w:jc w:val="center"/>
              <w:rPr>
                <w:rFonts w:ascii="宋体" w:hAnsi="宋体" w:cs="宋体"/>
                <w:b/>
                <w:bCs/>
                <w:color w:val="auto"/>
                <w:kern w:val="0"/>
                <w:szCs w:val="21"/>
                <w:highlight w:val="none"/>
              </w:rPr>
            </w:pPr>
          </w:p>
        </w:tc>
        <w:tc>
          <w:tcPr>
            <w:tcW w:w="896" w:type="dxa"/>
            <w:vAlign w:val="center"/>
          </w:tcPr>
          <w:p w14:paraId="349F086A">
            <w:pPr>
              <w:overflowPunct w:val="0"/>
              <w:spacing w:line="400" w:lineRule="exact"/>
              <w:jc w:val="center"/>
              <w:rPr>
                <w:rFonts w:ascii="宋体" w:hAnsi="宋体" w:cs="宋体"/>
                <w:b/>
                <w:bCs/>
                <w:color w:val="auto"/>
                <w:kern w:val="0"/>
                <w:szCs w:val="21"/>
                <w:highlight w:val="none"/>
              </w:rPr>
            </w:pPr>
          </w:p>
        </w:tc>
        <w:tc>
          <w:tcPr>
            <w:tcW w:w="896" w:type="dxa"/>
            <w:vAlign w:val="center"/>
          </w:tcPr>
          <w:p w14:paraId="64AA64D4">
            <w:pPr>
              <w:overflowPunct w:val="0"/>
              <w:spacing w:line="400" w:lineRule="exact"/>
              <w:jc w:val="center"/>
              <w:rPr>
                <w:rFonts w:ascii="宋体" w:hAnsi="宋体" w:cs="宋体"/>
                <w:b/>
                <w:bCs/>
                <w:color w:val="auto"/>
                <w:kern w:val="0"/>
                <w:szCs w:val="21"/>
                <w:highlight w:val="none"/>
              </w:rPr>
            </w:pPr>
          </w:p>
        </w:tc>
        <w:tc>
          <w:tcPr>
            <w:tcW w:w="896" w:type="dxa"/>
            <w:vAlign w:val="center"/>
          </w:tcPr>
          <w:p w14:paraId="7EC85C98">
            <w:pPr>
              <w:overflowPunct w:val="0"/>
              <w:spacing w:line="400" w:lineRule="exact"/>
              <w:jc w:val="center"/>
              <w:rPr>
                <w:rFonts w:ascii="宋体" w:hAnsi="宋体" w:cs="宋体"/>
                <w:b/>
                <w:bCs/>
                <w:color w:val="auto"/>
                <w:kern w:val="0"/>
                <w:szCs w:val="21"/>
                <w:highlight w:val="none"/>
              </w:rPr>
            </w:pPr>
          </w:p>
        </w:tc>
      </w:tr>
      <w:tr w14:paraId="518F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Align w:val="center"/>
          </w:tcPr>
          <w:p w14:paraId="024CCDEE">
            <w:pPr>
              <w:overflowPunct w:val="0"/>
              <w:spacing w:line="400" w:lineRule="exact"/>
              <w:jc w:val="center"/>
              <w:rPr>
                <w:rFonts w:ascii="宋体" w:hAnsi="宋体" w:cs="宋体"/>
                <w:color w:val="auto"/>
                <w:szCs w:val="21"/>
                <w:highlight w:val="none"/>
              </w:rPr>
            </w:pPr>
          </w:p>
        </w:tc>
        <w:tc>
          <w:tcPr>
            <w:tcW w:w="1730" w:type="dxa"/>
            <w:vAlign w:val="center"/>
          </w:tcPr>
          <w:p w14:paraId="63EC5CD3">
            <w:pPr>
              <w:overflowPunct w:val="0"/>
              <w:spacing w:line="400" w:lineRule="exact"/>
              <w:jc w:val="center"/>
              <w:rPr>
                <w:rFonts w:ascii="宋体" w:hAnsi="宋体" w:cs="宋体"/>
                <w:b/>
                <w:bCs/>
                <w:color w:val="auto"/>
                <w:kern w:val="0"/>
                <w:szCs w:val="21"/>
                <w:highlight w:val="none"/>
              </w:rPr>
            </w:pPr>
          </w:p>
        </w:tc>
        <w:tc>
          <w:tcPr>
            <w:tcW w:w="913" w:type="dxa"/>
            <w:vAlign w:val="center"/>
          </w:tcPr>
          <w:p w14:paraId="520F592C">
            <w:pPr>
              <w:overflowPunct w:val="0"/>
              <w:spacing w:line="400" w:lineRule="exact"/>
              <w:jc w:val="center"/>
              <w:rPr>
                <w:rFonts w:ascii="宋体" w:hAnsi="宋体" w:cs="宋体"/>
                <w:b/>
                <w:bCs/>
                <w:color w:val="auto"/>
                <w:kern w:val="0"/>
                <w:szCs w:val="21"/>
                <w:highlight w:val="none"/>
              </w:rPr>
            </w:pPr>
          </w:p>
        </w:tc>
        <w:tc>
          <w:tcPr>
            <w:tcW w:w="1369" w:type="dxa"/>
            <w:vAlign w:val="center"/>
          </w:tcPr>
          <w:p w14:paraId="0C21657E">
            <w:pPr>
              <w:overflowPunct w:val="0"/>
              <w:spacing w:line="400" w:lineRule="exact"/>
              <w:jc w:val="center"/>
              <w:rPr>
                <w:rFonts w:ascii="宋体" w:hAnsi="宋体" w:cs="宋体"/>
                <w:b/>
                <w:bCs/>
                <w:color w:val="auto"/>
                <w:kern w:val="0"/>
                <w:szCs w:val="21"/>
                <w:highlight w:val="none"/>
              </w:rPr>
            </w:pPr>
          </w:p>
        </w:tc>
        <w:tc>
          <w:tcPr>
            <w:tcW w:w="896" w:type="dxa"/>
            <w:vAlign w:val="center"/>
          </w:tcPr>
          <w:p w14:paraId="760C2CF2">
            <w:pPr>
              <w:overflowPunct w:val="0"/>
              <w:spacing w:line="400" w:lineRule="exact"/>
              <w:jc w:val="center"/>
              <w:rPr>
                <w:rFonts w:ascii="宋体" w:hAnsi="宋体" w:cs="宋体"/>
                <w:b/>
                <w:bCs/>
                <w:color w:val="auto"/>
                <w:kern w:val="0"/>
                <w:szCs w:val="21"/>
                <w:highlight w:val="none"/>
              </w:rPr>
            </w:pPr>
          </w:p>
        </w:tc>
        <w:tc>
          <w:tcPr>
            <w:tcW w:w="896" w:type="dxa"/>
            <w:vAlign w:val="center"/>
          </w:tcPr>
          <w:p w14:paraId="19232A00">
            <w:pPr>
              <w:overflowPunct w:val="0"/>
              <w:spacing w:line="400" w:lineRule="exact"/>
              <w:jc w:val="center"/>
              <w:rPr>
                <w:rFonts w:ascii="宋体" w:hAnsi="宋体" w:cs="宋体"/>
                <w:b/>
                <w:bCs/>
                <w:color w:val="auto"/>
                <w:kern w:val="0"/>
                <w:szCs w:val="21"/>
                <w:highlight w:val="none"/>
              </w:rPr>
            </w:pPr>
          </w:p>
        </w:tc>
        <w:tc>
          <w:tcPr>
            <w:tcW w:w="896" w:type="dxa"/>
            <w:vAlign w:val="center"/>
          </w:tcPr>
          <w:p w14:paraId="6FAB83E3">
            <w:pPr>
              <w:overflowPunct w:val="0"/>
              <w:spacing w:line="400" w:lineRule="exact"/>
              <w:jc w:val="center"/>
              <w:rPr>
                <w:rFonts w:ascii="宋体" w:hAnsi="宋体" w:cs="宋体"/>
                <w:b/>
                <w:bCs/>
                <w:color w:val="auto"/>
                <w:kern w:val="0"/>
                <w:szCs w:val="21"/>
                <w:highlight w:val="none"/>
              </w:rPr>
            </w:pPr>
          </w:p>
        </w:tc>
        <w:tc>
          <w:tcPr>
            <w:tcW w:w="896" w:type="dxa"/>
            <w:vAlign w:val="center"/>
          </w:tcPr>
          <w:p w14:paraId="3A37726B">
            <w:pPr>
              <w:overflowPunct w:val="0"/>
              <w:spacing w:line="400" w:lineRule="exact"/>
              <w:jc w:val="center"/>
              <w:rPr>
                <w:rFonts w:ascii="宋体" w:hAnsi="宋体" w:cs="宋体"/>
                <w:b/>
                <w:bCs/>
                <w:color w:val="auto"/>
                <w:kern w:val="0"/>
                <w:szCs w:val="21"/>
                <w:highlight w:val="none"/>
              </w:rPr>
            </w:pPr>
          </w:p>
        </w:tc>
      </w:tr>
      <w:tr w14:paraId="4E638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Align w:val="center"/>
          </w:tcPr>
          <w:p w14:paraId="50262831">
            <w:pPr>
              <w:overflowPunct w:val="0"/>
              <w:spacing w:line="400" w:lineRule="exact"/>
              <w:jc w:val="center"/>
              <w:rPr>
                <w:rFonts w:ascii="宋体" w:hAnsi="宋体" w:cs="宋体"/>
                <w:color w:val="auto"/>
                <w:szCs w:val="21"/>
                <w:highlight w:val="none"/>
              </w:rPr>
            </w:pPr>
          </w:p>
        </w:tc>
        <w:tc>
          <w:tcPr>
            <w:tcW w:w="1730" w:type="dxa"/>
            <w:vAlign w:val="center"/>
          </w:tcPr>
          <w:p w14:paraId="61E3E3A1">
            <w:pPr>
              <w:overflowPunct w:val="0"/>
              <w:spacing w:line="400" w:lineRule="exact"/>
              <w:jc w:val="center"/>
              <w:rPr>
                <w:rFonts w:ascii="宋体" w:hAnsi="宋体" w:cs="宋体"/>
                <w:b/>
                <w:bCs/>
                <w:color w:val="auto"/>
                <w:kern w:val="0"/>
                <w:szCs w:val="21"/>
                <w:highlight w:val="none"/>
              </w:rPr>
            </w:pPr>
          </w:p>
        </w:tc>
        <w:tc>
          <w:tcPr>
            <w:tcW w:w="913" w:type="dxa"/>
            <w:vAlign w:val="center"/>
          </w:tcPr>
          <w:p w14:paraId="77AF269A">
            <w:pPr>
              <w:overflowPunct w:val="0"/>
              <w:spacing w:line="400" w:lineRule="exact"/>
              <w:jc w:val="center"/>
              <w:rPr>
                <w:rFonts w:ascii="宋体" w:hAnsi="宋体" w:cs="宋体"/>
                <w:b/>
                <w:bCs/>
                <w:color w:val="auto"/>
                <w:kern w:val="0"/>
                <w:szCs w:val="21"/>
                <w:highlight w:val="none"/>
              </w:rPr>
            </w:pPr>
          </w:p>
        </w:tc>
        <w:tc>
          <w:tcPr>
            <w:tcW w:w="1369" w:type="dxa"/>
            <w:vAlign w:val="center"/>
          </w:tcPr>
          <w:p w14:paraId="11F961B9">
            <w:pPr>
              <w:overflowPunct w:val="0"/>
              <w:spacing w:line="400" w:lineRule="exact"/>
              <w:jc w:val="center"/>
              <w:rPr>
                <w:rFonts w:ascii="宋体" w:hAnsi="宋体" w:cs="宋体"/>
                <w:b/>
                <w:bCs/>
                <w:color w:val="auto"/>
                <w:kern w:val="0"/>
                <w:szCs w:val="21"/>
                <w:highlight w:val="none"/>
              </w:rPr>
            </w:pPr>
          </w:p>
        </w:tc>
        <w:tc>
          <w:tcPr>
            <w:tcW w:w="896" w:type="dxa"/>
            <w:vAlign w:val="center"/>
          </w:tcPr>
          <w:p w14:paraId="737C582E">
            <w:pPr>
              <w:overflowPunct w:val="0"/>
              <w:spacing w:line="400" w:lineRule="exact"/>
              <w:jc w:val="center"/>
              <w:rPr>
                <w:rFonts w:ascii="宋体" w:hAnsi="宋体" w:cs="宋体"/>
                <w:b/>
                <w:bCs/>
                <w:color w:val="auto"/>
                <w:kern w:val="0"/>
                <w:szCs w:val="21"/>
                <w:highlight w:val="none"/>
              </w:rPr>
            </w:pPr>
          </w:p>
        </w:tc>
        <w:tc>
          <w:tcPr>
            <w:tcW w:w="896" w:type="dxa"/>
            <w:vAlign w:val="center"/>
          </w:tcPr>
          <w:p w14:paraId="5A7790A3">
            <w:pPr>
              <w:overflowPunct w:val="0"/>
              <w:spacing w:line="400" w:lineRule="exact"/>
              <w:jc w:val="center"/>
              <w:rPr>
                <w:rFonts w:ascii="宋体" w:hAnsi="宋体" w:cs="宋体"/>
                <w:b/>
                <w:bCs/>
                <w:color w:val="auto"/>
                <w:kern w:val="0"/>
                <w:szCs w:val="21"/>
                <w:highlight w:val="none"/>
              </w:rPr>
            </w:pPr>
          </w:p>
        </w:tc>
        <w:tc>
          <w:tcPr>
            <w:tcW w:w="896" w:type="dxa"/>
            <w:vAlign w:val="center"/>
          </w:tcPr>
          <w:p w14:paraId="10FE0CA9">
            <w:pPr>
              <w:overflowPunct w:val="0"/>
              <w:spacing w:line="400" w:lineRule="exact"/>
              <w:jc w:val="center"/>
              <w:rPr>
                <w:rFonts w:ascii="宋体" w:hAnsi="宋体" w:cs="宋体"/>
                <w:b/>
                <w:bCs/>
                <w:color w:val="auto"/>
                <w:kern w:val="0"/>
                <w:szCs w:val="21"/>
                <w:highlight w:val="none"/>
              </w:rPr>
            </w:pPr>
          </w:p>
        </w:tc>
        <w:tc>
          <w:tcPr>
            <w:tcW w:w="896" w:type="dxa"/>
            <w:vAlign w:val="center"/>
          </w:tcPr>
          <w:p w14:paraId="2233E3A3">
            <w:pPr>
              <w:overflowPunct w:val="0"/>
              <w:spacing w:line="400" w:lineRule="exact"/>
              <w:jc w:val="center"/>
              <w:rPr>
                <w:rFonts w:ascii="宋体" w:hAnsi="宋体" w:cs="宋体"/>
                <w:b/>
                <w:bCs/>
                <w:color w:val="auto"/>
                <w:kern w:val="0"/>
                <w:szCs w:val="21"/>
                <w:highlight w:val="none"/>
              </w:rPr>
            </w:pPr>
          </w:p>
        </w:tc>
      </w:tr>
      <w:tr w14:paraId="13D36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Align w:val="center"/>
          </w:tcPr>
          <w:p w14:paraId="2E4BEB29">
            <w:pPr>
              <w:overflowPunct w:val="0"/>
              <w:spacing w:line="400" w:lineRule="exact"/>
              <w:jc w:val="center"/>
              <w:rPr>
                <w:rFonts w:ascii="宋体" w:hAnsi="宋体" w:cs="宋体"/>
                <w:color w:val="auto"/>
                <w:szCs w:val="21"/>
                <w:highlight w:val="none"/>
              </w:rPr>
            </w:pPr>
          </w:p>
        </w:tc>
        <w:tc>
          <w:tcPr>
            <w:tcW w:w="1730" w:type="dxa"/>
            <w:vAlign w:val="center"/>
          </w:tcPr>
          <w:p w14:paraId="0147EB41">
            <w:pPr>
              <w:overflowPunct w:val="0"/>
              <w:spacing w:line="400" w:lineRule="exact"/>
              <w:jc w:val="center"/>
              <w:rPr>
                <w:rFonts w:ascii="宋体" w:hAnsi="宋体" w:cs="宋体"/>
                <w:b/>
                <w:bCs/>
                <w:color w:val="auto"/>
                <w:kern w:val="0"/>
                <w:szCs w:val="21"/>
                <w:highlight w:val="none"/>
              </w:rPr>
            </w:pPr>
          </w:p>
        </w:tc>
        <w:tc>
          <w:tcPr>
            <w:tcW w:w="913" w:type="dxa"/>
            <w:vAlign w:val="center"/>
          </w:tcPr>
          <w:p w14:paraId="2ECA0494">
            <w:pPr>
              <w:overflowPunct w:val="0"/>
              <w:spacing w:line="400" w:lineRule="exact"/>
              <w:jc w:val="center"/>
              <w:rPr>
                <w:rFonts w:ascii="宋体" w:hAnsi="宋体" w:cs="宋体"/>
                <w:b/>
                <w:bCs/>
                <w:color w:val="auto"/>
                <w:kern w:val="0"/>
                <w:szCs w:val="21"/>
                <w:highlight w:val="none"/>
              </w:rPr>
            </w:pPr>
          </w:p>
        </w:tc>
        <w:tc>
          <w:tcPr>
            <w:tcW w:w="1369" w:type="dxa"/>
            <w:vAlign w:val="center"/>
          </w:tcPr>
          <w:p w14:paraId="6EA5CC3B">
            <w:pPr>
              <w:overflowPunct w:val="0"/>
              <w:spacing w:line="400" w:lineRule="exact"/>
              <w:jc w:val="center"/>
              <w:rPr>
                <w:rFonts w:ascii="宋体" w:hAnsi="宋体" w:cs="宋体"/>
                <w:b/>
                <w:bCs/>
                <w:color w:val="auto"/>
                <w:kern w:val="0"/>
                <w:szCs w:val="21"/>
                <w:highlight w:val="none"/>
              </w:rPr>
            </w:pPr>
          </w:p>
        </w:tc>
        <w:tc>
          <w:tcPr>
            <w:tcW w:w="896" w:type="dxa"/>
            <w:vAlign w:val="center"/>
          </w:tcPr>
          <w:p w14:paraId="21E13B53">
            <w:pPr>
              <w:overflowPunct w:val="0"/>
              <w:spacing w:line="400" w:lineRule="exact"/>
              <w:jc w:val="center"/>
              <w:rPr>
                <w:rFonts w:ascii="宋体" w:hAnsi="宋体" w:cs="宋体"/>
                <w:b/>
                <w:bCs/>
                <w:color w:val="auto"/>
                <w:kern w:val="0"/>
                <w:szCs w:val="21"/>
                <w:highlight w:val="none"/>
              </w:rPr>
            </w:pPr>
          </w:p>
        </w:tc>
        <w:tc>
          <w:tcPr>
            <w:tcW w:w="896" w:type="dxa"/>
            <w:vAlign w:val="center"/>
          </w:tcPr>
          <w:p w14:paraId="7BAE9474">
            <w:pPr>
              <w:overflowPunct w:val="0"/>
              <w:spacing w:line="400" w:lineRule="exact"/>
              <w:jc w:val="center"/>
              <w:rPr>
                <w:rFonts w:ascii="宋体" w:hAnsi="宋体" w:cs="宋体"/>
                <w:b/>
                <w:bCs/>
                <w:color w:val="auto"/>
                <w:kern w:val="0"/>
                <w:szCs w:val="21"/>
                <w:highlight w:val="none"/>
              </w:rPr>
            </w:pPr>
          </w:p>
        </w:tc>
        <w:tc>
          <w:tcPr>
            <w:tcW w:w="896" w:type="dxa"/>
            <w:vAlign w:val="center"/>
          </w:tcPr>
          <w:p w14:paraId="4CEF7E09">
            <w:pPr>
              <w:overflowPunct w:val="0"/>
              <w:spacing w:line="400" w:lineRule="exact"/>
              <w:jc w:val="center"/>
              <w:rPr>
                <w:rFonts w:ascii="宋体" w:hAnsi="宋体" w:cs="宋体"/>
                <w:b/>
                <w:bCs/>
                <w:color w:val="auto"/>
                <w:kern w:val="0"/>
                <w:szCs w:val="21"/>
                <w:highlight w:val="none"/>
              </w:rPr>
            </w:pPr>
          </w:p>
        </w:tc>
        <w:tc>
          <w:tcPr>
            <w:tcW w:w="896" w:type="dxa"/>
            <w:vAlign w:val="center"/>
          </w:tcPr>
          <w:p w14:paraId="693ADCB3">
            <w:pPr>
              <w:overflowPunct w:val="0"/>
              <w:spacing w:line="400" w:lineRule="exact"/>
              <w:jc w:val="center"/>
              <w:rPr>
                <w:rFonts w:ascii="宋体" w:hAnsi="宋体" w:cs="宋体"/>
                <w:b/>
                <w:bCs/>
                <w:color w:val="auto"/>
                <w:kern w:val="0"/>
                <w:szCs w:val="21"/>
                <w:highlight w:val="none"/>
              </w:rPr>
            </w:pPr>
          </w:p>
        </w:tc>
      </w:tr>
      <w:tr w14:paraId="11D02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Align w:val="center"/>
          </w:tcPr>
          <w:p w14:paraId="55260644">
            <w:pPr>
              <w:overflowPunct w:val="0"/>
              <w:spacing w:line="400" w:lineRule="exact"/>
              <w:jc w:val="center"/>
              <w:rPr>
                <w:rFonts w:ascii="宋体" w:hAnsi="宋体" w:cs="宋体"/>
                <w:color w:val="auto"/>
                <w:szCs w:val="21"/>
                <w:highlight w:val="none"/>
              </w:rPr>
            </w:pPr>
          </w:p>
        </w:tc>
        <w:tc>
          <w:tcPr>
            <w:tcW w:w="1730" w:type="dxa"/>
            <w:vAlign w:val="center"/>
          </w:tcPr>
          <w:p w14:paraId="1E445641">
            <w:pPr>
              <w:overflowPunct w:val="0"/>
              <w:spacing w:line="400" w:lineRule="exact"/>
              <w:jc w:val="center"/>
              <w:rPr>
                <w:rFonts w:ascii="宋体" w:hAnsi="宋体" w:cs="宋体"/>
                <w:b/>
                <w:bCs/>
                <w:color w:val="auto"/>
                <w:kern w:val="0"/>
                <w:szCs w:val="21"/>
                <w:highlight w:val="none"/>
              </w:rPr>
            </w:pPr>
          </w:p>
        </w:tc>
        <w:tc>
          <w:tcPr>
            <w:tcW w:w="913" w:type="dxa"/>
            <w:vAlign w:val="center"/>
          </w:tcPr>
          <w:p w14:paraId="366F3E42">
            <w:pPr>
              <w:overflowPunct w:val="0"/>
              <w:spacing w:line="400" w:lineRule="exact"/>
              <w:jc w:val="center"/>
              <w:rPr>
                <w:rFonts w:ascii="宋体" w:hAnsi="宋体" w:cs="宋体"/>
                <w:b/>
                <w:bCs/>
                <w:color w:val="auto"/>
                <w:kern w:val="0"/>
                <w:szCs w:val="21"/>
                <w:highlight w:val="none"/>
              </w:rPr>
            </w:pPr>
          </w:p>
        </w:tc>
        <w:tc>
          <w:tcPr>
            <w:tcW w:w="1369" w:type="dxa"/>
            <w:vAlign w:val="center"/>
          </w:tcPr>
          <w:p w14:paraId="357EE367">
            <w:pPr>
              <w:overflowPunct w:val="0"/>
              <w:spacing w:line="400" w:lineRule="exact"/>
              <w:jc w:val="center"/>
              <w:rPr>
                <w:rFonts w:ascii="宋体" w:hAnsi="宋体" w:cs="宋体"/>
                <w:b/>
                <w:bCs/>
                <w:color w:val="auto"/>
                <w:kern w:val="0"/>
                <w:szCs w:val="21"/>
                <w:highlight w:val="none"/>
              </w:rPr>
            </w:pPr>
          </w:p>
        </w:tc>
        <w:tc>
          <w:tcPr>
            <w:tcW w:w="896" w:type="dxa"/>
            <w:vAlign w:val="center"/>
          </w:tcPr>
          <w:p w14:paraId="2538C4AF">
            <w:pPr>
              <w:overflowPunct w:val="0"/>
              <w:spacing w:line="400" w:lineRule="exact"/>
              <w:jc w:val="center"/>
              <w:rPr>
                <w:rFonts w:ascii="宋体" w:hAnsi="宋体" w:cs="宋体"/>
                <w:b/>
                <w:bCs/>
                <w:color w:val="auto"/>
                <w:kern w:val="0"/>
                <w:szCs w:val="21"/>
                <w:highlight w:val="none"/>
              </w:rPr>
            </w:pPr>
          </w:p>
        </w:tc>
        <w:tc>
          <w:tcPr>
            <w:tcW w:w="896" w:type="dxa"/>
            <w:vAlign w:val="center"/>
          </w:tcPr>
          <w:p w14:paraId="4EABCAD5">
            <w:pPr>
              <w:overflowPunct w:val="0"/>
              <w:spacing w:line="400" w:lineRule="exact"/>
              <w:jc w:val="center"/>
              <w:rPr>
                <w:rFonts w:ascii="宋体" w:hAnsi="宋体" w:cs="宋体"/>
                <w:b/>
                <w:bCs/>
                <w:color w:val="auto"/>
                <w:kern w:val="0"/>
                <w:szCs w:val="21"/>
                <w:highlight w:val="none"/>
              </w:rPr>
            </w:pPr>
          </w:p>
        </w:tc>
        <w:tc>
          <w:tcPr>
            <w:tcW w:w="896" w:type="dxa"/>
            <w:vAlign w:val="center"/>
          </w:tcPr>
          <w:p w14:paraId="50E54C21">
            <w:pPr>
              <w:overflowPunct w:val="0"/>
              <w:spacing w:line="400" w:lineRule="exact"/>
              <w:jc w:val="center"/>
              <w:rPr>
                <w:rFonts w:ascii="宋体" w:hAnsi="宋体" w:cs="宋体"/>
                <w:b/>
                <w:bCs/>
                <w:color w:val="auto"/>
                <w:kern w:val="0"/>
                <w:szCs w:val="21"/>
                <w:highlight w:val="none"/>
              </w:rPr>
            </w:pPr>
          </w:p>
        </w:tc>
        <w:tc>
          <w:tcPr>
            <w:tcW w:w="896" w:type="dxa"/>
            <w:vAlign w:val="center"/>
          </w:tcPr>
          <w:p w14:paraId="2CD72219">
            <w:pPr>
              <w:overflowPunct w:val="0"/>
              <w:spacing w:line="400" w:lineRule="exact"/>
              <w:jc w:val="center"/>
              <w:rPr>
                <w:rFonts w:ascii="宋体" w:hAnsi="宋体" w:cs="宋体"/>
                <w:b/>
                <w:bCs/>
                <w:color w:val="auto"/>
                <w:kern w:val="0"/>
                <w:szCs w:val="21"/>
                <w:highlight w:val="none"/>
              </w:rPr>
            </w:pPr>
          </w:p>
        </w:tc>
      </w:tr>
      <w:tr w14:paraId="7A57E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vAlign w:val="center"/>
          </w:tcPr>
          <w:p w14:paraId="59BECF8F">
            <w:pPr>
              <w:overflowPunct w:val="0"/>
              <w:spacing w:line="400" w:lineRule="exact"/>
              <w:jc w:val="center"/>
              <w:rPr>
                <w:rFonts w:ascii="宋体" w:hAnsi="宋体" w:cs="宋体"/>
                <w:color w:val="auto"/>
                <w:szCs w:val="21"/>
                <w:highlight w:val="none"/>
              </w:rPr>
            </w:pPr>
          </w:p>
        </w:tc>
        <w:tc>
          <w:tcPr>
            <w:tcW w:w="1730" w:type="dxa"/>
            <w:vAlign w:val="center"/>
          </w:tcPr>
          <w:p w14:paraId="4E8A8A84">
            <w:pPr>
              <w:overflowPunct w:val="0"/>
              <w:spacing w:line="400" w:lineRule="exact"/>
              <w:jc w:val="center"/>
              <w:rPr>
                <w:rFonts w:ascii="宋体" w:hAnsi="宋体" w:cs="宋体"/>
                <w:b/>
                <w:bCs/>
                <w:color w:val="auto"/>
                <w:kern w:val="0"/>
                <w:szCs w:val="21"/>
                <w:highlight w:val="none"/>
              </w:rPr>
            </w:pPr>
          </w:p>
        </w:tc>
        <w:tc>
          <w:tcPr>
            <w:tcW w:w="913" w:type="dxa"/>
            <w:vAlign w:val="center"/>
          </w:tcPr>
          <w:p w14:paraId="64138226">
            <w:pPr>
              <w:overflowPunct w:val="0"/>
              <w:spacing w:line="400" w:lineRule="exact"/>
              <w:jc w:val="center"/>
              <w:rPr>
                <w:rFonts w:ascii="宋体" w:hAnsi="宋体" w:cs="宋体"/>
                <w:b/>
                <w:bCs/>
                <w:color w:val="auto"/>
                <w:kern w:val="0"/>
                <w:szCs w:val="21"/>
                <w:highlight w:val="none"/>
              </w:rPr>
            </w:pPr>
          </w:p>
        </w:tc>
        <w:tc>
          <w:tcPr>
            <w:tcW w:w="1369" w:type="dxa"/>
            <w:vAlign w:val="center"/>
          </w:tcPr>
          <w:p w14:paraId="0AC60405">
            <w:pPr>
              <w:overflowPunct w:val="0"/>
              <w:spacing w:line="400" w:lineRule="exact"/>
              <w:jc w:val="center"/>
              <w:rPr>
                <w:rFonts w:ascii="宋体" w:hAnsi="宋体" w:cs="宋体"/>
                <w:b/>
                <w:bCs/>
                <w:color w:val="auto"/>
                <w:kern w:val="0"/>
                <w:szCs w:val="21"/>
                <w:highlight w:val="none"/>
              </w:rPr>
            </w:pPr>
          </w:p>
        </w:tc>
        <w:tc>
          <w:tcPr>
            <w:tcW w:w="896" w:type="dxa"/>
            <w:vAlign w:val="center"/>
          </w:tcPr>
          <w:p w14:paraId="464F4AD8">
            <w:pPr>
              <w:overflowPunct w:val="0"/>
              <w:spacing w:line="400" w:lineRule="exact"/>
              <w:jc w:val="center"/>
              <w:rPr>
                <w:rFonts w:ascii="宋体" w:hAnsi="宋体" w:cs="宋体"/>
                <w:b/>
                <w:bCs/>
                <w:color w:val="auto"/>
                <w:kern w:val="0"/>
                <w:szCs w:val="21"/>
                <w:highlight w:val="none"/>
              </w:rPr>
            </w:pPr>
          </w:p>
        </w:tc>
        <w:tc>
          <w:tcPr>
            <w:tcW w:w="896" w:type="dxa"/>
            <w:vAlign w:val="center"/>
          </w:tcPr>
          <w:p w14:paraId="562691C7">
            <w:pPr>
              <w:overflowPunct w:val="0"/>
              <w:spacing w:line="400" w:lineRule="exact"/>
              <w:jc w:val="center"/>
              <w:rPr>
                <w:rFonts w:ascii="宋体" w:hAnsi="宋体" w:cs="宋体"/>
                <w:b/>
                <w:bCs/>
                <w:color w:val="auto"/>
                <w:kern w:val="0"/>
                <w:szCs w:val="21"/>
                <w:highlight w:val="none"/>
              </w:rPr>
            </w:pPr>
          </w:p>
        </w:tc>
        <w:tc>
          <w:tcPr>
            <w:tcW w:w="896" w:type="dxa"/>
            <w:vAlign w:val="center"/>
          </w:tcPr>
          <w:p w14:paraId="5882306E">
            <w:pPr>
              <w:overflowPunct w:val="0"/>
              <w:spacing w:line="400" w:lineRule="exact"/>
              <w:jc w:val="center"/>
              <w:rPr>
                <w:rFonts w:ascii="宋体" w:hAnsi="宋体" w:cs="宋体"/>
                <w:b/>
                <w:bCs/>
                <w:color w:val="auto"/>
                <w:kern w:val="0"/>
                <w:szCs w:val="21"/>
                <w:highlight w:val="none"/>
              </w:rPr>
            </w:pPr>
          </w:p>
        </w:tc>
        <w:tc>
          <w:tcPr>
            <w:tcW w:w="896" w:type="dxa"/>
            <w:vAlign w:val="center"/>
          </w:tcPr>
          <w:p w14:paraId="45CD3EDB">
            <w:pPr>
              <w:overflowPunct w:val="0"/>
              <w:spacing w:line="400" w:lineRule="exact"/>
              <w:jc w:val="center"/>
              <w:rPr>
                <w:rFonts w:ascii="宋体" w:hAnsi="宋体" w:cs="宋体"/>
                <w:b/>
                <w:bCs/>
                <w:color w:val="auto"/>
                <w:kern w:val="0"/>
                <w:szCs w:val="21"/>
                <w:highlight w:val="none"/>
              </w:rPr>
            </w:pPr>
          </w:p>
        </w:tc>
      </w:tr>
    </w:tbl>
    <w:p w14:paraId="29832465">
      <w:pPr>
        <w:overflowPunct w:val="0"/>
        <w:snapToGrid w:val="0"/>
        <w:spacing w:line="400" w:lineRule="exact"/>
        <w:ind w:firstLine="420"/>
        <w:jc w:val="left"/>
        <w:rPr>
          <w:rFonts w:ascii="宋体" w:hAnsi="宋体" w:cs="宋体"/>
          <w:color w:val="auto"/>
          <w:szCs w:val="21"/>
          <w:highlight w:val="none"/>
        </w:rPr>
      </w:pPr>
    </w:p>
    <w:p w14:paraId="7CC9DF37">
      <w:pPr>
        <w:overflowPunct w:val="0"/>
        <w:snapToGrid w:val="0"/>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注：</w:t>
      </w:r>
      <w:r>
        <w:rPr>
          <w:rFonts w:hint="eastAsia" w:ascii="宋体" w:hAnsi="宋体"/>
          <w:color w:val="auto"/>
          <w:szCs w:val="21"/>
          <w:highlight w:val="none"/>
        </w:rPr>
        <w:t>在填写时，如本表格不适合投标单位的实际情况，可根据本表格式自行划表填写</w:t>
      </w:r>
      <w:r>
        <w:rPr>
          <w:rFonts w:hint="eastAsia" w:ascii="宋体" w:hAnsi="宋体" w:cs="宋体"/>
          <w:color w:val="auto"/>
          <w:szCs w:val="21"/>
          <w:highlight w:val="none"/>
        </w:rPr>
        <w:t>；</w:t>
      </w:r>
    </w:p>
    <w:p w14:paraId="046327F0">
      <w:pPr>
        <w:overflowPunct w:val="0"/>
        <w:snapToGrid w:val="0"/>
        <w:spacing w:before="50" w:after="156" w:afterLines="50" w:line="360" w:lineRule="auto"/>
        <w:jc w:val="left"/>
        <w:rPr>
          <w:rFonts w:ascii="宋体" w:hAnsi="宋体" w:cs="宋体"/>
          <w:color w:val="auto"/>
          <w:szCs w:val="21"/>
          <w:highlight w:val="none"/>
        </w:rPr>
      </w:pPr>
    </w:p>
    <w:p w14:paraId="6521DA2A">
      <w:pPr>
        <w:overflowPunct w:val="0"/>
        <w:spacing w:before="156" w:beforeLines="50" w:after="156" w:afterLines="50"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供应商（盖章）：</w:t>
      </w:r>
    </w:p>
    <w:p w14:paraId="79BA4FF6">
      <w:pPr>
        <w:overflowPunct w:val="0"/>
        <w:spacing w:before="156" w:beforeLines="50" w:after="156" w:afterLines="50"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授权代表（签字）：</w:t>
      </w:r>
    </w:p>
    <w:p w14:paraId="6BC76301">
      <w:pPr>
        <w:overflowPunct w:val="0"/>
        <w:spacing w:before="156" w:beforeLines="50" w:after="156" w:afterLines="50"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日期： </w:t>
      </w:r>
    </w:p>
    <w:p w14:paraId="666B6ED6">
      <w:pPr>
        <w:pStyle w:val="76"/>
        <w:overflowPunct w:val="0"/>
        <w:spacing w:before="156"/>
        <w:rPr>
          <w:rFonts w:ascii="宋体" w:cs="宋体"/>
          <w:color w:val="auto"/>
          <w:szCs w:val="21"/>
          <w:highlight w:val="none"/>
        </w:rPr>
      </w:pPr>
    </w:p>
    <w:p w14:paraId="5F2528C6">
      <w:pPr>
        <w:pStyle w:val="76"/>
        <w:overflowPunct w:val="0"/>
        <w:spacing w:before="156"/>
        <w:rPr>
          <w:rFonts w:ascii="宋体" w:cs="宋体"/>
          <w:color w:val="auto"/>
          <w:szCs w:val="21"/>
          <w:highlight w:val="none"/>
        </w:rPr>
      </w:pPr>
    </w:p>
    <w:p w14:paraId="6AA44652">
      <w:pPr>
        <w:pStyle w:val="76"/>
        <w:overflowPunct w:val="0"/>
        <w:spacing w:before="156"/>
        <w:rPr>
          <w:rFonts w:ascii="宋体" w:cs="宋体"/>
          <w:color w:val="auto"/>
          <w:szCs w:val="21"/>
          <w:highlight w:val="none"/>
        </w:rPr>
      </w:pPr>
    </w:p>
    <w:p w14:paraId="513DD52E">
      <w:pPr>
        <w:pStyle w:val="76"/>
        <w:overflowPunct w:val="0"/>
        <w:spacing w:before="156"/>
        <w:rPr>
          <w:rFonts w:ascii="宋体" w:cs="宋体"/>
          <w:color w:val="auto"/>
          <w:szCs w:val="21"/>
          <w:highlight w:val="none"/>
        </w:rPr>
      </w:pPr>
    </w:p>
    <w:p w14:paraId="42AAAC5F">
      <w:pPr>
        <w:pStyle w:val="76"/>
        <w:overflowPunct w:val="0"/>
        <w:spacing w:before="156"/>
        <w:rPr>
          <w:rFonts w:ascii="宋体" w:cs="宋体"/>
          <w:color w:val="auto"/>
          <w:szCs w:val="21"/>
          <w:highlight w:val="none"/>
        </w:rPr>
      </w:pPr>
    </w:p>
    <w:p w14:paraId="67DBEDDE">
      <w:pPr>
        <w:pStyle w:val="76"/>
        <w:overflowPunct w:val="0"/>
        <w:spacing w:before="156"/>
        <w:rPr>
          <w:rFonts w:ascii="宋体" w:cs="宋体"/>
          <w:color w:val="auto"/>
          <w:szCs w:val="21"/>
          <w:highlight w:val="none"/>
        </w:rPr>
      </w:pPr>
    </w:p>
    <w:p w14:paraId="44F19BCC">
      <w:pPr>
        <w:pStyle w:val="76"/>
        <w:overflowPunct w:val="0"/>
        <w:spacing w:before="156"/>
        <w:rPr>
          <w:rFonts w:ascii="宋体" w:cs="宋体"/>
          <w:color w:val="auto"/>
          <w:szCs w:val="21"/>
          <w:highlight w:val="none"/>
        </w:rPr>
      </w:pPr>
    </w:p>
    <w:p w14:paraId="10BD8B3B">
      <w:pPr>
        <w:pStyle w:val="76"/>
        <w:overflowPunct w:val="0"/>
        <w:spacing w:before="156"/>
        <w:rPr>
          <w:rFonts w:ascii="宋体" w:cs="宋体"/>
          <w:color w:val="auto"/>
          <w:szCs w:val="21"/>
          <w:highlight w:val="none"/>
        </w:rPr>
      </w:pPr>
    </w:p>
    <w:p w14:paraId="1E09DB35">
      <w:pPr>
        <w:overflowPunct w:val="0"/>
        <w:autoSpaceDE w:val="0"/>
        <w:autoSpaceDN w:val="0"/>
        <w:adjustRightInd w:val="0"/>
        <w:snapToGrid w:val="0"/>
        <w:spacing w:line="400" w:lineRule="exact"/>
        <w:ind w:firstLine="649" w:firstLineChars="202"/>
        <w:jc w:val="center"/>
        <w:textAlignment w:val="bottom"/>
        <w:rPr>
          <w:rFonts w:ascii="宋体" w:cs="宋体"/>
          <w:b/>
          <w:color w:val="auto"/>
          <w:sz w:val="32"/>
          <w:szCs w:val="32"/>
          <w:highlight w:val="none"/>
        </w:rPr>
      </w:pPr>
      <w:r>
        <w:rPr>
          <w:rFonts w:hint="eastAsia" w:ascii="宋体" w:hAnsi="宋体" w:cs="宋体"/>
          <w:b/>
          <w:color w:val="auto"/>
          <w:sz w:val="32"/>
          <w:szCs w:val="32"/>
          <w:highlight w:val="none"/>
        </w:rPr>
        <w:t>目</w:t>
      </w:r>
      <w:r>
        <w:rPr>
          <w:rFonts w:ascii="宋体" w:hAnsi="宋体" w:cs="宋体"/>
          <w:b/>
          <w:color w:val="auto"/>
          <w:sz w:val="32"/>
          <w:szCs w:val="32"/>
          <w:highlight w:val="none"/>
        </w:rPr>
        <w:t xml:space="preserve">  </w:t>
      </w:r>
      <w:r>
        <w:rPr>
          <w:rFonts w:hint="eastAsia" w:ascii="宋体" w:hAnsi="宋体" w:cs="宋体"/>
          <w:b/>
          <w:color w:val="auto"/>
          <w:sz w:val="32"/>
          <w:szCs w:val="32"/>
          <w:highlight w:val="none"/>
        </w:rPr>
        <w:t>录</w:t>
      </w:r>
    </w:p>
    <w:p w14:paraId="5F6B2FA5">
      <w:pPr>
        <w:overflowPunct w:val="0"/>
        <w:autoSpaceDE w:val="0"/>
        <w:autoSpaceDN w:val="0"/>
        <w:adjustRightInd w:val="0"/>
        <w:snapToGrid w:val="0"/>
        <w:spacing w:line="400" w:lineRule="exact"/>
        <w:ind w:firstLine="426" w:firstLineChars="202"/>
        <w:textAlignment w:val="bottom"/>
        <w:rPr>
          <w:rFonts w:ascii="宋体" w:cs="宋体"/>
          <w:b/>
          <w:color w:val="auto"/>
          <w:szCs w:val="21"/>
          <w:highlight w:val="none"/>
          <w:u w:val="single"/>
        </w:rPr>
      </w:pPr>
      <w:r>
        <w:rPr>
          <w:rFonts w:hint="eastAsia" w:ascii="宋体" w:hAnsi="宋体" w:cs="宋体"/>
          <w:b/>
          <w:color w:val="auto"/>
          <w:szCs w:val="21"/>
          <w:highlight w:val="none"/>
          <w:u w:val="single"/>
        </w:rPr>
        <w:t>报价文件</w:t>
      </w:r>
    </w:p>
    <w:p w14:paraId="7C07D86A">
      <w:pPr>
        <w:numPr>
          <w:ilvl w:val="0"/>
          <w:numId w:val="11"/>
        </w:numPr>
        <w:autoSpaceDE w:val="0"/>
        <w:autoSpaceDN w:val="0"/>
        <w:snapToGrid w:val="0"/>
        <w:spacing w:line="400" w:lineRule="exact"/>
        <w:ind w:left="0" w:firstLine="420" w:firstLineChars="200"/>
        <w:textAlignment w:val="bottom"/>
        <w:rPr>
          <w:rFonts w:ascii="宋体" w:cs="宋体"/>
          <w:bCs/>
          <w:color w:val="auto"/>
          <w:szCs w:val="21"/>
          <w:highlight w:val="none"/>
        </w:rPr>
      </w:pPr>
      <w:r>
        <w:rPr>
          <w:rFonts w:hint="eastAsia" w:ascii="宋体" w:hAnsi="宋体" w:cs="宋体"/>
          <w:bCs/>
          <w:color w:val="auto"/>
          <w:szCs w:val="21"/>
          <w:highlight w:val="none"/>
        </w:rPr>
        <w:t>初次报价表（格式见附件）；</w:t>
      </w:r>
    </w:p>
    <w:p w14:paraId="13E22C7A">
      <w:pPr>
        <w:pStyle w:val="76"/>
        <w:overflowPunct w:val="0"/>
        <w:spacing w:before="156"/>
        <w:rPr>
          <w:rFonts w:ascii="宋体" w:cs="宋体"/>
          <w:color w:val="auto"/>
          <w:szCs w:val="21"/>
          <w:highlight w:val="none"/>
        </w:rPr>
      </w:pPr>
    </w:p>
    <w:p w14:paraId="6E17C4F7">
      <w:pPr>
        <w:pStyle w:val="76"/>
        <w:overflowPunct w:val="0"/>
        <w:spacing w:before="156"/>
        <w:rPr>
          <w:rFonts w:ascii="宋体" w:cs="宋体"/>
          <w:color w:val="auto"/>
          <w:szCs w:val="21"/>
          <w:highlight w:val="none"/>
        </w:rPr>
      </w:pPr>
    </w:p>
    <w:p w14:paraId="4BCA721E">
      <w:pPr>
        <w:pStyle w:val="76"/>
        <w:overflowPunct w:val="0"/>
        <w:spacing w:before="156"/>
        <w:rPr>
          <w:rFonts w:ascii="宋体" w:cs="宋体"/>
          <w:color w:val="auto"/>
          <w:szCs w:val="21"/>
          <w:highlight w:val="none"/>
        </w:rPr>
      </w:pPr>
    </w:p>
    <w:p w14:paraId="438B9A62">
      <w:pPr>
        <w:pStyle w:val="76"/>
        <w:overflowPunct w:val="0"/>
        <w:spacing w:before="156"/>
        <w:rPr>
          <w:rFonts w:ascii="宋体" w:cs="宋体"/>
          <w:color w:val="auto"/>
          <w:szCs w:val="21"/>
          <w:highlight w:val="none"/>
        </w:rPr>
      </w:pPr>
    </w:p>
    <w:p w14:paraId="7D542721">
      <w:pPr>
        <w:pStyle w:val="76"/>
        <w:overflowPunct w:val="0"/>
        <w:spacing w:before="156"/>
        <w:rPr>
          <w:rFonts w:ascii="宋体" w:cs="宋体"/>
          <w:color w:val="auto"/>
          <w:szCs w:val="21"/>
          <w:highlight w:val="none"/>
        </w:rPr>
      </w:pPr>
    </w:p>
    <w:p w14:paraId="6B1560E3">
      <w:pPr>
        <w:pStyle w:val="76"/>
        <w:overflowPunct w:val="0"/>
        <w:spacing w:before="156"/>
        <w:rPr>
          <w:rFonts w:ascii="宋体" w:cs="宋体"/>
          <w:color w:val="auto"/>
          <w:szCs w:val="21"/>
          <w:highlight w:val="none"/>
        </w:rPr>
      </w:pPr>
    </w:p>
    <w:p w14:paraId="18D0C9EE">
      <w:pPr>
        <w:pStyle w:val="76"/>
        <w:overflowPunct w:val="0"/>
        <w:spacing w:before="156"/>
        <w:rPr>
          <w:rFonts w:ascii="宋体" w:cs="宋体"/>
          <w:color w:val="auto"/>
          <w:szCs w:val="21"/>
          <w:highlight w:val="none"/>
        </w:rPr>
      </w:pPr>
    </w:p>
    <w:p w14:paraId="227F18A8">
      <w:pPr>
        <w:pStyle w:val="76"/>
        <w:overflowPunct w:val="0"/>
        <w:spacing w:before="156"/>
        <w:rPr>
          <w:rFonts w:ascii="宋体" w:cs="宋体"/>
          <w:color w:val="auto"/>
          <w:szCs w:val="21"/>
          <w:highlight w:val="none"/>
        </w:rPr>
      </w:pPr>
    </w:p>
    <w:p w14:paraId="261A3225">
      <w:pPr>
        <w:pStyle w:val="76"/>
        <w:overflowPunct w:val="0"/>
        <w:spacing w:before="156"/>
        <w:rPr>
          <w:rFonts w:ascii="宋体" w:cs="宋体"/>
          <w:color w:val="auto"/>
          <w:szCs w:val="21"/>
          <w:highlight w:val="none"/>
        </w:rPr>
      </w:pPr>
    </w:p>
    <w:p w14:paraId="4A51B50B">
      <w:pPr>
        <w:pStyle w:val="76"/>
        <w:overflowPunct w:val="0"/>
        <w:spacing w:before="156"/>
        <w:rPr>
          <w:rFonts w:ascii="宋体" w:cs="宋体"/>
          <w:color w:val="auto"/>
          <w:szCs w:val="21"/>
          <w:highlight w:val="none"/>
        </w:rPr>
      </w:pPr>
    </w:p>
    <w:p w14:paraId="3B2764C9">
      <w:pPr>
        <w:pStyle w:val="76"/>
        <w:overflowPunct w:val="0"/>
        <w:spacing w:before="156"/>
        <w:rPr>
          <w:rFonts w:ascii="宋体" w:cs="宋体"/>
          <w:color w:val="auto"/>
          <w:szCs w:val="21"/>
          <w:highlight w:val="none"/>
        </w:rPr>
      </w:pPr>
    </w:p>
    <w:p w14:paraId="012EFDF8">
      <w:pPr>
        <w:pStyle w:val="76"/>
        <w:overflowPunct w:val="0"/>
        <w:spacing w:before="156"/>
        <w:rPr>
          <w:rFonts w:ascii="宋体" w:cs="宋体"/>
          <w:color w:val="auto"/>
          <w:szCs w:val="21"/>
          <w:highlight w:val="none"/>
        </w:rPr>
      </w:pPr>
    </w:p>
    <w:p w14:paraId="21B09411">
      <w:pPr>
        <w:pStyle w:val="76"/>
        <w:overflowPunct w:val="0"/>
        <w:spacing w:before="156"/>
        <w:rPr>
          <w:rFonts w:ascii="宋体" w:cs="宋体"/>
          <w:color w:val="auto"/>
          <w:szCs w:val="21"/>
          <w:highlight w:val="none"/>
        </w:rPr>
      </w:pPr>
    </w:p>
    <w:p w14:paraId="457D11B9">
      <w:pPr>
        <w:pStyle w:val="76"/>
        <w:overflowPunct w:val="0"/>
        <w:spacing w:before="156"/>
        <w:rPr>
          <w:rFonts w:ascii="宋体" w:cs="宋体"/>
          <w:color w:val="auto"/>
          <w:szCs w:val="21"/>
          <w:highlight w:val="none"/>
        </w:rPr>
      </w:pPr>
    </w:p>
    <w:p w14:paraId="3587AB22">
      <w:pPr>
        <w:pStyle w:val="76"/>
        <w:overflowPunct w:val="0"/>
        <w:spacing w:before="156"/>
        <w:rPr>
          <w:rFonts w:ascii="宋体" w:cs="宋体"/>
          <w:color w:val="auto"/>
          <w:szCs w:val="21"/>
          <w:highlight w:val="none"/>
        </w:rPr>
      </w:pPr>
    </w:p>
    <w:p w14:paraId="20EA8B9F">
      <w:pPr>
        <w:pStyle w:val="76"/>
        <w:overflowPunct w:val="0"/>
        <w:spacing w:before="156"/>
        <w:rPr>
          <w:rFonts w:ascii="宋体" w:cs="宋体"/>
          <w:color w:val="auto"/>
          <w:szCs w:val="21"/>
          <w:highlight w:val="none"/>
        </w:rPr>
      </w:pPr>
    </w:p>
    <w:p w14:paraId="5E26FE7D">
      <w:pPr>
        <w:pStyle w:val="76"/>
        <w:overflowPunct w:val="0"/>
        <w:spacing w:before="156"/>
        <w:rPr>
          <w:rFonts w:ascii="宋体" w:cs="宋体"/>
          <w:color w:val="auto"/>
          <w:szCs w:val="21"/>
          <w:highlight w:val="none"/>
        </w:rPr>
      </w:pPr>
    </w:p>
    <w:p w14:paraId="7831B36F">
      <w:pPr>
        <w:pStyle w:val="76"/>
        <w:overflowPunct w:val="0"/>
        <w:spacing w:before="156"/>
        <w:rPr>
          <w:rFonts w:ascii="宋体" w:cs="宋体"/>
          <w:color w:val="auto"/>
          <w:szCs w:val="21"/>
          <w:highlight w:val="none"/>
        </w:rPr>
      </w:pPr>
    </w:p>
    <w:p w14:paraId="1E6A226E">
      <w:pPr>
        <w:pStyle w:val="76"/>
        <w:overflowPunct w:val="0"/>
        <w:spacing w:before="156"/>
        <w:rPr>
          <w:rFonts w:ascii="宋体" w:cs="宋体"/>
          <w:color w:val="auto"/>
          <w:szCs w:val="21"/>
          <w:highlight w:val="none"/>
        </w:rPr>
      </w:pPr>
    </w:p>
    <w:p w14:paraId="64D4B908">
      <w:pPr>
        <w:pStyle w:val="76"/>
        <w:overflowPunct w:val="0"/>
        <w:spacing w:before="156"/>
        <w:rPr>
          <w:rFonts w:ascii="宋体" w:cs="宋体"/>
          <w:color w:val="auto"/>
          <w:szCs w:val="21"/>
          <w:highlight w:val="none"/>
        </w:rPr>
      </w:pPr>
    </w:p>
    <w:p w14:paraId="0A9C89BD">
      <w:pPr>
        <w:pStyle w:val="76"/>
        <w:overflowPunct w:val="0"/>
        <w:spacing w:before="156"/>
        <w:rPr>
          <w:rFonts w:ascii="宋体" w:cs="宋体"/>
          <w:color w:val="auto"/>
          <w:szCs w:val="21"/>
          <w:highlight w:val="none"/>
        </w:rPr>
      </w:pPr>
    </w:p>
    <w:p w14:paraId="363D4709">
      <w:pPr>
        <w:pStyle w:val="76"/>
        <w:overflowPunct w:val="0"/>
        <w:spacing w:before="156"/>
        <w:rPr>
          <w:rFonts w:ascii="宋体" w:cs="宋体"/>
          <w:color w:val="auto"/>
          <w:szCs w:val="21"/>
          <w:highlight w:val="none"/>
        </w:rPr>
      </w:pPr>
    </w:p>
    <w:p w14:paraId="5A6FA33F">
      <w:pPr>
        <w:pStyle w:val="76"/>
        <w:overflowPunct w:val="0"/>
        <w:spacing w:before="156"/>
        <w:rPr>
          <w:rFonts w:ascii="宋体" w:cs="宋体"/>
          <w:color w:val="auto"/>
          <w:szCs w:val="21"/>
          <w:highlight w:val="none"/>
        </w:rPr>
      </w:pPr>
    </w:p>
    <w:p w14:paraId="4CAD6786">
      <w:pPr>
        <w:overflowPunct w:val="0"/>
        <w:spacing w:line="400" w:lineRule="exact"/>
        <w:jc w:val="left"/>
        <w:rPr>
          <w:rFonts w:ascii="宋体" w:cs="宋体"/>
          <w:color w:val="auto"/>
          <w:sz w:val="28"/>
          <w:szCs w:val="28"/>
          <w:highlight w:val="none"/>
        </w:rPr>
      </w:pPr>
      <w:r>
        <w:rPr>
          <w:rFonts w:hint="eastAsia" w:ascii="宋体" w:hAnsi="宋体" w:cs="宋体"/>
          <w:color w:val="auto"/>
          <w:sz w:val="28"/>
          <w:szCs w:val="28"/>
          <w:highlight w:val="none"/>
          <w:lang w:val="en-US" w:eastAsia="zh-CN"/>
        </w:rPr>
        <w:t>12</w:t>
      </w:r>
      <w:r>
        <w:rPr>
          <w:rFonts w:hint="eastAsia" w:ascii="宋体" w:hAnsi="宋体" w:cs="宋体"/>
          <w:color w:val="auto"/>
          <w:sz w:val="28"/>
          <w:szCs w:val="28"/>
          <w:highlight w:val="none"/>
        </w:rPr>
        <w:t>、初次报价表格式</w:t>
      </w:r>
    </w:p>
    <w:p w14:paraId="1F885051">
      <w:pPr>
        <w:overflowPunct w:val="0"/>
        <w:rPr>
          <w:rFonts w:ascii="宋体" w:cs="宋体"/>
          <w:color w:val="auto"/>
          <w:sz w:val="28"/>
          <w:szCs w:val="28"/>
          <w:highlight w:val="none"/>
        </w:rPr>
      </w:pPr>
    </w:p>
    <w:p w14:paraId="5F1CB8A3">
      <w:pPr>
        <w:overflowPunct w:val="0"/>
        <w:spacing w:line="360" w:lineRule="auto"/>
        <w:jc w:val="center"/>
        <w:rPr>
          <w:rFonts w:ascii="宋体" w:cs="宋体"/>
          <w:b/>
          <w:bCs/>
          <w:color w:val="auto"/>
          <w:kern w:val="0"/>
          <w:sz w:val="28"/>
          <w:szCs w:val="28"/>
          <w:highlight w:val="none"/>
        </w:rPr>
      </w:pPr>
      <w:r>
        <w:rPr>
          <w:rFonts w:hint="eastAsia" w:ascii="宋体" w:hAnsi="宋体" w:cs="宋体"/>
          <w:b/>
          <w:bCs/>
          <w:color w:val="auto"/>
          <w:kern w:val="0"/>
          <w:sz w:val="28"/>
          <w:szCs w:val="28"/>
          <w:highlight w:val="none"/>
        </w:rPr>
        <w:t>初次报价表</w:t>
      </w:r>
    </w:p>
    <w:p w14:paraId="39EE3FD3">
      <w:pPr>
        <w:pStyle w:val="6"/>
        <w:tabs>
          <w:tab w:val="left" w:pos="4477"/>
        </w:tabs>
        <w:overflowPunct w:val="0"/>
        <w:spacing w:line="400" w:lineRule="exact"/>
        <w:rPr>
          <w:rFonts w:ascii="宋体" w:cs="宋体"/>
          <w:color w:val="auto"/>
          <w:szCs w:val="24"/>
          <w:highlight w:val="none"/>
        </w:rPr>
      </w:pPr>
    </w:p>
    <w:p w14:paraId="3489FDBB">
      <w:pPr>
        <w:pStyle w:val="6"/>
        <w:tabs>
          <w:tab w:val="left" w:pos="4477"/>
        </w:tabs>
        <w:overflowPunct w:val="0"/>
        <w:spacing w:line="400" w:lineRule="exact"/>
        <w:ind w:firstLine="0"/>
        <w:rPr>
          <w:rFonts w:ascii="宋体" w:cs="宋体"/>
          <w:color w:val="auto"/>
          <w:szCs w:val="24"/>
          <w:highlight w:val="none"/>
        </w:rPr>
      </w:pPr>
      <w:r>
        <w:rPr>
          <w:rFonts w:hint="eastAsia" w:ascii="宋体" w:hAnsi="宋体" w:cs="宋体"/>
          <w:color w:val="auto"/>
          <w:szCs w:val="24"/>
          <w:highlight w:val="none"/>
        </w:rPr>
        <w:t>项目名称：</w:t>
      </w:r>
      <w:r>
        <w:rPr>
          <w:rFonts w:ascii="宋体" w:hAnsi="宋体" w:cs="宋体"/>
          <w:color w:val="auto"/>
          <w:szCs w:val="24"/>
          <w:highlight w:val="none"/>
        </w:rPr>
        <w:t xml:space="preserve">                       </w:t>
      </w:r>
      <w:r>
        <w:rPr>
          <w:rFonts w:hint="eastAsia" w:ascii="宋体" w:hAnsi="宋体" w:cs="宋体"/>
          <w:color w:val="auto"/>
          <w:szCs w:val="24"/>
          <w:highlight w:val="none"/>
        </w:rPr>
        <w:t>项目编号：</w:t>
      </w:r>
      <w:r>
        <w:rPr>
          <w:rFonts w:ascii="宋体" w:hAnsi="宋体" w:cs="宋体"/>
          <w:color w:val="auto"/>
          <w:szCs w:val="24"/>
          <w:highlight w:val="none"/>
        </w:rPr>
        <w:t xml:space="preserve">                       </w:t>
      </w:r>
    </w:p>
    <w:p w14:paraId="4AC0E7BF">
      <w:pPr>
        <w:pStyle w:val="6"/>
        <w:tabs>
          <w:tab w:val="left" w:pos="4477"/>
        </w:tabs>
        <w:overflowPunct w:val="0"/>
        <w:spacing w:line="400" w:lineRule="exact"/>
        <w:ind w:firstLine="7140" w:firstLineChars="3400"/>
        <w:rPr>
          <w:rFonts w:ascii="宋体" w:cs="宋体"/>
          <w:color w:val="auto"/>
          <w:szCs w:val="24"/>
          <w:highlight w:val="none"/>
        </w:rPr>
      </w:pPr>
      <w:r>
        <w:rPr>
          <w:rFonts w:hint="eastAsia" w:ascii="宋体" w:hAnsi="宋体" w:cs="宋体"/>
          <w:color w:val="auto"/>
          <w:szCs w:val="24"/>
          <w:highlight w:val="none"/>
        </w:rPr>
        <w:t>金额单位：元</w:t>
      </w:r>
      <w:r>
        <w:rPr>
          <w:rFonts w:ascii="宋体" w:hAnsi="宋体" w:cs="宋体"/>
          <w:color w:val="auto"/>
          <w:szCs w:val="24"/>
          <w:highlight w:val="none"/>
        </w:rPr>
        <w:t xml:space="preserve">  </w:t>
      </w:r>
    </w:p>
    <w:tbl>
      <w:tblPr>
        <w:tblStyle w:val="31"/>
        <w:tblW w:w="8350"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3463"/>
        <w:gridCol w:w="791"/>
        <w:gridCol w:w="3267"/>
      </w:tblGrid>
      <w:tr w14:paraId="0668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 w:type="dxa"/>
            <w:vAlign w:val="center"/>
          </w:tcPr>
          <w:p w14:paraId="6178EA9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463" w:type="dxa"/>
            <w:vAlign w:val="center"/>
          </w:tcPr>
          <w:p w14:paraId="755EFF7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791" w:type="dxa"/>
            <w:vAlign w:val="center"/>
          </w:tcPr>
          <w:p w14:paraId="6176FF5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3267" w:type="dxa"/>
            <w:vAlign w:val="center"/>
          </w:tcPr>
          <w:p w14:paraId="30F7D12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报价</w:t>
            </w:r>
          </w:p>
        </w:tc>
      </w:tr>
      <w:tr w14:paraId="5312C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 w:type="dxa"/>
            <w:vAlign w:val="center"/>
          </w:tcPr>
          <w:p w14:paraId="19D46D0D">
            <w:pPr>
              <w:pStyle w:val="26"/>
              <w:snapToGrid w:val="0"/>
              <w:spacing w:before="0" w:beforeAutospacing="0" w:after="0" w:afterAutospacing="0" w:line="400" w:lineRule="exact"/>
              <w:jc w:val="center"/>
              <w:rPr>
                <w:rFonts w:cs="宋体"/>
                <w:color w:val="auto"/>
                <w:szCs w:val="21"/>
                <w:highlight w:val="none"/>
              </w:rPr>
            </w:pPr>
            <w:r>
              <w:rPr>
                <w:rFonts w:hint="eastAsia" w:cs="宋体"/>
                <w:color w:val="auto"/>
                <w:sz w:val="21"/>
                <w:szCs w:val="21"/>
                <w:highlight w:val="none"/>
              </w:rPr>
              <w:t>1</w:t>
            </w:r>
          </w:p>
        </w:tc>
        <w:tc>
          <w:tcPr>
            <w:tcW w:w="3463" w:type="dxa"/>
            <w:shd w:val="clear" w:color="auto" w:fill="auto"/>
            <w:vAlign w:val="center"/>
          </w:tcPr>
          <w:p w14:paraId="6BA8F63B">
            <w:pPr>
              <w:widowControl/>
              <w:adjustRightInd w:val="0"/>
              <w:snapToGrid w:val="0"/>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工学一体在线精品课程建设指导</w:t>
            </w:r>
          </w:p>
        </w:tc>
        <w:tc>
          <w:tcPr>
            <w:tcW w:w="791" w:type="dxa"/>
            <w:vAlign w:val="center"/>
          </w:tcPr>
          <w:p w14:paraId="12BCCA69">
            <w:pPr>
              <w:widowControl/>
              <w:adjustRightInd w:val="0"/>
              <w:snapToGrid w:val="0"/>
              <w:spacing w:line="400" w:lineRule="exact"/>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1项</w:t>
            </w:r>
          </w:p>
        </w:tc>
        <w:tc>
          <w:tcPr>
            <w:tcW w:w="3267" w:type="dxa"/>
            <w:vAlign w:val="center"/>
          </w:tcPr>
          <w:p w14:paraId="0D81D61A">
            <w:pPr>
              <w:spacing w:line="400" w:lineRule="exact"/>
              <w:rPr>
                <w:color w:val="auto"/>
                <w:highlight w:val="none"/>
              </w:rPr>
            </w:pPr>
            <w:r>
              <w:rPr>
                <w:rFonts w:hint="eastAsia"/>
                <w:color w:val="auto"/>
                <w:highlight w:val="none"/>
              </w:rPr>
              <w:t>小写：</w:t>
            </w:r>
          </w:p>
        </w:tc>
      </w:tr>
      <w:tr w14:paraId="3CA0A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 w:type="dxa"/>
            <w:vAlign w:val="center"/>
          </w:tcPr>
          <w:p w14:paraId="69E16EA7">
            <w:pPr>
              <w:pStyle w:val="26"/>
              <w:snapToGrid w:val="0"/>
              <w:spacing w:before="0" w:beforeAutospacing="0" w:after="0" w:afterAutospacing="0" w:line="400" w:lineRule="exact"/>
              <w:jc w:val="center"/>
              <w:rPr>
                <w:rFonts w:cs="宋体"/>
                <w:color w:val="auto"/>
                <w:sz w:val="21"/>
                <w:szCs w:val="21"/>
                <w:highlight w:val="none"/>
              </w:rPr>
            </w:pPr>
            <w:r>
              <w:rPr>
                <w:rFonts w:hint="eastAsia" w:cs="宋体"/>
                <w:color w:val="auto"/>
                <w:sz w:val="21"/>
                <w:szCs w:val="21"/>
                <w:highlight w:val="none"/>
              </w:rPr>
              <w:t>2</w:t>
            </w:r>
          </w:p>
        </w:tc>
        <w:tc>
          <w:tcPr>
            <w:tcW w:w="3463" w:type="dxa"/>
            <w:shd w:val="clear" w:color="auto" w:fill="auto"/>
            <w:vAlign w:val="center"/>
          </w:tcPr>
          <w:p w14:paraId="2E5E2343">
            <w:pPr>
              <w:widowControl/>
              <w:adjustRightInd w:val="0"/>
              <w:snapToGrid w:val="0"/>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工学一体立体化教学资源开发服务</w:t>
            </w:r>
          </w:p>
        </w:tc>
        <w:tc>
          <w:tcPr>
            <w:tcW w:w="791" w:type="dxa"/>
            <w:vAlign w:val="center"/>
          </w:tcPr>
          <w:p w14:paraId="6E4C4F88">
            <w:pPr>
              <w:widowControl/>
              <w:adjustRightInd w:val="0"/>
              <w:snapToGrid w:val="0"/>
              <w:spacing w:line="400" w:lineRule="exact"/>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5门</w:t>
            </w:r>
          </w:p>
        </w:tc>
        <w:tc>
          <w:tcPr>
            <w:tcW w:w="3267" w:type="dxa"/>
            <w:vAlign w:val="center"/>
          </w:tcPr>
          <w:p w14:paraId="27E2B128">
            <w:pPr>
              <w:spacing w:line="400" w:lineRule="exact"/>
              <w:rPr>
                <w:color w:val="auto"/>
                <w:highlight w:val="none"/>
              </w:rPr>
            </w:pPr>
            <w:r>
              <w:rPr>
                <w:rFonts w:hint="eastAsia"/>
                <w:color w:val="auto"/>
                <w:highlight w:val="none"/>
              </w:rPr>
              <w:t>小写：</w:t>
            </w:r>
          </w:p>
        </w:tc>
      </w:tr>
      <w:tr w14:paraId="6778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 w:type="dxa"/>
            <w:vAlign w:val="center"/>
          </w:tcPr>
          <w:p w14:paraId="57FB5C17">
            <w:pPr>
              <w:pStyle w:val="26"/>
              <w:snapToGrid w:val="0"/>
              <w:spacing w:before="0" w:beforeAutospacing="0" w:after="0" w:afterAutospacing="0" w:line="400" w:lineRule="exact"/>
              <w:jc w:val="center"/>
              <w:rPr>
                <w:rFonts w:cs="宋体"/>
                <w:color w:val="auto"/>
                <w:sz w:val="21"/>
                <w:szCs w:val="21"/>
                <w:highlight w:val="none"/>
              </w:rPr>
            </w:pPr>
            <w:r>
              <w:rPr>
                <w:rFonts w:hint="eastAsia" w:cs="宋体"/>
                <w:color w:val="auto"/>
                <w:sz w:val="21"/>
                <w:szCs w:val="21"/>
                <w:highlight w:val="none"/>
              </w:rPr>
              <w:t>3</w:t>
            </w:r>
          </w:p>
        </w:tc>
        <w:tc>
          <w:tcPr>
            <w:tcW w:w="3463" w:type="dxa"/>
            <w:shd w:val="clear" w:color="auto" w:fill="auto"/>
            <w:vAlign w:val="center"/>
          </w:tcPr>
          <w:p w14:paraId="45E5BE26">
            <w:pPr>
              <w:widowControl/>
              <w:adjustRightInd w:val="0"/>
              <w:snapToGrid w:val="0"/>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工学一体精品课程开发</w:t>
            </w:r>
          </w:p>
        </w:tc>
        <w:tc>
          <w:tcPr>
            <w:tcW w:w="791" w:type="dxa"/>
            <w:vAlign w:val="center"/>
          </w:tcPr>
          <w:p w14:paraId="1C799411">
            <w:pPr>
              <w:widowControl/>
              <w:adjustRightInd w:val="0"/>
              <w:snapToGrid w:val="0"/>
              <w:spacing w:line="400" w:lineRule="exact"/>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5门</w:t>
            </w:r>
          </w:p>
        </w:tc>
        <w:tc>
          <w:tcPr>
            <w:tcW w:w="3267" w:type="dxa"/>
            <w:vAlign w:val="center"/>
          </w:tcPr>
          <w:p w14:paraId="40321C30">
            <w:pPr>
              <w:spacing w:line="400" w:lineRule="exact"/>
              <w:rPr>
                <w:color w:val="auto"/>
                <w:highlight w:val="none"/>
              </w:rPr>
            </w:pPr>
            <w:r>
              <w:rPr>
                <w:rFonts w:hint="eastAsia"/>
                <w:color w:val="auto"/>
                <w:highlight w:val="none"/>
              </w:rPr>
              <w:t>小写：</w:t>
            </w:r>
          </w:p>
        </w:tc>
      </w:tr>
      <w:tr w14:paraId="71A64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 w:type="dxa"/>
            <w:vAlign w:val="center"/>
          </w:tcPr>
          <w:p w14:paraId="22166D1B">
            <w:pPr>
              <w:pStyle w:val="26"/>
              <w:snapToGrid w:val="0"/>
              <w:spacing w:before="0" w:beforeAutospacing="0" w:after="0" w:afterAutospacing="0" w:line="400" w:lineRule="exact"/>
              <w:jc w:val="center"/>
              <w:rPr>
                <w:rFonts w:cs="宋体"/>
                <w:color w:val="auto"/>
                <w:sz w:val="21"/>
                <w:szCs w:val="21"/>
                <w:highlight w:val="none"/>
              </w:rPr>
            </w:pPr>
            <w:r>
              <w:rPr>
                <w:rFonts w:hint="eastAsia" w:cs="宋体"/>
                <w:color w:val="auto"/>
                <w:sz w:val="21"/>
                <w:szCs w:val="21"/>
                <w:highlight w:val="none"/>
              </w:rPr>
              <w:t>4</w:t>
            </w:r>
          </w:p>
        </w:tc>
        <w:tc>
          <w:tcPr>
            <w:tcW w:w="3463" w:type="dxa"/>
            <w:shd w:val="clear" w:color="auto" w:fill="auto"/>
            <w:vAlign w:val="center"/>
          </w:tcPr>
          <w:p w14:paraId="480EB0BD">
            <w:pPr>
              <w:widowControl/>
              <w:adjustRightInd w:val="0"/>
              <w:snapToGrid w:val="0"/>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教材出版（国家一级出版社）</w:t>
            </w:r>
          </w:p>
        </w:tc>
        <w:tc>
          <w:tcPr>
            <w:tcW w:w="791" w:type="dxa"/>
            <w:vAlign w:val="center"/>
          </w:tcPr>
          <w:p w14:paraId="0E092814">
            <w:pPr>
              <w:widowControl/>
              <w:adjustRightInd w:val="0"/>
              <w:snapToGrid w:val="0"/>
              <w:spacing w:line="400" w:lineRule="exact"/>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w:t>
            </w:r>
          </w:p>
        </w:tc>
        <w:tc>
          <w:tcPr>
            <w:tcW w:w="3267" w:type="dxa"/>
            <w:vAlign w:val="center"/>
          </w:tcPr>
          <w:p w14:paraId="1D062614">
            <w:pPr>
              <w:spacing w:line="400" w:lineRule="exact"/>
              <w:rPr>
                <w:color w:val="auto"/>
                <w:highlight w:val="none"/>
              </w:rPr>
            </w:pPr>
            <w:r>
              <w:rPr>
                <w:rFonts w:hint="eastAsia"/>
                <w:color w:val="auto"/>
                <w:highlight w:val="none"/>
              </w:rPr>
              <w:t>小写：</w:t>
            </w:r>
          </w:p>
        </w:tc>
      </w:tr>
      <w:tr w14:paraId="76AC3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 w:type="dxa"/>
            <w:vAlign w:val="center"/>
          </w:tcPr>
          <w:p w14:paraId="72E90F9D">
            <w:pPr>
              <w:pStyle w:val="26"/>
              <w:snapToGrid w:val="0"/>
              <w:spacing w:before="0" w:beforeAutospacing="0" w:after="0" w:afterAutospacing="0" w:line="400" w:lineRule="exact"/>
              <w:jc w:val="center"/>
              <w:rPr>
                <w:rFonts w:cs="宋体"/>
                <w:color w:val="auto"/>
                <w:sz w:val="21"/>
                <w:szCs w:val="21"/>
                <w:highlight w:val="none"/>
              </w:rPr>
            </w:pPr>
            <w:r>
              <w:rPr>
                <w:rFonts w:hint="eastAsia" w:cs="宋体"/>
                <w:color w:val="auto"/>
                <w:sz w:val="21"/>
                <w:szCs w:val="21"/>
                <w:highlight w:val="none"/>
              </w:rPr>
              <w:t>5</w:t>
            </w:r>
          </w:p>
        </w:tc>
        <w:tc>
          <w:tcPr>
            <w:tcW w:w="3463" w:type="dxa"/>
            <w:shd w:val="clear" w:color="auto" w:fill="auto"/>
            <w:vAlign w:val="center"/>
          </w:tcPr>
          <w:p w14:paraId="688DFB5A">
            <w:pPr>
              <w:widowControl/>
              <w:adjustRightInd w:val="0"/>
              <w:snapToGrid w:val="0"/>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教学支撑平台</w:t>
            </w:r>
          </w:p>
        </w:tc>
        <w:tc>
          <w:tcPr>
            <w:tcW w:w="791" w:type="dxa"/>
            <w:vAlign w:val="center"/>
          </w:tcPr>
          <w:p w14:paraId="25356DC0">
            <w:pPr>
              <w:widowControl/>
              <w:adjustRightInd w:val="0"/>
              <w:snapToGrid w:val="0"/>
              <w:spacing w:line="400" w:lineRule="exact"/>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个</w:t>
            </w:r>
          </w:p>
        </w:tc>
        <w:tc>
          <w:tcPr>
            <w:tcW w:w="3267" w:type="dxa"/>
            <w:vAlign w:val="center"/>
          </w:tcPr>
          <w:p w14:paraId="74146ABD">
            <w:pPr>
              <w:spacing w:line="400" w:lineRule="exact"/>
              <w:rPr>
                <w:color w:val="auto"/>
                <w:highlight w:val="none"/>
              </w:rPr>
            </w:pPr>
            <w:r>
              <w:rPr>
                <w:rFonts w:hint="eastAsia"/>
                <w:color w:val="auto"/>
                <w:highlight w:val="none"/>
              </w:rPr>
              <w:t>小写：</w:t>
            </w:r>
          </w:p>
        </w:tc>
      </w:tr>
      <w:tr w14:paraId="73CC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 w:type="dxa"/>
            <w:vAlign w:val="center"/>
          </w:tcPr>
          <w:p w14:paraId="6E5C0C2D">
            <w:pPr>
              <w:pStyle w:val="26"/>
              <w:snapToGrid w:val="0"/>
              <w:spacing w:before="0" w:beforeAutospacing="0" w:after="0" w:afterAutospacing="0" w:line="400" w:lineRule="exact"/>
              <w:jc w:val="center"/>
              <w:rPr>
                <w:rFonts w:hint="eastAsia" w:eastAsia="宋体" w:cs="宋体"/>
                <w:color w:val="auto"/>
                <w:sz w:val="21"/>
                <w:szCs w:val="21"/>
                <w:highlight w:val="none"/>
                <w:lang w:val="en-US" w:eastAsia="zh-CN"/>
              </w:rPr>
            </w:pPr>
            <w:r>
              <w:rPr>
                <w:rFonts w:hint="eastAsia" w:cs="宋体"/>
                <w:color w:val="auto"/>
                <w:sz w:val="21"/>
                <w:szCs w:val="21"/>
                <w:highlight w:val="none"/>
                <w:lang w:val="en-US" w:eastAsia="zh-CN"/>
              </w:rPr>
              <w:t>6</w:t>
            </w:r>
          </w:p>
        </w:tc>
        <w:tc>
          <w:tcPr>
            <w:tcW w:w="3463" w:type="dxa"/>
            <w:shd w:val="clear" w:color="auto" w:fill="auto"/>
            <w:vAlign w:val="center"/>
          </w:tcPr>
          <w:p w14:paraId="09A18CDA">
            <w:pPr>
              <w:widowControl/>
              <w:adjustRightInd w:val="0"/>
              <w:snapToGrid w:val="0"/>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优质课堂创建</w:t>
            </w:r>
          </w:p>
        </w:tc>
        <w:tc>
          <w:tcPr>
            <w:tcW w:w="791" w:type="dxa"/>
            <w:vAlign w:val="center"/>
          </w:tcPr>
          <w:p w14:paraId="49491069">
            <w:pPr>
              <w:widowControl/>
              <w:adjustRightInd w:val="0"/>
              <w:snapToGrid w:val="0"/>
              <w:spacing w:line="400" w:lineRule="exact"/>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门</w:t>
            </w:r>
          </w:p>
        </w:tc>
        <w:tc>
          <w:tcPr>
            <w:tcW w:w="3267" w:type="dxa"/>
            <w:vAlign w:val="center"/>
          </w:tcPr>
          <w:p w14:paraId="0AADA7DC">
            <w:pPr>
              <w:spacing w:line="400" w:lineRule="exact"/>
              <w:rPr>
                <w:rFonts w:hint="eastAsia"/>
                <w:color w:val="auto"/>
                <w:highlight w:val="none"/>
              </w:rPr>
            </w:pPr>
          </w:p>
        </w:tc>
      </w:tr>
      <w:tr w14:paraId="2B636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 w:type="dxa"/>
            <w:vAlign w:val="center"/>
          </w:tcPr>
          <w:p w14:paraId="4E370716">
            <w:pPr>
              <w:pStyle w:val="26"/>
              <w:snapToGrid w:val="0"/>
              <w:spacing w:before="0" w:beforeAutospacing="0" w:after="0" w:afterAutospacing="0" w:line="400" w:lineRule="exact"/>
              <w:jc w:val="center"/>
              <w:rPr>
                <w:rFonts w:hint="eastAsia" w:eastAsia="宋体" w:cs="宋体"/>
                <w:color w:val="auto"/>
                <w:sz w:val="21"/>
                <w:szCs w:val="21"/>
                <w:highlight w:val="none"/>
                <w:lang w:eastAsia="zh-CN"/>
              </w:rPr>
            </w:pPr>
            <w:r>
              <w:rPr>
                <w:rFonts w:hint="eastAsia" w:cs="宋体"/>
                <w:color w:val="auto"/>
                <w:sz w:val="21"/>
                <w:szCs w:val="21"/>
                <w:highlight w:val="none"/>
                <w:lang w:val="en-US" w:eastAsia="zh-CN"/>
              </w:rPr>
              <w:t>7</w:t>
            </w:r>
          </w:p>
        </w:tc>
        <w:tc>
          <w:tcPr>
            <w:tcW w:w="3463" w:type="dxa"/>
            <w:vAlign w:val="center"/>
          </w:tcPr>
          <w:p w14:paraId="02B0260A">
            <w:pPr>
              <w:snapToGrid w:val="0"/>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磋商报价合计</w:t>
            </w:r>
          </w:p>
        </w:tc>
        <w:tc>
          <w:tcPr>
            <w:tcW w:w="4058" w:type="dxa"/>
            <w:gridSpan w:val="2"/>
            <w:vAlign w:val="center"/>
          </w:tcPr>
          <w:p w14:paraId="4FC38521">
            <w:pPr>
              <w:pStyle w:val="76"/>
              <w:spacing w:beforeLines="0" w:after="0" w:line="400" w:lineRule="exact"/>
              <w:ind w:firstLine="0"/>
              <w:rPr>
                <w:color w:val="auto"/>
                <w:highlight w:val="none"/>
              </w:rPr>
            </w:pPr>
            <w:r>
              <w:rPr>
                <w:rFonts w:hint="eastAsia"/>
                <w:color w:val="auto"/>
                <w:highlight w:val="none"/>
              </w:rPr>
              <w:t>小写：</w:t>
            </w:r>
          </w:p>
          <w:p w14:paraId="29785DEE">
            <w:pPr>
              <w:pStyle w:val="76"/>
              <w:spacing w:beforeLines="0" w:after="0" w:line="400" w:lineRule="exact"/>
              <w:ind w:firstLine="0"/>
              <w:rPr>
                <w:color w:val="auto"/>
                <w:highlight w:val="none"/>
              </w:rPr>
            </w:pPr>
          </w:p>
          <w:p w14:paraId="3173305F">
            <w:pPr>
              <w:pStyle w:val="76"/>
              <w:spacing w:beforeLines="0" w:after="0" w:line="400" w:lineRule="exact"/>
              <w:ind w:firstLine="0"/>
              <w:rPr>
                <w:color w:val="auto"/>
                <w:highlight w:val="none"/>
              </w:rPr>
            </w:pPr>
            <w:r>
              <w:rPr>
                <w:rFonts w:hint="eastAsia"/>
                <w:color w:val="auto"/>
                <w:highlight w:val="none"/>
              </w:rPr>
              <w:t>大写：</w:t>
            </w:r>
          </w:p>
        </w:tc>
      </w:tr>
    </w:tbl>
    <w:p w14:paraId="6B91D24B">
      <w:pPr>
        <w:pStyle w:val="6"/>
        <w:tabs>
          <w:tab w:val="left" w:pos="4477"/>
        </w:tabs>
        <w:overflowPunct w:val="0"/>
        <w:spacing w:line="400" w:lineRule="exact"/>
        <w:ind w:firstLine="7140" w:firstLineChars="3400"/>
        <w:rPr>
          <w:rFonts w:ascii="宋体" w:cs="宋体"/>
          <w:color w:val="auto"/>
          <w:szCs w:val="24"/>
          <w:highlight w:val="none"/>
        </w:rPr>
      </w:pPr>
    </w:p>
    <w:p w14:paraId="6B6402C3">
      <w:pPr>
        <w:pStyle w:val="16"/>
        <w:widowControl w:val="0"/>
        <w:overflowPunct w:val="0"/>
        <w:spacing w:before="0" w:beforeAutospacing="0" w:after="0" w:afterAutospacing="0" w:line="460" w:lineRule="atLeast"/>
        <w:rPr>
          <w:rFonts w:cs="宋体"/>
          <w:b/>
          <w:color w:val="auto"/>
          <w:sz w:val="22"/>
          <w:szCs w:val="22"/>
          <w:highlight w:val="none"/>
        </w:rPr>
      </w:pPr>
      <w:r>
        <w:rPr>
          <w:rFonts w:hint="eastAsia" w:cs="宋体"/>
          <w:b/>
          <w:color w:val="auto"/>
          <w:sz w:val="22"/>
          <w:szCs w:val="22"/>
          <w:highlight w:val="none"/>
        </w:rPr>
        <w:t>说明：</w:t>
      </w:r>
    </w:p>
    <w:p w14:paraId="0F42918B">
      <w:pPr>
        <w:overflowPunct w:val="0"/>
        <w:spacing w:line="460" w:lineRule="atLeast"/>
        <w:jc w:val="left"/>
        <w:rPr>
          <w:rFonts w:ascii="宋体" w:cs="宋体"/>
          <w:b/>
          <w:color w:val="auto"/>
          <w:kern w:val="0"/>
          <w:sz w:val="22"/>
          <w:szCs w:val="22"/>
          <w:highlight w:val="none"/>
        </w:rPr>
      </w:pPr>
      <w:r>
        <w:rPr>
          <w:rFonts w:ascii="宋体" w:hAnsi="宋体" w:cs="宋体"/>
          <w:b/>
          <w:color w:val="auto"/>
          <w:kern w:val="0"/>
          <w:sz w:val="22"/>
          <w:szCs w:val="22"/>
          <w:highlight w:val="none"/>
        </w:rPr>
        <w:t>1</w:t>
      </w:r>
      <w:r>
        <w:rPr>
          <w:rFonts w:hint="eastAsia" w:ascii="宋体" w:hAnsi="宋体" w:cs="宋体"/>
          <w:b/>
          <w:color w:val="auto"/>
          <w:kern w:val="0"/>
          <w:sz w:val="22"/>
          <w:szCs w:val="22"/>
          <w:highlight w:val="none"/>
        </w:rPr>
        <w:t>、报价总价是履行合同的最终价格，即完成本项目采购内容和要求所产生的所有费用。</w:t>
      </w:r>
    </w:p>
    <w:p w14:paraId="6E45BA3E">
      <w:pPr>
        <w:overflowPunct w:val="0"/>
        <w:spacing w:line="460" w:lineRule="atLeast"/>
        <w:jc w:val="left"/>
        <w:rPr>
          <w:rFonts w:ascii="宋体" w:cs="宋体"/>
          <w:b/>
          <w:color w:val="auto"/>
          <w:kern w:val="0"/>
          <w:sz w:val="22"/>
          <w:szCs w:val="22"/>
          <w:highlight w:val="none"/>
        </w:rPr>
      </w:pPr>
      <w:r>
        <w:rPr>
          <w:rFonts w:ascii="宋体" w:hAnsi="宋体" w:cs="宋体"/>
          <w:b/>
          <w:color w:val="auto"/>
          <w:kern w:val="0"/>
          <w:sz w:val="22"/>
          <w:szCs w:val="22"/>
          <w:highlight w:val="none"/>
        </w:rPr>
        <w:t>2</w:t>
      </w:r>
      <w:r>
        <w:rPr>
          <w:rFonts w:hint="eastAsia" w:ascii="宋体" w:hAnsi="宋体" w:cs="宋体"/>
          <w:b/>
          <w:color w:val="auto"/>
          <w:kern w:val="0"/>
          <w:sz w:val="22"/>
          <w:szCs w:val="22"/>
          <w:highlight w:val="none"/>
        </w:rPr>
        <w:t>、初次报价不公开。不提供此表格的将视为没有实质性响应磋商文件。</w:t>
      </w:r>
    </w:p>
    <w:p w14:paraId="3E435DD1">
      <w:pPr>
        <w:overflowPunct w:val="0"/>
        <w:spacing w:line="460" w:lineRule="atLeast"/>
        <w:jc w:val="left"/>
        <w:rPr>
          <w:rFonts w:ascii="宋体" w:cs="宋体"/>
          <w:color w:val="auto"/>
          <w:sz w:val="22"/>
          <w:szCs w:val="22"/>
          <w:highlight w:val="none"/>
        </w:rPr>
      </w:pPr>
      <w:r>
        <w:rPr>
          <w:rFonts w:ascii="宋体" w:hAnsi="宋体" w:cs="宋体"/>
          <w:b/>
          <w:color w:val="auto"/>
          <w:kern w:val="0"/>
          <w:sz w:val="22"/>
          <w:szCs w:val="22"/>
          <w:highlight w:val="none"/>
        </w:rPr>
        <w:t>3</w:t>
      </w:r>
      <w:r>
        <w:rPr>
          <w:rFonts w:hint="eastAsia" w:ascii="宋体" w:hAnsi="宋体" w:cs="宋体"/>
          <w:b/>
          <w:color w:val="auto"/>
          <w:kern w:val="0"/>
          <w:sz w:val="22"/>
          <w:szCs w:val="22"/>
          <w:highlight w:val="none"/>
        </w:rPr>
        <w:t>、供应商报价以磋商现场的最后报价为准。</w:t>
      </w:r>
    </w:p>
    <w:p w14:paraId="164F0254">
      <w:pPr>
        <w:overflowPunct w:val="0"/>
        <w:spacing w:line="460" w:lineRule="atLeast"/>
        <w:ind w:right="660"/>
        <w:jc w:val="left"/>
        <w:rPr>
          <w:rFonts w:ascii="宋体" w:cs="宋体"/>
          <w:color w:val="auto"/>
          <w:sz w:val="22"/>
          <w:szCs w:val="22"/>
          <w:highlight w:val="none"/>
        </w:rPr>
      </w:pPr>
    </w:p>
    <w:p w14:paraId="4137FDF8">
      <w:pPr>
        <w:overflowPunct w:val="0"/>
        <w:spacing w:before="156" w:beforeLines="50" w:after="156" w:afterLines="50"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供应商（盖章）：</w:t>
      </w:r>
    </w:p>
    <w:p w14:paraId="314A5173">
      <w:pPr>
        <w:overflowPunct w:val="0"/>
        <w:spacing w:before="156" w:beforeLines="50" w:after="156" w:afterLines="50"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授权代表（签字）：</w:t>
      </w:r>
    </w:p>
    <w:p w14:paraId="32730E5B">
      <w:pPr>
        <w:overflowPunct w:val="0"/>
        <w:spacing w:before="156" w:beforeLines="50" w:after="156" w:afterLines="50"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日期： </w:t>
      </w:r>
    </w:p>
    <w:p w14:paraId="798EE67B">
      <w:pPr>
        <w:snapToGrid w:val="0"/>
        <w:spacing w:line="360" w:lineRule="auto"/>
        <w:ind w:firstLine="480" w:firstLineChars="200"/>
        <w:jc w:val="left"/>
        <w:rPr>
          <w:rFonts w:ascii="宋体" w:cs="宋体"/>
          <w:color w:val="auto"/>
          <w:kern w:val="0"/>
          <w:sz w:val="24"/>
          <w:highlight w:val="none"/>
        </w:rPr>
      </w:pPr>
    </w:p>
    <w:p w14:paraId="2844F135">
      <w:pPr>
        <w:pStyle w:val="3"/>
        <w:keepNext w:val="0"/>
        <w:keepLines w:val="0"/>
        <w:overflowPunct w:val="0"/>
        <w:spacing w:before="0" w:after="0" w:line="600" w:lineRule="exact"/>
        <w:jc w:val="center"/>
        <w:rPr>
          <w:rFonts w:ascii="宋体" w:hAnsi="宋体" w:cs="宋体"/>
          <w:color w:val="auto"/>
          <w:sz w:val="32"/>
          <w:szCs w:val="32"/>
          <w:highlight w:val="none"/>
          <w:lang w:val="zh-CN"/>
        </w:rPr>
      </w:pPr>
      <w:bookmarkStart w:id="185" w:name="_Toc14540"/>
      <w:bookmarkStart w:id="186" w:name="_Toc11654"/>
      <w:bookmarkStart w:id="187" w:name="_Toc24952"/>
      <w:bookmarkStart w:id="188" w:name="_Toc14221"/>
    </w:p>
    <w:p w14:paraId="1F059712">
      <w:pPr>
        <w:pStyle w:val="3"/>
        <w:keepNext w:val="0"/>
        <w:keepLines w:val="0"/>
        <w:overflowPunct w:val="0"/>
        <w:spacing w:before="0" w:after="0" w:line="600" w:lineRule="exact"/>
        <w:jc w:val="center"/>
        <w:rPr>
          <w:rFonts w:ascii="宋体" w:hAnsi="宋体" w:cs="宋体"/>
          <w:color w:val="auto"/>
          <w:sz w:val="32"/>
          <w:szCs w:val="32"/>
          <w:highlight w:val="none"/>
          <w:lang w:val="zh-CN"/>
        </w:rPr>
      </w:pPr>
    </w:p>
    <w:p w14:paraId="2B773025">
      <w:pPr>
        <w:pStyle w:val="3"/>
        <w:keepNext w:val="0"/>
        <w:keepLines w:val="0"/>
        <w:overflowPunct w:val="0"/>
        <w:spacing w:before="0" w:after="0" w:line="600" w:lineRule="exact"/>
        <w:jc w:val="center"/>
        <w:rPr>
          <w:rFonts w:ascii="宋体" w:cs="宋体"/>
          <w:color w:val="auto"/>
          <w:sz w:val="32"/>
          <w:szCs w:val="32"/>
          <w:highlight w:val="none"/>
          <w:lang w:val="zh-CN"/>
        </w:rPr>
      </w:pPr>
      <w:bookmarkStart w:id="189" w:name="_Toc18114"/>
      <w:r>
        <w:rPr>
          <w:rFonts w:hint="eastAsia" w:ascii="宋体" w:hAnsi="宋体" w:cs="宋体"/>
          <w:color w:val="auto"/>
          <w:sz w:val="32"/>
          <w:szCs w:val="32"/>
          <w:highlight w:val="none"/>
          <w:lang w:val="zh-CN"/>
        </w:rPr>
        <w:t>第七章</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专家评分索引表</w:t>
      </w:r>
      <w:bookmarkEnd w:id="185"/>
      <w:bookmarkEnd w:id="186"/>
      <w:bookmarkEnd w:id="187"/>
      <w:bookmarkEnd w:id="188"/>
      <w:bookmarkEnd w:id="189"/>
    </w:p>
    <w:tbl>
      <w:tblPr>
        <w:tblStyle w:val="31"/>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4135"/>
        <w:gridCol w:w="1131"/>
        <w:gridCol w:w="1130"/>
        <w:gridCol w:w="1489"/>
      </w:tblGrid>
      <w:tr w14:paraId="1DF34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54" w:type="dxa"/>
            <w:vAlign w:val="center"/>
          </w:tcPr>
          <w:p w14:paraId="062FB373">
            <w:pPr>
              <w:overflowPunct w:val="0"/>
              <w:spacing w:line="36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4135" w:type="dxa"/>
            <w:vAlign w:val="center"/>
          </w:tcPr>
          <w:p w14:paraId="40815D37">
            <w:pPr>
              <w:overflowPunct w:val="0"/>
              <w:spacing w:line="360" w:lineRule="exact"/>
              <w:jc w:val="center"/>
              <w:rPr>
                <w:rFonts w:ascii="宋体" w:cs="宋体"/>
                <w:color w:val="auto"/>
                <w:szCs w:val="21"/>
                <w:highlight w:val="none"/>
              </w:rPr>
            </w:pPr>
            <w:r>
              <w:rPr>
                <w:rFonts w:hint="eastAsia" w:ascii="宋体" w:hAnsi="宋体" w:cs="宋体"/>
                <w:color w:val="auto"/>
                <w:szCs w:val="21"/>
                <w:highlight w:val="none"/>
              </w:rPr>
              <w:t>评分内容</w:t>
            </w:r>
          </w:p>
        </w:tc>
        <w:tc>
          <w:tcPr>
            <w:tcW w:w="1131" w:type="dxa"/>
            <w:vAlign w:val="center"/>
          </w:tcPr>
          <w:p w14:paraId="4628F2DA">
            <w:pPr>
              <w:overflowPunct w:val="0"/>
              <w:spacing w:line="360" w:lineRule="exact"/>
              <w:jc w:val="center"/>
              <w:rPr>
                <w:rFonts w:ascii="宋体" w:cs="宋体"/>
                <w:color w:val="auto"/>
                <w:szCs w:val="21"/>
                <w:highlight w:val="none"/>
              </w:rPr>
            </w:pPr>
            <w:r>
              <w:rPr>
                <w:rFonts w:hint="eastAsia" w:ascii="宋体" w:hAnsi="宋体" w:cs="宋体"/>
                <w:color w:val="auto"/>
                <w:szCs w:val="21"/>
                <w:highlight w:val="none"/>
              </w:rPr>
              <w:t>标准分</w:t>
            </w:r>
          </w:p>
        </w:tc>
        <w:tc>
          <w:tcPr>
            <w:tcW w:w="1130" w:type="dxa"/>
            <w:vAlign w:val="center"/>
          </w:tcPr>
          <w:p w14:paraId="0BD75220">
            <w:pPr>
              <w:overflowPunct w:val="0"/>
              <w:spacing w:line="360" w:lineRule="exact"/>
              <w:jc w:val="center"/>
              <w:rPr>
                <w:rFonts w:ascii="宋体" w:cs="宋体"/>
                <w:color w:val="auto"/>
                <w:szCs w:val="21"/>
                <w:highlight w:val="none"/>
              </w:rPr>
            </w:pPr>
            <w:r>
              <w:rPr>
                <w:rFonts w:hint="eastAsia" w:ascii="宋体" w:hAnsi="宋体" w:cs="宋体"/>
                <w:color w:val="auto"/>
                <w:szCs w:val="21"/>
                <w:highlight w:val="none"/>
              </w:rPr>
              <w:t>自评分</w:t>
            </w:r>
          </w:p>
        </w:tc>
        <w:tc>
          <w:tcPr>
            <w:tcW w:w="1489" w:type="dxa"/>
            <w:vAlign w:val="center"/>
          </w:tcPr>
          <w:p w14:paraId="3C795D14">
            <w:pPr>
              <w:overflowPunct w:val="0"/>
              <w:spacing w:line="360" w:lineRule="exact"/>
              <w:jc w:val="center"/>
              <w:rPr>
                <w:rFonts w:ascii="宋体" w:cs="宋体"/>
                <w:color w:val="auto"/>
                <w:szCs w:val="21"/>
                <w:highlight w:val="none"/>
              </w:rPr>
            </w:pPr>
            <w:r>
              <w:rPr>
                <w:rFonts w:hint="eastAsia" w:ascii="宋体" w:hAnsi="宋体" w:cs="宋体"/>
                <w:color w:val="auto"/>
                <w:szCs w:val="21"/>
                <w:highlight w:val="none"/>
              </w:rPr>
              <w:t>在响应文件中所对应的页码</w:t>
            </w:r>
          </w:p>
        </w:tc>
      </w:tr>
      <w:tr w14:paraId="6B77F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4" w:type="dxa"/>
            <w:vAlign w:val="center"/>
          </w:tcPr>
          <w:p w14:paraId="51F035E6">
            <w:pPr>
              <w:adjustRightInd w:val="0"/>
              <w:snapToGrid w:val="0"/>
              <w:spacing w:line="400" w:lineRule="exact"/>
              <w:jc w:val="center"/>
              <w:rPr>
                <w:rFonts w:ascii="宋体" w:hAnsi="宋体" w:cs="仿宋"/>
                <w:bCs/>
                <w:snapToGrid w:val="0"/>
                <w:color w:val="auto"/>
                <w:szCs w:val="21"/>
                <w:highlight w:val="none"/>
              </w:rPr>
            </w:pPr>
            <w:r>
              <w:rPr>
                <w:rFonts w:hint="eastAsia" w:ascii="宋体" w:hAnsi="宋体" w:cs="仿宋"/>
                <w:bCs/>
                <w:snapToGrid w:val="0"/>
                <w:color w:val="auto"/>
                <w:szCs w:val="21"/>
                <w:highlight w:val="none"/>
              </w:rPr>
              <w:t>1</w:t>
            </w:r>
          </w:p>
        </w:tc>
        <w:tc>
          <w:tcPr>
            <w:tcW w:w="4135" w:type="dxa"/>
            <w:shd w:val="clear" w:color="auto" w:fill="auto"/>
            <w:vAlign w:val="center"/>
          </w:tcPr>
          <w:p w14:paraId="48B638A0">
            <w:pPr>
              <w:adjustRightInd w:val="0"/>
              <w:snapToGrid w:val="0"/>
              <w:spacing w:line="400" w:lineRule="exact"/>
              <w:jc w:val="center"/>
              <w:rPr>
                <w:rFonts w:ascii="宋体" w:hAnsi="宋体" w:eastAsia="宋体" w:cs="仿宋"/>
                <w:bCs/>
                <w:color w:val="auto"/>
                <w:kern w:val="2"/>
                <w:sz w:val="21"/>
                <w:szCs w:val="21"/>
                <w:highlight w:val="none"/>
                <w:lang w:val="en-US" w:eastAsia="zh-CN" w:bidi="ar-SA"/>
              </w:rPr>
            </w:pPr>
            <w:r>
              <w:rPr>
                <w:rFonts w:hint="eastAsia" w:ascii="宋体" w:hAnsi="宋体" w:cs="宋体"/>
                <w:color w:val="auto"/>
                <w:szCs w:val="21"/>
                <w:highlight w:val="none"/>
              </w:rPr>
              <w:t>性能要求响应情况</w:t>
            </w:r>
          </w:p>
        </w:tc>
        <w:tc>
          <w:tcPr>
            <w:tcW w:w="1131" w:type="dxa"/>
            <w:shd w:val="clear" w:color="auto" w:fill="auto"/>
            <w:vAlign w:val="center"/>
          </w:tcPr>
          <w:p w14:paraId="202878A3">
            <w:pPr>
              <w:adjustRightInd w:val="0"/>
              <w:snapToGrid w:val="0"/>
              <w:spacing w:line="400" w:lineRule="exact"/>
              <w:jc w:val="center"/>
              <w:rPr>
                <w:rFonts w:hint="default" w:ascii="宋体" w:hAnsi="宋体" w:eastAsia="宋体" w:cs="仿宋"/>
                <w:bCs/>
                <w:color w:val="auto"/>
                <w:kern w:val="2"/>
                <w:sz w:val="21"/>
                <w:szCs w:val="21"/>
                <w:highlight w:val="none"/>
                <w:lang w:val="en-US" w:eastAsia="zh-CN" w:bidi="ar-SA"/>
              </w:rPr>
            </w:pPr>
            <w:r>
              <w:rPr>
                <w:rFonts w:hint="eastAsia" w:ascii="宋体" w:hAnsi="宋体" w:cs="仿宋"/>
                <w:bCs/>
                <w:color w:val="auto"/>
                <w:szCs w:val="21"/>
                <w:highlight w:val="none"/>
              </w:rPr>
              <w:t>3</w:t>
            </w:r>
            <w:r>
              <w:rPr>
                <w:rFonts w:hint="default" w:ascii="宋体" w:hAnsi="宋体" w:cs="仿宋"/>
                <w:bCs/>
                <w:color w:val="auto"/>
                <w:szCs w:val="21"/>
                <w:highlight w:val="none"/>
                <w:lang w:val="en-US"/>
              </w:rPr>
              <w:t>0</w:t>
            </w:r>
          </w:p>
        </w:tc>
        <w:tc>
          <w:tcPr>
            <w:tcW w:w="1130" w:type="dxa"/>
            <w:vAlign w:val="center"/>
          </w:tcPr>
          <w:p w14:paraId="0B176550">
            <w:pPr>
              <w:adjustRightInd w:val="0"/>
              <w:snapToGrid w:val="0"/>
              <w:spacing w:line="400" w:lineRule="exact"/>
              <w:jc w:val="center"/>
              <w:rPr>
                <w:rFonts w:ascii="宋体" w:hAnsi="宋体" w:eastAsia="宋体" w:cs="仿宋"/>
                <w:bCs/>
                <w:color w:val="auto"/>
                <w:kern w:val="2"/>
                <w:sz w:val="21"/>
                <w:szCs w:val="21"/>
                <w:highlight w:val="none"/>
                <w:lang w:val="en-US" w:eastAsia="zh-CN" w:bidi="ar-SA"/>
              </w:rPr>
            </w:pPr>
          </w:p>
        </w:tc>
        <w:tc>
          <w:tcPr>
            <w:tcW w:w="1489" w:type="dxa"/>
            <w:vAlign w:val="center"/>
          </w:tcPr>
          <w:p w14:paraId="6B6D2A92">
            <w:pPr>
              <w:adjustRightInd w:val="0"/>
              <w:snapToGrid w:val="0"/>
              <w:spacing w:line="400" w:lineRule="exact"/>
              <w:jc w:val="center"/>
              <w:rPr>
                <w:rFonts w:hint="default" w:ascii="宋体" w:hAnsi="宋体" w:eastAsia="宋体" w:cs="仿宋"/>
                <w:bCs/>
                <w:color w:val="auto"/>
                <w:kern w:val="2"/>
                <w:sz w:val="21"/>
                <w:szCs w:val="21"/>
                <w:highlight w:val="none"/>
                <w:lang w:val="en-US" w:eastAsia="zh-CN" w:bidi="ar-SA"/>
              </w:rPr>
            </w:pPr>
          </w:p>
        </w:tc>
      </w:tr>
      <w:tr w14:paraId="2683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4" w:type="dxa"/>
            <w:vAlign w:val="center"/>
          </w:tcPr>
          <w:p w14:paraId="3459A38A">
            <w:pPr>
              <w:adjustRightInd w:val="0"/>
              <w:snapToGrid w:val="0"/>
              <w:spacing w:line="400" w:lineRule="exact"/>
              <w:jc w:val="center"/>
              <w:rPr>
                <w:rFonts w:ascii="宋体" w:hAnsi="宋体" w:cs="仿宋"/>
                <w:bCs/>
                <w:snapToGrid w:val="0"/>
                <w:color w:val="auto"/>
                <w:szCs w:val="21"/>
                <w:highlight w:val="none"/>
              </w:rPr>
            </w:pPr>
            <w:r>
              <w:rPr>
                <w:rFonts w:hint="eastAsia" w:ascii="宋体" w:hAnsi="宋体" w:cs="仿宋"/>
                <w:bCs/>
                <w:snapToGrid w:val="0"/>
                <w:color w:val="auto"/>
                <w:szCs w:val="21"/>
                <w:highlight w:val="none"/>
              </w:rPr>
              <w:t>2</w:t>
            </w:r>
          </w:p>
        </w:tc>
        <w:tc>
          <w:tcPr>
            <w:tcW w:w="4135" w:type="dxa"/>
            <w:shd w:val="clear" w:color="auto" w:fill="auto"/>
            <w:vAlign w:val="center"/>
          </w:tcPr>
          <w:p w14:paraId="505DCD78">
            <w:pPr>
              <w:spacing w:line="400" w:lineRule="exact"/>
              <w:jc w:val="center"/>
              <w:rPr>
                <w:rFonts w:ascii="宋体" w:hAnsi="宋体" w:eastAsia="宋体" w:cs="仿宋"/>
                <w:bCs/>
                <w:color w:val="auto"/>
                <w:kern w:val="2"/>
                <w:sz w:val="21"/>
                <w:szCs w:val="21"/>
                <w:highlight w:val="none"/>
                <w:lang w:val="en-US" w:eastAsia="zh-CN" w:bidi="ar-SA"/>
              </w:rPr>
            </w:pPr>
            <w:r>
              <w:rPr>
                <w:rFonts w:hint="eastAsia" w:ascii="宋体" w:hAnsi="宋体" w:cs="仿宋"/>
                <w:bCs/>
                <w:color w:val="auto"/>
                <w:szCs w:val="21"/>
                <w:highlight w:val="none"/>
              </w:rPr>
              <w:t>项目实施方案</w:t>
            </w:r>
          </w:p>
        </w:tc>
        <w:tc>
          <w:tcPr>
            <w:tcW w:w="1131" w:type="dxa"/>
            <w:shd w:val="clear" w:color="auto" w:fill="auto"/>
            <w:vAlign w:val="center"/>
          </w:tcPr>
          <w:p w14:paraId="101EE007">
            <w:pPr>
              <w:spacing w:line="400" w:lineRule="exact"/>
              <w:jc w:val="center"/>
              <w:rPr>
                <w:rFonts w:ascii="宋体" w:hAnsi="宋体" w:eastAsia="宋体" w:cs="仿宋"/>
                <w:bCs/>
                <w:color w:val="auto"/>
                <w:kern w:val="2"/>
                <w:sz w:val="21"/>
                <w:szCs w:val="21"/>
                <w:highlight w:val="none"/>
                <w:lang w:val="en-US" w:eastAsia="zh-CN" w:bidi="ar-SA"/>
              </w:rPr>
            </w:pPr>
            <w:r>
              <w:rPr>
                <w:rFonts w:hint="eastAsia" w:ascii="宋体" w:hAnsi="宋体" w:cs="仿宋"/>
                <w:bCs/>
                <w:color w:val="auto"/>
                <w:szCs w:val="21"/>
                <w:highlight w:val="none"/>
              </w:rPr>
              <w:t>5</w:t>
            </w:r>
          </w:p>
        </w:tc>
        <w:tc>
          <w:tcPr>
            <w:tcW w:w="1130" w:type="dxa"/>
            <w:vAlign w:val="center"/>
          </w:tcPr>
          <w:p w14:paraId="0E3D6B88">
            <w:pPr>
              <w:spacing w:line="400" w:lineRule="exact"/>
              <w:jc w:val="center"/>
              <w:rPr>
                <w:rFonts w:ascii="宋体" w:hAnsi="宋体" w:eastAsia="宋体" w:cs="仿宋"/>
                <w:bCs/>
                <w:color w:val="auto"/>
                <w:kern w:val="2"/>
                <w:sz w:val="21"/>
                <w:szCs w:val="21"/>
                <w:highlight w:val="none"/>
                <w:lang w:val="en-US" w:eastAsia="zh-CN" w:bidi="ar-SA"/>
              </w:rPr>
            </w:pPr>
          </w:p>
        </w:tc>
        <w:tc>
          <w:tcPr>
            <w:tcW w:w="1489" w:type="dxa"/>
            <w:vAlign w:val="center"/>
          </w:tcPr>
          <w:p w14:paraId="42889D00">
            <w:pPr>
              <w:spacing w:line="400" w:lineRule="exact"/>
              <w:jc w:val="center"/>
              <w:rPr>
                <w:rFonts w:ascii="宋体" w:hAnsi="宋体" w:eastAsia="宋体" w:cs="仿宋"/>
                <w:bCs/>
                <w:color w:val="auto"/>
                <w:kern w:val="2"/>
                <w:sz w:val="21"/>
                <w:szCs w:val="21"/>
                <w:highlight w:val="none"/>
                <w:lang w:val="en-US" w:eastAsia="zh-CN" w:bidi="ar-SA"/>
              </w:rPr>
            </w:pPr>
          </w:p>
        </w:tc>
      </w:tr>
      <w:tr w14:paraId="24632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4" w:type="dxa"/>
            <w:vAlign w:val="center"/>
          </w:tcPr>
          <w:p w14:paraId="4781F24C">
            <w:pPr>
              <w:adjustRightInd w:val="0"/>
              <w:snapToGrid w:val="0"/>
              <w:spacing w:line="400" w:lineRule="exact"/>
              <w:jc w:val="center"/>
              <w:rPr>
                <w:rFonts w:ascii="宋体" w:hAnsi="宋体" w:cs="仿宋"/>
                <w:bCs/>
                <w:snapToGrid w:val="0"/>
                <w:color w:val="auto"/>
                <w:szCs w:val="21"/>
                <w:highlight w:val="none"/>
              </w:rPr>
            </w:pPr>
            <w:r>
              <w:rPr>
                <w:rFonts w:hint="eastAsia" w:ascii="宋体" w:hAnsi="宋体" w:cs="仿宋"/>
                <w:bCs/>
                <w:snapToGrid w:val="0"/>
                <w:color w:val="auto"/>
                <w:szCs w:val="21"/>
                <w:highlight w:val="none"/>
              </w:rPr>
              <w:t>3</w:t>
            </w:r>
          </w:p>
        </w:tc>
        <w:tc>
          <w:tcPr>
            <w:tcW w:w="4135" w:type="dxa"/>
            <w:shd w:val="clear" w:color="auto" w:fill="auto"/>
            <w:vAlign w:val="center"/>
          </w:tcPr>
          <w:p w14:paraId="7D4F1577">
            <w:pPr>
              <w:pStyle w:val="16"/>
              <w:adjustRightInd w:val="0"/>
              <w:spacing w:before="0" w:beforeAutospacing="0" w:after="0" w:afterAutospacing="0" w:line="400" w:lineRule="exact"/>
              <w:jc w:val="center"/>
              <w:rPr>
                <w:rFonts w:ascii="宋体" w:hAnsi="Courier New" w:eastAsia="宋体" w:cs="宋体"/>
                <w:color w:val="auto"/>
                <w:kern w:val="2"/>
                <w:sz w:val="21"/>
                <w:szCs w:val="21"/>
                <w:highlight w:val="none"/>
                <w:lang w:val="en-US" w:eastAsia="zh-CN" w:bidi="ar-SA"/>
              </w:rPr>
            </w:pPr>
            <w:r>
              <w:rPr>
                <w:rFonts w:hint="eastAsia" w:cs="宋体"/>
                <w:color w:val="auto"/>
                <w:sz w:val="21"/>
                <w:szCs w:val="21"/>
                <w:highlight w:val="none"/>
                <w:lang w:val="zh-TW"/>
              </w:rPr>
              <w:t>拍摄方案</w:t>
            </w:r>
          </w:p>
        </w:tc>
        <w:tc>
          <w:tcPr>
            <w:tcW w:w="1131" w:type="dxa"/>
            <w:shd w:val="clear" w:color="auto" w:fill="auto"/>
            <w:vAlign w:val="center"/>
          </w:tcPr>
          <w:p w14:paraId="0F529E77">
            <w:pPr>
              <w:pStyle w:val="93"/>
              <w:spacing w:line="400" w:lineRule="exact"/>
              <w:jc w:val="center"/>
              <w:rPr>
                <w:rFonts w:hint="default" w:ascii="宋体" w:hAnsi="宋体" w:eastAsia="宋体" w:cs="宋体"/>
                <w:color w:val="auto"/>
                <w:kern w:val="0"/>
                <w:sz w:val="21"/>
                <w:szCs w:val="21"/>
                <w:highlight w:val="none"/>
                <w:lang w:val="en-US" w:eastAsia="zh-CN" w:bidi="ar-SA"/>
              </w:rPr>
            </w:pPr>
            <w:r>
              <w:rPr>
                <w:rFonts w:hint="default" w:hAnsi="宋体" w:eastAsia="宋体" w:cs="宋体"/>
                <w:color w:val="auto"/>
                <w:sz w:val="21"/>
                <w:szCs w:val="21"/>
                <w:highlight w:val="none"/>
                <w:lang w:val="en-US"/>
              </w:rPr>
              <w:t>12</w:t>
            </w:r>
          </w:p>
        </w:tc>
        <w:tc>
          <w:tcPr>
            <w:tcW w:w="1130" w:type="dxa"/>
            <w:vAlign w:val="center"/>
          </w:tcPr>
          <w:p w14:paraId="3A68E39A">
            <w:pPr>
              <w:pStyle w:val="16"/>
              <w:adjustRightInd w:val="0"/>
              <w:spacing w:before="0" w:beforeAutospacing="0" w:after="0" w:afterAutospacing="0" w:line="400" w:lineRule="exact"/>
              <w:jc w:val="center"/>
              <w:rPr>
                <w:rFonts w:ascii="宋体" w:hAnsi="Courier New" w:eastAsia="宋体" w:cs="宋体"/>
                <w:color w:val="auto"/>
                <w:kern w:val="2"/>
                <w:sz w:val="21"/>
                <w:szCs w:val="21"/>
                <w:highlight w:val="none"/>
                <w:lang w:val="en-US" w:eastAsia="zh-CN" w:bidi="ar-SA"/>
              </w:rPr>
            </w:pPr>
          </w:p>
        </w:tc>
        <w:tc>
          <w:tcPr>
            <w:tcW w:w="1489" w:type="dxa"/>
            <w:vAlign w:val="center"/>
          </w:tcPr>
          <w:p w14:paraId="1270DFE8">
            <w:pPr>
              <w:pStyle w:val="93"/>
              <w:spacing w:line="400" w:lineRule="exact"/>
              <w:jc w:val="center"/>
              <w:rPr>
                <w:rFonts w:hint="default" w:ascii="宋体" w:hAnsi="宋体" w:eastAsia="宋体" w:cs="宋体"/>
                <w:color w:val="auto"/>
                <w:kern w:val="0"/>
                <w:sz w:val="21"/>
                <w:szCs w:val="21"/>
                <w:highlight w:val="none"/>
                <w:lang w:val="en-US" w:eastAsia="zh-CN" w:bidi="ar-SA"/>
              </w:rPr>
            </w:pPr>
          </w:p>
        </w:tc>
      </w:tr>
      <w:tr w14:paraId="5409C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4" w:type="dxa"/>
            <w:vAlign w:val="center"/>
          </w:tcPr>
          <w:p w14:paraId="78C41DA0">
            <w:pPr>
              <w:adjustRightInd w:val="0"/>
              <w:snapToGrid w:val="0"/>
              <w:spacing w:line="400" w:lineRule="exact"/>
              <w:jc w:val="center"/>
              <w:rPr>
                <w:rFonts w:ascii="宋体" w:hAnsi="宋体" w:cs="仿宋"/>
                <w:bCs/>
                <w:snapToGrid w:val="0"/>
                <w:color w:val="auto"/>
                <w:szCs w:val="21"/>
                <w:highlight w:val="none"/>
              </w:rPr>
            </w:pPr>
            <w:r>
              <w:rPr>
                <w:rFonts w:hint="eastAsia" w:ascii="宋体" w:hAnsi="宋体" w:cs="仿宋"/>
                <w:bCs/>
                <w:snapToGrid w:val="0"/>
                <w:color w:val="auto"/>
                <w:szCs w:val="21"/>
                <w:highlight w:val="none"/>
              </w:rPr>
              <w:t>4</w:t>
            </w:r>
          </w:p>
        </w:tc>
        <w:tc>
          <w:tcPr>
            <w:tcW w:w="4135" w:type="dxa"/>
            <w:shd w:val="clear" w:color="auto" w:fill="auto"/>
            <w:vAlign w:val="center"/>
          </w:tcPr>
          <w:p w14:paraId="0465555D">
            <w:pPr>
              <w:spacing w:line="400" w:lineRule="exact"/>
              <w:jc w:val="center"/>
              <w:rPr>
                <w:rFonts w:ascii="宋体" w:hAnsi="宋体" w:eastAsia="宋体" w:cs="宋体"/>
                <w:color w:val="auto"/>
                <w:kern w:val="2"/>
                <w:sz w:val="21"/>
                <w:szCs w:val="21"/>
                <w:highlight w:val="none"/>
                <w:lang w:val="zh-TW" w:eastAsia="zh-CN" w:bidi="ar-SA"/>
              </w:rPr>
            </w:pPr>
            <w:r>
              <w:rPr>
                <w:rFonts w:hint="eastAsia" w:ascii="宋体" w:hAnsi="宋体" w:cs="宋体"/>
                <w:color w:val="auto"/>
                <w:szCs w:val="21"/>
                <w:highlight w:val="none"/>
              </w:rPr>
              <w:t>重点难点分析和解决措施</w:t>
            </w:r>
          </w:p>
        </w:tc>
        <w:tc>
          <w:tcPr>
            <w:tcW w:w="1131" w:type="dxa"/>
            <w:shd w:val="clear" w:color="auto" w:fill="auto"/>
            <w:vAlign w:val="center"/>
          </w:tcPr>
          <w:p w14:paraId="114E0142">
            <w:pPr>
              <w:pStyle w:val="93"/>
              <w:spacing w:line="400" w:lineRule="exact"/>
              <w:jc w:val="center"/>
              <w:rPr>
                <w:rFonts w:ascii="宋体" w:hAnsi="宋体" w:eastAsia="宋体" w:cs="宋体"/>
                <w:color w:val="auto"/>
                <w:kern w:val="2"/>
                <w:sz w:val="21"/>
                <w:szCs w:val="21"/>
                <w:highlight w:val="none"/>
                <w:lang w:val="en-US" w:eastAsia="zh-CN" w:bidi="ar-SA"/>
              </w:rPr>
            </w:pPr>
            <w:r>
              <w:rPr>
                <w:rFonts w:hint="eastAsia" w:hAnsi="宋体" w:eastAsia="宋体" w:cs="宋体"/>
                <w:color w:val="auto"/>
                <w:kern w:val="2"/>
                <w:sz w:val="21"/>
                <w:szCs w:val="21"/>
                <w:highlight w:val="none"/>
              </w:rPr>
              <w:t>5</w:t>
            </w:r>
          </w:p>
        </w:tc>
        <w:tc>
          <w:tcPr>
            <w:tcW w:w="1130" w:type="dxa"/>
            <w:vAlign w:val="center"/>
          </w:tcPr>
          <w:p w14:paraId="17D5B251">
            <w:pPr>
              <w:spacing w:line="400" w:lineRule="exact"/>
              <w:jc w:val="center"/>
              <w:rPr>
                <w:rFonts w:ascii="宋体" w:hAnsi="宋体" w:eastAsia="宋体" w:cs="宋体"/>
                <w:color w:val="auto"/>
                <w:kern w:val="2"/>
                <w:sz w:val="21"/>
                <w:szCs w:val="21"/>
                <w:highlight w:val="none"/>
                <w:lang w:val="zh-TW" w:eastAsia="zh-CN" w:bidi="ar-SA"/>
              </w:rPr>
            </w:pPr>
          </w:p>
        </w:tc>
        <w:tc>
          <w:tcPr>
            <w:tcW w:w="1489" w:type="dxa"/>
            <w:vAlign w:val="center"/>
          </w:tcPr>
          <w:p w14:paraId="2791C539">
            <w:pPr>
              <w:pStyle w:val="93"/>
              <w:spacing w:line="400" w:lineRule="exact"/>
              <w:jc w:val="center"/>
              <w:rPr>
                <w:rFonts w:ascii="宋体" w:hAnsi="宋体" w:eastAsia="宋体" w:cs="宋体"/>
                <w:color w:val="auto"/>
                <w:kern w:val="2"/>
                <w:sz w:val="21"/>
                <w:szCs w:val="21"/>
                <w:highlight w:val="none"/>
                <w:lang w:val="en-US" w:eastAsia="zh-CN" w:bidi="ar-SA"/>
              </w:rPr>
            </w:pPr>
          </w:p>
        </w:tc>
      </w:tr>
      <w:tr w14:paraId="7D866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4" w:type="dxa"/>
            <w:vAlign w:val="center"/>
          </w:tcPr>
          <w:p w14:paraId="59C28F4E">
            <w:pPr>
              <w:adjustRightInd w:val="0"/>
              <w:snapToGrid w:val="0"/>
              <w:spacing w:line="400" w:lineRule="exact"/>
              <w:jc w:val="center"/>
              <w:rPr>
                <w:rFonts w:ascii="宋体" w:hAnsi="宋体" w:cs="仿宋"/>
                <w:bCs/>
                <w:snapToGrid w:val="0"/>
                <w:color w:val="auto"/>
                <w:szCs w:val="21"/>
                <w:highlight w:val="none"/>
              </w:rPr>
            </w:pPr>
            <w:r>
              <w:rPr>
                <w:rFonts w:hint="eastAsia" w:ascii="宋体" w:hAnsi="宋体" w:cs="仿宋"/>
                <w:bCs/>
                <w:snapToGrid w:val="0"/>
                <w:color w:val="auto"/>
                <w:szCs w:val="21"/>
                <w:highlight w:val="none"/>
              </w:rPr>
              <w:t>5</w:t>
            </w:r>
          </w:p>
        </w:tc>
        <w:tc>
          <w:tcPr>
            <w:tcW w:w="4135" w:type="dxa"/>
            <w:shd w:val="clear" w:color="auto" w:fill="auto"/>
            <w:vAlign w:val="center"/>
          </w:tcPr>
          <w:p w14:paraId="0EF11C5A">
            <w:pPr>
              <w:spacing w:line="400" w:lineRule="exact"/>
              <w:jc w:val="center"/>
              <w:rPr>
                <w:rFonts w:ascii="宋体" w:hAnsi="宋体" w:eastAsia="宋体" w:cs="仿宋"/>
                <w:bCs/>
                <w:color w:val="auto"/>
                <w:kern w:val="2"/>
                <w:sz w:val="21"/>
                <w:szCs w:val="21"/>
                <w:highlight w:val="none"/>
                <w:lang w:val="zh-TW" w:eastAsia="zh-CN" w:bidi="ar-SA"/>
              </w:rPr>
            </w:pPr>
            <w:r>
              <w:rPr>
                <w:rFonts w:hint="eastAsia" w:ascii="宋体" w:hAnsi="宋体" w:cs="宋体"/>
                <w:color w:val="auto"/>
                <w:szCs w:val="21"/>
                <w:highlight w:val="none"/>
              </w:rPr>
              <w:t>质量保障措施</w:t>
            </w:r>
          </w:p>
        </w:tc>
        <w:tc>
          <w:tcPr>
            <w:tcW w:w="1131" w:type="dxa"/>
            <w:shd w:val="clear" w:color="auto" w:fill="auto"/>
            <w:vAlign w:val="center"/>
          </w:tcPr>
          <w:p w14:paraId="0DD4FB4C">
            <w:pPr>
              <w:pStyle w:val="93"/>
              <w:spacing w:line="400" w:lineRule="exact"/>
              <w:jc w:val="center"/>
              <w:rPr>
                <w:rFonts w:ascii="宋体" w:hAnsi="宋体" w:eastAsia="宋体" w:cs="仿宋"/>
                <w:bCs/>
                <w:color w:val="auto"/>
                <w:kern w:val="2"/>
                <w:sz w:val="21"/>
                <w:szCs w:val="21"/>
                <w:highlight w:val="none"/>
                <w:lang w:val="en-US" w:eastAsia="zh-CN" w:bidi="ar-SA"/>
              </w:rPr>
            </w:pPr>
            <w:r>
              <w:rPr>
                <w:rFonts w:hint="eastAsia" w:hAnsi="宋体" w:eastAsia="宋体" w:cs="宋体"/>
                <w:color w:val="auto"/>
                <w:kern w:val="2"/>
                <w:sz w:val="21"/>
                <w:szCs w:val="21"/>
                <w:highlight w:val="none"/>
              </w:rPr>
              <w:t>5</w:t>
            </w:r>
          </w:p>
        </w:tc>
        <w:tc>
          <w:tcPr>
            <w:tcW w:w="1130" w:type="dxa"/>
            <w:vAlign w:val="center"/>
          </w:tcPr>
          <w:p w14:paraId="31FE9661">
            <w:pPr>
              <w:spacing w:line="400" w:lineRule="exact"/>
              <w:jc w:val="center"/>
              <w:rPr>
                <w:rFonts w:ascii="宋体" w:hAnsi="宋体" w:eastAsia="宋体" w:cs="仿宋"/>
                <w:bCs/>
                <w:color w:val="auto"/>
                <w:kern w:val="2"/>
                <w:sz w:val="21"/>
                <w:szCs w:val="21"/>
                <w:highlight w:val="none"/>
                <w:lang w:val="zh-TW" w:eastAsia="zh-CN" w:bidi="ar-SA"/>
              </w:rPr>
            </w:pPr>
          </w:p>
        </w:tc>
        <w:tc>
          <w:tcPr>
            <w:tcW w:w="1489" w:type="dxa"/>
            <w:vAlign w:val="center"/>
          </w:tcPr>
          <w:p w14:paraId="02830087">
            <w:pPr>
              <w:pStyle w:val="93"/>
              <w:spacing w:line="400" w:lineRule="exact"/>
              <w:jc w:val="center"/>
              <w:rPr>
                <w:rFonts w:ascii="宋体" w:hAnsi="宋体" w:eastAsia="宋体" w:cs="仿宋"/>
                <w:bCs/>
                <w:color w:val="auto"/>
                <w:kern w:val="2"/>
                <w:sz w:val="21"/>
                <w:szCs w:val="21"/>
                <w:highlight w:val="none"/>
                <w:lang w:val="en-US" w:eastAsia="zh-CN" w:bidi="ar-SA"/>
              </w:rPr>
            </w:pPr>
          </w:p>
        </w:tc>
      </w:tr>
      <w:tr w14:paraId="5DD1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4" w:type="dxa"/>
            <w:vAlign w:val="center"/>
          </w:tcPr>
          <w:p w14:paraId="5852E600">
            <w:pPr>
              <w:adjustRightInd w:val="0"/>
              <w:snapToGrid w:val="0"/>
              <w:spacing w:line="400" w:lineRule="exact"/>
              <w:jc w:val="center"/>
              <w:rPr>
                <w:rFonts w:ascii="宋体" w:hAnsi="宋体" w:cs="仿宋"/>
                <w:bCs/>
                <w:snapToGrid w:val="0"/>
                <w:color w:val="auto"/>
                <w:szCs w:val="21"/>
                <w:highlight w:val="none"/>
              </w:rPr>
            </w:pPr>
            <w:r>
              <w:rPr>
                <w:rFonts w:hint="eastAsia" w:ascii="宋体" w:hAnsi="宋体" w:cs="仿宋"/>
                <w:bCs/>
                <w:snapToGrid w:val="0"/>
                <w:color w:val="auto"/>
                <w:szCs w:val="21"/>
                <w:highlight w:val="none"/>
              </w:rPr>
              <w:t>6</w:t>
            </w:r>
          </w:p>
        </w:tc>
        <w:tc>
          <w:tcPr>
            <w:tcW w:w="4135" w:type="dxa"/>
            <w:shd w:val="clear" w:color="auto" w:fill="auto"/>
            <w:vAlign w:val="center"/>
          </w:tcPr>
          <w:p w14:paraId="35DD79C1">
            <w:pPr>
              <w:spacing w:line="400" w:lineRule="exact"/>
              <w:jc w:val="center"/>
              <w:rPr>
                <w:rFonts w:ascii="宋体" w:hAnsi="宋体" w:eastAsia="宋体" w:cs="仿宋"/>
                <w:bCs/>
                <w:color w:val="auto"/>
                <w:kern w:val="2"/>
                <w:sz w:val="21"/>
                <w:szCs w:val="21"/>
                <w:highlight w:val="none"/>
                <w:lang w:val="zh-TW" w:eastAsia="zh-CN" w:bidi="ar-SA"/>
              </w:rPr>
            </w:pPr>
            <w:r>
              <w:rPr>
                <w:rFonts w:hint="eastAsia" w:ascii="宋体" w:hAnsi="宋体" w:cs="宋体"/>
                <w:color w:val="auto"/>
                <w:kern w:val="0"/>
                <w:szCs w:val="21"/>
                <w:highlight w:val="none"/>
                <w:lang w:val="zh-TW"/>
              </w:rPr>
              <w:t>安全与保密措施</w:t>
            </w:r>
          </w:p>
        </w:tc>
        <w:tc>
          <w:tcPr>
            <w:tcW w:w="1131" w:type="dxa"/>
            <w:shd w:val="clear" w:color="auto" w:fill="auto"/>
            <w:vAlign w:val="center"/>
          </w:tcPr>
          <w:p w14:paraId="24891E34">
            <w:pPr>
              <w:autoSpaceDE w:val="0"/>
              <w:autoSpaceDN w:val="0"/>
              <w:adjustRightInd w:val="0"/>
              <w:snapToGrid w:val="0"/>
              <w:spacing w:line="400" w:lineRule="exact"/>
              <w:jc w:val="center"/>
              <w:rPr>
                <w:rFonts w:hint="eastAsia" w:ascii="宋体" w:hAnsi="宋体" w:eastAsia="宋体" w:cs="仿宋"/>
                <w:bCs/>
                <w:color w:val="auto"/>
                <w:kern w:val="2"/>
                <w:sz w:val="21"/>
                <w:szCs w:val="21"/>
                <w:highlight w:val="none"/>
                <w:lang w:val="en-US" w:eastAsia="zh-CN" w:bidi="ar-SA"/>
              </w:rPr>
            </w:pPr>
            <w:r>
              <w:rPr>
                <w:rFonts w:hint="eastAsia" w:ascii="宋体" w:hAnsi="宋体" w:cs="宋体"/>
                <w:color w:val="auto"/>
                <w:szCs w:val="21"/>
                <w:highlight w:val="none"/>
                <w:lang w:val="en-US" w:eastAsia="zh-CN"/>
              </w:rPr>
              <w:t>4</w:t>
            </w:r>
          </w:p>
        </w:tc>
        <w:tc>
          <w:tcPr>
            <w:tcW w:w="1130" w:type="dxa"/>
            <w:vAlign w:val="center"/>
          </w:tcPr>
          <w:p w14:paraId="11ACF7A4">
            <w:pPr>
              <w:spacing w:line="400" w:lineRule="exact"/>
              <w:jc w:val="center"/>
              <w:rPr>
                <w:rFonts w:ascii="宋体" w:hAnsi="宋体" w:eastAsia="宋体" w:cs="仿宋"/>
                <w:bCs/>
                <w:color w:val="auto"/>
                <w:kern w:val="2"/>
                <w:sz w:val="21"/>
                <w:szCs w:val="21"/>
                <w:highlight w:val="none"/>
                <w:lang w:val="en-US" w:eastAsia="zh-CN" w:bidi="ar-SA"/>
              </w:rPr>
            </w:pPr>
          </w:p>
        </w:tc>
        <w:tc>
          <w:tcPr>
            <w:tcW w:w="1489" w:type="dxa"/>
            <w:vAlign w:val="center"/>
          </w:tcPr>
          <w:p w14:paraId="6FD8E392">
            <w:pPr>
              <w:autoSpaceDE w:val="0"/>
              <w:autoSpaceDN w:val="0"/>
              <w:adjustRightInd w:val="0"/>
              <w:snapToGrid w:val="0"/>
              <w:spacing w:line="400" w:lineRule="exact"/>
              <w:jc w:val="center"/>
              <w:rPr>
                <w:rFonts w:ascii="宋体" w:hAnsi="宋体" w:eastAsia="宋体" w:cs="仿宋"/>
                <w:bCs/>
                <w:color w:val="auto"/>
                <w:kern w:val="2"/>
                <w:sz w:val="21"/>
                <w:szCs w:val="21"/>
                <w:highlight w:val="none"/>
                <w:lang w:val="en-US" w:eastAsia="zh-CN" w:bidi="ar-SA"/>
              </w:rPr>
            </w:pPr>
          </w:p>
        </w:tc>
      </w:tr>
      <w:tr w14:paraId="457AF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4" w:type="dxa"/>
            <w:vAlign w:val="center"/>
          </w:tcPr>
          <w:p w14:paraId="42817056">
            <w:pPr>
              <w:adjustRightInd w:val="0"/>
              <w:snapToGrid w:val="0"/>
              <w:spacing w:line="400" w:lineRule="exact"/>
              <w:jc w:val="center"/>
              <w:rPr>
                <w:rFonts w:ascii="宋体" w:hAnsi="宋体" w:cs="仿宋"/>
                <w:bCs/>
                <w:snapToGrid w:val="0"/>
                <w:color w:val="auto"/>
                <w:szCs w:val="21"/>
                <w:highlight w:val="none"/>
              </w:rPr>
            </w:pPr>
            <w:r>
              <w:rPr>
                <w:rFonts w:hint="eastAsia" w:ascii="宋体" w:hAnsi="宋体" w:cs="仿宋"/>
                <w:bCs/>
                <w:snapToGrid w:val="0"/>
                <w:color w:val="auto"/>
                <w:szCs w:val="21"/>
                <w:highlight w:val="none"/>
              </w:rPr>
              <w:t>7</w:t>
            </w:r>
          </w:p>
        </w:tc>
        <w:tc>
          <w:tcPr>
            <w:tcW w:w="4135" w:type="dxa"/>
            <w:shd w:val="clear" w:color="auto" w:fill="auto"/>
            <w:vAlign w:val="center"/>
          </w:tcPr>
          <w:p w14:paraId="1208F35C">
            <w:pPr>
              <w:spacing w:line="400" w:lineRule="exact"/>
              <w:jc w:val="center"/>
              <w:rPr>
                <w:rFonts w:ascii="宋体" w:hAnsi="宋体" w:eastAsia="宋体" w:cs="仿宋"/>
                <w:bCs/>
                <w:color w:val="auto"/>
                <w:kern w:val="2"/>
                <w:sz w:val="21"/>
                <w:szCs w:val="21"/>
                <w:highlight w:val="none"/>
                <w:lang w:val="zh-TW" w:eastAsia="zh-CN" w:bidi="ar-SA"/>
              </w:rPr>
            </w:pPr>
            <w:r>
              <w:rPr>
                <w:rFonts w:hint="eastAsia" w:ascii="宋体" w:hAnsi="宋体" w:cs="宋体"/>
                <w:color w:val="auto"/>
                <w:szCs w:val="21"/>
                <w:highlight w:val="none"/>
              </w:rPr>
              <w:t>项目团队人员</w:t>
            </w:r>
          </w:p>
        </w:tc>
        <w:tc>
          <w:tcPr>
            <w:tcW w:w="1131" w:type="dxa"/>
            <w:shd w:val="clear" w:color="auto" w:fill="auto"/>
            <w:vAlign w:val="center"/>
          </w:tcPr>
          <w:p w14:paraId="0F1A806B">
            <w:pPr>
              <w:spacing w:line="400" w:lineRule="exact"/>
              <w:jc w:val="center"/>
              <w:rPr>
                <w:rFonts w:ascii="宋体" w:hAnsi="宋体" w:eastAsia="宋体" w:cs="仿宋"/>
                <w:bCs/>
                <w:color w:val="auto"/>
                <w:kern w:val="2"/>
                <w:sz w:val="21"/>
                <w:szCs w:val="21"/>
                <w:highlight w:val="none"/>
                <w:lang w:val="en-US" w:eastAsia="zh-CN" w:bidi="ar-SA"/>
              </w:rPr>
            </w:pPr>
            <w:r>
              <w:rPr>
                <w:rFonts w:hint="eastAsia" w:ascii="宋体" w:hAnsi="宋体" w:cs="宋体"/>
                <w:color w:val="auto"/>
                <w:szCs w:val="21"/>
                <w:highlight w:val="none"/>
              </w:rPr>
              <w:t>10</w:t>
            </w:r>
          </w:p>
        </w:tc>
        <w:tc>
          <w:tcPr>
            <w:tcW w:w="1130" w:type="dxa"/>
            <w:vAlign w:val="center"/>
          </w:tcPr>
          <w:p w14:paraId="1BB2E80F">
            <w:pPr>
              <w:spacing w:line="400" w:lineRule="exact"/>
              <w:jc w:val="center"/>
              <w:rPr>
                <w:rFonts w:ascii="宋体" w:hAnsi="宋体" w:eastAsia="宋体" w:cs="仿宋"/>
                <w:bCs/>
                <w:color w:val="auto"/>
                <w:kern w:val="2"/>
                <w:sz w:val="21"/>
                <w:szCs w:val="21"/>
                <w:highlight w:val="none"/>
                <w:lang w:val="en-US" w:eastAsia="zh-CN" w:bidi="ar-SA"/>
              </w:rPr>
            </w:pPr>
          </w:p>
        </w:tc>
        <w:tc>
          <w:tcPr>
            <w:tcW w:w="1489" w:type="dxa"/>
            <w:vAlign w:val="center"/>
          </w:tcPr>
          <w:p w14:paraId="77A7369E">
            <w:pPr>
              <w:spacing w:line="400" w:lineRule="exact"/>
              <w:jc w:val="center"/>
              <w:rPr>
                <w:rFonts w:ascii="宋体" w:hAnsi="宋体" w:eastAsia="宋体" w:cs="仿宋"/>
                <w:bCs/>
                <w:color w:val="auto"/>
                <w:kern w:val="2"/>
                <w:sz w:val="21"/>
                <w:szCs w:val="21"/>
                <w:highlight w:val="none"/>
                <w:lang w:val="en-US" w:eastAsia="zh-CN" w:bidi="ar-SA"/>
              </w:rPr>
            </w:pPr>
          </w:p>
        </w:tc>
      </w:tr>
      <w:tr w14:paraId="36C1C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4" w:type="dxa"/>
            <w:vAlign w:val="center"/>
          </w:tcPr>
          <w:p w14:paraId="45C40664">
            <w:pPr>
              <w:adjustRightInd w:val="0"/>
              <w:snapToGrid w:val="0"/>
              <w:spacing w:line="400" w:lineRule="exact"/>
              <w:jc w:val="center"/>
              <w:rPr>
                <w:rFonts w:ascii="宋体" w:hAnsi="宋体" w:cs="仿宋"/>
                <w:bCs/>
                <w:snapToGrid w:val="0"/>
                <w:color w:val="auto"/>
                <w:szCs w:val="21"/>
                <w:highlight w:val="none"/>
              </w:rPr>
            </w:pPr>
            <w:r>
              <w:rPr>
                <w:rFonts w:ascii="宋体" w:hAnsi="宋体" w:cs="仿宋"/>
                <w:bCs/>
                <w:snapToGrid w:val="0"/>
                <w:color w:val="auto"/>
                <w:szCs w:val="21"/>
                <w:highlight w:val="none"/>
              </w:rPr>
              <w:t>8</w:t>
            </w:r>
          </w:p>
        </w:tc>
        <w:tc>
          <w:tcPr>
            <w:tcW w:w="4135" w:type="dxa"/>
            <w:shd w:val="clear" w:color="auto" w:fill="auto"/>
            <w:vAlign w:val="center"/>
          </w:tcPr>
          <w:p w14:paraId="5CC39E32">
            <w:pPr>
              <w:spacing w:line="400" w:lineRule="exact"/>
              <w:jc w:val="center"/>
              <w:rPr>
                <w:rFonts w:ascii="宋体" w:hAnsi="宋体" w:eastAsia="宋体" w:cs="仿宋"/>
                <w:bCs/>
                <w:color w:val="auto"/>
                <w:kern w:val="2"/>
                <w:sz w:val="21"/>
                <w:szCs w:val="21"/>
                <w:highlight w:val="none"/>
                <w:lang w:val="en-US" w:eastAsia="zh-CN" w:bidi="ar-SA"/>
              </w:rPr>
            </w:pPr>
            <w:r>
              <w:rPr>
                <w:rFonts w:hint="eastAsia" w:ascii="宋体" w:hAnsi="宋体" w:cs="仿宋"/>
                <w:bCs/>
                <w:color w:val="auto"/>
                <w:szCs w:val="21"/>
                <w:highlight w:val="none"/>
              </w:rPr>
              <w:t>售后服务</w:t>
            </w:r>
          </w:p>
        </w:tc>
        <w:tc>
          <w:tcPr>
            <w:tcW w:w="1131" w:type="dxa"/>
            <w:shd w:val="clear" w:color="auto" w:fill="auto"/>
            <w:vAlign w:val="center"/>
          </w:tcPr>
          <w:p w14:paraId="555977A4">
            <w:pPr>
              <w:spacing w:line="400" w:lineRule="exact"/>
              <w:jc w:val="center"/>
              <w:rPr>
                <w:rFonts w:ascii="宋体" w:hAnsi="宋体" w:eastAsia="宋体" w:cs="仿宋"/>
                <w:bCs/>
                <w:color w:val="auto"/>
                <w:kern w:val="2"/>
                <w:sz w:val="21"/>
                <w:szCs w:val="21"/>
                <w:highlight w:val="none"/>
                <w:lang w:val="en-US" w:eastAsia="zh-CN" w:bidi="ar-SA"/>
              </w:rPr>
            </w:pPr>
            <w:r>
              <w:rPr>
                <w:rFonts w:hint="default" w:ascii="宋体" w:hAnsi="宋体" w:cs="仿宋"/>
                <w:bCs/>
                <w:color w:val="auto"/>
                <w:szCs w:val="21"/>
                <w:highlight w:val="none"/>
                <w:lang w:val="en-US"/>
              </w:rPr>
              <w:t>4</w:t>
            </w:r>
          </w:p>
        </w:tc>
        <w:tc>
          <w:tcPr>
            <w:tcW w:w="1130" w:type="dxa"/>
            <w:vAlign w:val="center"/>
          </w:tcPr>
          <w:p w14:paraId="0B37DDF7">
            <w:pPr>
              <w:spacing w:line="400" w:lineRule="exact"/>
              <w:jc w:val="center"/>
              <w:rPr>
                <w:rFonts w:ascii="宋体" w:hAnsi="宋体" w:eastAsia="宋体" w:cs="仿宋"/>
                <w:bCs/>
                <w:color w:val="auto"/>
                <w:kern w:val="2"/>
                <w:sz w:val="21"/>
                <w:szCs w:val="21"/>
                <w:highlight w:val="none"/>
                <w:lang w:val="en-US" w:eastAsia="zh-CN" w:bidi="ar-SA"/>
              </w:rPr>
            </w:pPr>
          </w:p>
        </w:tc>
        <w:tc>
          <w:tcPr>
            <w:tcW w:w="1489" w:type="dxa"/>
            <w:vAlign w:val="center"/>
          </w:tcPr>
          <w:p w14:paraId="7E985967">
            <w:pPr>
              <w:spacing w:line="400" w:lineRule="exact"/>
              <w:jc w:val="center"/>
              <w:rPr>
                <w:rFonts w:ascii="宋体" w:hAnsi="宋体" w:eastAsia="宋体" w:cs="仿宋"/>
                <w:bCs/>
                <w:color w:val="auto"/>
                <w:kern w:val="2"/>
                <w:sz w:val="21"/>
                <w:szCs w:val="21"/>
                <w:highlight w:val="none"/>
                <w:lang w:val="en-US" w:eastAsia="zh-CN" w:bidi="ar-SA"/>
              </w:rPr>
            </w:pPr>
          </w:p>
        </w:tc>
      </w:tr>
      <w:tr w14:paraId="495A7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4" w:type="dxa"/>
            <w:vAlign w:val="center"/>
          </w:tcPr>
          <w:p w14:paraId="2173C2F2">
            <w:pPr>
              <w:adjustRightInd w:val="0"/>
              <w:snapToGrid w:val="0"/>
              <w:spacing w:line="400" w:lineRule="exact"/>
              <w:jc w:val="center"/>
              <w:rPr>
                <w:rFonts w:ascii="宋体" w:hAnsi="宋体" w:cs="仿宋"/>
                <w:bCs/>
                <w:snapToGrid w:val="0"/>
                <w:color w:val="auto"/>
                <w:szCs w:val="21"/>
                <w:highlight w:val="none"/>
              </w:rPr>
            </w:pPr>
            <w:r>
              <w:rPr>
                <w:rFonts w:hint="eastAsia" w:ascii="宋体" w:hAnsi="宋体" w:cs="仿宋"/>
                <w:bCs/>
                <w:snapToGrid w:val="0"/>
                <w:color w:val="auto"/>
                <w:szCs w:val="21"/>
                <w:highlight w:val="none"/>
              </w:rPr>
              <w:t>9</w:t>
            </w:r>
          </w:p>
        </w:tc>
        <w:tc>
          <w:tcPr>
            <w:tcW w:w="4135" w:type="dxa"/>
            <w:shd w:val="clear" w:color="auto" w:fill="auto"/>
            <w:vAlign w:val="center"/>
          </w:tcPr>
          <w:p w14:paraId="1D8B0194">
            <w:pPr>
              <w:spacing w:line="400" w:lineRule="exact"/>
              <w:jc w:val="center"/>
              <w:rPr>
                <w:rFonts w:ascii="宋体" w:hAnsi="宋体" w:eastAsia="宋体" w:cs="仿宋"/>
                <w:bCs/>
                <w:color w:val="auto"/>
                <w:kern w:val="2"/>
                <w:sz w:val="21"/>
                <w:szCs w:val="21"/>
                <w:highlight w:val="none"/>
                <w:lang w:val="en-US" w:eastAsia="zh-CN" w:bidi="ar-SA"/>
              </w:rPr>
            </w:pPr>
            <w:r>
              <w:rPr>
                <w:rFonts w:hint="eastAsia" w:ascii="宋体" w:hAnsi="宋体" w:cs="仿宋"/>
                <w:bCs/>
                <w:color w:val="auto"/>
                <w:szCs w:val="21"/>
                <w:highlight w:val="none"/>
              </w:rPr>
              <w:t>权威认证、经营许可</w:t>
            </w:r>
          </w:p>
        </w:tc>
        <w:tc>
          <w:tcPr>
            <w:tcW w:w="1131" w:type="dxa"/>
            <w:shd w:val="clear" w:color="auto" w:fill="auto"/>
            <w:vAlign w:val="center"/>
          </w:tcPr>
          <w:p w14:paraId="1B6083FF">
            <w:pPr>
              <w:spacing w:line="400" w:lineRule="exact"/>
              <w:jc w:val="center"/>
              <w:rPr>
                <w:rFonts w:ascii="宋体" w:hAnsi="宋体" w:eastAsia="宋体" w:cs="仿宋"/>
                <w:bCs/>
                <w:snapToGrid w:val="0"/>
                <w:color w:val="auto"/>
                <w:kern w:val="2"/>
                <w:sz w:val="21"/>
                <w:szCs w:val="21"/>
                <w:highlight w:val="none"/>
                <w:lang w:val="en-US" w:eastAsia="zh-CN" w:bidi="ar-SA"/>
              </w:rPr>
            </w:pPr>
            <w:r>
              <w:rPr>
                <w:rFonts w:hint="eastAsia" w:ascii="宋体" w:hAnsi="宋体" w:cs="仿宋"/>
                <w:bCs/>
                <w:color w:val="auto"/>
                <w:szCs w:val="21"/>
                <w:highlight w:val="none"/>
              </w:rPr>
              <w:t>3</w:t>
            </w:r>
          </w:p>
        </w:tc>
        <w:tc>
          <w:tcPr>
            <w:tcW w:w="1130" w:type="dxa"/>
            <w:vAlign w:val="center"/>
          </w:tcPr>
          <w:p w14:paraId="2E094F76">
            <w:pPr>
              <w:spacing w:line="400" w:lineRule="exact"/>
              <w:jc w:val="center"/>
              <w:rPr>
                <w:rFonts w:ascii="宋体" w:hAnsi="宋体" w:eastAsia="宋体" w:cs="仿宋"/>
                <w:bCs/>
                <w:color w:val="auto"/>
                <w:kern w:val="2"/>
                <w:sz w:val="21"/>
                <w:szCs w:val="21"/>
                <w:highlight w:val="none"/>
                <w:lang w:val="en-US" w:eastAsia="zh-CN" w:bidi="ar-SA"/>
              </w:rPr>
            </w:pPr>
          </w:p>
        </w:tc>
        <w:tc>
          <w:tcPr>
            <w:tcW w:w="1489" w:type="dxa"/>
            <w:vAlign w:val="center"/>
          </w:tcPr>
          <w:p w14:paraId="6811FC66">
            <w:pPr>
              <w:spacing w:line="400" w:lineRule="exact"/>
              <w:jc w:val="center"/>
              <w:rPr>
                <w:rFonts w:ascii="宋体" w:hAnsi="宋体" w:eastAsia="宋体" w:cs="仿宋"/>
                <w:bCs/>
                <w:snapToGrid w:val="0"/>
                <w:color w:val="auto"/>
                <w:kern w:val="2"/>
                <w:sz w:val="21"/>
                <w:szCs w:val="21"/>
                <w:highlight w:val="none"/>
                <w:lang w:val="en-US" w:eastAsia="zh-CN" w:bidi="ar-SA"/>
              </w:rPr>
            </w:pPr>
          </w:p>
        </w:tc>
      </w:tr>
      <w:tr w14:paraId="40D41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4" w:type="dxa"/>
            <w:vAlign w:val="center"/>
          </w:tcPr>
          <w:p w14:paraId="5484773A">
            <w:pPr>
              <w:adjustRightInd w:val="0"/>
              <w:snapToGrid w:val="0"/>
              <w:spacing w:line="400" w:lineRule="exact"/>
              <w:jc w:val="center"/>
              <w:rPr>
                <w:rFonts w:ascii="宋体" w:hAnsi="宋体" w:cs="仿宋"/>
                <w:bCs/>
                <w:snapToGrid w:val="0"/>
                <w:color w:val="auto"/>
                <w:szCs w:val="21"/>
                <w:highlight w:val="none"/>
              </w:rPr>
            </w:pPr>
            <w:r>
              <w:rPr>
                <w:rFonts w:ascii="宋体" w:hAnsi="宋体" w:cs="仿宋"/>
                <w:bCs/>
                <w:snapToGrid w:val="0"/>
                <w:color w:val="auto"/>
                <w:szCs w:val="21"/>
                <w:highlight w:val="none"/>
              </w:rPr>
              <w:t>10</w:t>
            </w:r>
          </w:p>
        </w:tc>
        <w:tc>
          <w:tcPr>
            <w:tcW w:w="4135" w:type="dxa"/>
            <w:shd w:val="clear" w:color="auto" w:fill="auto"/>
            <w:vAlign w:val="center"/>
          </w:tcPr>
          <w:p w14:paraId="3CF29511">
            <w:pPr>
              <w:spacing w:line="400" w:lineRule="exact"/>
              <w:jc w:val="center"/>
              <w:rPr>
                <w:rFonts w:ascii="宋体" w:hAnsi="宋体" w:eastAsia="宋体" w:cs="仿宋"/>
                <w:bCs/>
                <w:color w:val="auto"/>
                <w:kern w:val="2"/>
                <w:sz w:val="21"/>
                <w:szCs w:val="21"/>
                <w:highlight w:val="none"/>
                <w:lang w:val="en-US" w:eastAsia="zh-CN" w:bidi="ar-SA"/>
              </w:rPr>
            </w:pPr>
            <w:r>
              <w:rPr>
                <w:rFonts w:hint="eastAsia" w:ascii="宋体" w:hAnsi="宋体" w:cs="仿宋"/>
                <w:bCs/>
                <w:color w:val="auto"/>
                <w:szCs w:val="21"/>
                <w:highlight w:val="none"/>
              </w:rPr>
              <w:t>项目业绩</w:t>
            </w:r>
          </w:p>
        </w:tc>
        <w:tc>
          <w:tcPr>
            <w:tcW w:w="1131" w:type="dxa"/>
            <w:shd w:val="clear" w:color="auto" w:fill="auto"/>
            <w:vAlign w:val="center"/>
          </w:tcPr>
          <w:p w14:paraId="6866C7F9">
            <w:pPr>
              <w:spacing w:line="400" w:lineRule="exact"/>
              <w:jc w:val="center"/>
              <w:rPr>
                <w:rFonts w:hint="eastAsia" w:ascii="宋体" w:hAnsi="宋体" w:eastAsia="宋体" w:cs="仿宋"/>
                <w:bCs/>
                <w:color w:val="auto"/>
                <w:kern w:val="2"/>
                <w:sz w:val="21"/>
                <w:szCs w:val="21"/>
                <w:highlight w:val="none"/>
                <w:lang w:val="en-US" w:eastAsia="zh-CN" w:bidi="ar-SA"/>
              </w:rPr>
            </w:pPr>
            <w:r>
              <w:rPr>
                <w:rFonts w:hint="eastAsia" w:ascii="宋体" w:hAnsi="宋体" w:cs="仿宋"/>
                <w:bCs/>
                <w:color w:val="auto"/>
                <w:szCs w:val="21"/>
                <w:highlight w:val="none"/>
                <w:lang w:val="en-US" w:eastAsia="zh-CN"/>
              </w:rPr>
              <w:t>2</w:t>
            </w:r>
          </w:p>
        </w:tc>
        <w:tc>
          <w:tcPr>
            <w:tcW w:w="1130" w:type="dxa"/>
            <w:vAlign w:val="center"/>
          </w:tcPr>
          <w:p w14:paraId="58F24039">
            <w:pPr>
              <w:spacing w:line="400" w:lineRule="exact"/>
              <w:jc w:val="center"/>
              <w:rPr>
                <w:rFonts w:ascii="宋体" w:hAnsi="宋体" w:eastAsia="宋体" w:cs="仿宋"/>
                <w:bCs/>
                <w:color w:val="auto"/>
                <w:kern w:val="2"/>
                <w:sz w:val="21"/>
                <w:szCs w:val="21"/>
                <w:highlight w:val="none"/>
                <w:lang w:val="en-US" w:eastAsia="zh-CN" w:bidi="ar-SA"/>
              </w:rPr>
            </w:pPr>
          </w:p>
        </w:tc>
        <w:tc>
          <w:tcPr>
            <w:tcW w:w="1489" w:type="dxa"/>
            <w:vAlign w:val="center"/>
          </w:tcPr>
          <w:p w14:paraId="21427FD3">
            <w:pPr>
              <w:spacing w:line="400" w:lineRule="exact"/>
              <w:jc w:val="center"/>
              <w:rPr>
                <w:rFonts w:ascii="宋体" w:hAnsi="宋体" w:eastAsia="宋体" w:cs="仿宋"/>
                <w:bCs/>
                <w:color w:val="auto"/>
                <w:kern w:val="2"/>
                <w:sz w:val="21"/>
                <w:szCs w:val="21"/>
                <w:highlight w:val="none"/>
                <w:lang w:val="en-US" w:eastAsia="zh-CN" w:bidi="ar-SA"/>
              </w:rPr>
            </w:pPr>
          </w:p>
        </w:tc>
      </w:tr>
      <w:tr w14:paraId="638E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4" w:type="dxa"/>
            <w:vAlign w:val="center"/>
          </w:tcPr>
          <w:p w14:paraId="10655014">
            <w:pPr>
              <w:overflowPunct w:val="0"/>
              <w:spacing w:line="360" w:lineRule="exact"/>
              <w:jc w:val="center"/>
              <w:rPr>
                <w:rFonts w:ascii="宋体" w:cs="宋体"/>
                <w:color w:val="auto"/>
                <w:szCs w:val="21"/>
                <w:highlight w:val="none"/>
              </w:rPr>
            </w:pPr>
            <w:r>
              <w:rPr>
                <w:rFonts w:hint="eastAsia" w:ascii="宋体" w:hAnsi="宋体" w:cs="宋体"/>
                <w:color w:val="auto"/>
                <w:szCs w:val="21"/>
                <w:highlight w:val="none"/>
              </w:rPr>
              <w:t>11</w:t>
            </w:r>
          </w:p>
        </w:tc>
        <w:tc>
          <w:tcPr>
            <w:tcW w:w="4135" w:type="dxa"/>
            <w:vAlign w:val="center"/>
          </w:tcPr>
          <w:p w14:paraId="715EB653">
            <w:pPr>
              <w:overflowPunct w:val="0"/>
              <w:spacing w:line="360" w:lineRule="exact"/>
              <w:jc w:val="center"/>
              <w:rPr>
                <w:rFonts w:ascii="宋体" w:cs="宋体"/>
                <w:color w:val="auto"/>
                <w:szCs w:val="21"/>
                <w:highlight w:val="none"/>
              </w:rPr>
            </w:pPr>
            <w:r>
              <w:rPr>
                <w:rFonts w:hint="eastAsia" w:ascii="宋体" w:hAnsi="宋体" w:cs="宋体"/>
                <w:color w:val="auto"/>
                <w:szCs w:val="21"/>
                <w:highlight w:val="none"/>
              </w:rPr>
              <w:t>合计得分</w:t>
            </w:r>
          </w:p>
        </w:tc>
        <w:tc>
          <w:tcPr>
            <w:tcW w:w="1131" w:type="dxa"/>
            <w:vAlign w:val="center"/>
          </w:tcPr>
          <w:p w14:paraId="6FB292C1">
            <w:pPr>
              <w:overflowPunct w:val="0"/>
              <w:spacing w:line="360" w:lineRule="exact"/>
              <w:jc w:val="center"/>
              <w:rPr>
                <w:rFonts w:ascii="宋体" w:cs="宋体"/>
                <w:color w:val="auto"/>
                <w:szCs w:val="21"/>
                <w:highlight w:val="none"/>
              </w:rPr>
            </w:pPr>
            <w:r>
              <w:rPr>
                <w:rFonts w:hint="eastAsia" w:ascii="宋体" w:hAnsi="宋体" w:cs="宋体"/>
                <w:color w:val="auto"/>
                <w:szCs w:val="21"/>
                <w:highlight w:val="none"/>
              </w:rPr>
              <w:t>80分</w:t>
            </w:r>
          </w:p>
        </w:tc>
        <w:tc>
          <w:tcPr>
            <w:tcW w:w="1130" w:type="dxa"/>
            <w:vAlign w:val="center"/>
          </w:tcPr>
          <w:p w14:paraId="033C6E57">
            <w:pPr>
              <w:overflowPunct w:val="0"/>
              <w:spacing w:line="360" w:lineRule="exact"/>
              <w:rPr>
                <w:rFonts w:ascii="宋体" w:cs="宋体"/>
                <w:color w:val="auto"/>
                <w:szCs w:val="21"/>
                <w:highlight w:val="none"/>
              </w:rPr>
            </w:pPr>
          </w:p>
        </w:tc>
        <w:tc>
          <w:tcPr>
            <w:tcW w:w="1489" w:type="dxa"/>
            <w:vAlign w:val="center"/>
          </w:tcPr>
          <w:p w14:paraId="1ABD0A58">
            <w:pPr>
              <w:overflowPunct w:val="0"/>
              <w:spacing w:line="360" w:lineRule="exact"/>
              <w:rPr>
                <w:rFonts w:ascii="宋体" w:cs="宋体"/>
                <w:color w:val="auto"/>
                <w:szCs w:val="21"/>
                <w:highlight w:val="none"/>
              </w:rPr>
            </w:pPr>
          </w:p>
        </w:tc>
      </w:tr>
    </w:tbl>
    <w:p w14:paraId="2232FD2D">
      <w:pPr>
        <w:overflowPunct w:val="0"/>
        <w:adjustRightInd w:val="0"/>
        <w:snapToGrid w:val="0"/>
        <w:spacing w:line="400" w:lineRule="exact"/>
        <w:rPr>
          <w:rFonts w:ascii="宋体" w:hAnsi="宋体" w:cs="宋体"/>
          <w:b/>
          <w:color w:val="auto"/>
          <w:szCs w:val="21"/>
          <w:highlight w:val="none"/>
        </w:rPr>
      </w:pPr>
    </w:p>
    <w:p w14:paraId="4710B7C4">
      <w:pPr>
        <w:overflowPunct w:val="0"/>
        <w:adjustRightInd w:val="0"/>
        <w:snapToGrid w:val="0"/>
        <w:spacing w:line="400" w:lineRule="exact"/>
        <w:rPr>
          <w:rFonts w:ascii="宋体" w:cs="宋体"/>
          <w:color w:val="auto"/>
          <w:highlight w:val="none"/>
        </w:rPr>
      </w:pPr>
      <w:r>
        <w:rPr>
          <w:rFonts w:hint="eastAsia" w:ascii="宋体" w:hAnsi="宋体" w:cs="宋体"/>
          <w:b/>
          <w:color w:val="auto"/>
          <w:szCs w:val="21"/>
          <w:highlight w:val="none"/>
        </w:rPr>
        <w:t>注：“专家评分索引表”装订在商务技术文件首页。供应商应认真填写相关内容在响应文件中所对应的页码，否则有可能做无效标处理。</w:t>
      </w:r>
    </w:p>
    <w:sectPr>
      <w:headerReference r:id="rId3" w:type="default"/>
      <w:footerReference r:id="rId4" w:type="default"/>
      <w:pgSz w:w="11906" w:h="16838"/>
      <w:pgMar w:top="1361" w:right="1587" w:bottom="1361" w:left="1587" w:header="567" w:footer="56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MS Minchofalt">
    <w:altName w:val="MS Mincho"/>
    <w:panose1 w:val="00000000000000000000"/>
    <w:charset w:val="80"/>
    <w:family w:val="modern"/>
    <w:pitch w:val="default"/>
    <w:sig w:usb0="00000000" w:usb1="00000000" w:usb2="00000010" w:usb3="00000000" w:csb0="00020000" w:csb1="00000000"/>
  </w:font>
  <w:font w:name="MS Mincho">
    <w:panose1 w:val="02020609040205080304"/>
    <w:charset w:val="80"/>
    <w:family w:val="auto"/>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37C35">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EADD740">
                          <w:pPr>
                            <w:pStyle w:val="21"/>
                          </w:pPr>
                          <w:r>
                            <w:rPr>
                              <w:rFonts w:hint="eastAsia"/>
                            </w:rPr>
                            <w:t>第</w:t>
                          </w:r>
                          <w:r>
                            <w:t xml:space="preserve"> </w:t>
                          </w:r>
                          <w:r>
                            <w:fldChar w:fldCharType="begin"/>
                          </w:r>
                          <w:r>
                            <w:instrText xml:space="preserve"> PAGE  \* MERGEFORMAT </w:instrText>
                          </w:r>
                          <w:r>
                            <w:fldChar w:fldCharType="separate"/>
                          </w:r>
                          <w:r>
                            <w:t>42</w:t>
                          </w:r>
                          <w:r>
                            <w:fldChar w:fldCharType="end"/>
                          </w:r>
                          <w:r>
                            <w:t xml:space="preserve"> </w:t>
                          </w:r>
                          <w:r>
                            <w:rPr>
                              <w:rFonts w:hint="eastAsia"/>
                            </w:rPr>
                            <w:t>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BS1SNfTAQAApgMAAA4AAAAAAAAAAQAgAAAA&#10;IgEAAGRycy9lMm9Eb2MueG1sUEsFBgAAAAAGAAYAWQEAAGcFAAAAAA==&#10;">
              <v:fill on="f" focussize="0,0"/>
              <v:stroke on="f" weight="1.25pt"/>
              <v:imagedata o:title=""/>
              <o:lock v:ext="edit" aspectratio="f"/>
              <v:textbox inset="0mm,0mm,0mm,0mm" style="mso-fit-shape-to-text:t;">
                <w:txbxContent>
                  <w:p w14:paraId="0EADD740">
                    <w:pPr>
                      <w:pStyle w:val="21"/>
                    </w:pPr>
                    <w:r>
                      <w:rPr>
                        <w:rFonts w:hint="eastAsia"/>
                      </w:rPr>
                      <w:t>第</w:t>
                    </w:r>
                    <w:r>
                      <w:t xml:space="preserve"> </w:t>
                    </w:r>
                    <w:r>
                      <w:fldChar w:fldCharType="begin"/>
                    </w:r>
                    <w:r>
                      <w:instrText xml:space="preserve"> PAGE  \* MERGEFORMAT </w:instrText>
                    </w:r>
                    <w:r>
                      <w:fldChar w:fldCharType="separate"/>
                    </w:r>
                    <w:r>
                      <w:t>42</w:t>
                    </w:r>
                    <w:r>
                      <w:fldChar w:fldCharType="end"/>
                    </w:r>
                    <w:r>
                      <w:t xml:space="preserve"> </w:t>
                    </w:r>
                    <w:r>
                      <w:rPr>
                        <w:rFonts w:hint="eastAsia"/>
                      </w:rPr>
                      <w:t>页</w:t>
                    </w:r>
                  </w:p>
                </w:txbxContent>
              </v:textbox>
            </v:shape>
          </w:pict>
        </mc:Fallback>
      </mc:AlternateContent>
    </w:r>
  </w:p>
  <w:p w14:paraId="2CFE396B">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F201E">
    <w:pPr>
      <w:pStyle w:val="22"/>
      <w:pBdr>
        <w:bottom w:val="none" w:color="auto" w:sz="0" w:space="0"/>
      </w:pBdr>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E66A1"/>
    <w:multiLevelType w:val="singleLevel"/>
    <w:tmpl w:val="B04E66A1"/>
    <w:lvl w:ilvl="0" w:tentative="0">
      <w:start w:val="1"/>
      <w:numFmt w:val="decimal"/>
      <w:suff w:val="nothing"/>
      <w:lvlText w:val="（%1）"/>
      <w:lvlJc w:val="left"/>
      <w:rPr>
        <w:rFonts w:cs="Times New Roman"/>
      </w:rPr>
    </w:lvl>
  </w:abstractNum>
  <w:abstractNum w:abstractNumId="1">
    <w:nsid w:val="B3FD9FB3"/>
    <w:multiLevelType w:val="multilevel"/>
    <w:tmpl w:val="B3FD9FB3"/>
    <w:lvl w:ilvl="0" w:tentative="0">
      <w:start w:val="1"/>
      <w:numFmt w:val="decimal"/>
      <w:lvlText w:val="%1)"/>
      <w:lvlJc w:val="left"/>
      <w:pPr>
        <w:tabs>
          <w:tab w:val="left" w:pos="844"/>
        </w:tabs>
        <w:ind w:left="844" w:hanging="420"/>
      </w:pPr>
      <w:rPr>
        <w:rFonts w:cs="Times New Roman"/>
      </w:rPr>
    </w:lvl>
    <w:lvl w:ilvl="1" w:tentative="0">
      <w:start w:val="1"/>
      <w:numFmt w:val="lowerLetter"/>
      <w:lvlText w:val="%2)"/>
      <w:lvlJc w:val="left"/>
      <w:pPr>
        <w:tabs>
          <w:tab w:val="left" w:pos="1264"/>
        </w:tabs>
        <w:ind w:left="1264" w:hanging="420"/>
      </w:pPr>
      <w:rPr>
        <w:rFonts w:cs="Times New Roman"/>
      </w:rPr>
    </w:lvl>
    <w:lvl w:ilvl="2" w:tentative="0">
      <w:start w:val="1"/>
      <w:numFmt w:val="lowerRoman"/>
      <w:lvlText w:val="%3."/>
      <w:lvlJc w:val="right"/>
      <w:pPr>
        <w:tabs>
          <w:tab w:val="left" w:pos="1684"/>
        </w:tabs>
        <w:ind w:left="1684" w:hanging="420"/>
      </w:pPr>
      <w:rPr>
        <w:rFonts w:cs="Times New Roman"/>
      </w:rPr>
    </w:lvl>
    <w:lvl w:ilvl="3" w:tentative="0">
      <w:start w:val="1"/>
      <w:numFmt w:val="decimal"/>
      <w:lvlText w:val="%4."/>
      <w:lvlJc w:val="left"/>
      <w:pPr>
        <w:tabs>
          <w:tab w:val="left" w:pos="2104"/>
        </w:tabs>
        <w:ind w:left="2104" w:hanging="420"/>
      </w:pPr>
      <w:rPr>
        <w:rFonts w:cs="Times New Roman"/>
      </w:rPr>
    </w:lvl>
    <w:lvl w:ilvl="4" w:tentative="0">
      <w:start w:val="1"/>
      <w:numFmt w:val="lowerLetter"/>
      <w:lvlText w:val="%5)"/>
      <w:lvlJc w:val="left"/>
      <w:pPr>
        <w:tabs>
          <w:tab w:val="left" w:pos="2524"/>
        </w:tabs>
        <w:ind w:left="2524" w:hanging="420"/>
      </w:pPr>
      <w:rPr>
        <w:rFonts w:cs="Times New Roman"/>
      </w:rPr>
    </w:lvl>
    <w:lvl w:ilvl="5" w:tentative="0">
      <w:start w:val="1"/>
      <w:numFmt w:val="lowerRoman"/>
      <w:lvlText w:val="%6."/>
      <w:lvlJc w:val="right"/>
      <w:pPr>
        <w:tabs>
          <w:tab w:val="left" w:pos="2944"/>
        </w:tabs>
        <w:ind w:left="2944" w:hanging="420"/>
      </w:pPr>
      <w:rPr>
        <w:rFonts w:cs="Times New Roman"/>
      </w:rPr>
    </w:lvl>
    <w:lvl w:ilvl="6" w:tentative="0">
      <w:start w:val="1"/>
      <w:numFmt w:val="decimal"/>
      <w:lvlText w:val="%7."/>
      <w:lvlJc w:val="left"/>
      <w:pPr>
        <w:tabs>
          <w:tab w:val="left" w:pos="3364"/>
        </w:tabs>
        <w:ind w:left="3364" w:hanging="420"/>
      </w:pPr>
      <w:rPr>
        <w:rFonts w:cs="Times New Roman"/>
      </w:rPr>
    </w:lvl>
    <w:lvl w:ilvl="7" w:tentative="0">
      <w:start w:val="1"/>
      <w:numFmt w:val="lowerLetter"/>
      <w:lvlText w:val="%8)"/>
      <w:lvlJc w:val="left"/>
      <w:pPr>
        <w:tabs>
          <w:tab w:val="left" w:pos="3784"/>
        </w:tabs>
        <w:ind w:left="3784" w:hanging="420"/>
      </w:pPr>
      <w:rPr>
        <w:rFonts w:cs="Times New Roman"/>
      </w:rPr>
    </w:lvl>
    <w:lvl w:ilvl="8" w:tentative="0">
      <w:start w:val="1"/>
      <w:numFmt w:val="lowerRoman"/>
      <w:lvlText w:val="%9."/>
      <w:lvlJc w:val="right"/>
      <w:pPr>
        <w:tabs>
          <w:tab w:val="left" w:pos="4204"/>
        </w:tabs>
        <w:ind w:left="4204" w:hanging="420"/>
      </w:pPr>
      <w:rPr>
        <w:rFonts w:cs="Times New Roman"/>
      </w:rPr>
    </w:lvl>
  </w:abstractNum>
  <w:abstractNum w:abstractNumId="2">
    <w:nsid w:val="C6D8A677"/>
    <w:multiLevelType w:val="multilevel"/>
    <w:tmpl w:val="C6D8A677"/>
    <w:lvl w:ilvl="0" w:tentative="0">
      <w:start w:val="1"/>
      <w:numFmt w:val="decimal"/>
      <w:lvlText w:val="%1)"/>
      <w:lvlJc w:val="left"/>
      <w:pPr>
        <w:tabs>
          <w:tab w:val="left" w:pos="844"/>
        </w:tabs>
        <w:ind w:left="844" w:hanging="420"/>
      </w:pPr>
      <w:rPr>
        <w:rFonts w:cs="Times New Roman"/>
      </w:rPr>
    </w:lvl>
    <w:lvl w:ilvl="1" w:tentative="0">
      <w:start w:val="1"/>
      <w:numFmt w:val="lowerLetter"/>
      <w:lvlText w:val="%2)"/>
      <w:lvlJc w:val="left"/>
      <w:pPr>
        <w:tabs>
          <w:tab w:val="left" w:pos="1264"/>
        </w:tabs>
        <w:ind w:left="1264" w:hanging="420"/>
      </w:pPr>
      <w:rPr>
        <w:rFonts w:cs="Times New Roman"/>
      </w:rPr>
    </w:lvl>
    <w:lvl w:ilvl="2" w:tentative="0">
      <w:start w:val="1"/>
      <w:numFmt w:val="lowerRoman"/>
      <w:lvlText w:val="%3."/>
      <w:lvlJc w:val="right"/>
      <w:pPr>
        <w:tabs>
          <w:tab w:val="left" w:pos="1684"/>
        </w:tabs>
        <w:ind w:left="1684" w:hanging="420"/>
      </w:pPr>
      <w:rPr>
        <w:rFonts w:cs="Times New Roman"/>
      </w:rPr>
    </w:lvl>
    <w:lvl w:ilvl="3" w:tentative="0">
      <w:start w:val="1"/>
      <w:numFmt w:val="decimal"/>
      <w:lvlText w:val="%4."/>
      <w:lvlJc w:val="left"/>
      <w:pPr>
        <w:tabs>
          <w:tab w:val="left" w:pos="2104"/>
        </w:tabs>
        <w:ind w:left="2104" w:hanging="420"/>
      </w:pPr>
      <w:rPr>
        <w:rFonts w:cs="Times New Roman"/>
      </w:rPr>
    </w:lvl>
    <w:lvl w:ilvl="4" w:tentative="0">
      <w:start w:val="1"/>
      <w:numFmt w:val="lowerLetter"/>
      <w:lvlText w:val="%5)"/>
      <w:lvlJc w:val="left"/>
      <w:pPr>
        <w:tabs>
          <w:tab w:val="left" w:pos="2524"/>
        </w:tabs>
        <w:ind w:left="2524" w:hanging="420"/>
      </w:pPr>
      <w:rPr>
        <w:rFonts w:cs="Times New Roman"/>
      </w:rPr>
    </w:lvl>
    <w:lvl w:ilvl="5" w:tentative="0">
      <w:start w:val="1"/>
      <w:numFmt w:val="lowerRoman"/>
      <w:lvlText w:val="%6."/>
      <w:lvlJc w:val="right"/>
      <w:pPr>
        <w:tabs>
          <w:tab w:val="left" w:pos="2944"/>
        </w:tabs>
        <w:ind w:left="2944" w:hanging="420"/>
      </w:pPr>
      <w:rPr>
        <w:rFonts w:cs="Times New Roman"/>
      </w:rPr>
    </w:lvl>
    <w:lvl w:ilvl="6" w:tentative="0">
      <w:start w:val="1"/>
      <w:numFmt w:val="decimal"/>
      <w:lvlText w:val="%7."/>
      <w:lvlJc w:val="left"/>
      <w:pPr>
        <w:tabs>
          <w:tab w:val="left" w:pos="3364"/>
        </w:tabs>
        <w:ind w:left="3364" w:hanging="420"/>
      </w:pPr>
      <w:rPr>
        <w:rFonts w:cs="Times New Roman"/>
      </w:rPr>
    </w:lvl>
    <w:lvl w:ilvl="7" w:tentative="0">
      <w:start w:val="1"/>
      <w:numFmt w:val="lowerLetter"/>
      <w:lvlText w:val="%8)"/>
      <w:lvlJc w:val="left"/>
      <w:pPr>
        <w:tabs>
          <w:tab w:val="left" w:pos="3784"/>
        </w:tabs>
        <w:ind w:left="3784" w:hanging="420"/>
      </w:pPr>
      <w:rPr>
        <w:rFonts w:cs="Times New Roman"/>
      </w:rPr>
    </w:lvl>
    <w:lvl w:ilvl="8" w:tentative="0">
      <w:start w:val="1"/>
      <w:numFmt w:val="lowerRoman"/>
      <w:lvlText w:val="%9."/>
      <w:lvlJc w:val="right"/>
      <w:pPr>
        <w:tabs>
          <w:tab w:val="left" w:pos="4204"/>
        </w:tabs>
        <w:ind w:left="4204" w:hanging="420"/>
      </w:pPr>
      <w:rPr>
        <w:rFonts w:cs="Times New Roman"/>
      </w:rPr>
    </w:lvl>
  </w:abstractNum>
  <w:abstractNum w:abstractNumId="3">
    <w:nsid w:val="DDBFE5F1"/>
    <w:multiLevelType w:val="singleLevel"/>
    <w:tmpl w:val="DDBFE5F1"/>
    <w:lvl w:ilvl="0" w:tentative="0">
      <w:start w:val="13"/>
      <w:numFmt w:val="chineseCounting"/>
      <w:suff w:val="nothing"/>
      <w:lvlText w:val="%1、"/>
      <w:lvlJc w:val="left"/>
      <w:rPr>
        <w:rFonts w:hint="eastAsia"/>
      </w:rPr>
    </w:lvl>
  </w:abstractNum>
  <w:abstractNum w:abstractNumId="4">
    <w:nsid w:val="2060FFC3"/>
    <w:multiLevelType w:val="singleLevel"/>
    <w:tmpl w:val="2060FFC3"/>
    <w:lvl w:ilvl="0" w:tentative="0">
      <w:start w:val="2"/>
      <w:numFmt w:val="chineseCounting"/>
      <w:suff w:val="nothing"/>
      <w:lvlText w:val="（%1）"/>
      <w:lvlJc w:val="left"/>
      <w:rPr>
        <w:rFonts w:hint="eastAsia"/>
      </w:rPr>
    </w:lvl>
  </w:abstractNum>
  <w:abstractNum w:abstractNumId="5">
    <w:nsid w:val="238CB498"/>
    <w:multiLevelType w:val="multilevel"/>
    <w:tmpl w:val="238CB498"/>
    <w:lvl w:ilvl="0" w:tentative="0">
      <w:start w:val="1"/>
      <w:numFmt w:val="decimal"/>
      <w:lvlText w:val="%1)"/>
      <w:lvlJc w:val="left"/>
      <w:pPr>
        <w:tabs>
          <w:tab w:val="left" w:pos="844"/>
        </w:tabs>
        <w:ind w:left="844" w:hanging="420"/>
      </w:pPr>
      <w:rPr>
        <w:rFonts w:cs="Times New Roman"/>
      </w:rPr>
    </w:lvl>
    <w:lvl w:ilvl="1" w:tentative="0">
      <w:start w:val="1"/>
      <w:numFmt w:val="lowerLetter"/>
      <w:lvlText w:val="%2)"/>
      <w:lvlJc w:val="left"/>
      <w:pPr>
        <w:tabs>
          <w:tab w:val="left" w:pos="1264"/>
        </w:tabs>
        <w:ind w:left="1264" w:hanging="420"/>
      </w:pPr>
      <w:rPr>
        <w:rFonts w:cs="Times New Roman"/>
      </w:rPr>
    </w:lvl>
    <w:lvl w:ilvl="2" w:tentative="0">
      <w:start w:val="1"/>
      <w:numFmt w:val="lowerRoman"/>
      <w:lvlText w:val="%3."/>
      <w:lvlJc w:val="right"/>
      <w:pPr>
        <w:tabs>
          <w:tab w:val="left" w:pos="1684"/>
        </w:tabs>
        <w:ind w:left="1684" w:hanging="420"/>
      </w:pPr>
      <w:rPr>
        <w:rFonts w:cs="Times New Roman"/>
      </w:rPr>
    </w:lvl>
    <w:lvl w:ilvl="3" w:tentative="0">
      <w:start w:val="1"/>
      <w:numFmt w:val="decimal"/>
      <w:lvlText w:val="%4."/>
      <w:lvlJc w:val="left"/>
      <w:pPr>
        <w:tabs>
          <w:tab w:val="left" w:pos="2104"/>
        </w:tabs>
        <w:ind w:left="2104" w:hanging="420"/>
      </w:pPr>
      <w:rPr>
        <w:rFonts w:cs="Times New Roman"/>
      </w:rPr>
    </w:lvl>
    <w:lvl w:ilvl="4" w:tentative="0">
      <w:start w:val="1"/>
      <w:numFmt w:val="lowerLetter"/>
      <w:lvlText w:val="%5)"/>
      <w:lvlJc w:val="left"/>
      <w:pPr>
        <w:tabs>
          <w:tab w:val="left" w:pos="2524"/>
        </w:tabs>
        <w:ind w:left="2524" w:hanging="420"/>
      </w:pPr>
      <w:rPr>
        <w:rFonts w:cs="Times New Roman"/>
      </w:rPr>
    </w:lvl>
    <w:lvl w:ilvl="5" w:tentative="0">
      <w:start w:val="1"/>
      <w:numFmt w:val="lowerRoman"/>
      <w:lvlText w:val="%6."/>
      <w:lvlJc w:val="right"/>
      <w:pPr>
        <w:tabs>
          <w:tab w:val="left" w:pos="2944"/>
        </w:tabs>
        <w:ind w:left="2944" w:hanging="420"/>
      </w:pPr>
      <w:rPr>
        <w:rFonts w:cs="Times New Roman"/>
      </w:rPr>
    </w:lvl>
    <w:lvl w:ilvl="6" w:tentative="0">
      <w:start w:val="1"/>
      <w:numFmt w:val="decimal"/>
      <w:lvlText w:val="%7."/>
      <w:lvlJc w:val="left"/>
      <w:pPr>
        <w:tabs>
          <w:tab w:val="left" w:pos="3364"/>
        </w:tabs>
        <w:ind w:left="3364" w:hanging="420"/>
      </w:pPr>
      <w:rPr>
        <w:rFonts w:cs="Times New Roman"/>
      </w:rPr>
    </w:lvl>
    <w:lvl w:ilvl="7" w:tentative="0">
      <w:start w:val="1"/>
      <w:numFmt w:val="lowerLetter"/>
      <w:lvlText w:val="%8)"/>
      <w:lvlJc w:val="left"/>
      <w:pPr>
        <w:tabs>
          <w:tab w:val="left" w:pos="3784"/>
        </w:tabs>
        <w:ind w:left="3784" w:hanging="420"/>
      </w:pPr>
      <w:rPr>
        <w:rFonts w:cs="Times New Roman"/>
      </w:rPr>
    </w:lvl>
    <w:lvl w:ilvl="8" w:tentative="0">
      <w:start w:val="1"/>
      <w:numFmt w:val="lowerRoman"/>
      <w:lvlText w:val="%9."/>
      <w:lvlJc w:val="right"/>
      <w:pPr>
        <w:tabs>
          <w:tab w:val="left" w:pos="4204"/>
        </w:tabs>
        <w:ind w:left="4204" w:hanging="420"/>
      </w:pPr>
      <w:rPr>
        <w:rFonts w:cs="Times New Roman"/>
      </w:rPr>
    </w:lvl>
  </w:abstractNum>
  <w:abstractNum w:abstractNumId="6">
    <w:nsid w:val="2CC2E4B4"/>
    <w:multiLevelType w:val="singleLevel"/>
    <w:tmpl w:val="2CC2E4B4"/>
    <w:lvl w:ilvl="0" w:tentative="0">
      <w:start w:val="1"/>
      <w:numFmt w:val="decimal"/>
      <w:suff w:val="space"/>
      <w:lvlText w:val="%1."/>
      <w:lvlJc w:val="left"/>
      <w:rPr>
        <w:rFonts w:cs="Times New Roman"/>
      </w:rPr>
    </w:lvl>
  </w:abstractNum>
  <w:abstractNum w:abstractNumId="7">
    <w:nsid w:val="398011D0"/>
    <w:multiLevelType w:val="multilevel"/>
    <w:tmpl w:val="398011D0"/>
    <w:lvl w:ilvl="0" w:tentative="0">
      <w:start w:val="1"/>
      <w:numFmt w:val="decimal"/>
      <w:lvlText w:val="%1)"/>
      <w:lvlJc w:val="left"/>
      <w:pPr>
        <w:tabs>
          <w:tab w:val="left" w:pos="844"/>
        </w:tabs>
        <w:ind w:left="844" w:hanging="420"/>
      </w:pPr>
      <w:rPr>
        <w:rFonts w:cs="Times New Roman"/>
      </w:rPr>
    </w:lvl>
    <w:lvl w:ilvl="1" w:tentative="0">
      <w:start w:val="1"/>
      <w:numFmt w:val="lowerLetter"/>
      <w:lvlText w:val="%2)"/>
      <w:lvlJc w:val="left"/>
      <w:pPr>
        <w:tabs>
          <w:tab w:val="left" w:pos="1264"/>
        </w:tabs>
        <w:ind w:left="1264" w:hanging="420"/>
      </w:pPr>
      <w:rPr>
        <w:rFonts w:cs="Times New Roman"/>
      </w:rPr>
    </w:lvl>
    <w:lvl w:ilvl="2" w:tentative="0">
      <w:start w:val="1"/>
      <w:numFmt w:val="lowerRoman"/>
      <w:lvlText w:val="%3."/>
      <w:lvlJc w:val="right"/>
      <w:pPr>
        <w:tabs>
          <w:tab w:val="left" w:pos="1684"/>
        </w:tabs>
        <w:ind w:left="1684" w:hanging="420"/>
      </w:pPr>
      <w:rPr>
        <w:rFonts w:cs="Times New Roman"/>
      </w:rPr>
    </w:lvl>
    <w:lvl w:ilvl="3" w:tentative="0">
      <w:start w:val="1"/>
      <w:numFmt w:val="decimal"/>
      <w:lvlText w:val="%4."/>
      <w:lvlJc w:val="left"/>
      <w:pPr>
        <w:tabs>
          <w:tab w:val="left" w:pos="2104"/>
        </w:tabs>
        <w:ind w:left="2104" w:hanging="420"/>
      </w:pPr>
      <w:rPr>
        <w:rFonts w:cs="Times New Roman"/>
      </w:rPr>
    </w:lvl>
    <w:lvl w:ilvl="4" w:tentative="0">
      <w:start w:val="1"/>
      <w:numFmt w:val="lowerLetter"/>
      <w:lvlText w:val="%5)"/>
      <w:lvlJc w:val="left"/>
      <w:pPr>
        <w:tabs>
          <w:tab w:val="left" w:pos="2524"/>
        </w:tabs>
        <w:ind w:left="2524" w:hanging="420"/>
      </w:pPr>
      <w:rPr>
        <w:rFonts w:cs="Times New Roman"/>
      </w:rPr>
    </w:lvl>
    <w:lvl w:ilvl="5" w:tentative="0">
      <w:start w:val="1"/>
      <w:numFmt w:val="lowerRoman"/>
      <w:lvlText w:val="%6."/>
      <w:lvlJc w:val="right"/>
      <w:pPr>
        <w:tabs>
          <w:tab w:val="left" w:pos="2944"/>
        </w:tabs>
        <w:ind w:left="2944" w:hanging="420"/>
      </w:pPr>
      <w:rPr>
        <w:rFonts w:cs="Times New Roman"/>
      </w:rPr>
    </w:lvl>
    <w:lvl w:ilvl="6" w:tentative="0">
      <w:start w:val="1"/>
      <w:numFmt w:val="decimal"/>
      <w:lvlText w:val="%7."/>
      <w:lvlJc w:val="left"/>
      <w:pPr>
        <w:tabs>
          <w:tab w:val="left" w:pos="3364"/>
        </w:tabs>
        <w:ind w:left="3364" w:hanging="420"/>
      </w:pPr>
      <w:rPr>
        <w:rFonts w:cs="Times New Roman"/>
      </w:rPr>
    </w:lvl>
    <w:lvl w:ilvl="7" w:tentative="0">
      <w:start w:val="1"/>
      <w:numFmt w:val="lowerLetter"/>
      <w:lvlText w:val="%8)"/>
      <w:lvlJc w:val="left"/>
      <w:pPr>
        <w:tabs>
          <w:tab w:val="left" w:pos="3784"/>
        </w:tabs>
        <w:ind w:left="3784" w:hanging="420"/>
      </w:pPr>
      <w:rPr>
        <w:rFonts w:cs="Times New Roman"/>
      </w:rPr>
    </w:lvl>
    <w:lvl w:ilvl="8" w:tentative="0">
      <w:start w:val="1"/>
      <w:numFmt w:val="lowerRoman"/>
      <w:lvlText w:val="%9."/>
      <w:lvlJc w:val="right"/>
      <w:pPr>
        <w:tabs>
          <w:tab w:val="left" w:pos="4204"/>
        </w:tabs>
        <w:ind w:left="4204" w:hanging="420"/>
      </w:pPr>
      <w:rPr>
        <w:rFonts w:cs="Times New Roman"/>
      </w:rPr>
    </w:lvl>
  </w:abstractNum>
  <w:abstractNum w:abstractNumId="8">
    <w:nsid w:val="568F78DC"/>
    <w:multiLevelType w:val="singleLevel"/>
    <w:tmpl w:val="568F78DC"/>
    <w:lvl w:ilvl="0" w:tentative="0">
      <w:start w:val="1"/>
      <w:numFmt w:val="chineseCounting"/>
      <w:suff w:val="nothing"/>
      <w:lvlText w:val="%1、"/>
      <w:lvlJc w:val="left"/>
      <w:rPr>
        <w:rFonts w:cs="Times New Roman"/>
      </w:rPr>
    </w:lvl>
  </w:abstractNum>
  <w:abstractNum w:abstractNumId="9">
    <w:nsid w:val="57E7F374"/>
    <w:multiLevelType w:val="multilevel"/>
    <w:tmpl w:val="57E7F374"/>
    <w:lvl w:ilvl="0" w:tentative="0">
      <w:start w:val="1"/>
      <w:numFmt w:val="decimal"/>
      <w:lvlText w:val="%1)"/>
      <w:lvlJc w:val="left"/>
      <w:pPr>
        <w:tabs>
          <w:tab w:val="left" w:pos="844"/>
        </w:tabs>
        <w:ind w:left="844" w:hanging="420"/>
      </w:pPr>
      <w:rPr>
        <w:rFonts w:cs="Times New Roman"/>
      </w:rPr>
    </w:lvl>
    <w:lvl w:ilvl="1" w:tentative="0">
      <w:start w:val="1"/>
      <w:numFmt w:val="lowerLetter"/>
      <w:lvlText w:val="%2)"/>
      <w:lvlJc w:val="left"/>
      <w:pPr>
        <w:tabs>
          <w:tab w:val="left" w:pos="1264"/>
        </w:tabs>
        <w:ind w:left="1264" w:hanging="420"/>
      </w:pPr>
      <w:rPr>
        <w:rFonts w:cs="Times New Roman"/>
      </w:rPr>
    </w:lvl>
    <w:lvl w:ilvl="2" w:tentative="0">
      <w:start w:val="1"/>
      <w:numFmt w:val="lowerRoman"/>
      <w:lvlText w:val="%3."/>
      <w:lvlJc w:val="right"/>
      <w:pPr>
        <w:tabs>
          <w:tab w:val="left" w:pos="1684"/>
        </w:tabs>
        <w:ind w:left="1684" w:hanging="420"/>
      </w:pPr>
      <w:rPr>
        <w:rFonts w:cs="Times New Roman"/>
      </w:rPr>
    </w:lvl>
    <w:lvl w:ilvl="3" w:tentative="0">
      <w:start w:val="1"/>
      <w:numFmt w:val="decimal"/>
      <w:lvlText w:val="%4."/>
      <w:lvlJc w:val="left"/>
      <w:pPr>
        <w:tabs>
          <w:tab w:val="left" w:pos="2104"/>
        </w:tabs>
        <w:ind w:left="2104" w:hanging="420"/>
      </w:pPr>
      <w:rPr>
        <w:rFonts w:cs="Times New Roman"/>
      </w:rPr>
    </w:lvl>
    <w:lvl w:ilvl="4" w:tentative="0">
      <w:start w:val="1"/>
      <w:numFmt w:val="lowerLetter"/>
      <w:lvlText w:val="%5)"/>
      <w:lvlJc w:val="left"/>
      <w:pPr>
        <w:tabs>
          <w:tab w:val="left" w:pos="2524"/>
        </w:tabs>
        <w:ind w:left="2524" w:hanging="420"/>
      </w:pPr>
      <w:rPr>
        <w:rFonts w:cs="Times New Roman"/>
      </w:rPr>
    </w:lvl>
    <w:lvl w:ilvl="5" w:tentative="0">
      <w:start w:val="1"/>
      <w:numFmt w:val="lowerRoman"/>
      <w:lvlText w:val="%6."/>
      <w:lvlJc w:val="right"/>
      <w:pPr>
        <w:tabs>
          <w:tab w:val="left" w:pos="2944"/>
        </w:tabs>
        <w:ind w:left="2944" w:hanging="420"/>
      </w:pPr>
      <w:rPr>
        <w:rFonts w:cs="Times New Roman"/>
      </w:rPr>
    </w:lvl>
    <w:lvl w:ilvl="6" w:tentative="0">
      <w:start w:val="1"/>
      <w:numFmt w:val="decimal"/>
      <w:lvlText w:val="%7."/>
      <w:lvlJc w:val="left"/>
      <w:pPr>
        <w:tabs>
          <w:tab w:val="left" w:pos="3364"/>
        </w:tabs>
        <w:ind w:left="3364" w:hanging="420"/>
      </w:pPr>
      <w:rPr>
        <w:rFonts w:cs="Times New Roman"/>
      </w:rPr>
    </w:lvl>
    <w:lvl w:ilvl="7" w:tentative="0">
      <w:start w:val="1"/>
      <w:numFmt w:val="lowerLetter"/>
      <w:lvlText w:val="%8)"/>
      <w:lvlJc w:val="left"/>
      <w:pPr>
        <w:tabs>
          <w:tab w:val="left" w:pos="3784"/>
        </w:tabs>
        <w:ind w:left="3784" w:hanging="420"/>
      </w:pPr>
      <w:rPr>
        <w:rFonts w:cs="Times New Roman"/>
      </w:rPr>
    </w:lvl>
    <w:lvl w:ilvl="8" w:tentative="0">
      <w:start w:val="1"/>
      <w:numFmt w:val="lowerRoman"/>
      <w:lvlText w:val="%9."/>
      <w:lvlJc w:val="right"/>
      <w:pPr>
        <w:tabs>
          <w:tab w:val="left" w:pos="4204"/>
        </w:tabs>
        <w:ind w:left="4204" w:hanging="420"/>
      </w:pPr>
      <w:rPr>
        <w:rFonts w:cs="Times New Roman"/>
      </w:rPr>
    </w:lvl>
  </w:abstractNum>
  <w:abstractNum w:abstractNumId="10">
    <w:nsid w:val="58D335FE"/>
    <w:multiLevelType w:val="multilevel"/>
    <w:tmpl w:val="58D335FE"/>
    <w:lvl w:ilvl="0" w:tentative="0">
      <w:start w:val="1"/>
      <w:numFmt w:val="decimal"/>
      <w:lvlText w:val="%1)"/>
      <w:lvlJc w:val="left"/>
      <w:pPr>
        <w:tabs>
          <w:tab w:val="left" w:pos="844"/>
        </w:tabs>
        <w:ind w:left="844" w:hanging="420"/>
      </w:pPr>
      <w:rPr>
        <w:rFonts w:cs="Times New Roman"/>
      </w:rPr>
    </w:lvl>
    <w:lvl w:ilvl="1" w:tentative="0">
      <w:start w:val="1"/>
      <w:numFmt w:val="lowerLetter"/>
      <w:lvlText w:val="%2)"/>
      <w:lvlJc w:val="left"/>
      <w:pPr>
        <w:tabs>
          <w:tab w:val="left" w:pos="1264"/>
        </w:tabs>
        <w:ind w:left="1264" w:hanging="420"/>
      </w:pPr>
      <w:rPr>
        <w:rFonts w:cs="Times New Roman"/>
      </w:rPr>
    </w:lvl>
    <w:lvl w:ilvl="2" w:tentative="0">
      <w:start w:val="1"/>
      <w:numFmt w:val="lowerRoman"/>
      <w:lvlText w:val="%3."/>
      <w:lvlJc w:val="right"/>
      <w:pPr>
        <w:tabs>
          <w:tab w:val="left" w:pos="1684"/>
        </w:tabs>
        <w:ind w:left="1684" w:hanging="420"/>
      </w:pPr>
      <w:rPr>
        <w:rFonts w:cs="Times New Roman"/>
      </w:rPr>
    </w:lvl>
    <w:lvl w:ilvl="3" w:tentative="0">
      <w:start w:val="1"/>
      <w:numFmt w:val="decimal"/>
      <w:lvlText w:val="%4."/>
      <w:lvlJc w:val="left"/>
      <w:pPr>
        <w:tabs>
          <w:tab w:val="left" w:pos="2104"/>
        </w:tabs>
        <w:ind w:left="2104" w:hanging="420"/>
      </w:pPr>
      <w:rPr>
        <w:rFonts w:cs="Times New Roman"/>
      </w:rPr>
    </w:lvl>
    <w:lvl w:ilvl="4" w:tentative="0">
      <w:start w:val="1"/>
      <w:numFmt w:val="lowerLetter"/>
      <w:lvlText w:val="%5)"/>
      <w:lvlJc w:val="left"/>
      <w:pPr>
        <w:tabs>
          <w:tab w:val="left" w:pos="2524"/>
        </w:tabs>
        <w:ind w:left="2524" w:hanging="420"/>
      </w:pPr>
      <w:rPr>
        <w:rFonts w:cs="Times New Roman"/>
      </w:rPr>
    </w:lvl>
    <w:lvl w:ilvl="5" w:tentative="0">
      <w:start w:val="1"/>
      <w:numFmt w:val="lowerRoman"/>
      <w:lvlText w:val="%6."/>
      <w:lvlJc w:val="right"/>
      <w:pPr>
        <w:tabs>
          <w:tab w:val="left" w:pos="2944"/>
        </w:tabs>
        <w:ind w:left="2944" w:hanging="420"/>
      </w:pPr>
      <w:rPr>
        <w:rFonts w:cs="Times New Roman"/>
      </w:rPr>
    </w:lvl>
    <w:lvl w:ilvl="6" w:tentative="0">
      <w:start w:val="1"/>
      <w:numFmt w:val="decimal"/>
      <w:lvlText w:val="%7."/>
      <w:lvlJc w:val="left"/>
      <w:pPr>
        <w:tabs>
          <w:tab w:val="left" w:pos="3364"/>
        </w:tabs>
        <w:ind w:left="3364" w:hanging="420"/>
      </w:pPr>
      <w:rPr>
        <w:rFonts w:cs="Times New Roman"/>
      </w:rPr>
    </w:lvl>
    <w:lvl w:ilvl="7" w:tentative="0">
      <w:start w:val="1"/>
      <w:numFmt w:val="lowerLetter"/>
      <w:lvlText w:val="%8)"/>
      <w:lvlJc w:val="left"/>
      <w:pPr>
        <w:tabs>
          <w:tab w:val="left" w:pos="3784"/>
        </w:tabs>
        <w:ind w:left="3784" w:hanging="420"/>
      </w:pPr>
      <w:rPr>
        <w:rFonts w:cs="Times New Roman"/>
      </w:rPr>
    </w:lvl>
    <w:lvl w:ilvl="8" w:tentative="0">
      <w:start w:val="1"/>
      <w:numFmt w:val="lowerRoman"/>
      <w:lvlText w:val="%9."/>
      <w:lvlJc w:val="right"/>
      <w:pPr>
        <w:tabs>
          <w:tab w:val="left" w:pos="4204"/>
        </w:tabs>
        <w:ind w:left="4204" w:hanging="420"/>
      </w:pPr>
      <w:rPr>
        <w:rFonts w:cs="Times New Roman"/>
      </w:rPr>
    </w:lvl>
  </w:abstractNum>
  <w:num w:numId="1">
    <w:abstractNumId w:val="0"/>
  </w:num>
  <w:num w:numId="2">
    <w:abstractNumId w:val="9"/>
  </w:num>
  <w:num w:numId="3">
    <w:abstractNumId w:val="10"/>
  </w:num>
  <w:num w:numId="4">
    <w:abstractNumId w:val="2"/>
  </w:num>
  <w:num w:numId="5">
    <w:abstractNumId w:val="8"/>
  </w:num>
  <w:num w:numId="6">
    <w:abstractNumId w:val="3"/>
  </w:num>
  <w:num w:numId="7">
    <w:abstractNumId w:val="4"/>
  </w:num>
  <w:num w:numId="8">
    <w:abstractNumId w:val="7"/>
  </w:num>
  <w:num w:numId="9">
    <w:abstractNumId w:val="6"/>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xODM0ZjIxN2JjZDg4ZmE2OWY4MjU2MGI0Yjg5OTAifQ=="/>
  </w:docVars>
  <w:rsids>
    <w:rsidRoot w:val="00AA54CE"/>
    <w:rsid w:val="000015B1"/>
    <w:rsid w:val="00002F4E"/>
    <w:rsid w:val="00003113"/>
    <w:rsid w:val="00003CEB"/>
    <w:rsid w:val="00005FD1"/>
    <w:rsid w:val="00012412"/>
    <w:rsid w:val="00015C38"/>
    <w:rsid w:val="0001673C"/>
    <w:rsid w:val="00016D88"/>
    <w:rsid w:val="000203E6"/>
    <w:rsid w:val="000263C6"/>
    <w:rsid w:val="00026C9E"/>
    <w:rsid w:val="00031C8F"/>
    <w:rsid w:val="000358B8"/>
    <w:rsid w:val="00035BC0"/>
    <w:rsid w:val="00042316"/>
    <w:rsid w:val="000430C1"/>
    <w:rsid w:val="00044981"/>
    <w:rsid w:val="0005129F"/>
    <w:rsid w:val="00060724"/>
    <w:rsid w:val="000634EA"/>
    <w:rsid w:val="00076510"/>
    <w:rsid w:val="0008056D"/>
    <w:rsid w:val="00084DBC"/>
    <w:rsid w:val="00092902"/>
    <w:rsid w:val="00096D39"/>
    <w:rsid w:val="000A140A"/>
    <w:rsid w:val="000A3461"/>
    <w:rsid w:val="000B68FD"/>
    <w:rsid w:val="000C51F3"/>
    <w:rsid w:val="000C6416"/>
    <w:rsid w:val="000D0A17"/>
    <w:rsid w:val="000E1F65"/>
    <w:rsid w:val="000E2EAD"/>
    <w:rsid w:val="000E5644"/>
    <w:rsid w:val="000E7414"/>
    <w:rsid w:val="000F0131"/>
    <w:rsid w:val="000F5A82"/>
    <w:rsid w:val="000F6217"/>
    <w:rsid w:val="001121D9"/>
    <w:rsid w:val="0011394D"/>
    <w:rsid w:val="001140D1"/>
    <w:rsid w:val="0011471D"/>
    <w:rsid w:val="0011636B"/>
    <w:rsid w:val="00116AA8"/>
    <w:rsid w:val="00117E99"/>
    <w:rsid w:val="00127B96"/>
    <w:rsid w:val="0013122D"/>
    <w:rsid w:val="001336C1"/>
    <w:rsid w:val="001346E8"/>
    <w:rsid w:val="00135BA9"/>
    <w:rsid w:val="00137D9D"/>
    <w:rsid w:val="00140A64"/>
    <w:rsid w:val="00142D03"/>
    <w:rsid w:val="00152697"/>
    <w:rsid w:val="00152F68"/>
    <w:rsid w:val="00155185"/>
    <w:rsid w:val="00162189"/>
    <w:rsid w:val="001621EA"/>
    <w:rsid w:val="001623CC"/>
    <w:rsid w:val="0016524D"/>
    <w:rsid w:val="00174BD5"/>
    <w:rsid w:val="00175E3E"/>
    <w:rsid w:val="0017689A"/>
    <w:rsid w:val="00193B08"/>
    <w:rsid w:val="00193D58"/>
    <w:rsid w:val="00196C69"/>
    <w:rsid w:val="001A120D"/>
    <w:rsid w:val="001A16A6"/>
    <w:rsid w:val="001A632F"/>
    <w:rsid w:val="001A7226"/>
    <w:rsid w:val="001B7314"/>
    <w:rsid w:val="001B7AF2"/>
    <w:rsid w:val="001C56D6"/>
    <w:rsid w:val="001C5A41"/>
    <w:rsid w:val="001D5C43"/>
    <w:rsid w:val="001E0026"/>
    <w:rsid w:val="001E2308"/>
    <w:rsid w:val="001E52B2"/>
    <w:rsid w:val="001E56C7"/>
    <w:rsid w:val="001E64F4"/>
    <w:rsid w:val="001E6E11"/>
    <w:rsid w:val="001F0065"/>
    <w:rsid w:val="001F0ADD"/>
    <w:rsid w:val="001F36BB"/>
    <w:rsid w:val="001F3A4E"/>
    <w:rsid w:val="00202902"/>
    <w:rsid w:val="002102AE"/>
    <w:rsid w:val="002212F1"/>
    <w:rsid w:val="00226526"/>
    <w:rsid w:val="00230930"/>
    <w:rsid w:val="00232B4C"/>
    <w:rsid w:val="00232E0B"/>
    <w:rsid w:val="00237E5D"/>
    <w:rsid w:val="00241162"/>
    <w:rsid w:val="002426E8"/>
    <w:rsid w:val="002437D4"/>
    <w:rsid w:val="002504E3"/>
    <w:rsid w:val="00250FCF"/>
    <w:rsid w:val="002524C7"/>
    <w:rsid w:val="00252F20"/>
    <w:rsid w:val="00257688"/>
    <w:rsid w:val="00257780"/>
    <w:rsid w:val="0026115C"/>
    <w:rsid w:val="00263D6B"/>
    <w:rsid w:val="00267599"/>
    <w:rsid w:val="0027126E"/>
    <w:rsid w:val="00276571"/>
    <w:rsid w:val="002815D5"/>
    <w:rsid w:val="00283054"/>
    <w:rsid w:val="00283CC9"/>
    <w:rsid w:val="00286FCD"/>
    <w:rsid w:val="00290DA2"/>
    <w:rsid w:val="00292713"/>
    <w:rsid w:val="002954C2"/>
    <w:rsid w:val="002A0AB2"/>
    <w:rsid w:val="002A4780"/>
    <w:rsid w:val="002B00A2"/>
    <w:rsid w:val="002B06A4"/>
    <w:rsid w:val="002B1CCA"/>
    <w:rsid w:val="002B2775"/>
    <w:rsid w:val="002B27C0"/>
    <w:rsid w:val="002B34C5"/>
    <w:rsid w:val="002B4D55"/>
    <w:rsid w:val="002C2CC5"/>
    <w:rsid w:val="002C4ED1"/>
    <w:rsid w:val="002C6453"/>
    <w:rsid w:val="002D03C1"/>
    <w:rsid w:val="002D429C"/>
    <w:rsid w:val="002D52FC"/>
    <w:rsid w:val="002D764D"/>
    <w:rsid w:val="002E0698"/>
    <w:rsid w:val="002E10B8"/>
    <w:rsid w:val="002E1FF3"/>
    <w:rsid w:val="002E22CC"/>
    <w:rsid w:val="002E4C8C"/>
    <w:rsid w:val="002E5BAA"/>
    <w:rsid w:val="002F1D9B"/>
    <w:rsid w:val="002F7583"/>
    <w:rsid w:val="00301A23"/>
    <w:rsid w:val="00301B69"/>
    <w:rsid w:val="003041B2"/>
    <w:rsid w:val="0030762C"/>
    <w:rsid w:val="00311BB8"/>
    <w:rsid w:val="0032052F"/>
    <w:rsid w:val="00321D9C"/>
    <w:rsid w:val="003236F4"/>
    <w:rsid w:val="003238DB"/>
    <w:rsid w:val="0032490A"/>
    <w:rsid w:val="00331855"/>
    <w:rsid w:val="00331C5C"/>
    <w:rsid w:val="00336C75"/>
    <w:rsid w:val="00341E07"/>
    <w:rsid w:val="00346EA7"/>
    <w:rsid w:val="0035038B"/>
    <w:rsid w:val="00350C22"/>
    <w:rsid w:val="0035105C"/>
    <w:rsid w:val="00353CAF"/>
    <w:rsid w:val="003544B2"/>
    <w:rsid w:val="0035467F"/>
    <w:rsid w:val="00354BED"/>
    <w:rsid w:val="003636BC"/>
    <w:rsid w:val="00364250"/>
    <w:rsid w:val="003643CB"/>
    <w:rsid w:val="0037700A"/>
    <w:rsid w:val="00377D4F"/>
    <w:rsid w:val="0038338F"/>
    <w:rsid w:val="00383688"/>
    <w:rsid w:val="00385B53"/>
    <w:rsid w:val="00385E22"/>
    <w:rsid w:val="00392D05"/>
    <w:rsid w:val="00395B28"/>
    <w:rsid w:val="003979A9"/>
    <w:rsid w:val="003A2917"/>
    <w:rsid w:val="003A4FF0"/>
    <w:rsid w:val="003B185A"/>
    <w:rsid w:val="003B21E1"/>
    <w:rsid w:val="003B2678"/>
    <w:rsid w:val="003B4062"/>
    <w:rsid w:val="003B4BF1"/>
    <w:rsid w:val="003B556D"/>
    <w:rsid w:val="003B67C3"/>
    <w:rsid w:val="003C0EFA"/>
    <w:rsid w:val="003C7100"/>
    <w:rsid w:val="003D1637"/>
    <w:rsid w:val="003E386D"/>
    <w:rsid w:val="003E485C"/>
    <w:rsid w:val="003E6A2F"/>
    <w:rsid w:val="003F3622"/>
    <w:rsid w:val="003F364D"/>
    <w:rsid w:val="003F3A25"/>
    <w:rsid w:val="003F44B7"/>
    <w:rsid w:val="004017B7"/>
    <w:rsid w:val="00407BBF"/>
    <w:rsid w:val="004152CB"/>
    <w:rsid w:val="00415FD2"/>
    <w:rsid w:val="00417139"/>
    <w:rsid w:val="00417282"/>
    <w:rsid w:val="00420DDE"/>
    <w:rsid w:val="00422EC8"/>
    <w:rsid w:val="0042535F"/>
    <w:rsid w:val="00426915"/>
    <w:rsid w:val="00426D29"/>
    <w:rsid w:val="0043390D"/>
    <w:rsid w:val="00435FA3"/>
    <w:rsid w:val="00441752"/>
    <w:rsid w:val="004417EB"/>
    <w:rsid w:val="00442974"/>
    <w:rsid w:val="00444638"/>
    <w:rsid w:val="00453621"/>
    <w:rsid w:val="00453EE0"/>
    <w:rsid w:val="0045447F"/>
    <w:rsid w:val="00456454"/>
    <w:rsid w:val="00461D5C"/>
    <w:rsid w:val="004621E0"/>
    <w:rsid w:val="004674B6"/>
    <w:rsid w:val="004805C7"/>
    <w:rsid w:val="00480FE3"/>
    <w:rsid w:val="00490014"/>
    <w:rsid w:val="004901EC"/>
    <w:rsid w:val="00492E08"/>
    <w:rsid w:val="00492EAC"/>
    <w:rsid w:val="00493D5F"/>
    <w:rsid w:val="00494071"/>
    <w:rsid w:val="00494948"/>
    <w:rsid w:val="004956AC"/>
    <w:rsid w:val="0049587E"/>
    <w:rsid w:val="004A3F5B"/>
    <w:rsid w:val="004A568A"/>
    <w:rsid w:val="004A7105"/>
    <w:rsid w:val="004B02C5"/>
    <w:rsid w:val="004B0A12"/>
    <w:rsid w:val="004B2A65"/>
    <w:rsid w:val="004B3130"/>
    <w:rsid w:val="004B6B09"/>
    <w:rsid w:val="004B6EC5"/>
    <w:rsid w:val="004B7448"/>
    <w:rsid w:val="004C0B20"/>
    <w:rsid w:val="004C10B7"/>
    <w:rsid w:val="004C37CE"/>
    <w:rsid w:val="004C4256"/>
    <w:rsid w:val="004C4B3A"/>
    <w:rsid w:val="004C675F"/>
    <w:rsid w:val="004D28A1"/>
    <w:rsid w:val="004D3183"/>
    <w:rsid w:val="004E32ED"/>
    <w:rsid w:val="004E69CB"/>
    <w:rsid w:val="004F22BE"/>
    <w:rsid w:val="004F2BCC"/>
    <w:rsid w:val="004F63FD"/>
    <w:rsid w:val="004F6F57"/>
    <w:rsid w:val="00502CC7"/>
    <w:rsid w:val="005042B3"/>
    <w:rsid w:val="00504D39"/>
    <w:rsid w:val="00510C42"/>
    <w:rsid w:val="00515618"/>
    <w:rsid w:val="00517DD9"/>
    <w:rsid w:val="0052596D"/>
    <w:rsid w:val="00525F6C"/>
    <w:rsid w:val="00526689"/>
    <w:rsid w:val="005320A2"/>
    <w:rsid w:val="00543341"/>
    <w:rsid w:val="00553698"/>
    <w:rsid w:val="00554FBD"/>
    <w:rsid w:val="005561B0"/>
    <w:rsid w:val="00560A9E"/>
    <w:rsid w:val="00571211"/>
    <w:rsid w:val="00573E0D"/>
    <w:rsid w:val="00574712"/>
    <w:rsid w:val="00575126"/>
    <w:rsid w:val="00580752"/>
    <w:rsid w:val="00582391"/>
    <w:rsid w:val="00585EB4"/>
    <w:rsid w:val="005867EC"/>
    <w:rsid w:val="00590E6C"/>
    <w:rsid w:val="005923B5"/>
    <w:rsid w:val="00593485"/>
    <w:rsid w:val="00596383"/>
    <w:rsid w:val="005A422B"/>
    <w:rsid w:val="005A4852"/>
    <w:rsid w:val="005A4890"/>
    <w:rsid w:val="005B1079"/>
    <w:rsid w:val="005B3233"/>
    <w:rsid w:val="005B3439"/>
    <w:rsid w:val="005B3A1D"/>
    <w:rsid w:val="005C5604"/>
    <w:rsid w:val="005C5DF7"/>
    <w:rsid w:val="005D6966"/>
    <w:rsid w:val="005E0B4C"/>
    <w:rsid w:val="005E15EA"/>
    <w:rsid w:val="005F3D6B"/>
    <w:rsid w:val="005F5E34"/>
    <w:rsid w:val="00612211"/>
    <w:rsid w:val="00614E27"/>
    <w:rsid w:val="006162BB"/>
    <w:rsid w:val="0061633E"/>
    <w:rsid w:val="0061678C"/>
    <w:rsid w:val="00636AC1"/>
    <w:rsid w:val="006526F1"/>
    <w:rsid w:val="00654734"/>
    <w:rsid w:val="00657387"/>
    <w:rsid w:val="006602FC"/>
    <w:rsid w:val="00661485"/>
    <w:rsid w:val="0066345C"/>
    <w:rsid w:val="0066698A"/>
    <w:rsid w:val="00671913"/>
    <w:rsid w:val="00674505"/>
    <w:rsid w:val="00681063"/>
    <w:rsid w:val="00683E5C"/>
    <w:rsid w:val="00687FF2"/>
    <w:rsid w:val="006910B6"/>
    <w:rsid w:val="00695136"/>
    <w:rsid w:val="006A36E7"/>
    <w:rsid w:val="006A3AAD"/>
    <w:rsid w:val="006A454C"/>
    <w:rsid w:val="006A51FA"/>
    <w:rsid w:val="006A7645"/>
    <w:rsid w:val="006A7F0B"/>
    <w:rsid w:val="006B46C1"/>
    <w:rsid w:val="006B7768"/>
    <w:rsid w:val="006C4736"/>
    <w:rsid w:val="006D2D7E"/>
    <w:rsid w:val="006D3611"/>
    <w:rsid w:val="006D38DA"/>
    <w:rsid w:val="006D3AA2"/>
    <w:rsid w:val="006D5806"/>
    <w:rsid w:val="006D7950"/>
    <w:rsid w:val="006E0713"/>
    <w:rsid w:val="006E2AF2"/>
    <w:rsid w:val="006E3DDA"/>
    <w:rsid w:val="006F1EFA"/>
    <w:rsid w:val="006F3FF9"/>
    <w:rsid w:val="006F72FD"/>
    <w:rsid w:val="00700B4B"/>
    <w:rsid w:val="0070661F"/>
    <w:rsid w:val="00706B0B"/>
    <w:rsid w:val="007077A2"/>
    <w:rsid w:val="00707D9E"/>
    <w:rsid w:val="00707F15"/>
    <w:rsid w:val="00711017"/>
    <w:rsid w:val="00714646"/>
    <w:rsid w:val="0071538E"/>
    <w:rsid w:val="00722966"/>
    <w:rsid w:val="00725414"/>
    <w:rsid w:val="007429C9"/>
    <w:rsid w:val="00743C75"/>
    <w:rsid w:val="007450FB"/>
    <w:rsid w:val="00746DCE"/>
    <w:rsid w:val="00747EDD"/>
    <w:rsid w:val="00750C31"/>
    <w:rsid w:val="007516CB"/>
    <w:rsid w:val="00751D64"/>
    <w:rsid w:val="00756BAD"/>
    <w:rsid w:val="007611D4"/>
    <w:rsid w:val="00771FD0"/>
    <w:rsid w:val="00773520"/>
    <w:rsid w:val="00775766"/>
    <w:rsid w:val="00776E29"/>
    <w:rsid w:val="00785338"/>
    <w:rsid w:val="00790EFD"/>
    <w:rsid w:val="007917FB"/>
    <w:rsid w:val="00792917"/>
    <w:rsid w:val="00793C29"/>
    <w:rsid w:val="00795A5C"/>
    <w:rsid w:val="007A2F91"/>
    <w:rsid w:val="007A3B2A"/>
    <w:rsid w:val="007A6D46"/>
    <w:rsid w:val="007C2601"/>
    <w:rsid w:val="007C2BA0"/>
    <w:rsid w:val="007C40A7"/>
    <w:rsid w:val="007D1856"/>
    <w:rsid w:val="007D1B74"/>
    <w:rsid w:val="007D2B8E"/>
    <w:rsid w:val="007D5803"/>
    <w:rsid w:val="007E23D6"/>
    <w:rsid w:val="007E30A3"/>
    <w:rsid w:val="007E418F"/>
    <w:rsid w:val="007F0BEB"/>
    <w:rsid w:val="007F61EF"/>
    <w:rsid w:val="008023DE"/>
    <w:rsid w:val="00802556"/>
    <w:rsid w:val="008039DB"/>
    <w:rsid w:val="00812F6B"/>
    <w:rsid w:val="00816A05"/>
    <w:rsid w:val="00816FFB"/>
    <w:rsid w:val="00821618"/>
    <w:rsid w:val="00824BD6"/>
    <w:rsid w:val="00827DA5"/>
    <w:rsid w:val="00834EDB"/>
    <w:rsid w:val="008371F4"/>
    <w:rsid w:val="008454DC"/>
    <w:rsid w:val="008478E6"/>
    <w:rsid w:val="008530A8"/>
    <w:rsid w:val="008541D0"/>
    <w:rsid w:val="00870AD4"/>
    <w:rsid w:val="00875B1B"/>
    <w:rsid w:val="00876566"/>
    <w:rsid w:val="0088050B"/>
    <w:rsid w:val="0088178F"/>
    <w:rsid w:val="00882EC8"/>
    <w:rsid w:val="00886D68"/>
    <w:rsid w:val="00887A11"/>
    <w:rsid w:val="00892000"/>
    <w:rsid w:val="00892638"/>
    <w:rsid w:val="008954DE"/>
    <w:rsid w:val="008A45EE"/>
    <w:rsid w:val="008B1273"/>
    <w:rsid w:val="008B73F8"/>
    <w:rsid w:val="008C4B3F"/>
    <w:rsid w:val="008C7304"/>
    <w:rsid w:val="008D304C"/>
    <w:rsid w:val="008D4A8D"/>
    <w:rsid w:val="008E1815"/>
    <w:rsid w:val="008E2F5A"/>
    <w:rsid w:val="008E55BC"/>
    <w:rsid w:val="008E5FA5"/>
    <w:rsid w:val="008E7179"/>
    <w:rsid w:val="008F0824"/>
    <w:rsid w:val="008F094C"/>
    <w:rsid w:val="008F255A"/>
    <w:rsid w:val="008F2B5D"/>
    <w:rsid w:val="00905448"/>
    <w:rsid w:val="0091081D"/>
    <w:rsid w:val="0091414E"/>
    <w:rsid w:val="00915593"/>
    <w:rsid w:val="009157C7"/>
    <w:rsid w:val="0091781D"/>
    <w:rsid w:val="00931790"/>
    <w:rsid w:val="00936BC9"/>
    <w:rsid w:val="009379D8"/>
    <w:rsid w:val="00940037"/>
    <w:rsid w:val="00943333"/>
    <w:rsid w:val="00945657"/>
    <w:rsid w:val="00952222"/>
    <w:rsid w:val="00961653"/>
    <w:rsid w:val="00966601"/>
    <w:rsid w:val="0096733A"/>
    <w:rsid w:val="00972B0E"/>
    <w:rsid w:val="00975EF9"/>
    <w:rsid w:val="00980944"/>
    <w:rsid w:val="0098327C"/>
    <w:rsid w:val="009858D8"/>
    <w:rsid w:val="0098605B"/>
    <w:rsid w:val="009877CA"/>
    <w:rsid w:val="00992AAE"/>
    <w:rsid w:val="0099610C"/>
    <w:rsid w:val="009A0015"/>
    <w:rsid w:val="009A2FEF"/>
    <w:rsid w:val="009A422A"/>
    <w:rsid w:val="009B1682"/>
    <w:rsid w:val="009B2CF5"/>
    <w:rsid w:val="009B5FC5"/>
    <w:rsid w:val="009B78E7"/>
    <w:rsid w:val="009C35E4"/>
    <w:rsid w:val="009C5B1E"/>
    <w:rsid w:val="009C6A84"/>
    <w:rsid w:val="009D2944"/>
    <w:rsid w:val="009E4B97"/>
    <w:rsid w:val="009F0997"/>
    <w:rsid w:val="009F344D"/>
    <w:rsid w:val="009F4034"/>
    <w:rsid w:val="00A11EEF"/>
    <w:rsid w:val="00A124CF"/>
    <w:rsid w:val="00A14FFA"/>
    <w:rsid w:val="00A15453"/>
    <w:rsid w:val="00A16F0C"/>
    <w:rsid w:val="00A2019F"/>
    <w:rsid w:val="00A2569D"/>
    <w:rsid w:val="00A30DB6"/>
    <w:rsid w:val="00A330BE"/>
    <w:rsid w:val="00A36674"/>
    <w:rsid w:val="00A40423"/>
    <w:rsid w:val="00A468A4"/>
    <w:rsid w:val="00A55B9A"/>
    <w:rsid w:val="00A66EA0"/>
    <w:rsid w:val="00A71158"/>
    <w:rsid w:val="00A7305D"/>
    <w:rsid w:val="00A768D7"/>
    <w:rsid w:val="00A841FC"/>
    <w:rsid w:val="00A8424C"/>
    <w:rsid w:val="00A859E0"/>
    <w:rsid w:val="00A86D62"/>
    <w:rsid w:val="00A873E4"/>
    <w:rsid w:val="00A910EC"/>
    <w:rsid w:val="00A9450F"/>
    <w:rsid w:val="00A94712"/>
    <w:rsid w:val="00A970C0"/>
    <w:rsid w:val="00AA01C3"/>
    <w:rsid w:val="00AA0D56"/>
    <w:rsid w:val="00AA3DB2"/>
    <w:rsid w:val="00AA54CE"/>
    <w:rsid w:val="00AA6031"/>
    <w:rsid w:val="00AB000F"/>
    <w:rsid w:val="00AB295D"/>
    <w:rsid w:val="00AB6AFC"/>
    <w:rsid w:val="00AC0E61"/>
    <w:rsid w:val="00AC49D7"/>
    <w:rsid w:val="00AD24E9"/>
    <w:rsid w:val="00AD465B"/>
    <w:rsid w:val="00AD7B69"/>
    <w:rsid w:val="00AE28B0"/>
    <w:rsid w:val="00AE4405"/>
    <w:rsid w:val="00AF01C9"/>
    <w:rsid w:val="00AF6348"/>
    <w:rsid w:val="00B107AF"/>
    <w:rsid w:val="00B1092E"/>
    <w:rsid w:val="00B1118E"/>
    <w:rsid w:val="00B211F5"/>
    <w:rsid w:val="00B2378D"/>
    <w:rsid w:val="00B34A55"/>
    <w:rsid w:val="00B367D1"/>
    <w:rsid w:val="00B3713F"/>
    <w:rsid w:val="00B43A94"/>
    <w:rsid w:val="00B44E20"/>
    <w:rsid w:val="00B475BC"/>
    <w:rsid w:val="00B57E60"/>
    <w:rsid w:val="00B62C2D"/>
    <w:rsid w:val="00B7497B"/>
    <w:rsid w:val="00B82775"/>
    <w:rsid w:val="00B82898"/>
    <w:rsid w:val="00B82E84"/>
    <w:rsid w:val="00B85E24"/>
    <w:rsid w:val="00B94972"/>
    <w:rsid w:val="00BA0FD4"/>
    <w:rsid w:val="00BA2545"/>
    <w:rsid w:val="00BA26A7"/>
    <w:rsid w:val="00BA2CB7"/>
    <w:rsid w:val="00BA5F9C"/>
    <w:rsid w:val="00BB04EF"/>
    <w:rsid w:val="00BB0AED"/>
    <w:rsid w:val="00BB2C6B"/>
    <w:rsid w:val="00BC547C"/>
    <w:rsid w:val="00BD19AF"/>
    <w:rsid w:val="00BD2809"/>
    <w:rsid w:val="00BD36C7"/>
    <w:rsid w:val="00BD3E28"/>
    <w:rsid w:val="00BD4068"/>
    <w:rsid w:val="00BD524E"/>
    <w:rsid w:val="00BE7B30"/>
    <w:rsid w:val="00BF10C8"/>
    <w:rsid w:val="00BF70B7"/>
    <w:rsid w:val="00BF71DE"/>
    <w:rsid w:val="00C008F7"/>
    <w:rsid w:val="00C1046C"/>
    <w:rsid w:val="00C10E9D"/>
    <w:rsid w:val="00C148CC"/>
    <w:rsid w:val="00C15B12"/>
    <w:rsid w:val="00C16114"/>
    <w:rsid w:val="00C2262D"/>
    <w:rsid w:val="00C2678D"/>
    <w:rsid w:val="00C34C38"/>
    <w:rsid w:val="00C35B99"/>
    <w:rsid w:val="00C35DB1"/>
    <w:rsid w:val="00C413CF"/>
    <w:rsid w:val="00C44570"/>
    <w:rsid w:val="00C45871"/>
    <w:rsid w:val="00C50751"/>
    <w:rsid w:val="00C518B8"/>
    <w:rsid w:val="00C5211D"/>
    <w:rsid w:val="00C53F36"/>
    <w:rsid w:val="00C56C78"/>
    <w:rsid w:val="00C576C7"/>
    <w:rsid w:val="00C634D3"/>
    <w:rsid w:val="00C747F9"/>
    <w:rsid w:val="00C76A2C"/>
    <w:rsid w:val="00C91119"/>
    <w:rsid w:val="00C913CB"/>
    <w:rsid w:val="00C92204"/>
    <w:rsid w:val="00C92447"/>
    <w:rsid w:val="00C930E2"/>
    <w:rsid w:val="00C94BBD"/>
    <w:rsid w:val="00C94FF0"/>
    <w:rsid w:val="00CA2413"/>
    <w:rsid w:val="00CA507C"/>
    <w:rsid w:val="00CA7036"/>
    <w:rsid w:val="00CA76DF"/>
    <w:rsid w:val="00CB4BA0"/>
    <w:rsid w:val="00CB6882"/>
    <w:rsid w:val="00CC23C5"/>
    <w:rsid w:val="00CC3841"/>
    <w:rsid w:val="00CC462A"/>
    <w:rsid w:val="00CD0C33"/>
    <w:rsid w:val="00CD2A30"/>
    <w:rsid w:val="00CE1F6B"/>
    <w:rsid w:val="00CE26EC"/>
    <w:rsid w:val="00CE36DE"/>
    <w:rsid w:val="00CF5C50"/>
    <w:rsid w:val="00D01923"/>
    <w:rsid w:val="00D17A6D"/>
    <w:rsid w:val="00D17C46"/>
    <w:rsid w:val="00D20686"/>
    <w:rsid w:val="00D21ABC"/>
    <w:rsid w:val="00D22025"/>
    <w:rsid w:val="00D22032"/>
    <w:rsid w:val="00D22F8F"/>
    <w:rsid w:val="00D24532"/>
    <w:rsid w:val="00D30DA6"/>
    <w:rsid w:val="00D42DB9"/>
    <w:rsid w:val="00D442AB"/>
    <w:rsid w:val="00D4536B"/>
    <w:rsid w:val="00D53DB1"/>
    <w:rsid w:val="00D57B0B"/>
    <w:rsid w:val="00D60C8F"/>
    <w:rsid w:val="00D62F06"/>
    <w:rsid w:val="00D64A39"/>
    <w:rsid w:val="00D73C16"/>
    <w:rsid w:val="00D7581D"/>
    <w:rsid w:val="00D76D8E"/>
    <w:rsid w:val="00D860BC"/>
    <w:rsid w:val="00D9158A"/>
    <w:rsid w:val="00D969BB"/>
    <w:rsid w:val="00D97B29"/>
    <w:rsid w:val="00DA02BA"/>
    <w:rsid w:val="00DA0CAF"/>
    <w:rsid w:val="00DA44A0"/>
    <w:rsid w:val="00DB0D1D"/>
    <w:rsid w:val="00DB143B"/>
    <w:rsid w:val="00DB359F"/>
    <w:rsid w:val="00DB5876"/>
    <w:rsid w:val="00DB61E3"/>
    <w:rsid w:val="00DC156A"/>
    <w:rsid w:val="00DC2172"/>
    <w:rsid w:val="00DC3DDC"/>
    <w:rsid w:val="00DC4D90"/>
    <w:rsid w:val="00DC5452"/>
    <w:rsid w:val="00DC6897"/>
    <w:rsid w:val="00DD40E7"/>
    <w:rsid w:val="00DD42D0"/>
    <w:rsid w:val="00DD4AF1"/>
    <w:rsid w:val="00DD6DB2"/>
    <w:rsid w:val="00DE1E76"/>
    <w:rsid w:val="00DE5C5F"/>
    <w:rsid w:val="00DE64A4"/>
    <w:rsid w:val="00E02002"/>
    <w:rsid w:val="00E03832"/>
    <w:rsid w:val="00E04679"/>
    <w:rsid w:val="00E06C53"/>
    <w:rsid w:val="00E07077"/>
    <w:rsid w:val="00E1113B"/>
    <w:rsid w:val="00E11B79"/>
    <w:rsid w:val="00E150F3"/>
    <w:rsid w:val="00E246B0"/>
    <w:rsid w:val="00E25AC4"/>
    <w:rsid w:val="00E33CCD"/>
    <w:rsid w:val="00E422CE"/>
    <w:rsid w:val="00E430A1"/>
    <w:rsid w:val="00E44CE4"/>
    <w:rsid w:val="00E46A51"/>
    <w:rsid w:val="00E55AFB"/>
    <w:rsid w:val="00E60336"/>
    <w:rsid w:val="00E606E4"/>
    <w:rsid w:val="00E63A80"/>
    <w:rsid w:val="00E640F3"/>
    <w:rsid w:val="00E7171C"/>
    <w:rsid w:val="00E72C78"/>
    <w:rsid w:val="00E73ED1"/>
    <w:rsid w:val="00E75C3F"/>
    <w:rsid w:val="00E77CD1"/>
    <w:rsid w:val="00E82CEE"/>
    <w:rsid w:val="00E8549E"/>
    <w:rsid w:val="00E90137"/>
    <w:rsid w:val="00EA0017"/>
    <w:rsid w:val="00EA337C"/>
    <w:rsid w:val="00EA4A0B"/>
    <w:rsid w:val="00EA4A99"/>
    <w:rsid w:val="00EB466A"/>
    <w:rsid w:val="00EC19E0"/>
    <w:rsid w:val="00EC7909"/>
    <w:rsid w:val="00ED40CC"/>
    <w:rsid w:val="00ED73FA"/>
    <w:rsid w:val="00EE712A"/>
    <w:rsid w:val="00EF2A2C"/>
    <w:rsid w:val="00EF2FC8"/>
    <w:rsid w:val="00EF4DA1"/>
    <w:rsid w:val="00F134E2"/>
    <w:rsid w:val="00F1427F"/>
    <w:rsid w:val="00F14712"/>
    <w:rsid w:val="00F147BD"/>
    <w:rsid w:val="00F17B70"/>
    <w:rsid w:val="00F3056F"/>
    <w:rsid w:val="00F33591"/>
    <w:rsid w:val="00F377C6"/>
    <w:rsid w:val="00F37A83"/>
    <w:rsid w:val="00F4343B"/>
    <w:rsid w:val="00F448C0"/>
    <w:rsid w:val="00F50522"/>
    <w:rsid w:val="00F54F05"/>
    <w:rsid w:val="00F558B5"/>
    <w:rsid w:val="00F6438F"/>
    <w:rsid w:val="00F64E27"/>
    <w:rsid w:val="00F65473"/>
    <w:rsid w:val="00F65655"/>
    <w:rsid w:val="00F66F63"/>
    <w:rsid w:val="00F67572"/>
    <w:rsid w:val="00F76BD9"/>
    <w:rsid w:val="00F7707A"/>
    <w:rsid w:val="00F817A7"/>
    <w:rsid w:val="00F83EFA"/>
    <w:rsid w:val="00F9086E"/>
    <w:rsid w:val="00F91CC4"/>
    <w:rsid w:val="00F9550F"/>
    <w:rsid w:val="00F95FC0"/>
    <w:rsid w:val="00FA47AB"/>
    <w:rsid w:val="00FA6213"/>
    <w:rsid w:val="00FB2D04"/>
    <w:rsid w:val="00FC1346"/>
    <w:rsid w:val="00FC2799"/>
    <w:rsid w:val="00FC3582"/>
    <w:rsid w:val="00FD7D31"/>
    <w:rsid w:val="00FE10E2"/>
    <w:rsid w:val="00FE27D6"/>
    <w:rsid w:val="00FE7F3D"/>
    <w:rsid w:val="00FF502C"/>
    <w:rsid w:val="01006C98"/>
    <w:rsid w:val="01121891"/>
    <w:rsid w:val="011758CA"/>
    <w:rsid w:val="01246222"/>
    <w:rsid w:val="01672DF4"/>
    <w:rsid w:val="01710893"/>
    <w:rsid w:val="018926C4"/>
    <w:rsid w:val="01BE39D3"/>
    <w:rsid w:val="01C90C4A"/>
    <w:rsid w:val="02056244"/>
    <w:rsid w:val="0211011C"/>
    <w:rsid w:val="02434ACB"/>
    <w:rsid w:val="028E26C7"/>
    <w:rsid w:val="030747EE"/>
    <w:rsid w:val="031B3766"/>
    <w:rsid w:val="03A80BB7"/>
    <w:rsid w:val="040A04C0"/>
    <w:rsid w:val="040C1AB2"/>
    <w:rsid w:val="040C516C"/>
    <w:rsid w:val="0425211F"/>
    <w:rsid w:val="05322C2F"/>
    <w:rsid w:val="0550796B"/>
    <w:rsid w:val="05940BFA"/>
    <w:rsid w:val="05C37529"/>
    <w:rsid w:val="05FA721E"/>
    <w:rsid w:val="060E37AA"/>
    <w:rsid w:val="06D61787"/>
    <w:rsid w:val="074607FB"/>
    <w:rsid w:val="07B332B1"/>
    <w:rsid w:val="07B45083"/>
    <w:rsid w:val="07BE629E"/>
    <w:rsid w:val="07F95346"/>
    <w:rsid w:val="080B4B43"/>
    <w:rsid w:val="08290F91"/>
    <w:rsid w:val="084749C8"/>
    <w:rsid w:val="08B16BE0"/>
    <w:rsid w:val="08C94FF9"/>
    <w:rsid w:val="08FE0041"/>
    <w:rsid w:val="090C7D60"/>
    <w:rsid w:val="09222223"/>
    <w:rsid w:val="095D0E4E"/>
    <w:rsid w:val="09D24F88"/>
    <w:rsid w:val="0A163D09"/>
    <w:rsid w:val="0A4F089D"/>
    <w:rsid w:val="0AE712C5"/>
    <w:rsid w:val="0B2A2586"/>
    <w:rsid w:val="0B483BC7"/>
    <w:rsid w:val="0B5C46C6"/>
    <w:rsid w:val="0BC55773"/>
    <w:rsid w:val="0BC929F4"/>
    <w:rsid w:val="0BD45706"/>
    <w:rsid w:val="0BE87CEE"/>
    <w:rsid w:val="0C236487"/>
    <w:rsid w:val="0C310B6C"/>
    <w:rsid w:val="0C4511BE"/>
    <w:rsid w:val="0C466569"/>
    <w:rsid w:val="0C7620CF"/>
    <w:rsid w:val="0C823AB2"/>
    <w:rsid w:val="0CA301E3"/>
    <w:rsid w:val="0CD05E55"/>
    <w:rsid w:val="0CE709D1"/>
    <w:rsid w:val="0CF65C00"/>
    <w:rsid w:val="0D63265E"/>
    <w:rsid w:val="0D882ACC"/>
    <w:rsid w:val="0D9B7FCD"/>
    <w:rsid w:val="0DC37C2D"/>
    <w:rsid w:val="0DCB406E"/>
    <w:rsid w:val="0E036ECD"/>
    <w:rsid w:val="0E2A4679"/>
    <w:rsid w:val="0E553B26"/>
    <w:rsid w:val="0E5A6378"/>
    <w:rsid w:val="0EA5611C"/>
    <w:rsid w:val="0ECF36FB"/>
    <w:rsid w:val="0EFB3EE3"/>
    <w:rsid w:val="0F0F4496"/>
    <w:rsid w:val="0F2E5740"/>
    <w:rsid w:val="0FB87958"/>
    <w:rsid w:val="0FC72D3C"/>
    <w:rsid w:val="0FEC510D"/>
    <w:rsid w:val="0FF008F5"/>
    <w:rsid w:val="100A5CBD"/>
    <w:rsid w:val="10203C3F"/>
    <w:rsid w:val="10616F21"/>
    <w:rsid w:val="10B01EE1"/>
    <w:rsid w:val="10BD6788"/>
    <w:rsid w:val="10DF04AF"/>
    <w:rsid w:val="114A38A9"/>
    <w:rsid w:val="116524E3"/>
    <w:rsid w:val="11C35D89"/>
    <w:rsid w:val="11C57E28"/>
    <w:rsid w:val="122F7B2D"/>
    <w:rsid w:val="1280638D"/>
    <w:rsid w:val="129C02C4"/>
    <w:rsid w:val="13014916"/>
    <w:rsid w:val="1303381E"/>
    <w:rsid w:val="1318750C"/>
    <w:rsid w:val="131C1BCB"/>
    <w:rsid w:val="13A31FEE"/>
    <w:rsid w:val="13B82EF1"/>
    <w:rsid w:val="1423634A"/>
    <w:rsid w:val="149A1237"/>
    <w:rsid w:val="14E038AE"/>
    <w:rsid w:val="150E7E64"/>
    <w:rsid w:val="1518363D"/>
    <w:rsid w:val="1522055C"/>
    <w:rsid w:val="153F4C0B"/>
    <w:rsid w:val="154C3D3E"/>
    <w:rsid w:val="15AC6BCF"/>
    <w:rsid w:val="15CA6025"/>
    <w:rsid w:val="15DA62DD"/>
    <w:rsid w:val="1618559A"/>
    <w:rsid w:val="16216C55"/>
    <w:rsid w:val="163F4EFF"/>
    <w:rsid w:val="16476980"/>
    <w:rsid w:val="16940BAF"/>
    <w:rsid w:val="16B35E18"/>
    <w:rsid w:val="16BE41A4"/>
    <w:rsid w:val="16D83A36"/>
    <w:rsid w:val="174B6C8A"/>
    <w:rsid w:val="178B5320"/>
    <w:rsid w:val="17A37D02"/>
    <w:rsid w:val="17AC3DF0"/>
    <w:rsid w:val="17DB74D3"/>
    <w:rsid w:val="17E62623"/>
    <w:rsid w:val="18205515"/>
    <w:rsid w:val="18280650"/>
    <w:rsid w:val="183F7C02"/>
    <w:rsid w:val="18691307"/>
    <w:rsid w:val="187928C6"/>
    <w:rsid w:val="187976EE"/>
    <w:rsid w:val="18A81DA2"/>
    <w:rsid w:val="18B91E30"/>
    <w:rsid w:val="19540E26"/>
    <w:rsid w:val="19EA2014"/>
    <w:rsid w:val="19FE2A54"/>
    <w:rsid w:val="1A071941"/>
    <w:rsid w:val="1A4203A7"/>
    <w:rsid w:val="1A975100"/>
    <w:rsid w:val="1A9D5C1B"/>
    <w:rsid w:val="1B323377"/>
    <w:rsid w:val="1B4D19EC"/>
    <w:rsid w:val="1C1E6982"/>
    <w:rsid w:val="1C40395B"/>
    <w:rsid w:val="1C45364B"/>
    <w:rsid w:val="1C5727E7"/>
    <w:rsid w:val="1C640003"/>
    <w:rsid w:val="1C716984"/>
    <w:rsid w:val="1CE356A9"/>
    <w:rsid w:val="1D567BA9"/>
    <w:rsid w:val="1D6A03FE"/>
    <w:rsid w:val="1D6D3D71"/>
    <w:rsid w:val="1D885188"/>
    <w:rsid w:val="1D9E26A4"/>
    <w:rsid w:val="1DB35FD5"/>
    <w:rsid w:val="1DC91A28"/>
    <w:rsid w:val="1DD1105C"/>
    <w:rsid w:val="1DE45C9C"/>
    <w:rsid w:val="1DF36F7B"/>
    <w:rsid w:val="1E3F4DEE"/>
    <w:rsid w:val="1EDF674E"/>
    <w:rsid w:val="1F1A15E4"/>
    <w:rsid w:val="1F276947"/>
    <w:rsid w:val="1F2E62C1"/>
    <w:rsid w:val="1F3421A9"/>
    <w:rsid w:val="1FA54661"/>
    <w:rsid w:val="1FC83001"/>
    <w:rsid w:val="1FE12068"/>
    <w:rsid w:val="205926AB"/>
    <w:rsid w:val="20825F1F"/>
    <w:rsid w:val="20E21D4E"/>
    <w:rsid w:val="21161DC5"/>
    <w:rsid w:val="21182154"/>
    <w:rsid w:val="211A4CA2"/>
    <w:rsid w:val="21451F12"/>
    <w:rsid w:val="217216E5"/>
    <w:rsid w:val="21986DA1"/>
    <w:rsid w:val="2211244F"/>
    <w:rsid w:val="22491A77"/>
    <w:rsid w:val="2250495A"/>
    <w:rsid w:val="22751D24"/>
    <w:rsid w:val="22943D42"/>
    <w:rsid w:val="22963651"/>
    <w:rsid w:val="22CD2BFB"/>
    <w:rsid w:val="23CD0FD4"/>
    <w:rsid w:val="23D73E4F"/>
    <w:rsid w:val="23E17175"/>
    <w:rsid w:val="246A25EC"/>
    <w:rsid w:val="2476229D"/>
    <w:rsid w:val="247E6772"/>
    <w:rsid w:val="24E82607"/>
    <w:rsid w:val="25245F91"/>
    <w:rsid w:val="254A3258"/>
    <w:rsid w:val="25D24FC7"/>
    <w:rsid w:val="25E86B7F"/>
    <w:rsid w:val="25F7163A"/>
    <w:rsid w:val="266613DF"/>
    <w:rsid w:val="267020AE"/>
    <w:rsid w:val="26BC6432"/>
    <w:rsid w:val="26C417E7"/>
    <w:rsid w:val="27174761"/>
    <w:rsid w:val="272E75D9"/>
    <w:rsid w:val="278B4096"/>
    <w:rsid w:val="27CB423C"/>
    <w:rsid w:val="28052E70"/>
    <w:rsid w:val="283454AD"/>
    <w:rsid w:val="287C157A"/>
    <w:rsid w:val="28881F27"/>
    <w:rsid w:val="289801FA"/>
    <w:rsid w:val="28C503CC"/>
    <w:rsid w:val="290F6DE1"/>
    <w:rsid w:val="291905DB"/>
    <w:rsid w:val="292204E8"/>
    <w:rsid w:val="294E3FC2"/>
    <w:rsid w:val="29D0388D"/>
    <w:rsid w:val="2A256853"/>
    <w:rsid w:val="2A830979"/>
    <w:rsid w:val="2AA646BC"/>
    <w:rsid w:val="2AE10FA9"/>
    <w:rsid w:val="2B1E78E8"/>
    <w:rsid w:val="2B962A56"/>
    <w:rsid w:val="2BAE5CD6"/>
    <w:rsid w:val="2BE84693"/>
    <w:rsid w:val="2C475903"/>
    <w:rsid w:val="2CA0541A"/>
    <w:rsid w:val="2CAD0B81"/>
    <w:rsid w:val="2CBB72B2"/>
    <w:rsid w:val="2D9A17B8"/>
    <w:rsid w:val="2DA24702"/>
    <w:rsid w:val="2DB161D0"/>
    <w:rsid w:val="2E06749A"/>
    <w:rsid w:val="2E2142F2"/>
    <w:rsid w:val="2E6B17BE"/>
    <w:rsid w:val="2E887BA6"/>
    <w:rsid w:val="2E895EF2"/>
    <w:rsid w:val="2F63356A"/>
    <w:rsid w:val="2F720202"/>
    <w:rsid w:val="2FEC07F3"/>
    <w:rsid w:val="2FFF3BB5"/>
    <w:rsid w:val="30460CAE"/>
    <w:rsid w:val="30472042"/>
    <w:rsid w:val="304B5C34"/>
    <w:rsid w:val="30626A23"/>
    <w:rsid w:val="30BB2F3D"/>
    <w:rsid w:val="30F90B56"/>
    <w:rsid w:val="30FE1366"/>
    <w:rsid w:val="31051F76"/>
    <w:rsid w:val="31743B54"/>
    <w:rsid w:val="31744B80"/>
    <w:rsid w:val="319649F6"/>
    <w:rsid w:val="31BE28C0"/>
    <w:rsid w:val="31E50E81"/>
    <w:rsid w:val="32092F98"/>
    <w:rsid w:val="322D6586"/>
    <w:rsid w:val="32D90296"/>
    <w:rsid w:val="32ED3E68"/>
    <w:rsid w:val="32F508B7"/>
    <w:rsid w:val="3317541D"/>
    <w:rsid w:val="33861069"/>
    <w:rsid w:val="33B908A4"/>
    <w:rsid w:val="33CD3987"/>
    <w:rsid w:val="33D25C33"/>
    <w:rsid w:val="34023724"/>
    <w:rsid w:val="34076580"/>
    <w:rsid w:val="342045F8"/>
    <w:rsid w:val="343329DD"/>
    <w:rsid w:val="34452416"/>
    <w:rsid w:val="352479C5"/>
    <w:rsid w:val="35680DD5"/>
    <w:rsid w:val="35A00653"/>
    <w:rsid w:val="35A555E9"/>
    <w:rsid w:val="3678368B"/>
    <w:rsid w:val="36AF367C"/>
    <w:rsid w:val="36C810F6"/>
    <w:rsid w:val="36CB28B1"/>
    <w:rsid w:val="36D27D8D"/>
    <w:rsid w:val="36DA7901"/>
    <w:rsid w:val="36E2582A"/>
    <w:rsid w:val="36E37CAA"/>
    <w:rsid w:val="36FC32AA"/>
    <w:rsid w:val="376F1919"/>
    <w:rsid w:val="3776465F"/>
    <w:rsid w:val="37ED064A"/>
    <w:rsid w:val="3840559F"/>
    <w:rsid w:val="38C962F2"/>
    <w:rsid w:val="391328B3"/>
    <w:rsid w:val="3918434A"/>
    <w:rsid w:val="391C1D28"/>
    <w:rsid w:val="393048AB"/>
    <w:rsid w:val="394930FA"/>
    <w:rsid w:val="39783FA8"/>
    <w:rsid w:val="397D7837"/>
    <w:rsid w:val="399440A1"/>
    <w:rsid w:val="39AF38AC"/>
    <w:rsid w:val="39CF5712"/>
    <w:rsid w:val="3A2D2830"/>
    <w:rsid w:val="3A396138"/>
    <w:rsid w:val="3A3E6B83"/>
    <w:rsid w:val="3A7430D0"/>
    <w:rsid w:val="3A804592"/>
    <w:rsid w:val="3A9B0794"/>
    <w:rsid w:val="3AED2B0A"/>
    <w:rsid w:val="3B0358CE"/>
    <w:rsid w:val="3B282854"/>
    <w:rsid w:val="3B3430C3"/>
    <w:rsid w:val="3B37435C"/>
    <w:rsid w:val="3B3E796D"/>
    <w:rsid w:val="3B7F4030"/>
    <w:rsid w:val="3BBD4D3D"/>
    <w:rsid w:val="3BFC3A41"/>
    <w:rsid w:val="3C0D39E2"/>
    <w:rsid w:val="3C8C3EFC"/>
    <w:rsid w:val="3CE44D48"/>
    <w:rsid w:val="3D0D6723"/>
    <w:rsid w:val="3D6D00A3"/>
    <w:rsid w:val="3D6D22AE"/>
    <w:rsid w:val="3DD92BE9"/>
    <w:rsid w:val="3DE2249A"/>
    <w:rsid w:val="3DEA7723"/>
    <w:rsid w:val="3E3C7711"/>
    <w:rsid w:val="3ED65E09"/>
    <w:rsid w:val="3EDB1C03"/>
    <w:rsid w:val="3EFB73C4"/>
    <w:rsid w:val="3F531478"/>
    <w:rsid w:val="3F9B1112"/>
    <w:rsid w:val="3FC22808"/>
    <w:rsid w:val="3FF971CD"/>
    <w:rsid w:val="400E2C48"/>
    <w:rsid w:val="4104587D"/>
    <w:rsid w:val="41232723"/>
    <w:rsid w:val="417E0B17"/>
    <w:rsid w:val="418F0350"/>
    <w:rsid w:val="41CF0CCA"/>
    <w:rsid w:val="423E6735"/>
    <w:rsid w:val="42E24418"/>
    <w:rsid w:val="42E37DDF"/>
    <w:rsid w:val="43103F85"/>
    <w:rsid w:val="44406ADA"/>
    <w:rsid w:val="45173C61"/>
    <w:rsid w:val="453D0A00"/>
    <w:rsid w:val="455F1090"/>
    <w:rsid w:val="45C66C5D"/>
    <w:rsid w:val="45D8064D"/>
    <w:rsid w:val="45E8401B"/>
    <w:rsid w:val="460C5ACD"/>
    <w:rsid w:val="461834F6"/>
    <w:rsid w:val="46190890"/>
    <w:rsid w:val="46460EE5"/>
    <w:rsid w:val="4673671D"/>
    <w:rsid w:val="468F7AB2"/>
    <w:rsid w:val="46A60BA5"/>
    <w:rsid w:val="46C609E9"/>
    <w:rsid w:val="46CD3D53"/>
    <w:rsid w:val="46D96FF6"/>
    <w:rsid w:val="470F3C79"/>
    <w:rsid w:val="47C83F0B"/>
    <w:rsid w:val="47E34869"/>
    <w:rsid w:val="488E7588"/>
    <w:rsid w:val="48964345"/>
    <w:rsid w:val="48B72B29"/>
    <w:rsid w:val="48CE1448"/>
    <w:rsid w:val="48EB621C"/>
    <w:rsid w:val="48ED230F"/>
    <w:rsid w:val="4940366F"/>
    <w:rsid w:val="49A30BC0"/>
    <w:rsid w:val="49CC4E4A"/>
    <w:rsid w:val="49D82910"/>
    <w:rsid w:val="49F62F9E"/>
    <w:rsid w:val="4A1F3E13"/>
    <w:rsid w:val="4A232A38"/>
    <w:rsid w:val="4A536BCB"/>
    <w:rsid w:val="4A54488C"/>
    <w:rsid w:val="4A6978AD"/>
    <w:rsid w:val="4A8A7736"/>
    <w:rsid w:val="4AE320E4"/>
    <w:rsid w:val="4AF46FEB"/>
    <w:rsid w:val="4B26663A"/>
    <w:rsid w:val="4B2B01CF"/>
    <w:rsid w:val="4B3A1853"/>
    <w:rsid w:val="4B596F3B"/>
    <w:rsid w:val="4B617B2C"/>
    <w:rsid w:val="4B6B5317"/>
    <w:rsid w:val="4BD85AE2"/>
    <w:rsid w:val="4BEB6E7D"/>
    <w:rsid w:val="4BF948F0"/>
    <w:rsid w:val="4C46039D"/>
    <w:rsid w:val="4C5E3E9B"/>
    <w:rsid w:val="4C7B1118"/>
    <w:rsid w:val="4C7B2D4A"/>
    <w:rsid w:val="4C821657"/>
    <w:rsid w:val="4CE372B9"/>
    <w:rsid w:val="4D1D72E3"/>
    <w:rsid w:val="4D1E40BD"/>
    <w:rsid w:val="4D9A0192"/>
    <w:rsid w:val="4D9F08C0"/>
    <w:rsid w:val="4DDB13B3"/>
    <w:rsid w:val="4DE376DA"/>
    <w:rsid w:val="4E05002E"/>
    <w:rsid w:val="4E2915B3"/>
    <w:rsid w:val="4E317374"/>
    <w:rsid w:val="4E5C1128"/>
    <w:rsid w:val="4EB71FD7"/>
    <w:rsid w:val="4EC731AC"/>
    <w:rsid w:val="4EFD5083"/>
    <w:rsid w:val="4F03120B"/>
    <w:rsid w:val="4F0B752B"/>
    <w:rsid w:val="4F372FC7"/>
    <w:rsid w:val="4F531262"/>
    <w:rsid w:val="4F5F2593"/>
    <w:rsid w:val="501012C2"/>
    <w:rsid w:val="504B1DF9"/>
    <w:rsid w:val="50694024"/>
    <w:rsid w:val="506F047B"/>
    <w:rsid w:val="50A6515E"/>
    <w:rsid w:val="50BA786B"/>
    <w:rsid w:val="50BB05F1"/>
    <w:rsid w:val="50BD2A79"/>
    <w:rsid w:val="50D205A9"/>
    <w:rsid w:val="5115109C"/>
    <w:rsid w:val="5134031D"/>
    <w:rsid w:val="51401537"/>
    <w:rsid w:val="51702BC7"/>
    <w:rsid w:val="51C542E1"/>
    <w:rsid w:val="51D55788"/>
    <w:rsid w:val="52882664"/>
    <w:rsid w:val="52BE5863"/>
    <w:rsid w:val="52CB39A1"/>
    <w:rsid w:val="52FE6F34"/>
    <w:rsid w:val="531329BD"/>
    <w:rsid w:val="533365DF"/>
    <w:rsid w:val="54724822"/>
    <w:rsid w:val="54E04F9A"/>
    <w:rsid w:val="551C62C9"/>
    <w:rsid w:val="554329FC"/>
    <w:rsid w:val="555A28F0"/>
    <w:rsid w:val="556A6054"/>
    <w:rsid w:val="556D208E"/>
    <w:rsid w:val="55B3484C"/>
    <w:rsid w:val="55E54FDA"/>
    <w:rsid w:val="56161BC1"/>
    <w:rsid w:val="563B0804"/>
    <w:rsid w:val="56757B73"/>
    <w:rsid w:val="567807A8"/>
    <w:rsid w:val="56A16441"/>
    <w:rsid w:val="56EA399C"/>
    <w:rsid w:val="56F0448F"/>
    <w:rsid w:val="57290E10"/>
    <w:rsid w:val="5775155A"/>
    <w:rsid w:val="577801EC"/>
    <w:rsid w:val="57FC719C"/>
    <w:rsid w:val="58032571"/>
    <w:rsid w:val="583D62AD"/>
    <w:rsid w:val="58531BED"/>
    <w:rsid w:val="586B652D"/>
    <w:rsid w:val="589864D3"/>
    <w:rsid w:val="589F4FDC"/>
    <w:rsid w:val="58E0039E"/>
    <w:rsid w:val="58E913C0"/>
    <w:rsid w:val="59202BCC"/>
    <w:rsid w:val="594707C9"/>
    <w:rsid w:val="595D282E"/>
    <w:rsid w:val="5962070D"/>
    <w:rsid w:val="597C1B54"/>
    <w:rsid w:val="59F142AE"/>
    <w:rsid w:val="59FF19FA"/>
    <w:rsid w:val="5A783864"/>
    <w:rsid w:val="5A966031"/>
    <w:rsid w:val="5AF52884"/>
    <w:rsid w:val="5B12188D"/>
    <w:rsid w:val="5B2F0844"/>
    <w:rsid w:val="5B773D8A"/>
    <w:rsid w:val="5BC15C0E"/>
    <w:rsid w:val="5BFD6A95"/>
    <w:rsid w:val="5C2023C1"/>
    <w:rsid w:val="5C4A2849"/>
    <w:rsid w:val="5C4B4BEE"/>
    <w:rsid w:val="5C57291E"/>
    <w:rsid w:val="5CDD3609"/>
    <w:rsid w:val="5D1367C9"/>
    <w:rsid w:val="5D3D0543"/>
    <w:rsid w:val="5D732EB7"/>
    <w:rsid w:val="5E021BE6"/>
    <w:rsid w:val="5E265CEF"/>
    <w:rsid w:val="5E390E24"/>
    <w:rsid w:val="5E6D09FC"/>
    <w:rsid w:val="5E7F1777"/>
    <w:rsid w:val="5E854674"/>
    <w:rsid w:val="5E900730"/>
    <w:rsid w:val="5EA655F3"/>
    <w:rsid w:val="5EA94ACC"/>
    <w:rsid w:val="5EB1715A"/>
    <w:rsid w:val="5EB9176F"/>
    <w:rsid w:val="5F107523"/>
    <w:rsid w:val="5F320607"/>
    <w:rsid w:val="5F9C6C3E"/>
    <w:rsid w:val="60375072"/>
    <w:rsid w:val="60507BE3"/>
    <w:rsid w:val="6063027B"/>
    <w:rsid w:val="60984A48"/>
    <w:rsid w:val="60DD2BF7"/>
    <w:rsid w:val="61043BE2"/>
    <w:rsid w:val="611D586C"/>
    <w:rsid w:val="613502CD"/>
    <w:rsid w:val="614E7214"/>
    <w:rsid w:val="615256FE"/>
    <w:rsid w:val="61664963"/>
    <w:rsid w:val="61B719C0"/>
    <w:rsid w:val="61CC110D"/>
    <w:rsid w:val="61D674B2"/>
    <w:rsid w:val="61F236AF"/>
    <w:rsid w:val="627250D3"/>
    <w:rsid w:val="62804139"/>
    <w:rsid w:val="628628EB"/>
    <w:rsid w:val="62A24123"/>
    <w:rsid w:val="62CA1403"/>
    <w:rsid w:val="630133FB"/>
    <w:rsid w:val="63014AC9"/>
    <w:rsid w:val="63147A1A"/>
    <w:rsid w:val="631E0515"/>
    <w:rsid w:val="633E7AFD"/>
    <w:rsid w:val="63822421"/>
    <w:rsid w:val="639F6580"/>
    <w:rsid w:val="63E306CE"/>
    <w:rsid w:val="63FC0C5A"/>
    <w:rsid w:val="6418023D"/>
    <w:rsid w:val="6441492F"/>
    <w:rsid w:val="645E7B38"/>
    <w:rsid w:val="64A9629C"/>
    <w:rsid w:val="64AD1CEC"/>
    <w:rsid w:val="64AE04B2"/>
    <w:rsid w:val="64DA276D"/>
    <w:rsid w:val="659D3DF6"/>
    <w:rsid w:val="65E1359C"/>
    <w:rsid w:val="65FA08D1"/>
    <w:rsid w:val="65FA7722"/>
    <w:rsid w:val="660D3631"/>
    <w:rsid w:val="668D0003"/>
    <w:rsid w:val="668F45C7"/>
    <w:rsid w:val="66A01E20"/>
    <w:rsid w:val="66B56F60"/>
    <w:rsid w:val="674766D4"/>
    <w:rsid w:val="67982C74"/>
    <w:rsid w:val="67AC3575"/>
    <w:rsid w:val="6813091A"/>
    <w:rsid w:val="6839042C"/>
    <w:rsid w:val="68592934"/>
    <w:rsid w:val="68A37B52"/>
    <w:rsid w:val="68A84D7C"/>
    <w:rsid w:val="68F656F3"/>
    <w:rsid w:val="690A54C2"/>
    <w:rsid w:val="69C35533"/>
    <w:rsid w:val="69EB2E93"/>
    <w:rsid w:val="6A065370"/>
    <w:rsid w:val="6A091C0C"/>
    <w:rsid w:val="6A0C652F"/>
    <w:rsid w:val="6A1E46FF"/>
    <w:rsid w:val="6A8F3246"/>
    <w:rsid w:val="6ADB076B"/>
    <w:rsid w:val="6B064A6B"/>
    <w:rsid w:val="6BA35411"/>
    <w:rsid w:val="6C1F5711"/>
    <w:rsid w:val="6C206043"/>
    <w:rsid w:val="6C63494D"/>
    <w:rsid w:val="6C6D59C8"/>
    <w:rsid w:val="6C88625E"/>
    <w:rsid w:val="6D6956C6"/>
    <w:rsid w:val="6D8E52D6"/>
    <w:rsid w:val="6DAC770D"/>
    <w:rsid w:val="6E5C2A14"/>
    <w:rsid w:val="6E786E38"/>
    <w:rsid w:val="6E951B2A"/>
    <w:rsid w:val="6EB0339E"/>
    <w:rsid w:val="6F080338"/>
    <w:rsid w:val="6F617CF8"/>
    <w:rsid w:val="701B3C2F"/>
    <w:rsid w:val="707130D0"/>
    <w:rsid w:val="70985AED"/>
    <w:rsid w:val="70DE1901"/>
    <w:rsid w:val="7123350B"/>
    <w:rsid w:val="71BD61D2"/>
    <w:rsid w:val="71C563A6"/>
    <w:rsid w:val="71DA5013"/>
    <w:rsid w:val="71FC4F45"/>
    <w:rsid w:val="72013349"/>
    <w:rsid w:val="722C53C3"/>
    <w:rsid w:val="72B949B6"/>
    <w:rsid w:val="72C71AC8"/>
    <w:rsid w:val="72E52851"/>
    <w:rsid w:val="73504D4A"/>
    <w:rsid w:val="739E27B8"/>
    <w:rsid w:val="73A52FFA"/>
    <w:rsid w:val="73C41360"/>
    <w:rsid w:val="740B755E"/>
    <w:rsid w:val="74106863"/>
    <w:rsid w:val="74235B1A"/>
    <w:rsid w:val="74470325"/>
    <w:rsid w:val="747F7121"/>
    <w:rsid w:val="74901609"/>
    <w:rsid w:val="74B0081B"/>
    <w:rsid w:val="74CC21B7"/>
    <w:rsid w:val="74DC1E43"/>
    <w:rsid w:val="74E5669C"/>
    <w:rsid w:val="75201444"/>
    <w:rsid w:val="75265D63"/>
    <w:rsid w:val="75327E3D"/>
    <w:rsid w:val="75605AB1"/>
    <w:rsid w:val="759A0CD0"/>
    <w:rsid w:val="759D2D70"/>
    <w:rsid w:val="75A20488"/>
    <w:rsid w:val="75C508C4"/>
    <w:rsid w:val="75C50CA9"/>
    <w:rsid w:val="75FE2FD9"/>
    <w:rsid w:val="76152B54"/>
    <w:rsid w:val="764C34AA"/>
    <w:rsid w:val="76723214"/>
    <w:rsid w:val="76B46B35"/>
    <w:rsid w:val="772B7B5F"/>
    <w:rsid w:val="77396138"/>
    <w:rsid w:val="775C3895"/>
    <w:rsid w:val="779D37F4"/>
    <w:rsid w:val="77B57177"/>
    <w:rsid w:val="77D32401"/>
    <w:rsid w:val="77E125D2"/>
    <w:rsid w:val="78063F46"/>
    <w:rsid w:val="783B2EF9"/>
    <w:rsid w:val="78760A16"/>
    <w:rsid w:val="789F15CA"/>
    <w:rsid w:val="790422E5"/>
    <w:rsid w:val="79612374"/>
    <w:rsid w:val="797C64EB"/>
    <w:rsid w:val="799E363A"/>
    <w:rsid w:val="79A94AC7"/>
    <w:rsid w:val="79C114B3"/>
    <w:rsid w:val="7A1615E6"/>
    <w:rsid w:val="7A3915CB"/>
    <w:rsid w:val="7A450521"/>
    <w:rsid w:val="7A6C595E"/>
    <w:rsid w:val="7A753E54"/>
    <w:rsid w:val="7A893FCD"/>
    <w:rsid w:val="7AC32A82"/>
    <w:rsid w:val="7AE02D9F"/>
    <w:rsid w:val="7AE31134"/>
    <w:rsid w:val="7AF44D82"/>
    <w:rsid w:val="7B0F5F1F"/>
    <w:rsid w:val="7B4B4C6A"/>
    <w:rsid w:val="7B546290"/>
    <w:rsid w:val="7BA615E4"/>
    <w:rsid w:val="7BC22819"/>
    <w:rsid w:val="7BD67AD7"/>
    <w:rsid w:val="7BEB5709"/>
    <w:rsid w:val="7BFD0429"/>
    <w:rsid w:val="7C511CEE"/>
    <w:rsid w:val="7C693193"/>
    <w:rsid w:val="7D1C0DE3"/>
    <w:rsid w:val="7D546E6D"/>
    <w:rsid w:val="7D747DD4"/>
    <w:rsid w:val="7D870A88"/>
    <w:rsid w:val="7D9D7EAF"/>
    <w:rsid w:val="7DB34849"/>
    <w:rsid w:val="7E1907D6"/>
    <w:rsid w:val="7EBB3516"/>
    <w:rsid w:val="7EF0593D"/>
    <w:rsid w:val="7F0C7E43"/>
    <w:rsid w:val="7F173030"/>
    <w:rsid w:val="7F194AC6"/>
    <w:rsid w:val="7FDE51D4"/>
    <w:rsid w:val="FC99CB7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qFormat="1" w:unhideWhenUsed="0" w:uiPriority="0" w:semiHidden="0"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iPriority="99" w:semiHidden="0"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iPriority="99" w:name="HTML Acronym" w:locked="1"/>
    <w:lsdException w:uiPriority="99" w:name="HTML Address" w:locked="1"/>
    <w:lsdException w:qFormat="1" w:uiPriority="99" w:name="HTML Cite" w:locked="1"/>
    <w:lsdException w:qFormat="1" w:uiPriority="99" w:name="HTML Code" w:locked="1"/>
    <w:lsdException w:qFormat="1" w:uiPriority="99" w:name="HTML Definition" w:locked="1"/>
    <w:lsdException w:qFormat="1" w:uiPriority="99" w:name="HTML Keyboard" w:locked="1"/>
    <w:lsdException w:uiPriority="99" w:name="HTML Preformatted" w:locked="1"/>
    <w:lsdException w:qFormat="1" w:uiPriority="99" w:name="HTML Sample" w:locked="1"/>
    <w:lsdException w:qFormat="1" w:uiPriority="99" w:name="HTML Typewriter" w:locked="1"/>
    <w:lsdException w:qFormat="1"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55"/>
    <w:qFormat/>
    <w:uiPriority w:val="99"/>
    <w:pPr>
      <w:keepNext/>
      <w:keepLines/>
      <w:spacing w:before="260" w:after="260" w:line="416" w:lineRule="auto"/>
      <w:outlineLvl w:val="1"/>
    </w:pPr>
    <w:rPr>
      <w:rFonts w:ascii="Arial" w:hAnsi="Arial" w:eastAsia="黑体"/>
      <w:b/>
      <w:bCs/>
      <w:sz w:val="32"/>
      <w:szCs w:val="32"/>
    </w:rPr>
  </w:style>
  <w:style w:type="paragraph" w:styleId="5">
    <w:name w:val="heading 4"/>
    <w:basedOn w:val="1"/>
    <w:next w:val="1"/>
    <w:qFormat/>
    <w:locked/>
    <w:uiPriority w:val="0"/>
    <w:pPr>
      <w:keepNext/>
      <w:keepLines/>
      <w:jc w:val="left"/>
      <w:outlineLvl w:val="3"/>
    </w:pPr>
    <w:rPr>
      <w:rFonts w:hint="eastAsia" w:ascii="Arial" w:hAnsi="Arial"/>
      <w:b/>
      <w:sz w:val="32"/>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目录 91"/>
    <w:next w:val="1"/>
    <w:qFormat/>
    <w:uiPriority w:val="0"/>
    <w:pPr>
      <w:wordWrap w:val="0"/>
      <w:ind w:left="3400"/>
      <w:jc w:val="both"/>
    </w:pPr>
    <w:rPr>
      <w:rFonts w:ascii="宋体" w:hAnsi="宋体" w:eastAsia="Times New Roman" w:cs="Times New Roman"/>
      <w:sz w:val="21"/>
      <w:lang w:val="en-US" w:eastAsia="zh-CN" w:bidi="ar-SA"/>
    </w:rPr>
  </w:style>
  <w:style w:type="paragraph" w:styleId="6">
    <w:name w:val="Normal Indent"/>
    <w:basedOn w:val="1"/>
    <w:link w:val="70"/>
    <w:qFormat/>
    <w:uiPriority w:val="99"/>
    <w:pPr>
      <w:ind w:firstLine="420"/>
    </w:pPr>
    <w:rPr>
      <w:szCs w:val="20"/>
    </w:rPr>
  </w:style>
  <w:style w:type="paragraph" w:styleId="7">
    <w:name w:val="annotation text"/>
    <w:basedOn w:val="1"/>
    <w:link w:val="57"/>
    <w:qFormat/>
    <w:uiPriority w:val="99"/>
    <w:pPr>
      <w:jc w:val="left"/>
    </w:pPr>
  </w:style>
  <w:style w:type="paragraph" w:styleId="8">
    <w:name w:val="Body Text"/>
    <w:basedOn w:val="1"/>
    <w:next w:val="9"/>
    <w:link w:val="58"/>
    <w:qFormat/>
    <w:uiPriority w:val="99"/>
    <w:pPr>
      <w:spacing w:after="120"/>
    </w:pPr>
    <w:rPr>
      <w:sz w:val="28"/>
    </w:rPr>
  </w:style>
  <w:style w:type="paragraph" w:customStyle="1" w:styleId="9">
    <w:name w:val="一级条标题"/>
    <w:basedOn w:val="10"/>
    <w:next w:val="11"/>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10">
    <w:name w:val="章标题"/>
    <w:next w:val="1"/>
    <w:qFormat/>
    <w:uiPriority w:val="0"/>
    <w:pPr>
      <w:tabs>
        <w:tab w:val="left" w:pos="810"/>
        <w:tab w:val="left" w:pos="1265"/>
      </w:tabs>
      <w:spacing w:before="50" w:after="50" w:line="240" w:lineRule="auto"/>
      <w:ind w:left="810" w:hanging="810"/>
      <w:jc w:val="both"/>
      <w:outlineLvl w:val="1"/>
    </w:pPr>
    <w:rPr>
      <w:rFonts w:ascii="黑体" w:hAnsi="Times New Roman" w:eastAsia="黑体" w:cs="Times New Roman"/>
      <w:kern w:val="2"/>
      <w:sz w:val="21"/>
      <w:szCs w:val="22"/>
      <w:lang w:val="en-US" w:eastAsia="zh-CN" w:bidi="ar-SA"/>
      <w14:ligatures w14:val="none"/>
    </w:rPr>
  </w:style>
  <w:style w:type="paragraph" w:customStyle="1" w:styleId="11">
    <w:name w:val="段"/>
    <w:next w:val="1"/>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styleId="12">
    <w:name w:val="Body Text Indent"/>
    <w:basedOn w:val="1"/>
    <w:next w:val="13"/>
    <w:link w:val="56"/>
    <w:qFormat/>
    <w:uiPriority w:val="99"/>
    <w:pPr>
      <w:widowControl/>
      <w:spacing w:before="100" w:beforeAutospacing="1" w:after="100" w:afterAutospacing="1"/>
      <w:jc w:val="left"/>
    </w:pPr>
    <w:rPr>
      <w:rFonts w:ascii="宋体" w:hAnsi="宋体" w:cs="宋体"/>
      <w:kern w:val="0"/>
      <w:sz w:val="24"/>
    </w:rPr>
  </w:style>
  <w:style w:type="paragraph" w:styleId="13">
    <w:name w:val="envelope return"/>
    <w:basedOn w:val="1"/>
    <w:unhideWhenUsed/>
    <w:qFormat/>
    <w:locked/>
    <w:uiPriority w:val="99"/>
    <w:pPr>
      <w:snapToGrid w:val="0"/>
      <w:spacing w:line="280" w:lineRule="exact"/>
    </w:pPr>
    <w:rPr>
      <w:rFonts w:ascii="Arial" w:hAnsi="Arial"/>
    </w:rPr>
  </w:style>
  <w:style w:type="paragraph" w:styleId="14">
    <w:name w:val="List Number 3"/>
    <w:basedOn w:val="1"/>
    <w:qFormat/>
    <w:uiPriority w:val="99"/>
    <w:pPr>
      <w:tabs>
        <w:tab w:val="left" w:pos="1200"/>
      </w:tabs>
      <w:ind w:left="1200" w:hanging="360"/>
    </w:pPr>
  </w:style>
  <w:style w:type="paragraph" w:styleId="15">
    <w:name w:val="toc 3"/>
    <w:basedOn w:val="1"/>
    <w:next w:val="1"/>
    <w:qFormat/>
    <w:uiPriority w:val="99"/>
    <w:pPr>
      <w:ind w:left="840" w:leftChars="400"/>
    </w:pPr>
  </w:style>
  <w:style w:type="paragraph" w:styleId="16">
    <w:name w:val="Plain Text"/>
    <w:basedOn w:val="1"/>
    <w:next w:val="17"/>
    <w:link w:val="60"/>
    <w:qFormat/>
    <w:uiPriority w:val="99"/>
    <w:pPr>
      <w:widowControl/>
      <w:spacing w:before="100" w:beforeAutospacing="1" w:after="100" w:afterAutospacing="1"/>
      <w:jc w:val="left"/>
    </w:pPr>
    <w:rPr>
      <w:rFonts w:ascii="宋体" w:hAnsi="宋体"/>
      <w:kern w:val="0"/>
      <w:sz w:val="24"/>
    </w:rPr>
  </w:style>
  <w:style w:type="paragraph" w:styleId="17">
    <w:name w:val="toc 2"/>
    <w:basedOn w:val="1"/>
    <w:next w:val="1"/>
    <w:qFormat/>
    <w:uiPriority w:val="99"/>
    <w:pPr>
      <w:tabs>
        <w:tab w:val="right" w:leader="dot" w:pos="8494"/>
      </w:tabs>
    </w:pPr>
    <w:rPr>
      <w:sz w:val="30"/>
    </w:rPr>
  </w:style>
  <w:style w:type="paragraph" w:styleId="18">
    <w:name w:val="Date"/>
    <w:basedOn w:val="1"/>
    <w:next w:val="1"/>
    <w:link w:val="61"/>
    <w:qFormat/>
    <w:uiPriority w:val="99"/>
    <w:pPr>
      <w:widowControl/>
      <w:spacing w:before="100" w:beforeAutospacing="1" w:after="100" w:afterAutospacing="1"/>
      <w:jc w:val="left"/>
    </w:pPr>
    <w:rPr>
      <w:rFonts w:ascii="宋体" w:hAnsi="宋体"/>
      <w:kern w:val="0"/>
      <w:sz w:val="24"/>
    </w:rPr>
  </w:style>
  <w:style w:type="paragraph" w:styleId="19">
    <w:name w:val="Body Text Indent 2"/>
    <w:basedOn w:val="1"/>
    <w:link w:val="62"/>
    <w:qFormat/>
    <w:uiPriority w:val="99"/>
    <w:pPr>
      <w:spacing w:after="120" w:line="480" w:lineRule="auto"/>
      <w:ind w:left="420" w:leftChars="200"/>
    </w:pPr>
  </w:style>
  <w:style w:type="paragraph" w:styleId="20">
    <w:name w:val="Balloon Text"/>
    <w:basedOn w:val="1"/>
    <w:link w:val="63"/>
    <w:semiHidden/>
    <w:qFormat/>
    <w:uiPriority w:val="99"/>
    <w:rPr>
      <w:sz w:val="18"/>
      <w:szCs w:val="18"/>
    </w:rPr>
  </w:style>
  <w:style w:type="paragraph" w:styleId="21">
    <w:name w:val="footer"/>
    <w:basedOn w:val="1"/>
    <w:link w:val="64"/>
    <w:qFormat/>
    <w:uiPriority w:val="99"/>
    <w:pPr>
      <w:tabs>
        <w:tab w:val="center" w:pos="4153"/>
        <w:tab w:val="right" w:pos="8306"/>
      </w:tabs>
      <w:snapToGrid w:val="0"/>
      <w:jc w:val="left"/>
    </w:pPr>
    <w:rPr>
      <w:sz w:val="18"/>
      <w:szCs w:val="18"/>
    </w:rPr>
  </w:style>
  <w:style w:type="paragraph" w:styleId="22">
    <w:name w:val="header"/>
    <w:basedOn w:val="1"/>
    <w:link w:val="65"/>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99"/>
    <w:pPr>
      <w:tabs>
        <w:tab w:val="right" w:leader="dot" w:pos="8494"/>
      </w:tabs>
    </w:pPr>
    <w:rPr>
      <w:rFonts w:ascii="宋体" w:hAnsi="宋体"/>
      <w:sz w:val="32"/>
    </w:rPr>
  </w:style>
  <w:style w:type="paragraph" w:styleId="24">
    <w:name w:val="toc 6"/>
    <w:basedOn w:val="1"/>
    <w:next w:val="1"/>
    <w:qFormat/>
    <w:locked/>
    <w:uiPriority w:val="0"/>
    <w:pPr>
      <w:ind w:left="1050"/>
      <w:jc w:val="left"/>
    </w:pPr>
    <w:rPr>
      <w:sz w:val="18"/>
      <w:szCs w:val="18"/>
    </w:rPr>
  </w:style>
  <w:style w:type="paragraph" w:styleId="25">
    <w:name w:val="Body Text Indent 3"/>
    <w:basedOn w:val="1"/>
    <w:link w:val="66"/>
    <w:qFormat/>
    <w:uiPriority w:val="99"/>
    <w:pPr>
      <w:spacing w:line="500" w:lineRule="atLeast"/>
      <w:ind w:firstLine="720" w:firstLineChars="300"/>
    </w:pPr>
    <w:rPr>
      <w:sz w:val="24"/>
    </w:rPr>
  </w:style>
  <w:style w:type="paragraph" w:styleId="26">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27">
    <w:name w:val="Title"/>
    <w:basedOn w:val="1"/>
    <w:next w:val="1"/>
    <w:link w:val="67"/>
    <w:qFormat/>
    <w:uiPriority w:val="99"/>
    <w:pPr>
      <w:widowControl/>
      <w:overflowPunct w:val="0"/>
      <w:autoSpaceDE w:val="0"/>
      <w:autoSpaceDN w:val="0"/>
      <w:adjustRightInd w:val="0"/>
      <w:jc w:val="center"/>
      <w:textAlignment w:val="baseline"/>
    </w:pPr>
    <w:rPr>
      <w:b/>
      <w:kern w:val="0"/>
      <w:sz w:val="24"/>
      <w:szCs w:val="20"/>
      <w:lang w:val="en-GB" w:eastAsia="en-GB"/>
    </w:rPr>
  </w:style>
  <w:style w:type="paragraph" w:styleId="28">
    <w:name w:val="annotation subject"/>
    <w:basedOn w:val="7"/>
    <w:next w:val="7"/>
    <w:link w:val="68"/>
    <w:qFormat/>
    <w:uiPriority w:val="99"/>
    <w:rPr>
      <w:b/>
      <w:bCs/>
    </w:rPr>
  </w:style>
  <w:style w:type="paragraph" w:styleId="29">
    <w:name w:val="Body Text First Indent"/>
    <w:basedOn w:val="8"/>
    <w:next w:val="24"/>
    <w:link w:val="59"/>
    <w:qFormat/>
    <w:uiPriority w:val="99"/>
    <w:pPr>
      <w:spacing w:line="360" w:lineRule="auto"/>
      <w:ind w:firstLine="200" w:firstLineChars="200"/>
      <w:jc w:val="left"/>
    </w:pPr>
    <w:rPr>
      <w:bCs/>
      <w:sz w:val="24"/>
    </w:rPr>
  </w:style>
  <w:style w:type="paragraph" w:styleId="30">
    <w:name w:val="Body Text First Indent 2"/>
    <w:basedOn w:val="12"/>
    <w:next w:val="1"/>
    <w:link w:val="69"/>
    <w:qFormat/>
    <w:uiPriority w:val="99"/>
    <w:pPr>
      <w:ind w:firstLine="420"/>
    </w:pPr>
    <w:rPr>
      <w:szCs w:val="21"/>
    </w:rPr>
  </w:style>
  <w:style w:type="table" w:styleId="32">
    <w:name w:val="Table Grid"/>
    <w:basedOn w:val="3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99"/>
    <w:rPr>
      <w:rFonts w:cs="Times New Roman"/>
      <w:b/>
    </w:rPr>
  </w:style>
  <w:style w:type="character" w:styleId="35">
    <w:name w:val="page number"/>
    <w:basedOn w:val="33"/>
    <w:qFormat/>
    <w:uiPriority w:val="99"/>
    <w:rPr>
      <w:rFonts w:cs="Times New Roman"/>
    </w:rPr>
  </w:style>
  <w:style w:type="character" w:styleId="36">
    <w:name w:val="FollowedHyperlink"/>
    <w:basedOn w:val="33"/>
    <w:semiHidden/>
    <w:unhideWhenUsed/>
    <w:qFormat/>
    <w:locked/>
    <w:uiPriority w:val="99"/>
    <w:rPr>
      <w:color w:val="800080"/>
      <w:u w:val="none"/>
    </w:rPr>
  </w:style>
  <w:style w:type="character" w:styleId="37">
    <w:name w:val="HTML Definition"/>
    <w:basedOn w:val="33"/>
    <w:semiHidden/>
    <w:unhideWhenUsed/>
    <w:qFormat/>
    <w:locked/>
    <w:uiPriority w:val="99"/>
  </w:style>
  <w:style w:type="character" w:styleId="38">
    <w:name w:val="HTML Typewriter"/>
    <w:basedOn w:val="33"/>
    <w:semiHidden/>
    <w:unhideWhenUsed/>
    <w:qFormat/>
    <w:locked/>
    <w:uiPriority w:val="99"/>
    <w:rPr>
      <w:rFonts w:hint="default" w:ascii="monospace" w:hAnsi="monospace" w:eastAsia="monospace" w:cs="monospace"/>
      <w:sz w:val="20"/>
    </w:rPr>
  </w:style>
  <w:style w:type="character" w:styleId="39">
    <w:name w:val="HTML Acronym"/>
    <w:basedOn w:val="33"/>
    <w:semiHidden/>
    <w:unhideWhenUsed/>
    <w:qFormat/>
    <w:locked/>
    <w:uiPriority w:val="99"/>
  </w:style>
  <w:style w:type="character" w:styleId="40">
    <w:name w:val="HTML Variable"/>
    <w:basedOn w:val="33"/>
    <w:semiHidden/>
    <w:unhideWhenUsed/>
    <w:qFormat/>
    <w:locked/>
    <w:uiPriority w:val="99"/>
  </w:style>
  <w:style w:type="character" w:styleId="41">
    <w:name w:val="Hyperlink"/>
    <w:basedOn w:val="33"/>
    <w:qFormat/>
    <w:uiPriority w:val="99"/>
    <w:rPr>
      <w:rFonts w:cs="Times New Roman"/>
      <w:color w:val="0000FF"/>
      <w:u w:val="single"/>
    </w:rPr>
  </w:style>
  <w:style w:type="character" w:styleId="42">
    <w:name w:val="HTML Code"/>
    <w:basedOn w:val="33"/>
    <w:semiHidden/>
    <w:unhideWhenUsed/>
    <w:qFormat/>
    <w:locked/>
    <w:uiPriority w:val="99"/>
    <w:rPr>
      <w:rFonts w:hint="default" w:ascii="monospace" w:hAnsi="monospace" w:eastAsia="monospace" w:cs="monospace"/>
      <w:sz w:val="20"/>
    </w:rPr>
  </w:style>
  <w:style w:type="character" w:styleId="43">
    <w:name w:val="annotation reference"/>
    <w:basedOn w:val="33"/>
    <w:qFormat/>
    <w:uiPriority w:val="99"/>
    <w:rPr>
      <w:rFonts w:cs="Times New Roman"/>
      <w:sz w:val="21"/>
    </w:rPr>
  </w:style>
  <w:style w:type="character" w:styleId="44">
    <w:name w:val="HTML Cite"/>
    <w:basedOn w:val="33"/>
    <w:semiHidden/>
    <w:unhideWhenUsed/>
    <w:qFormat/>
    <w:locked/>
    <w:uiPriority w:val="99"/>
  </w:style>
  <w:style w:type="character" w:styleId="45">
    <w:name w:val="HTML Keyboard"/>
    <w:basedOn w:val="33"/>
    <w:semiHidden/>
    <w:unhideWhenUsed/>
    <w:qFormat/>
    <w:locked/>
    <w:uiPriority w:val="99"/>
    <w:rPr>
      <w:rFonts w:ascii="monospace" w:hAnsi="monospace" w:eastAsia="monospace" w:cs="monospace"/>
      <w:sz w:val="20"/>
    </w:rPr>
  </w:style>
  <w:style w:type="character" w:styleId="46">
    <w:name w:val="HTML Sample"/>
    <w:basedOn w:val="33"/>
    <w:semiHidden/>
    <w:unhideWhenUsed/>
    <w:qFormat/>
    <w:locked/>
    <w:uiPriority w:val="99"/>
    <w:rPr>
      <w:rFonts w:hint="default" w:ascii="monospace" w:hAnsi="monospace" w:eastAsia="monospace" w:cs="monospace"/>
    </w:rPr>
  </w:style>
  <w:style w:type="paragraph" w:customStyle="1" w:styleId="47">
    <w:name w:val="_Style 3"/>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Default"/>
    <w:next w:val="49"/>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styleId="49">
    <w:name w:val="Intense Quote"/>
    <w:basedOn w:val="1"/>
    <w:next w:val="1"/>
    <w:qFormat/>
    <w:uiPriority w:val="0"/>
    <w:pPr>
      <w:wordWrap w:val="0"/>
      <w:spacing w:before="360" w:after="360"/>
      <w:ind w:left="950" w:right="950"/>
      <w:jc w:val="center"/>
    </w:pPr>
    <w:rPr>
      <w:i/>
    </w:rPr>
  </w:style>
  <w:style w:type="paragraph" w:customStyle="1" w:styleId="50">
    <w:name w:val="正文文本 31"/>
    <w:basedOn w:val="1"/>
    <w:qFormat/>
    <w:uiPriority w:val="0"/>
    <w:pPr>
      <w:spacing w:after="120"/>
    </w:pPr>
    <w:rPr>
      <w:sz w:val="16"/>
      <w:szCs w:val="16"/>
    </w:rPr>
  </w:style>
  <w:style w:type="paragraph" w:customStyle="1" w:styleId="51">
    <w:name w:val="正文文本 32"/>
    <w:basedOn w:val="1"/>
    <w:qFormat/>
    <w:uiPriority w:val="0"/>
    <w:pPr>
      <w:spacing w:after="120"/>
    </w:pPr>
    <w:rPr>
      <w:sz w:val="16"/>
      <w:szCs w:val="16"/>
    </w:rPr>
  </w:style>
  <w:style w:type="paragraph" w:customStyle="1" w:styleId="52">
    <w:name w:val="表格文字"/>
    <w:basedOn w:val="1"/>
    <w:next w:val="8"/>
    <w:qFormat/>
    <w:uiPriority w:val="99"/>
    <w:pPr>
      <w:adjustRightInd w:val="0"/>
      <w:spacing w:line="420" w:lineRule="atLeast"/>
      <w:jc w:val="left"/>
      <w:textAlignment w:val="baseline"/>
    </w:pPr>
    <w:rPr>
      <w:kern w:val="0"/>
    </w:rPr>
  </w:style>
  <w:style w:type="paragraph" w:styleId="53">
    <w:name w:val="List Paragraph"/>
    <w:basedOn w:val="1"/>
    <w:qFormat/>
    <w:uiPriority w:val="99"/>
    <w:pPr>
      <w:ind w:firstLine="420" w:firstLineChars="200"/>
    </w:pPr>
  </w:style>
  <w:style w:type="character" w:customStyle="1" w:styleId="54">
    <w:name w:val="标题 1 Char"/>
    <w:basedOn w:val="33"/>
    <w:link w:val="3"/>
    <w:qFormat/>
    <w:locked/>
    <w:uiPriority w:val="99"/>
    <w:rPr>
      <w:rFonts w:cs="Times New Roman"/>
      <w:b/>
      <w:kern w:val="44"/>
      <w:sz w:val="44"/>
    </w:rPr>
  </w:style>
  <w:style w:type="character" w:customStyle="1" w:styleId="55">
    <w:name w:val="标题 2 Char"/>
    <w:basedOn w:val="33"/>
    <w:link w:val="4"/>
    <w:qFormat/>
    <w:locked/>
    <w:uiPriority w:val="99"/>
    <w:rPr>
      <w:rFonts w:ascii="Arial" w:hAnsi="Arial" w:eastAsia="黑体" w:cs="Times New Roman"/>
      <w:b/>
      <w:kern w:val="2"/>
      <w:sz w:val="32"/>
    </w:rPr>
  </w:style>
  <w:style w:type="character" w:customStyle="1" w:styleId="56">
    <w:name w:val="正文文本缩进 Char"/>
    <w:basedOn w:val="33"/>
    <w:link w:val="12"/>
    <w:semiHidden/>
    <w:qFormat/>
    <w:locked/>
    <w:uiPriority w:val="99"/>
    <w:rPr>
      <w:rFonts w:cs="Times New Roman"/>
      <w:sz w:val="24"/>
      <w:szCs w:val="24"/>
    </w:rPr>
  </w:style>
  <w:style w:type="character" w:customStyle="1" w:styleId="57">
    <w:name w:val="批注文字 Char"/>
    <w:basedOn w:val="33"/>
    <w:link w:val="7"/>
    <w:qFormat/>
    <w:locked/>
    <w:uiPriority w:val="99"/>
    <w:rPr>
      <w:rFonts w:cs="Times New Roman"/>
      <w:kern w:val="2"/>
      <w:sz w:val="24"/>
    </w:rPr>
  </w:style>
  <w:style w:type="character" w:customStyle="1" w:styleId="58">
    <w:name w:val="正文文本 Char"/>
    <w:basedOn w:val="33"/>
    <w:link w:val="8"/>
    <w:semiHidden/>
    <w:qFormat/>
    <w:locked/>
    <w:uiPriority w:val="99"/>
    <w:rPr>
      <w:rFonts w:cs="Times New Roman"/>
      <w:sz w:val="24"/>
      <w:szCs w:val="24"/>
    </w:rPr>
  </w:style>
  <w:style w:type="character" w:customStyle="1" w:styleId="59">
    <w:name w:val="正文首行缩进 Char"/>
    <w:basedOn w:val="58"/>
    <w:link w:val="29"/>
    <w:semiHidden/>
    <w:qFormat/>
    <w:locked/>
    <w:uiPriority w:val="99"/>
    <w:rPr>
      <w:rFonts w:cs="Times New Roman"/>
      <w:sz w:val="24"/>
      <w:szCs w:val="24"/>
    </w:rPr>
  </w:style>
  <w:style w:type="character" w:customStyle="1" w:styleId="60">
    <w:name w:val="纯文本 Char"/>
    <w:basedOn w:val="33"/>
    <w:link w:val="16"/>
    <w:qFormat/>
    <w:locked/>
    <w:uiPriority w:val="99"/>
    <w:rPr>
      <w:rFonts w:ascii="宋体" w:eastAsia="宋体" w:cs="Times New Roman"/>
      <w:sz w:val="24"/>
    </w:rPr>
  </w:style>
  <w:style w:type="character" w:customStyle="1" w:styleId="61">
    <w:name w:val="日期 Char"/>
    <w:basedOn w:val="33"/>
    <w:link w:val="18"/>
    <w:qFormat/>
    <w:locked/>
    <w:uiPriority w:val="99"/>
    <w:rPr>
      <w:rFonts w:ascii="宋体" w:eastAsia="宋体" w:cs="Times New Roman"/>
      <w:sz w:val="24"/>
    </w:rPr>
  </w:style>
  <w:style w:type="character" w:customStyle="1" w:styleId="62">
    <w:name w:val="正文文本缩进 2 Char"/>
    <w:basedOn w:val="33"/>
    <w:link w:val="19"/>
    <w:qFormat/>
    <w:locked/>
    <w:uiPriority w:val="99"/>
    <w:rPr>
      <w:rFonts w:cs="Times New Roman"/>
      <w:kern w:val="2"/>
      <w:sz w:val="24"/>
    </w:rPr>
  </w:style>
  <w:style w:type="character" w:customStyle="1" w:styleId="63">
    <w:name w:val="批注框文本 Char"/>
    <w:basedOn w:val="33"/>
    <w:link w:val="20"/>
    <w:semiHidden/>
    <w:qFormat/>
    <w:locked/>
    <w:uiPriority w:val="99"/>
    <w:rPr>
      <w:rFonts w:cs="Times New Roman"/>
      <w:sz w:val="2"/>
    </w:rPr>
  </w:style>
  <w:style w:type="character" w:customStyle="1" w:styleId="64">
    <w:name w:val="页脚 Char"/>
    <w:basedOn w:val="33"/>
    <w:link w:val="21"/>
    <w:qFormat/>
    <w:locked/>
    <w:uiPriority w:val="99"/>
    <w:rPr>
      <w:rFonts w:cs="Times New Roman"/>
      <w:kern w:val="2"/>
      <w:sz w:val="18"/>
    </w:rPr>
  </w:style>
  <w:style w:type="character" w:customStyle="1" w:styleId="65">
    <w:name w:val="页眉 Char"/>
    <w:basedOn w:val="33"/>
    <w:link w:val="22"/>
    <w:qFormat/>
    <w:locked/>
    <w:uiPriority w:val="99"/>
    <w:rPr>
      <w:rFonts w:cs="Times New Roman"/>
      <w:kern w:val="2"/>
      <w:sz w:val="18"/>
    </w:rPr>
  </w:style>
  <w:style w:type="character" w:customStyle="1" w:styleId="66">
    <w:name w:val="正文文本缩进 3 Char"/>
    <w:basedOn w:val="33"/>
    <w:link w:val="25"/>
    <w:semiHidden/>
    <w:qFormat/>
    <w:locked/>
    <w:uiPriority w:val="99"/>
    <w:rPr>
      <w:rFonts w:cs="Times New Roman"/>
      <w:sz w:val="16"/>
      <w:szCs w:val="16"/>
    </w:rPr>
  </w:style>
  <w:style w:type="character" w:customStyle="1" w:styleId="67">
    <w:name w:val="标题 Char"/>
    <w:basedOn w:val="33"/>
    <w:link w:val="27"/>
    <w:qFormat/>
    <w:locked/>
    <w:uiPriority w:val="99"/>
    <w:rPr>
      <w:rFonts w:ascii="Cambria" w:hAnsi="Cambria" w:cs="Times New Roman"/>
      <w:b/>
      <w:bCs/>
      <w:sz w:val="32"/>
      <w:szCs w:val="32"/>
    </w:rPr>
  </w:style>
  <w:style w:type="character" w:customStyle="1" w:styleId="68">
    <w:name w:val="批注主题 Char"/>
    <w:basedOn w:val="57"/>
    <w:link w:val="28"/>
    <w:qFormat/>
    <w:locked/>
    <w:uiPriority w:val="99"/>
    <w:rPr>
      <w:rFonts w:cs="Times New Roman"/>
      <w:b/>
      <w:kern w:val="2"/>
      <w:sz w:val="24"/>
    </w:rPr>
  </w:style>
  <w:style w:type="character" w:customStyle="1" w:styleId="69">
    <w:name w:val="正文首行缩进 2 Char"/>
    <w:basedOn w:val="56"/>
    <w:link w:val="30"/>
    <w:semiHidden/>
    <w:qFormat/>
    <w:locked/>
    <w:uiPriority w:val="99"/>
    <w:rPr>
      <w:rFonts w:cs="Times New Roman"/>
      <w:sz w:val="24"/>
      <w:szCs w:val="24"/>
    </w:rPr>
  </w:style>
  <w:style w:type="character" w:customStyle="1" w:styleId="70">
    <w:name w:val="正文缩进 Char"/>
    <w:link w:val="6"/>
    <w:qFormat/>
    <w:locked/>
    <w:uiPriority w:val="99"/>
    <w:rPr>
      <w:kern w:val="2"/>
      <w:sz w:val="21"/>
    </w:rPr>
  </w:style>
  <w:style w:type="character" w:customStyle="1" w:styleId="71">
    <w:name w:val="纯文本 Char1"/>
    <w:qFormat/>
    <w:uiPriority w:val="99"/>
    <w:rPr>
      <w:rFonts w:ascii="宋体" w:hAnsi="Courier New" w:eastAsia="宋体"/>
      <w:kern w:val="2"/>
      <w:sz w:val="24"/>
      <w:lang w:val="en-US" w:eastAsia="zh-CN"/>
    </w:rPr>
  </w:style>
  <w:style w:type="character" w:customStyle="1" w:styleId="72">
    <w:name w:val="无间隔 Char"/>
    <w:link w:val="73"/>
    <w:qFormat/>
    <w:locked/>
    <w:uiPriority w:val="99"/>
    <w:rPr>
      <w:sz w:val="22"/>
      <w:lang w:val="en-US" w:eastAsia="zh-CN"/>
    </w:rPr>
  </w:style>
  <w:style w:type="paragraph" w:styleId="73">
    <w:name w:val="No Spacing"/>
    <w:link w:val="72"/>
    <w:qFormat/>
    <w:uiPriority w:val="99"/>
    <w:rPr>
      <w:rFonts w:ascii="Times New Roman" w:hAnsi="Times New Roman" w:eastAsia="宋体" w:cs="Times New Roman"/>
      <w:sz w:val="22"/>
      <w:szCs w:val="22"/>
      <w:lang w:val="en-US" w:eastAsia="zh-CN" w:bidi="ar-SA"/>
    </w:rPr>
  </w:style>
  <w:style w:type="character" w:customStyle="1" w:styleId="74">
    <w:name w:val="标题1 Char"/>
    <w:link w:val="75"/>
    <w:qFormat/>
    <w:locked/>
    <w:uiPriority w:val="99"/>
    <w:rPr>
      <w:rFonts w:ascii="宋体" w:hAnsi="Courier New"/>
      <w:b/>
      <w:sz w:val="21"/>
    </w:rPr>
  </w:style>
  <w:style w:type="paragraph" w:customStyle="1" w:styleId="75">
    <w:name w:val="标题1"/>
    <w:basedOn w:val="1"/>
    <w:link w:val="74"/>
    <w:qFormat/>
    <w:uiPriority w:val="99"/>
    <w:pPr>
      <w:spacing w:line="360" w:lineRule="auto"/>
    </w:pPr>
    <w:rPr>
      <w:rFonts w:ascii="宋体" w:hAnsi="Courier New"/>
      <w:b/>
      <w:kern w:val="0"/>
      <w:szCs w:val="20"/>
    </w:rPr>
  </w:style>
  <w:style w:type="paragraph" w:customStyle="1" w:styleId="76">
    <w:name w:val="章正文"/>
    <w:basedOn w:val="1"/>
    <w:qFormat/>
    <w:locked/>
    <w:uiPriority w:val="99"/>
    <w:pPr>
      <w:spacing w:beforeLines="50" w:after="120" w:line="300" w:lineRule="auto"/>
      <w:ind w:firstLine="480"/>
    </w:pPr>
    <w:rPr>
      <w:rFonts w:ascii="Helvetica" w:hAnsi="Helvetica"/>
    </w:rPr>
  </w:style>
  <w:style w:type="paragraph" w:customStyle="1" w:styleId="77">
    <w:name w:val="paragraph"/>
    <w:basedOn w:val="1"/>
    <w:qFormat/>
    <w:uiPriority w:val="99"/>
    <w:pPr>
      <w:widowControl/>
      <w:spacing w:before="100" w:beforeAutospacing="1" w:after="100" w:afterAutospacing="1"/>
      <w:jc w:val="left"/>
    </w:pPr>
    <w:rPr>
      <w:rFonts w:ascii="宋体" w:hAnsi="宋体" w:cs="宋体"/>
      <w:kern w:val="0"/>
      <w:sz w:val="24"/>
    </w:rPr>
  </w:style>
  <w:style w:type="paragraph" w:customStyle="1" w:styleId="78">
    <w:name w:val="正文_7"/>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9">
    <w:name w:val="Char Char Char"/>
    <w:basedOn w:val="1"/>
    <w:qFormat/>
    <w:uiPriority w:val="99"/>
    <w:rPr>
      <w:rFonts w:ascii="Tahoma" w:hAnsi="Tahoma"/>
      <w:sz w:val="24"/>
      <w:szCs w:val="20"/>
    </w:rPr>
  </w:style>
  <w:style w:type="paragraph" w:customStyle="1" w:styleId="80">
    <w:name w:val="列出段落1"/>
    <w:basedOn w:val="1"/>
    <w:qFormat/>
    <w:uiPriority w:val="99"/>
    <w:pPr>
      <w:ind w:firstLine="420" w:firstLineChars="200"/>
    </w:pPr>
    <w:rPr>
      <w:szCs w:val="20"/>
    </w:rPr>
  </w:style>
  <w:style w:type="paragraph" w:customStyle="1" w:styleId="81">
    <w:name w:val="纯文本1"/>
    <w:basedOn w:val="1"/>
    <w:qFormat/>
    <w:uiPriority w:val="99"/>
    <w:pPr>
      <w:widowControl/>
      <w:adjustRightInd w:val="0"/>
      <w:jc w:val="left"/>
      <w:textAlignment w:val="baseline"/>
    </w:pPr>
    <w:rPr>
      <w:rFonts w:ascii="宋体" w:hAnsi="Courier New" w:eastAsia="楷体_GB2312"/>
      <w:kern w:val="0"/>
      <w:sz w:val="26"/>
      <w:szCs w:val="20"/>
    </w:rPr>
  </w:style>
  <w:style w:type="paragraph" w:customStyle="1" w:styleId="82">
    <w:name w:val="纯文本11"/>
    <w:basedOn w:val="1"/>
    <w:qFormat/>
    <w:uiPriority w:val="99"/>
    <w:pPr>
      <w:widowControl/>
      <w:adjustRightInd w:val="0"/>
      <w:jc w:val="left"/>
      <w:textAlignment w:val="baseline"/>
    </w:pPr>
    <w:rPr>
      <w:rFonts w:ascii="宋体" w:hAnsi="Courier New" w:eastAsia="楷体_GB2312"/>
      <w:kern w:val="0"/>
      <w:sz w:val="26"/>
      <w:szCs w:val="20"/>
    </w:rPr>
  </w:style>
  <w:style w:type="paragraph" w:customStyle="1" w:styleId="83">
    <w:name w:val="编号正文文本"/>
    <w:basedOn w:val="1"/>
    <w:qFormat/>
    <w:uiPriority w:val="99"/>
    <w:pPr>
      <w:tabs>
        <w:tab w:val="left" w:pos="238"/>
      </w:tabs>
      <w:spacing w:before="100" w:beforeAutospacing="1" w:after="100" w:afterAutospacing="1" w:line="360" w:lineRule="auto"/>
      <w:ind w:firstLine="476"/>
    </w:pPr>
    <w:rPr>
      <w:rFonts w:ascii="Verdana" w:hAnsi="Verdana" w:eastAsia="微软雅黑" w:cs="Verdana"/>
      <w:sz w:val="24"/>
      <w:lang w:eastAsia="en-US"/>
    </w:rPr>
  </w:style>
  <w:style w:type="paragraph" w:customStyle="1" w:styleId="84">
    <w:name w:val="Table Paragraph"/>
    <w:basedOn w:val="1"/>
    <w:qFormat/>
    <w:uiPriority w:val="99"/>
    <w:pPr>
      <w:jc w:val="left"/>
    </w:pPr>
    <w:rPr>
      <w:rFonts w:ascii="等线" w:hAnsi="等线" w:eastAsia="等线"/>
      <w:kern w:val="0"/>
      <w:sz w:val="22"/>
      <w:szCs w:val="22"/>
      <w:lang w:eastAsia="en-US"/>
    </w:rPr>
  </w:style>
  <w:style w:type="paragraph" w:customStyle="1" w:styleId="85">
    <w:name w:val="彩色列表1"/>
    <w:basedOn w:val="1"/>
    <w:qFormat/>
    <w:uiPriority w:val="99"/>
    <w:pPr>
      <w:spacing w:line="360" w:lineRule="auto"/>
      <w:ind w:firstLine="480" w:firstLineChars="200"/>
    </w:pPr>
    <w:rPr>
      <w:sz w:val="24"/>
    </w:rPr>
  </w:style>
  <w:style w:type="paragraph" w:customStyle="1" w:styleId="86">
    <w:name w:val="正文1"/>
    <w:qFormat/>
    <w:uiPriority w:val="99"/>
    <w:pPr>
      <w:jc w:val="both"/>
    </w:pPr>
    <w:rPr>
      <w:rFonts w:ascii="Times New Roman" w:hAnsi="Times New Roman" w:eastAsia="宋体" w:cs="Times New Roman"/>
      <w:kern w:val="2"/>
      <w:sz w:val="21"/>
      <w:szCs w:val="21"/>
      <w:lang w:val="en-US" w:eastAsia="zh-CN" w:bidi="ar-SA"/>
    </w:rPr>
  </w:style>
  <w:style w:type="paragraph" w:customStyle="1" w:styleId="87">
    <w:name w:val="_Style 1"/>
    <w:qFormat/>
    <w:uiPriority w:val="99"/>
    <w:pPr>
      <w:widowControl w:val="0"/>
      <w:jc w:val="both"/>
    </w:pPr>
    <w:rPr>
      <w:rFonts w:ascii="Times New Roman" w:hAnsi="Times New Roman" w:eastAsia="微软雅黑" w:cs="Calibri"/>
      <w:kern w:val="2"/>
      <w:sz w:val="21"/>
      <w:szCs w:val="22"/>
      <w:lang w:val="en-US" w:eastAsia="zh-CN" w:bidi="ar-SA"/>
    </w:rPr>
  </w:style>
  <w:style w:type="character" w:customStyle="1" w:styleId="88">
    <w:name w:val="font21"/>
    <w:basedOn w:val="33"/>
    <w:qFormat/>
    <w:uiPriority w:val="0"/>
    <w:rPr>
      <w:rFonts w:hint="eastAsia" w:ascii="宋体" w:hAnsi="宋体" w:eastAsia="宋体" w:cs="宋体"/>
      <w:b/>
      <w:color w:val="000000"/>
      <w:sz w:val="21"/>
      <w:szCs w:val="21"/>
      <w:u w:val="none"/>
    </w:rPr>
  </w:style>
  <w:style w:type="paragraph" w:customStyle="1" w:styleId="89">
    <w:name w:val="正文段"/>
    <w:basedOn w:val="1"/>
    <w:qFormat/>
    <w:uiPriority w:val="0"/>
    <w:pPr>
      <w:widowControl/>
      <w:snapToGrid w:val="0"/>
      <w:spacing w:afterLines="50"/>
      <w:ind w:firstLine="200" w:firstLineChars="200"/>
    </w:pPr>
    <w:rPr>
      <w:kern w:val="0"/>
      <w:sz w:val="24"/>
      <w:szCs w:val="20"/>
    </w:rPr>
  </w:style>
  <w:style w:type="paragraph" w:customStyle="1" w:styleId="90">
    <w:name w:val="正文 A"/>
    <w:qFormat/>
    <w:uiPriority w:val="99"/>
    <w:pPr>
      <w:widowControl w:val="0"/>
      <w:jc w:val="both"/>
    </w:pPr>
    <w:rPr>
      <w:rFonts w:ascii="Times New Roman" w:hAnsi="Times New Roman" w:eastAsia="宋体" w:cs="Times New Roman"/>
      <w:color w:val="000000"/>
      <w:kern w:val="2"/>
      <w:sz w:val="21"/>
      <w:szCs w:val="21"/>
      <w:lang w:val="en-US" w:eastAsia="zh-CN" w:bidi="ar-SA"/>
    </w:rPr>
  </w:style>
  <w:style w:type="character" w:customStyle="1" w:styleId="91">
    <w:name w:val="无"/>
    <w:qFormat/>
    <w:uiPriority w:val="0"/>
  </w:style>
  <w:style w:type="character" w:customStyle="1" w:styleId="92">
    <w:name w:val="Hyperlink.0"/>
    <w:qFormat/>
    <w:uiPriority w:val="99"/>
    <w:rPr>
      <w:lang w:val="en-US"/>
    </w:rPr>
  </w:style>
  <w:style w:type="paragraph" w:customStyle="1" w:styleId="93">
    <w:name w:val="纯文本2"/>
    <w:basedOn w:val="1"/>
    <w:qFormat/>
    <w:uiPriority w:val="0"/>
    <w:pPr>
      <w:widowControl/>
      <w:adjustRightInd w:val="0"/>
      <w:jc w:val="left"/>
      <w:textAlignment w:val="baseline"/>
    </w:pPr>
    <w:rPr>
      <w:rFonts w:ascii="宋体" w:hAnsi="Courier New" w:eastAsia="楷体_GB2312"/>
      <w:kern w:val="0"/>
      <w:sz w:val="26"/>
      <w:szCs w:val="20"/>
    </w:rPr>
  </w:style>
  <w:style w:type="paragraph" w:customStyle="1" w:styleId="9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95">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96">
    <w:name w:val="正文首行缩进1"/>
    <w:basedOn w:val="8"/>
    <w:qFormat/>
    <w:uiPriority w:val="0"/>
    <w:pPr>
      <w:ind w:firstLine="420" w:firstLineChars="100"/>
    </w:pPr>
    <w:rPr>
      <w:rFonts w:ascii="Cambria" w:hAnsi="Cambria"/>
      <w:sz w:val="24"/>
    </w:rPr>
  </w:style>
  <w:style w:type="paragraph" w:customStyle="1" w:styleId="97">
    <w:name w:val="正文文本首行缩进1"/>
    <w:basedOn w:val="8"/>
    <w:qFormat/>
    <w:uiPriority w:val="0"/>
    <w:pPr>
      <w:ind w:firstLine="420" w:firstLineChars="100"/>
    </w:pPr>
    <w:rPr>
      <w:rFonts w:ascii="Cambria" w:hAnsi="Cambria"/>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74</Pages>
  <Words>13055</Words>
  <Characters>13876</Characters>
  <Lines>304</Lines>
  <Paragraphs>85</Paragraphs>
  <TotalTime>66</TotalTime>
  <ScaleCrop>false</ScaleCrop>
  <LinksUpToDate>false</LinksUpToDate>
  <CharactersWithSpaces>14091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2024-06-04T08:57:00Z</dcterms:created>
  <dc:creator>朱杰</dc:creator>
  <cp:lastModifiedBy>2017</cp:lastModifiedBy>
  <cp:lastPrinted>2025-06-11T01:25:00Z</cp:lastPrinted>
  <dcterms:modified xsi:type="dcterms:W3CDTF">2025-06-25T07:19:20Z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44DFF24B549E4FF7932532E1C907CAD3_13</vt:lpwstr>
  </property>
  <property fmtid="{D5CDD505-2E9C-101B-9397-08002B2CF9AE}" pid="4" name="KSOTemplateDocerSaveRecord">
    <vt:lpwstr>eyJoZGlkIjoiNTYxODM0ZjIxN2JjZDg4ZmE2OWY4MjU2MGI0Yjg5OTAiLCJ1c2VySWQiOiIyODEwOTI1MTQifQ==</vt:lpwstr>
  </property>
</Properties>
</file>