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99044">
      <w:pPr>
        <w:spacing w:line="360" w:lineRule="auto"/>
        <w:jc w:val="center"/>
        <w:rPr>
          <w:rFonts w:ascii="仿宋" w:hAnsi="仿宋" w:eastAsia="仿宋" w:cs="仿宋"/>
          <w:b/>
          <w:sz w:val="24"/>
          <w:highlight w:val="none"/>
        </w:rPr>
      </w:pPr>
    </w:p>
    <w:p w14:paraId="515F4233">
      <w:pPr>
        <w:spacing w:line="360" w:lineRule="auto"/>
        <w:jc w:val="center"/>
        <w:rPr>
          <w:rFonts w:ascii="仿宋" w:hAnsi="仿宋" w:eastAsia="仿宋" w:cs="仿宋"/>
          <w:b/>
          <w:sz w:val="24"/>
          <w:highlight w:val="none"/>
        </w:rPr>
      </w:pPr>
    </w:p>
    <w:p w14:paraId="39325E3F">
      <w:pPr>
        <w:adjustRightInd/>
        <w:spacing w:line="360" w:lineRule="auto"/>
        <w:jc w:val="center"/>
        <w:rPr>
          <w:rFonts w:ascii="仿宋" w:hAnsi="仿宋" w:eastAsia="仿宋" w:cs="仿宋"/>
          <w:sz w:val="48"/>
          <w:szCs w:val="48"/>
          <w:highlight w:val="none"/>
        </w:rPr>
      </w:pPr>
      <w:r>
        <w:rPr>
          <w:rFonts w:hint="eastAsia" w:ascii="仿宋" w:hAnsi="仿宋" w:eastAsia="仿宋" w:cs="仿宋"/>
          <w:sz w:val="48"/>
          <w:szCs w:val="48"/>
          <w:highlight w:val="none"/>
        </w:rPr>
        <w:t>2025年杭州交警业务系统租赁使用服务-2025年5G便携式视音频设备使用项目</w:t>
      </w:r>
    </w:p>
    <w:p w14:paraId="57EEB97A">
      <w:pPr>
        <w:adjustRightInd/>
        <w:spacing w:line="360" w:lineRule="auto"/>
        <w:jc w:val="center"/>
        <w:rPr>
          <w:rFonts w:ascii="仿宋" w:hAnsi="仿宋" w:eastAsia="仿宋" w:cs="仿宋"/>
          <w:sz w:val="48"/>
          <w:szCs w:val="48"/>
          <w:highlight w:val="none"/>
        </w:rPr>
      </w:pPr>
    </w:p>
    <w:p w14:paraId="5522710C">
      <w:pPr>
        <w:adjustRightInd/>
        <w:spacing w:line="360" w:lineRule="auto"/>
        <w:jc w:val="center"/>
        <w:rPr>
          <w:rFonts w:ascii="仿宋" w:hAnsi="仿宋" w:eastAsia="仿宋" w:cs="仿宋"/>
          <w:sz w:val="48"/>
          <w:szCs w:val="48"/>
          <w:highlight w:val="none"/>
        </w:rPr>
      </w:pPr>
      <w:r>
        <w:rPr>
          <w:rFonts w:hint="eastAsia" w:ascii="仿宋" w:hAnsi="仿宋" w:eastAsia="仿宋" w:cs="仿宋"/>
          <w:sz w:val="48"/>
          <w:szCs w:val="48"/>
          <w:highlight w:val="none"/>
        </w:rPr>
        <w:t xml:space="preserve">招标文件 </w:t>
      </w:r>
    </w:p>
    <w:p w14:paraId="7F3B24B4">
      <w:pPr>
        <w:tabs>
          <w:tab w:val="center" w:pos="4594"/>
          <w:tab w:val="left" w:pos="6783"/>
        </w:tabs>
        <w:adjustRightInd/>
        <w:spacing w:line="360" w:lineRule="auto"/>
        <w:jc w:val="left"/>
        <w:rPr>
          <w:rFonts w:ascii="仿宋" w:hAnsi="仿宋" w:eastAsia="仿宋" w:cs="仿宋"/>
          <w:b/>
          <w:sz w:val="44"/>
          <w:szCs w:val="44"/>
          <w:highlight w:val="none"/>
        </w:rPr>
      </w:pPr>
      <w:r>
        <w:rPr>
          <w:rFonts w:hint="eastAsia" w:ascii="仿宋" w:hAnsi="仿宋" w:eastAsia="仿宋" w:cs="仿宋"/>
          <w:b/>
          <w:sz w:val="44"/>
          <w:szCs w:val="44"/>
          <w:highlight w:val="none"/>
        </w:rPr>
        <w:tab/>
      </w:r>
      <w:r>
        <w:rPr>
          <w:rFonts w:hint="eastAsia" w:ascii="仿宋" w:hAnsi="仿宋" w:eastAsia="仿宋" w:cs="仿宋"/>
          <w:b/>
          <w:sz w:val="44"/>
          <w:szCs w:val="44"/>
          <w:highlight w:val="none"/>
        </w:rPr>
        <w:t xml:space="preserve"> （电子招投标）</w:t>
      </w:r>
      <w:r>
        <w:rPr>
          <w:rFonts w:hint="eastAsia" w:ascii="仿宋" w:hAnsi="仿宋" w:eastAsia="仿宋" w:cs="仿宋"/>
          <w:b/>
          <w:sz w:val="44"/>
          <w:szCs w:val="44"/>
          <w:highlight w:val="none"/>
        </w:rPr>
        <w:tab/>
      </w:r>
    </w:p>
    <w:p w14:paraId="40C91505">
      <w:pPr>
        <w:snapToGrid w:val="0"/>
        <w:spacing w:line="360" w:lineRule="auto"/>
        <w:jc w:val="center"/>
        <w:rPr>
          <w:rFonts w:ascii="仿宋" w:hAnsi="仿宋" w:eastAsia="仿宋" w:cs="仿宋"/>
          <w:sz w:val="30"/>
          <w:szCs w:val="30"/>
          <w:highlight w:val="none"/>
        </w:rPr>
      </w:pPr>
    </w:p>
    <w:p w14:paraId="52F41BAF">
      <w:pPr>
        <w:snapToGrid w:val="0"/>
        <w:spacing w:line="360" w:lineRule="auto"/>
        <w:jc w:val="center"/>
        <w:rPr>
          <w:rFonts w:ascii="仿宋" w:hAnsi="仿宋" w:eastAsia="仿宋" w:cs="仿宋"/>
          <w:sz w:val="30"/>
          <w:szCs w:val="30"/>
          <w:highlight w:val="none"/>
        </w:rPr>
      </w:pPr>
      <w:r>
        <w:rPr>
          <w:rFonts w:hint="eastAsia" w:ascii="仿宋" w:hAnsi="仿宋" w:eastAsia="仿宋" w:cs="仿宋"/>
          <w:sz w:val="30"/>
          <w:szCs w:val="30"/>
          <w:highlight w:val="none"/>
        </w:rPr>
        <w:t>编号:HZSGAJ-2025-17（代)</w:t>
      </w:r>
    </w:p>
    <w:p w14:paraId="6212A047">
      <w:pPr>
        <w:adjustRightInd/>
        <w:spacing w:line="360" w:lineRule="auto"/>
        <w:rPr>
          <w:rFonts w:ascii="仿宋" w:hAnsi="仿宋" w:eastAsia="仿宋" w:cs="仿宋"/>
          <w:sz w:val="28"/>
          <w:szCs w:val="20"/>
          <w:highlight w:val="none"/>
        </w:rPr>
      </w:pPr>
    </w:p>
    <w:p w14:paraId="3C4BC873">
      <w:pPr>
        <w:spacing w:line="360" w:lineRule="auto"/>
        <w:jc w:val="center"/>
        <w:rPr>
          <w:rFonts w:ascii="仿宋" w:hAnsi="仿宋" w:eastAsia="仿宋" w:cs="仿宋"/>
          <w:b/>
          <w:sz w:val="44"/>
          <w:szCs w:val="44"/>
          <w:highlight w:val="none"/>
        </w:rPr>
      </w:pPr>
    </w:p>
    <w:p w14:paraId="6D9F0FFA">
      <w:pPr>
        <w:spacing w:line="360" w:lineRule="auto"/>
        <w:jc w:val="center"/>
        <w:rPr>
          <w:rFonts w:ascii="仿宋" w:hAnsi="仿宋" w:eastAsia="仿宋" w:cs="仿宋"/>
          <w:b/>
          <w:sz w:val="44"/>
          <w:szCs w:val="44"/>
          <w:highlight w:val="none"/>
        </w:rPr>
      </w:pPr>
    </w:p>
    <w:p w14:paraId="5F030B02">
      <w:pPr>
        <w:spacing w:line="360" w:lineRule="auto"/>
        <w:jc w:val="center"/>
        <w:rPr>
          <w:rFonts w:ascii="仿宋" w:hAnsi="仿宋" w:eastAsia="仿宋" w:cs="仿宋"/>
          <w:sz w:val="24"/>
          <w:highlight w:val="none"/>
        </w:rPr>
      </w:pPr>
    </w:p>
    <w:p w14:paraId="156FF847">
      <w:pPr>
        <w:spacing w:line="360" w:lineRule="auto"/>
        <w:jc w:val="center"/>
        <w:rPr>
          <w:rFonts w:ascii="仿宋" w:hAnsi="仿宋" w:eastAsia="仿宋" w:cs="仿宋"/>
          <w:sz w:val="24"/>
          <w:highlight w:val="none"/>
        </w:rPr>
      </w:pPr>
    </w:p>
    <w:p w14:paraId="7D0B8672">
      <w:pPr>
        <w:spacing w:line="360" w:lineRule="auto"/>
        <w:rPr>
          <w:rFonts w:ascii="仿宋" w:hAnsi="仿宋" w:eastAsia="仿宋" w:cs="仿宋"/>
          <w:sz w:val="32"/>
          <w:szCs w:val="32"/>
          <w:highlight w:val="none"/>
        </w:rPr>
      </w:pPr>
    </w:p>
    <w:p w14:paraId="7FC0BE81">
      <w:pPr>
        <w:snapToGrid w:val="0"/>
        <w:spacing w:line="360" w:lineRule="auto"/>
        <w:jc w:val="center"/>
        <w:rPr>
          <w:rFonts w:ascii="仿宋" w:hAnsi="仿宋" w:eastAsia="仿宋" w:cs="仿宋"/>
          <w:sz w:val="32"/>
          <w:szCs w:val="32"/>
          <w:highlight w:val="none"/>
        </w:rPr>
      </w:pPr>
    </w:p>
    <w:p w14:paraId="5E662EAF">
      <w:pPr>
        <w:spacing w:line="360" w:lineRule="auto"/>
        <w:jc w:val="center"/>
        <w:rPr>
          <w:rFonts w:ascii="仿宋" w:hAnsi="仿宋" w:eastAsia="仿宋" w:cs="仿宋"/>
          <w:bCs/>
          <w:sz w:val="32"/>
          <w:szCs w:val="32"/>
          <w:highlight w:val="none"/>
        </w:rPr>
      </w:pPr>
    </w:p>
    <w:p w14:paraId="147D5099">
      <w:pPr>
        <w:spacing w:line="360" w:lineRule="auto"/>
        <w:jc w:val="center"/>
        <w:rPr>
          <w:rFonts w:ascii="仿宋" w:hAnsi="仿宋" w:eastAsia="仿宋" w:cs="仿宋"/>
          <w:bCs/>
          <w:sz w:val="32"/>
          <w:szCs w:val="32"/>
          <w:highlight w:val="none"/>
        </w:rPr>
      </w:pPr>
    </w:p>
    <w:p w14:paraId="6E457194">
      <w:pPr>
        <w:spacing w:line="360" w:lineRule="auto"/>
        <w:jc w:val="center"/>
        <w:rPr>
          <w:rFonts w:ascii="仿宋" w:hAnsi="仿宋" w:eastAsia="仿宋" w:cs="仿宋"/>
          <w:bCs/>
          <w:sz w:val="32"/>
          <w:szCs w:val="32"/>
          <w:highlight w:val="none"/>
        </w:rPr>
      </w:pPr>
      <w:r>
        <w:rPr>
          <w:rFonts w:hint="eastAsia" w:ascii="仿宋" w:hAnsi="仿宋" w:eastAsia="仿宋" w:cs="仿宋"/>
          <w:bCs/>
          <w:sz w:val="32"/>
          <w:szCs w:val="32"/>
          <w:highlight w:val="none"/>
        </w:rPr>
        <w:t>采   购   人：杭州市公安局交通警察支队</w:t>
      </w:r>
    </w:p>
    <w:p w14:paraId="16F210DF">
      <w:pPr>
        <w:spacing w:line="360" w:lineRule="auto"/>
        <w:jc w:val="center"/>
        <w:rPr>
          <w:rFonts w:ascii="仿宋" w:hAnsi="仿宋" w:eastAsia="仿宋" w:cs="仿宋"/>
          <w:bCs/>
          <w:sz w:val="32"/>
          <w:szCs w:val="32"/>
          <w:highlight w:val="none"/>
        </w:rPr>
      </w:pPr>
      <w:r>
        <w:rPr>
          <w:rFonts w:hint="eastAsia" w:ascii="仿宋" w:hAnsi="仿宋" w:eastAsia="仿宋" w:cs="仿宋"/>
          <w:bCs/>
          <w:sz w:val="32"/>
          <w:szCs w:val="32"/>
          <w:highlight w:val="none"/>
        </w:rPr>
        <w:t>采购代理机构：浙江信达咨询监理有限公司</w:t>
      </w:r>
    </w:p>
    <w:p w14:paraId="7017EA9F">
      <w:pPr>
        <w:spacing w:line="360" w:lineRule="auto"/>
        <w:jc w:val="center"/>
        <w:rPr>
          <w:rFonts w:ascii="仿宋" w:hAnsi="仿宋" w:eastAsia="仿宋" w:cs="仿宋"/>
          <w:sz w:val="24"/>
          <w:highlight w:val="none"/>
        </w:rPr>
      </w:pPr>
      <w:r>
        <w:rPr>
          <w:rFonts w:hint="eastAsia" w:ascii="仿宋" w:hAnsi="仿宋" w:eastAsia="仿宋" w:cs="仿宋"/>
          <w:bCs/>
          <w:sz w:val="32"/>
          <w:szCs w:val="32"/>
          <w:highlight w:val="none"/>
        </w:rPr>
        <w:t>二〇二五年</w:t>
      </w:r>
      <w:r>
        <w:rPr>
          <w:rFonts w:hint="eastAsia" w:ascii="仿宋" w:hAnsi="仿宋" w:eastAsia="仿宋" w:cs="仿宋"/>
          <w:bCs/>
          <w:sz w:val="32"/>
          <w:szCs w:val="32"/>
          <w:highlight w:val="none"/>
          <w:lang w:val="en-US" w:eastAsia="zh-CN"/>
        </w:rPr>
        <w:t>七</w:t>
      </w:r>
      <w:r>
        <w:rPr>
          <w:rFonts w:hint="eastAsia" w:ascii="仿宋" w:hAnsi="仿宋" w:eastAsia="仿宋" w:cs="仿宋"/>
          <w:bCs/>
          <w:sz w:val="32"/>
          <w:szCs w:val="32"/>
          <w:highlight w:val="none"/>
        </w:rPr>
        <w:t>月</w:t>
      </w:r>
      <w:r>
        <w:rPr>
          <w:rFonts w:hint="eastAsia" w:ascii="仿宋" w:hAnsi="仿宋" w:eastAsia="仿宋" w:cs="仿宋"/>
          <w:sz w:val="24"/>
          <w:highlight w:val="none"/>
        </w:rPr>
        <w:br w:type="page"/>
      </w:r>
      <w:bookmarkStart w:id="0" w:name="_Hlt67893495"/>
      <w:bookmarkEnd w:id="0"/>
    </w:p>
    <w:p w14:paraId="2BFD148F">
      <w:pPr>
        <w:pStyle w:val="838"/>
        <w:rPr>
          <w:highlight w:val="none"/>
        </w:rPr>
      </w:pPr>
    </w:p>
    <w:p w14:paraId="5ECAC491">
      <w:pPr>
        <w:spacing w:line="360" w:lineRule="auto"/>
        <w:jc w:val="center"/>
        <w:rPr>
          <w:rFonts w:ascii="仿宋" w:hAnsi="仿宋" w:eastAsia="仿宋" w:cs="仿宋"/>
          <w:b/>
          <w:sz w:val="48"/>
          <w:szCs w:val="48"/>
          <w:highlight w:val="none"/>
        </w:rPr>
      </w:pPr>
      <w:r>
        <w:rPr>
          <w:rFonts w:hint="eastAsia" w:ascii="仿宋" w:hAnsi="仿宋" w:eastAsia="仿宋" w:cs="仿宋"/>
          <w:b/>
          <w:sz w:val="48"/>
          <w:szCs w:val="48"/>
          <w:highlight w:val="none"/>
        </w:rPr>
        <w:t>目  录</w:t>
      </w:r>
    </w:p>
    <w:p w14:paraId="1E5EFB34">
      <w:pPr>
        <w:spacing w:line="360" w:lineRule="auto"/>
        <w:rPr>
          <w:rFonts w:ascii="仿宋" w:hAnsi="仿宋" w:eastAsia="仿宋" w:cs="仿宋"/>
          <w:sz w:val="32"/>
          <w:szCs w:val="32"/>
          <w:highlight w:val="none"/>
        </w:rPr>
      </w:pPr>
    </w:p>
    <w:p w14:paraId="273CA03A">
      <w:pPr>
        <w:spacing w:line="360" w:lineRule="auto"/>
        <w:rPr>
          <w:rFonts w:ascii="仿宋" w:hAnsi="仿宋" w:eastAsia="仿宋" w:cs="仿宋"/>
          <w:sz w:val="32"/>
          <w:szCs w:val="32"/>
          <w:highlight w:val="none"/>
        </w:rPr>
      </w:pPr>
    </w:p>
    <w:p w14:paraId="3F2A6435">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第一部分      招标公告</w:t>
      </w:r>
    </w:p>
    <w:p w14:paraId="333820F7">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第二部分      投标人须知</w:t>
      </w:r>
    </w:p>
    <w:p w14:paraId="0F77343B">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第三部分      采购需求</w:t>
      </w:r>
    </w:p>
    <w:p w14:paraId="5FE53DFA">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第四部分      评标办法</w:t>
      </w:r>
    </w:p>
    <w:p w14:paraId="55966CC4">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第五部分      拟签订的合同文本</w:t>
      </w:r>
    </w:p>
    <w:p w14:paraId="58339A24">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第六部分      应提交的有关格式范例</w:t>
      </w:r>
    </w:p>
    <w:p w14:paraId="6F0CFD55">
      <w:pPr>
        <w:spacing w:line="360" w:lineRule="auto"/>
        <w:ind w:firstLine="549" w:firstLineChars="229"/>
        <w:rPr>
          <w:rFonts w:ascii="仿宋" w:hAnsi="仿宋" w:eastAsia="仿宋" w:cs="仿宋"/>
          <w:sz w:val="24"/>
          <w:highlight w:val="none"/>
        </w:rPr>
      </w:pPr>
      <w:bookmarkStart w:id="1" w:name="_Hlt91233176"/>
      <w:bookmarkEnd w:id="1"/>
      <w:bookmarkStart w:id="2" w:name="_Toc91899869"/>
    </w:p>
    <w:p w14:paraId="21C23C49">
      <w:pPr>
        <w:spacing w:line="360" w:lineRule="auto"/>
        <w:ind w:firstLine="549" w:firstLineChars="229"/>
        <w:rPr>
          <w:rFonts w:ascii="仿宋" w:hAnsi="仿宋" w:eastAsia="仿宋" w:cs="仿宋"/>
          <w:sz w:val="24"/>
          <w:highlight w:val="none"/>
        </w:rPr>
      </w:pPr>
    </w:p>
    <w:p w14:paraId="23A79EF7">
      <w:pPr>
        <w:spacing w:line="360" w:lineRule="auto"/>
        <w:ind w:firstLine="549" w:firstLineChars="229"/>
        <w:rPr>
          <w:rFonts w:ascii="仿宋" w:hAnsi="仿宋" w:eastAsia="仿宋" w:cs="仿宋"/>
          <w:sz w:val="24"/>
          <w:highlight w:val="none"/>
        </w:rPr>
      </w:pPr>
    </w:p>
    <w:p w14:paraId="67616589">
      <w:pPr>
        <w:spacing w:line="360" w:lineRule="auto"/>
        <w:ind w:firstLine="549" w:firstLineChars="229"/>
        <w:rPr>
          <w:rFonts w:ascii="仿宋" w:hAnsi="仿宋" w:eastAsia="仿宋" w:cs="仿宋"/>
          <w:sz w:val="24"/>
          <w:highlight w:val="none"/>
        </w:rPr>
      </w:pPr>
    </w:p>
    <w:p w14:paraId="3FB2BCC3">
      <w:pPr>
        <w:spacing w:line="360" w:lineRule="auto"/>
        <w:ind w:firstLine="549" w:firstLineChars="229"/>
        <w:rPr>
          <w:rFonts w:ascii="仿宋" w:hAnsi="仿宋" w:eastAsia="仿宋" w:cs="仿宋"/>
          <w:sz w:val="24"/>
          <w:highlight w:val="none"/>
        </w:rPr>
      </w:pPr>
    </w:p>
    <w:p w14:paraId="1907A7AB">
      <w:pPr>
        <w:spacing w:line="360" w:lineRule="auto"/>
        <w:ind w:firstLine="549" w:firstLineChars="229"/>
        <w:rPr>
          <w:rFonts w:ascii="仿宋" w:hAnsi="仿宋" w:eastAsia="仿宋" w:cs="仿宋"/>
          <w:sz w:val="24"/>
          <w:highlight w:val="none"/>
        </w:rPr>
      </w:pPr>
    </w:p>
    <w:p w14:paraId="29976329">
      <w:pPr>
        <w:spacing w:line="360" w:lineRule="auto"/>
        <w:ind w:firstLine="549" w:firstLineChars="229"/>
        <w:rPr>
          <w:rFonts w:ascii="仿宋" w:hAnsi="仿宋" w:eastAsia="仿宋" w:cs="仿宋"/>
          <w:sz w:val="24"/>
          <w:highlight w:val="none"/>
        </w:rPr>
      </w:pPr>
    </w:p>
    <w:p w14:paraId="742556C0">
      <w:pPr>
        <w:spacing w:line="360" w:lineRule="auto"/>
        <w:ind w:firstLine="549" w:firstLineChars="229"/>
        <w:rPr>
          <w:rFonts w:ascii="仿宋" w:hAnsi="仿宋" w:eastAsia="仿宋" w:cs="仿宋"/>
          <w:sz w:val="24"/>
          <w:highlight w:val="none"/>
        </w:rPr>
      </w:pPr>
    </w:p>
    <w:p w14:paraId="072D53E9">
      <w:pPr>
        <w:spacing w:line="360" w:lineRule="auto"/>
        <w:ind w:firstLine="549" w:firstLineChars="229"/>
        <w:rPr>
          <w:rFonts w:ascii="仿宋" w:hAnsi="仿宋" w:eastAsia="仿宋" w:cs="仿宋"/>
          <w:sz w:val="24"/>
          <w:highlight w:val="none"/>
        </w:rPr>
      </w:pPr>
    </w:p>
    <w:p w14:paraId="00A0E19A">
      <w:pPr>
        <w:spacing w:line="360" w:lineRule="auto"/>
        <w:ind w:firstLine="549" w:firstLineChars="229"/>
        <w:rPr>
          <w:rFonts w:ascii="仿宋" w:hAnsi="仿宋" w:eastAsia="仿宋" w:cs="仿宋"/>
          <w:sz w:val="24"/>
          <w:highlight w:val="none"/>
        </w:rPr>
      </w:pPr>
    </w:p>
    <w:p w14:paraId="46FEB7C5">
      <w:pPr>
        <w:spacing w:line="360" w:lineRule="auto"/>
        <w:ind w:firstLine="549" w:firstLineChars="229"/>
        <w:rPr>
          <w:rFonts w:ascii="仿宋" w:hAnsi="仿宋" w:eastAsia="仿宋" w:cs="仿宋"/>
          <w:sz w:val="24"/>
          <w:highlight w:val="none"/>
        </w:rPr>
      </w:pPr>
    </w:p>
    <w:p w14:paraId="78144BFE">
      <w:pPr>
        <w:spacing w:line="360" w:lineRule="auto"/>
        <w:ind w:firstLine="549" w:firstLineChars="229"/>
        <w:rPr>
          <w:rFonts w:ascii="仿宋" w:hAnsi="仿宋" w:eastAsia="仿宋" w:cs="仿宋"/>
          <w:sz w:val="24"/>
          <w:highlight w:val="none"/>
        </w:rPr>
      </w:pPr>
    </w:p>
    <w:p w14:paraId="2F37DC86">
      <w:pPr>
        <w:spacing w:line="360" w:lineRule="auto"/>
        <w:ind w:firstLine="549" w:firstLineChars="229"/>
        <w:rPr>
          <w:rFonts w:ascii="仿宋" w:hAnsi="仿宋" w:eastAsia="仿宋" w:cs="仿宋"/>
          <w:sz w:val="24"/>
          <w:highlight w:val="none"/>
        </w:rPr>
      </w:pPr>
    </w:p>
    <w:p w14:paraId="1677F1B4">
      <w:pPr>
        <w:spacing w:line="360" w:lineRule="auto"/>
        <w:rPr>
          <w:rFonts w:ascii="仿宋" w:hAnsi="仿宋" w:eastAsia="仿宋" w:cs="仿宋"/>
          <w:sz w:val="24"/>
          <w:highlight w:val="none"/>
        </w:rPr>
      </w:pPr>
    </w:p>
    <w:p w14:paraId="63618C12">
      <w:pPr>
        <w:adjustRightInd/>
        <w:spacing w:line="360" w:lineRule="auto"/>
        <w:jc w:val="center"/>
        <w:outlineLvl w:val="0"/>
        <w:rPr>
          <w:rFonts w:ascii="仿宋" w:hAnsi="仿宋" w:eastAsia="仿宋" w:cs="仿宋"/>
          <w:b/>
          <w:sz w:val="36"/>
          <w:szCs w:val="20"/>
          <w:highlight w:val="none"/>
        </w:rPr>
      </w:pPr>
      <w:bookmarkStart w:id="3" w:name="第一部分"/>
      <w:r>
        <w:rPr>
          <w:rFonts w:hint="eastAsia" w:ascii="仿宋" w:hAnsi="仿宋" w:eastAsia="仿宋" w:cs="仿宋"/>
          <w:b/>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highlight w:val="none"/>
        </w:rPr>
        <w:t>第一部分 招标公告</w:t>
      </w:r>
    </w:p>
    <w:p w14:paraId="49374AAB">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项目概况</w:t>
      </w:r>
    </w:p>
    <w:p w14:paraId="7A45A39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u w:val="single"/>
        </w:rPr>
        <w:t>2025年杭州交警业务系统租赁使用服务-2025年5G便携式视音频设备使用项目</w:t>
      </w:r>
      <w:r>
        <w:rPr>
          <w:rFonts w:hint="eastAsia" w:ascii="仿宋" w:hAnsi="仿宋" w:eastAsia="仿宋" w:cs="仿宋"/>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0"/>
          <w:rFonts w:hint="eastAsia" w:ascii="仿宋" w:hAnsi="仿宋" w:eastAsia="仿宋" w:cs="仿宋"/>
          <w:snapToGrid/>
          <w:color w:val="auto"/>
          <w:kern w:val="2"/>
          <w:sz w:val="24"/>
          <w:szCs w:val="24"/>
          <w:highlight w:val="none"/>
        </w:rPr>
        <w:t>https://www.zcygov.cn/）获取（下载）招标文件，并于2025年</w:t>
      </w:r>
      <w:r>
        <w:rPr>
          <w:rStyle w:val="70"/>
          <w:rFonts w:hint="eastAsia" w:ascii="仿宋" w:hAnsi="仿宋" w:eastAsia="仿宋" w:cs="仿宋"/>
          <w:snapToGrid/>
          <w:color w:val="auto"/>
          <w:kern w:val="2"/>
          <w:sz w:val="24"/>
          <w:szCs w:val="24"/>
          <w:highlight w:val="none"/>
          <w:lang w:val="en-US" w:eastAsia="zh-CN"/>
        </w:rPr>
        <w:t>7</w:t>
      </w:r>
      <w:r>
        <w:rPr>
          <w:rStyle w:val="70"/>
          <w:rFonts w:hint="eastAsia" w:ascii="仿宋" w:hAnsi="仿宋" w:eastAsia="仿宋" w:cs="仿宋"/>
          <w:snapToGrid/>
          <w:color w:val="auto"/>
          <w:kern w:val="2"/>
          <w:sz w:val="24"/>
          <w:szCs w:val="24"/>
          <w:highlight w:val="none"/>
        </w:rPr>
        <w:t>月</w:t>
      </w:r>
      <w:r>
        <w:rPr>
          <w:rStyle w:val="70"/>
          <w:rFonts w:hint="eastAsia" w:ascii="仿宋" w:hAnsi="仿宋" w:eastAsia="仿宋" w:cs="仿宋"/>
          <w:snapToGrid/>
          <w:color w:val="auto"/>
          <w:kern w:val="2"/>
          <w:sz w:val="24"/>
          <w:szCs w:val="24"/>
          <w:highlight w:val="none"/>
          <w:lang w:val="en-US" w:eastAsia="zh-CN"/>
        </w:rPr>
        <w:t>29</w:t>
      </w:r>
      <w:r>
        <w:rPr>
          <w:rStyle w:val="70"/>
          <w:rFonts w:hint="eastAsia" w:ascii="仿宋" w:hAnsi="仿宋" w:eastAsia="仿宋" w:cs="仿宋"/>
          <w:snapToGrid/>
          <w:color w:val="auto"/>
          <w:kern w:val="2"/>
          <w:sz w:val="24"/>
          <w:szCs w:val="24"/>
          <w:highlight w:val="none"/>
        </w:rPr>
        <w:t>日</w:t>
      </w:r>
      <w:r>
        <w:rPr>
          <w:rStyle w:val="70"/>
          <w:rFonts w:hint="eastAsia" w:ascii="仿宋" w:hAnsi="仿宋" w:eastAsia="仿宋" w:cs="仿宋"/>
          <w:snapToGrid/>
          <w:color w:val="auto"/>
          <w:kern w:val="2"/>
          <w:sz w:val="24"/>
          <w:szCs w:val="24"/>
          <w:highlight w:val="none"/>
          <w:lang w:val="en-US" w:eastAsia="zh-CN"/>
        </w:rPr>
        <w:t>09</w:t>
      </w:r>
      <w:bookmarkStart w:id="417" w:name="_GoBack"/>
      <w:bookmarkEnd w:id="417"/>
      <w:r>
        <w:rPr>
          <w:rStyle w:val="70"/>
          <w:rFonts w:hint="eastAsia" w:ascii="仿宋" w:hAnsi="仿宋" w:eastAsia="仿宋" w:cs="仿宋"/>
          <w:snapToGrid/>
          <w:color w:val="auto"/>
          <w:kern w:val="2"/>
          <w:sz w:val="24"/>
          <w:szCs w:val="24"/>
          <w:highlight w:val="none"/>
        </w:rPr>
        <w:t>点30分</w:t>
      </w:r>
      <w:r>
        <w:rPr>
          <w:rStyle w:val="70"/>
          <w:rFonts w:hint="eastAsia" w:ascii="仿宋" w:hAnsi="仿宋" w:eastAsia="仿宋" w:cs="仿宋"/>
          <w:bCs/>
          <w:snapToGrid/>
          <w:color w:val="auto"/>
          <w:kern w:val="2"/>
          <w:sz w:val="24"/>
          <w:szCs w:val="24"/>
          <w:highlight w:val="none"/>
        </w:rPr>
        <w:t>00秒</w:t>
      </w:r>
      <w:r>
        <w:rPr>
          <w:rStyle w:val="70"/>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14:paraId="68A9E953">
      <w:pPr>
        <w:spacing w:line="360" w:lineRule="auto"/>
        <w:rPr>
          <w:rFonts w:ascii="仿宋" w:hAnsi="仿宋" w:eastAsia="仿宋" w:cs="仿宋"/>
          <w:b/>
          <w:sz w:val="24"/>
          <w:highlight w:val="none"/>
        </w:rPr>
      </w:pPr>
      <w:r>
        <w:rPr>
          <w:rFonts w:hint="eastAsia" w:ascii="仿宋" w:hAnsi="仿宋" w:eastAsia="仿宋" w:cs="仿宋"/>
          <w:b/>
          <w:sz w:val="24"/>
          <w:highlight w:val="none"/>
        </w:rPr>
        <w:t xml:space="preserve">一、项目基本情况                                            </w:t>
      </w:r>
    </w:p>
    <w:p w14:paraId="683038EB">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项目编号：</w:t>
      </w:r>
      <w:r>
        <w:rPr>
          <w:rFonts w:hint="eastAsia" w:ascii="仿宋" w:hAnsi="仿宋" w:eastAsia="仿宋" w:cs="仿宋"/>
          <w:sz w:val="24"/>
          <w:highlight w:val="none"/>
        </w:rPr>
        <w:t>HZSGAJ-2025-17（代)</w:t>
      </w:r>
    </w:p>
    <w:p w14:paraId="0667F5D7">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项目名称：</w:t>
      </w:r>
      <w:r>
        <w:rPr>
          <w:rFonts w:hint="eastAsia" w:ascii="仿宋" w:hAnsi="仿宋" w:eastAsia="仿宋" w:cs="仿宋"/>
          <w:sz w:val="24"/>
          <w:highlight w:val="none"/>
        </w:rPr>
        <w:t>2025年杭州交警业务系统租赁使用服务-2025年5G便携式视音频设备使用项目</w:t>
      </w:r>
    </w:p>
    <w:p w14:paraId="3A1442A0">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 xml:space="preserve">预算金额：229.95万元（其中2025年安排114.975万元） </w:t>
      </w:r>
    </w:p>
    <w:p w14:paraId="641C561B">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最高限价：</w:t>
      </w:r>
      <w:r>
        <w:rPr>
          <w:rFonts w:hint="eastAsia" w:ascii="仿宋" w:hAnsi="仿宋" w:eastAsia="仿宋" w:cs="仿宋"/>
          <w:b/>
          <w:sz w:val="24"/>
          <w:highlight w:val="none"/>
          <w:lang w:val="en-US" w:eastAsia="zh-CN"/>
        </w:rPr>
        <w:t>224.98万元</w:t>
      </w:r>
      <w:r>
        <w:rPr>
          <w:rFonts w:hint="eastAsia" w:ascii="仿宋" w:hAnsi="仿宋" w:eastAsia="仿宋" w:cs="仿宋"/>
          <w:b/>
          <w:sz w:val="24"/>
          <w:highlight w:val="none"/>
        </w:rPr>
        <w:t>。</w:t>
      </w:r>
    </w:p>
    <w:p w14:paraId="64D8EDE8">
      <w:pPr>
        <w:spacing w:line="360" w:lineRule="auto"/>
        <w:ind w:firstLine="482" w:firstLineChars="200"/>
        <w:jc w:val="left"/>
        <w:rPr>
          <w:rFonts w:ascii="仿宋" w:hAnsi="仿宋" w:eastAsia="仿宋" w:cs="仿宋"/>
          <w:sz w:val="24"/>
          <w:highlight w:val="none"/>
          <w:u w:val="single"/>
        </w:rPr>
      </w:pPr>
      <w:r>
        <w:rPr>
          <w:rFonts w:hint="eastAsia" w:ascii="仿宋" w:hAnsi="仿宋" w:eastAsia="仿宋" w:cs="仿宋"/>
          <w:b/>
          <w:sz w:val="24"/>
          <w:highlight w:val="none"/>
        </w:rPr>
        <w:t>采购需求：</w:t>
      </w:r>
      <w:r>
        <w:rPr>
          <w:rFonts w:hint="eastAsia" w:ascii="仿宋" w:hAnsi="仿宋" w:eastAsia="仿宋" w:cs="仿宋"/>
          <w:sz w:val="24"/>
          <w:highlight w:val="none"/>
          <w:u w:val="single"/>
        </w:rPr>
        <w:t>租赁内容包括：</w:t>
      </w:r>
      <w:bookmarkStart w:id="11" w:name="_Hlk127439797"/>
      <w:r>
        <w:rPr>
          <w:rFonts w:hint="eastAsia" w:ascii="仿宋" w:hAnsi="仿宋" w:eastAsia="仿宋" w:cs="仿宋"/>
          <w:sz w:val="24"/>
          <w:highlight w:val="none"/>
          <w:u w:val="single"/>
        </w:rPr>
        <w:t>以购买服务方式，提供1800套5G便携式视音频设备、87套便携式视音频设备采集站、1个服务器的使用服务，并完成便携式视音频证据管理系统迁移改造。</w:t>
      </w:r>
      <w:bookmarkEnd w:id="11"/>
    </w:p>
    <w:p w14:paraId="4FA52B3F">
      <w:pPr>
        <w:spacing w:line="360" w:lineRule="auto"/>
        <w:ind w:firstLine="482" w:firstLineChars="200"/>
        <w:jc w:val="left"/>
        <w:rPr>
          <w:rFonts w:ascii="仿宋" w:hAnsi="仿宋" w:eastAsia="仿宋" w:cs="仿宋"/>
          <w:sz w:val="24"/>
          <w:highlight w:val="none"/>
          <w:u w:val="single"/>
        </w:rPr>
      </w:pPr>
      <w:r>
        <w:rPr>
          <w:rFonts w:hint="eastAsia" w:ascii="仿宋" w:hAnsi="仿宋" w:eastAsia="仿宋" w:cs="仿宋"/>
          <w:b/>
          <w:bCs/>
          <w:sz w:val="24"/>
          <w:highlight w:val="none"/>
        </w:rPr>
        <w:t>合同履约期限：</w:t>
      </w:r>
      <w:r>
        <w:rPr>
          <w:rFonts w:hint="eastAsia" w:ascii="仿宋" w:hAnsi="仿宋" w:eastAsia="仿宋" w:cs="仿宋"/>
          <w:sz w:val="24"/>
          <w:highlight w:val="none"/>
          <w:u w:val="single"/>
        </w:rPr>
        <w:t>12个月（2025年8月1日-2026年7月31日）。</w:t>
      </w:r>
    </w:p>
    <w:p w14:paraId="66511C07">
      <w:pPr>
        <w:pStyle w:val="5"/>
        <w:spacing w:line="360" w:lineRule="auto"/>
        <w:ind w:firstLine="480"/>
        <w:rPr>
          <w:rFonts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F0FE"/>
      </w:r>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00796469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07286881">
      <w:pPr>
        <w:spacing w:line="360" w:lineRule="auto"/>
        <w:rPr>
          <w:rFonts w:ascii="仿宋" w:hAnsi="仿宋" w:eastAsia="仿宋" w:cs="仿宋"/>
          <w:b/>
          <w:sz w:val="24"/>
          <w:highlight w:val="none"/>
        </w:rPr>
      </w:pPr>
      <w:r>
        <w:rPr>
          <w:rFonts w:hint="eastAsia" w:ascii="仿宋" w:hAnsi="仿宋" w:eastAsia="仿宋" w:cs="仿宋"/>
          <w:b/>
          <w:sz w:val="24"/>
          <w:highlight w:val="none"/>
        </w:rPr>
        <w:t>二、申请人的资格要求：</w:t>
      </w:r>
    </w:p>
    <w:p w14:paraId="1CEDAC75">
      <w:pPr>
        <w:spacing w:line="360" w:lineRule="auto"/>
        <w:ind w:firstLine="48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6941665">
      <w:pPr>
        <w:spacing w:line="360" w:lineRule="auto"/>
        <w:ind w:firstLine="480" w:firstLineChars="20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2.以联合体形式投标的，提供联合协议(本项目不接受联合体投标或者投标人不以联合体形式投标的，则不需要提供) ；</w:t>
      </w:r>
    </w:p>
    <w:p w14:paraId="103BDF19">
      <w:pPr>
        <w:spacing w:line="360" w:lineRule="auto"/>
        <w:ind w:firstLine="480" w:firstLineChars="20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3.落实政府采购政策需满足的资格要求：</w:t>
      </w:r>
    </w:p>
    <w:p w14:paraId="2F5532F8">
      <w:pPr>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737070830"/>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A8"/>
          </w:r>
        </w:sdtContent>
      </w:sdt>
      <w:r>
        <w:rPr>
          <w:rFonts w:hint="eastAsia" w:ascii="仿宋" w:hAnsi="仿宋" w:eastAsia="仿宋" w:cs="仿宋"/>
          <w:sz w:val="24"/>
          <w:highlight w:val="none"/>
        </w:rPr>
        <w:t>无</w:t>
      </w:r>
      <w:r>
        <w:rPr>
          <w:rFonts w:hint="eastAsia" w:ascii="仿宋" w:hAnsi="仿宋" w:eastAsia="仿宋" w:cs="仿宋"/>
          <w:snapToGrid w:val="0"/>
          <w:kern w:val="28"/>
          <w:sz w:val="24"/>
          <w:szCs w:val="20"/>
          <w:highlight w:val="none"/>
        </w:rPr>
        <w:t>（注：不得限制大中型企业与小微企业组成联合体参与投标）；</w:t>
      </w:r>
    </w:p>
    <w:p w14:paraId="478DB102">
      <w:pPr>
        <w:spacing w:line="360" w:lineRule="auto"/>
        <w:ind w:firstLine="480" w:firstLineChars="200"/>
        <w:rPr>
          <w:rFonts w:ascii="仿宋" w:hAnsi="仿宋" w:eastAsia="仿宋" w:cs="仿宋"/>
          <w:snapToGrid w:val="0"/>
          <w:kern w:val="28"/>
          <w:sz w:val="24"/>
          <w:szCs w:val="20"/>
          <w:highlight w:val="none"/>
        </w:rPr>
      </w:pPr>
      <w:sdt>
        <w:sdtPr>
          <w:rPr>
            <w:rFonts w:hint="eastAsia" w:ascii="仿宋" w:hAnsi="仿宋" w:eastAsia="仿宋" w:cs="仿宋"/>
            <w:kern w:val="0"/>
            <w:sz w:val="24"/>
            <w:highlight w:val="none"/>
          </w:rPr>
          <w:id w:val="1731063770"/>
        </w:sdtPr>
        <w:sdtEndPr>
          <w:rPr>
            <w:rFonts w:hint="eastAsia" w:ascii="仿宋" w:hAnsi="仿宋" w:eastAsia="仿宋" w:cs="仿宋"/>
            <w:snapToGrid w:val="0"/>
            <w:kern w:val="28"/>
            <w:sz w:val="24"/>
            <w:szCs w:val="20"/>
            <w:highlight w:val="none"/>
          </w:rPr>
        </w:sdtEndPr>
        <w:sdtContent>
          <w:r>
            <w:rPr>
              <w:rFonts w:hint="eastAsia" w:ascii="仿宋" w:hAnsi="仿宋" w:eastAsia="仿宋" w:cs="仿宋"/>
              <w:kern w:val="0"/>
              <w:sz w:val="24"/>
              <w:highlight w:val="none"/>
            </w:rPr>
            <w:sym w:font="Wingdings" w:char="00FE"/>
          </w:r>
        </w:sdtContent>
      </w:sdt>
      <w:r>
        <w:rPr>
          <w:rFonts w:hint="eastAsia" w:ascii="仿宋" w:hAnsi="仿宋" w:eastAsia="仿宋" w:cs="仿宋"/>
          <w:snapToGrid w:val="0"/>
          <w:kern w:val="28"/>
          <w:sz w:val="24"/>
          <w:szCs w:val="20"/>
          <w:highlight w:val="none"/>
        </w:rPr>
        <w:t>专门面向中小企业</w:t>
      </w:r>
    </w:p>
    <w:p w14:paraId="38115437">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40106598"/>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服务全部由符合政策要求的中小企业承接，提供中小企业声明函；</w:t>
      </w:r>
    </w:p>
    <w:p w14:paraId="6AEC920A">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1223048178"/>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FE"/>
          </w:r>
        </w:sdtContent>
      </w:sdt>
      <w:r>
        <w:rPr>
          <w:rFonts w:hint="eastAsia" w:ascii="仿宋" w:hAnsi="仿宋" w:eastAsia="仿宋" w:cs="仿宋"/>
          <w:sz w:val="24"/>
          <w:highlight w:val="none"/>
        </w:rPr>
        <w:t>服务全部由符合政策要求的小微企业承接，提供中小企业声明函；</w:t>
      </w:r>
    </w:p>
    <w:p w14:paraId="791DAFEE">
      <w:pPr>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193903882"/>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要求以联合体形式参加，提供联合协议和中小企业声明函，联合协议中中小企业合同金额应当达到%，其中小微企业合同金额应当达到%;</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highlight w:val="none"/>
        </w:rPr>
        <w:t>；</w:t>
      </w:r>
    </w:p>
    <w:p w14:paraId="3E415009">
      <w:pPr>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1658983560"/>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要求合同分包，提供分包意向协议和中小企业声明函，分包意向协议中中小企业合同金额应当达到达到% ，其中小微企业合同金额应当达到% ;</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highlight w:val="none"/>
        </w:rPr>
        <w:t>；</w:t>
      </w:r>
    </w:p>
    <w:p w14:paraId="0854AD50">
      <w:pPr>
        <w:numPr>
          <w:ilvl w:val="0"/>
          <w:numId w:val="1"/>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本项目的特定资格要求：</w:t>
      </w:r>
    </w:p>
    <w:p w14:paraId="663682EE">
      <w:pPr>
        <w:spacing w:line="360" w:lineRule="auto"/>
        <w:ind w:firstLine="480" w:firstLineChars="200"/>
        <w:rPr>
          <w:rFonts w:ascii="仿宋" w:hAnsi="仿宋" w:eastAsia="仿宋" w:cs="仿宋"/>
          <w:spacing w:val="8"/>
          <w:kern w:val="0"/>
          <w:sz w:val="24"/>
          <w:highlight w:val="none"/>
        </w:rPr>
      </w:pPr>
      <w:sdt>
        <w:sdtPr>
          <w:rPr>
            <w:rFonts w:hint="eastAsia" w:ascii="仿宋" w:hAnsi="仿宋" w:eastAsia="仿宋" w:cs="仿宋"/>
            <w:kern w:val="0"/>
            <w:sz w:val="24"/>
            <w:highlight w:val="none"/>
          </w:rPr>
          <w:id w:val="1525803484"/>
        </w:sdtPr>
        <w:sdtEndPr>
          <w:rPr>
            <w:rFonts w:hint="eastAsia" w:ascii="仿宋" w:hAnsi="仿宋" w:eastAsia="仿宋" w:cs="仿宋"/>
            <w:snapToGrid w:val="0"/>
            <w:kern w:val="28"/>
            <w:sz w:val="24"/>
            <w:szCs w:val="20"/>
            <w:highlight w:val="none"/>
          </w:rPr>
        </w:sdtEndPr>
        <w:sdtContent>
          <w:r>
            <w:rPr>
              <w:rFonts w:hint="eastAsia" w:ascii="仿宋" w:hAnsi="仿宋" w:eastAsia="仿宋" w:cs="仿宋"/>
              <w:kern w:val="0"/>
              <w:sz w:val="24"/>
              <w:highlight w:val="none"/>
            </w:rPr>
            <w:sym w:font="Wingdings" w:char="00FE"/>
          </w:r>
        </w:sdtContent>
      </w:sdt>
      <w:r>
        <w:rPr>
          <w:rFonts w:hint="eastAsia" w:ascii="仿宋" w:hAnsi="仿宋" w:eastAsia="仿宋" w:cs="仿宋"/>
          <w:spacing w:val="8"/>
          <w:kern w:val="0"/>
          <w:sz w:val="24"/>
          <w:highlight w:val="none"/>
        </w:rPr>
        <w:t>无。</w:t>
      </w:r>
    </w:p>
    <w:p w14:paraId="608D4D3A">
      <w:pPr>
        <w:spacing w:line="360" w:lineRule="auto"/>
        <w:ind w:firstLine="512" w:firstLineChars="200"/>
        <w:rPr>
          <w:rFonts w:ascii="仿宋" w:hAnsi="仿宋" w:eastAsia="仿宋" w:cs="仿宋"/>
          <w:spacing w:val="8"/>
          <w:kern w:val="0"/>
          <w:sz w:val="24"/>
          <w:highlight w:val="none"/>
        </w:rPr>
      </w:pPr>
      <w:sdt>
        <w:sdtPr>
          <w:rPr>
            <w:rFonts w:hint="eastAsia" w:ascii="仿宋" w:hAnsi="仿宋" w:eastAsia="仿宋" w:cs="仿宋"/>
            <w:spacing w:val="8"/>
            <w:kern w:val="0"/>
            <w:sz w:val="24"/>
            <w:highlight w:val="none"/>
          </w:rPr>
          <w:id w:val="1221064137"/>
          <w14:checkbox>
            <w14:checked w14:val="0"/>
            <w14:checkedState w14:val="00FE" w14:font="Wingdings"/>
            <w14:uncheckedState w14:val="2610" w14:font="MS Gothic"/>
          </w14:checkbox>
        </w:sdtPr>
        <w:sdtEndPr>
          <w:rPr>
            <w:rFonts w:hint="eastAsia" w:ascii="仿宋" w:hAnsi="仿宋" w:eastAsia="仿宋" w:cs="仿宋"/>
            <w:spacing w:val="8"/>
            <w:kern w:val="0"/>
            <w:sz w:val="24"/>
            <w:highlight w:val="none"/>
          </w:rPr>
        </w:sdtEndPr>
        <w:sdtContent>
          <w:r>
            <w:rPr>
              <w:rFonts w:hint="eastAsia" w:ascii="仿宋" w:hAnsi="仿宋" w:eastAsia="仿宋" w:cs="仿宋"/>
              <w:spacing w:val="8"/>
              <w:kern w:val="0"/>
              <w:sz w:val="24"/>
              <w:highlight w:val="none"/>
            </w:rPr>
            <w:t>☐</w:t>
          </w:r>
        </w:sdtContent>
      </w:sdt>
      <w:r>
        <w:rPr>
          <w:rFonts w:hint="eastAsia" w:ascii="仿宋" w:hAnsi="仿宋" w:eastAsia="仿宋" w:cs="仿宋"/>
          <w:spacing w:val="8"/>
          <w:kern w:val="0"/>
          <w:sz w:val="24"/>
          <w:highlight w:val="none"/>
        </w:rPr>
        <w:t>有特定资格要求</w:t>
      </w:r>
      <w:r>
        <w:rPr>
          <w:rFonts w:hint="eastAsia" w:ascii="仿宋" w:hAnsi="仿宋" w:eastAsia="仿宋" w:cs="仿宋"/>
          <w:spacing w:val="8"/>
          <w:kern w:val="0"/>
          <w:sz w:val="24"/>
          <w:highlight w:val="none"/>
          <w:u w:val="single"/>
        </w:rPr>
        <w:t xml:space="preserve">：        </w:t>
      </w:r>
      <w:r>
        <w:rPr>
          <w:rFonts w:hint="eastAsia" w:ascii="仿宋" w:hAnsi="仿宋" w:eastAsia="仿宋" w:cs="仿宋"/>
          <w:spacing w:val="8"/>
          <w:kern w:val="0"/>
          <w:sz w:val="24"/>
          <w:highlight w:val="none"/>
        </w:rPr>
        <w:t>，该特定条件的法律法规依据：</w:t>
      </w:r>
      <w:r>
        <w:rPr>
          <w:rFonts w:hint="eastAsia" w:ascii="仿宋" w:hAnsi="仿宋" w:eastAsia="仿宋" w:cs="仿宋"/>
          <w:spacing w:val="8"/>
          <w:kern w:val="0"/>
          <w:sz w:val="24"/>
          <w:highlight w:val="none"/>
          <w:u w:val="single"/>
        </w:rPr>
        <w:t xml:space="preserve">        </w:t>
      </w:r>
      <w:r>
        <w:rPr>
          <w:rFonts w:hint="eastAsia" w:ascii="仿宋" w:hAnsi="仿宋" w:eastAsia="仿宋" w:cs="仿宋"/>
          <w:spacing w:val="8"/>
          <w:kern w:val="0"/>
          <w:sz w:val="24"/>
          <w:highlight w:val="none"/>
        </w:rPr>
        <w:t>。</w:t>
      </w:r>
    </w:p>
    <w:p w14:paraId="3F053DA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5A060FA">
      <w:pPr>
        <w:spacing w:line="360" w:lineRule="auto"/>
        <w:rPr>
          <w:rFonts w:ascii="仿宋" w:hAnsi="仿宋" w:eastAsia="仿宋" w:cs="仿宋"/>
          <w:b/>
          <w:sz w:val="24"/>
          <w:highlight w:val="none"/>
        </w:rPr>
      </w:pPr>
      <w:r>
        <w:rPr>
          <w:rFonts w:hint="eastAsia" w:ascii="仿宋" w:hAnsi="仿宋" w:eastAsia="仿宋" w:cs="仿宋"/>
          <w:b/>
          <w:sz w:val="24"/>
          <w:highlight w:val="none"/>
        </w:rPr>
        <w:t xml:space="preserve">三、获取招标文件 </w:t>
      </w:r>
    </w:p>
    <w:p w14:paraId="07A19D5E">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2025年</w:t>
      </w:r>
      <w:r>
        <w:rPr>
          <w:rFonts w:hint="eastAsia" w:ascii="仿宋" w:hAnsi="仿宋" w:eastAsia="仿宋" w:cs="仿宋"/>
          <w:sz w:val="24"/>
          <w:highlight w:val="none"/>
          <w:u w:val="single"/>
          <w:lang w:val="en-US" w:eastAsia="zh-CN"/>
        </w:rPr>
        <w:t>7</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29</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14:paraId="2F3F63C6">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14:paraId="6FFA2363">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14:paraId="757C91F2">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3FEFA028">
      <w:pPr>
        <w:spacing w:line="360" w:lineRule="auto"/>
        <w:rPr>
          <w:rFonts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5CB9D2E4">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 xml:space="preserve"> 2025年</w:t>
      </w:r>
      <w:r>
        <w:rPr>
          <w:rFonts w:hint="eastAsia" w:ascii="仿宋" w:hAnsi="仿宋" w:eastAsia="仿宋" w:cs="仿宋"/>
          <w:sz w:val="24"/>
          <w:highlight w:val="none"/>
          <w:u w:val="single"/>
          <w:lang w:val="en-US" w:eastAsia="zh-CN"/>
        </w:rPr>
        <w:t>7</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29</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u w:val="single"/>
        </w:rPr>
        <w:t>点30分00秒</w:t>
      </w:r>
      <w:r>
        <w:rPr>
          <w:rFonts w:hint="eastAsia" w:ascii="仿宋" w:hAnsi="仿宋" w:eastAsia="仿宋" w:cs="仿宋"/>
          <w:sz w:val="24"/>
          <w:highlight w:val="none"/>
        </w:rPr>
        <w:t>（北京时间）</w:t>
      </w:r>
    </w:p>
    <w:p w14:paraId="5B71031C">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14:paraId="7A8A67E8">
      <w:pPr>
        <w:spacing w:line="360" w:lineRule="auto"/>
        <w:ind w:firstLine="482" w:firstLineChars="200"/>
        <w:rPr>
          <w:rFonts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2025年</w:t>
      </w:r>
      <w:r>
        <w:rPr>
          <w:rFonts w:hint="eastAsia" w:ascii="仿宋" w:hAnsi="仿宋" w:eastAsia="仿宋" w:cs="仿宋"/>
          <w:sz w:val="24"/>
          <w:highlight w:val="none"/>
          <w:u w:val="single"/>
          <w:lang w:val="en-US" w:eastAsia="zh-CN"/>
        </w:rPr>
        <w:t>7</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29</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u w:val="single"/>
        </w:rPr>
        <w:t>点30分00秒</w:t>
      </w:r>
    </w:p>
    <w:p w14:paraId="445AFC85">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政采云平台（https://www.zcygov.cn/）</w:t>
      </w:r>
    </w:p>
    <w:p w14:paraId="5512B8FD">
      <w:pPr>
        <w:spacing w:line="360" w:lineRule="auto"/>
        <w:rPr>
          <w:rFonts w:ascii="仿宋" w:hAnsi="仿宋" w:eastAsia="仿宋" w:cs="仿宋"/>
          <w:sz w:val="24"/>
          <w:highlight w:val="none"/>
        </w:rPr>
      </w:pPr>
      <w:r>
        <w:rPr>
          <w:rFonts w:hint="eastAsia" w:ascii="仿宋" w:hAnsi="仿宋" w:eastAsia="仿宋" w:cs="仿宋"/>
          <w:b/>
          <w:sz w:val="24"/>
          <w:highlight w:val="none"/>
        </w:rPr>
        <w:t xml:space="preserve">五、公告期限 </w:t>
      </w:r>
    </w:p>
    <w:p w14:paraId="53165F63">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自本公告发布之日起5个工作日。</w:t>
      </w:r>
    </w:p>
    <w:p w14:paraId="5B807F03">
      <w:pPr>
        <w:spacing w:line="360" w:lineRule="auto"/>
        <w:rPr>
          <w:rFonts w:ascii="仿宋" w:hAnsi="仿宋" w:eastAsia="仿宋" w:cs="仿宋"/>
          <w:b/>
          <w:sz w:val="24"/>
          <w:highlight w:val="none"/>
        </w:rPr>
      </w:pPr>
      <w:r>
        <w:rPr>
          <w:rFonts w:hint="eastAsia" w:ascii="仿宋" w:hAnsi="仿宋" w:eastAsia="仿宋" w:cs="仿宋"/>
          <w:b/>
          <w:sz w:val="24"/>
          <w:highlight w:val="none"/>
        </w:rPr>
        <w:t>六、其他补充事宜</w:t>
      </w:r>
    </w:p>
    <w:p w14:paraId="511761D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11E884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A53B3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755850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F45AFFD">
      <w:pPr>
        <w:spacing w:line="360" w:lineRule="auto"/>
        <w:rPr>
          <w:rFonts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14:paraId="4E86853D">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1.采购人信息</w:t>
      </w:r>
    </w:p>
    <w:p w14:paraId="558391DC">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名    称：杭州市公安局交通警察支队 </w:t>
      </w:r>
    </w:p>
    <w:p w14:paraId="21C4C6BC">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地    址：杭州市文晖路336号       </w:t>
      </w:r>
    </w:p>
    <w:p w14:paraId="1A6C8478">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传    真： /</w:t>
      </w:r>
    </w:p>
    <w:p w14:paraId="47517DC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项目联系人（询问）：蒋斌  </w:t>
      </w:r>
    </w:p>
    <w:p w14:paraId="49FA6E4A">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项目联系方式（询问）：0571-89593113</w:t>
      </w:r>
    </w:p>
    <w:p w14:paraId="3B2621C4">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质疑联系人：郑红军</w:t>
      </w:r>
    </w:p>
    <w:p w14:paraId="356A147A">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质疑联系方式：0571-87282209</w:t>
      </w:r>
    </w:p>
    <w:p w14:paraId="448C365D">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 xml:space="preserve">2.采购代理机构信息            </w:t>
      </w:r>
    </w:p>
    <w:p w14:paraId="6E2083C1">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名    称：浙江信达咨询监理有限公司</w:t>
      </w:r>
    </w:p>
    <w:p w14:paraId="5EEDB10D">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地    址：杭州市德胜路289号松泰文创园2号楼6楼</w:t>
      </w:r>
    </w:p>
    <w:p w14:paraId="27391BEF">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传    真：/</w:t>
      </w:r>
    </w:p>
    <w:p w14:paraId="73066A4D">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 xml:space="preserve">项目联系人（询问）：朱祺 </w:t>
      </w:r>
    </w:p>
    <w:p w14:paraId="72E2DD5C">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项目联系方式（询问）：0571-85116015、18057188023</w:t>
      </w:r>
    </w:p>
    <w:p w14:paraId="5690F12B">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 xml:space="preserve">质疑联系人：吴秀琴 </w:t>
      </w:r>
    </w:p>
    <w:p w14:paraId="328F7669">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质疑联系方式：0571-85118292、13588007576</w:t>
      </w:r>
    </w:p>
    <w:p w14:paraId="3250D64A">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3.同级政府采购监督管理部门            </w:t>
      </w:r>
    </w:p>
    <w:p w14:paraId="28E828F0">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名    称：杭州市财政局政府采购监管处 /浙江省政府采购行政裁决服务中心（杭州）</w:t>
      </w:r>
    </w:p>
    <w:p w14:paraId="265D4D01">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地    址：杭州市上城区清泰街549号城建综合大楼11楼（快递仅限ems或顺丰） </w:t>
      </w:r>
    </w:p>
    <w:p w14:paraId="105D4837">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传    真： /</w:t>
      </w:r>
    </w:p>
    <w:p w14:paraId="275AFE82">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联系人 ：朱女士、王女士</w:t>
      </w:r>
    </w:p>
    <w:p w14:paraId="2BFEF6CC">
      <w:pPr>
        <w:spacing w:line="360" w:lineRule="auto"/>
        <w:ind w:firstLine="480" w:firstLineChars="200"/>
        <w:rPr>
          <w:rFonts w:ascii="宋体" w:hAnsi="宋体" w:cs="宋体"/>
          <w:sz w:val="24"/>
          <w:highlight w:val="none"/>
        </w:rPr>
      </w:pPr>
      <w:r>
        <w:rPr>
          <w:rFonts w:hint="eastAsia" w:ascii="仿宋" w:hAnsi="仿宋" w:eastAsia="仿宋" w:cs="仿宋"/>
          <w:sz w:val="24"/>
          <w:highlight w:val="none"/>
        </w:rPr>
        <w:t>监督投诉电话：电话：</w:t>
      </w:r>
      <w:r>
        <w:rPr>
          <w:rFonts w:hint="eastAsia" w:ascii="宋体" w:hAnsi="宋体" w:cs="宋体"/>
          <w:sz w:val="24"/>
          <w:highlight w:val="none"/>
        </w:rPr>
        <w:t>0571-87227671,0571-87800218</w:t>
      </w:r>
    </w:p>
    <w:p w14:paraId="13DA189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政策咨询：沈先生、陈先生，电话：0571-89580457、0571-89580460</w:t>
      </w:r>
    </w:p>
    <w:p w14:paraId="6799737F">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若对项目采购电子交易系统操作有疑问，可登录政采云（https://www.zcygov.cn/），点击右侧咨询小采，获取采小蜜智能服务管家帮助，或拨打政采云服务热线95763获取热线服务帮助。</w:t>
      </w:r>
    </w:p>
    <w:p w14:paraId="11C981E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CA问题联系电话（人工）：汇信CA 400-888-4636；天谷CA 400-087-8198。</w:t>
      </w:r>
    </w:p>
    <w:p w14:paraId="7C9A4D75">
      <w:pPr>
        <w:widowControl/>
        <w:adjustRightInd/>
        <w:jc w:val="left"/>
        <w:rPr>
          <w:rFonts w:ascii="仿宋" w:hAnsi="仿宋" w:eastAsia="仿宋" w:cs="仿宋"/>
          <w:b/>
          <w:sz w:val="36"/>
          <w:szCs w:val="20"/>
          <w:highlight w:val="none"/>
        </w:rPr>
      </w:pPr>
      <w:r>
        <w:rPr>
          <w:rFonts w:hint="eastAsia" w:ascii="仿宋" w:hAnsi="仿宋" w:eastAsia="仿宋" w:cs="仿宋"/>
          <w:b/>
          <w:sz w:val="36"/>
          <w:szCs w:val="20"/>
          <w:highlight w:val="none"/>
        </w:rPr>
        <w:br w:type="page"/>
      </w:r>
    </w:p>
    <w:p w14:paraId="68564755">
      <w:pPr>
        <w:adjustRightInd/>
        <w:spacing w:line="360" w:lineRule="auto"/>
        <w:jc w:val="center"/>
        <w:outlineLvl w:val="0"/>
        <w:rPr>
          <w:rFonts w:ascii="仿宋" w:hAnsi="仿宋" w:eastAsia="仿宋" w:cs="仿宋"/>
          <w:b/>
          <w:sz w:val="36"/>
          <w:szCs w:val="20"/>
          <w:highlight w:val="none"/>
        </w:rPr>
      </w:pPr>
      <w:r>
        <w:rPr>
          <w:rFonts w:hint="eastAsia" w:ascii="仿宋" w:hAnsi="仿宋" w:eastAsia="仿宋" w:cs="仿宋"/>
          <w:b/>
          <w:sz w:val="36"/>
          <w:szCs w:val="20"/>
          <w:highlight w:val="none"/>
        </w:rPr>
        <w:t>第二部分</w:t>
      </w:r>
      <w:bookmarkEnd w:id="8"/>
      <w:r>
        <w:rPr>
          <w:rFonts w:hint="eastAsia" w:ascii="仿宋" w:hAnsi="仿宋" w:eastAsia="仿宋" w:cs="仿宋"/>
          <w:b/>
          <w:sz w:val="36"/>
          <w:szCs w:val="20"/>
          <w:highlight w:val="none"/>
        </w:rPr>
        <w:t xml:space="preserve"> 投标人须知</w:t>
      </w:r>
      <w:bookmarkEnd w:id="9"/>
    </w:p>
    <w:p w14:paraId="6B163561">
      <w:pPr>
        <w:adjustRightInd/>
        <w:spacing w:line="360" w:lineRule="auto"/>
        <w:ind w:firstLine="3845" w:firstLineChars="1197"/>
        <w:outlineLvl w:val="0"/>
        <w:rPr>
          <w:rFonts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2"/>
        <w:tblW w:w="907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02"/>
      </w:tblGrid>
      <w:tr w14:paraId="652B0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5ABE9B">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80377DF">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事项</w:t>
            </w:r>
          </w:p>
        </w:tc>
        <w:tc>
          <w:tcPr>
            <w:tcW w:w="6602" w:type="dxa"/>
            <w:tcBorders>
              <w:top w:val="single" w:color="000000" w:sz="8" w:space="0"/>
              <w:left w:val="single" w:color="000000" w:sz="2" w:space="0"/>
              <w:bottom w:val="single" w:color="000000" w:sz="8" w:space="0"/>
              <w:right w:val="single" w:color="000000" w:sz="8" w:space="0"/>
            </w:tcBorders>
            <w:vAlign w:val="center"/>
          </w:tcPr>
          <w:p w14:paraId="6C00D621">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本项目的特别规定</w:t>
            </w:r>
          </w:p>
        </w:tc>
      </w:tr>
      <w:tr w14:paraId="43081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D263EA">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7A3C908">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项目属性</w:t>
            </w:r>
          </w:p>
        </w:tc>
        <w:tc>
          <w:tcPr>
            <w:tcW w:w="6602" w:type="dxa"/>
            <w:tcBorders>
              <w:top w:val="single" w:color="000000" w:sz="8" w:space="0"/>
              <w:left w:val="single" w:color="000000" w:sz="2" w:space="0"/>
              <w:bottom w:val="single" w:color="000000" w:sz="8" w:space="0"/>
              <w:right w:val="single" w:color="000000" w:sz="8" w:space="0"/>
            </w:tcBorders>
            <w:vAlign w:val="center"/>
          </w:tcPr>
          <w:p w14:paraId="00D9A008">
            <w:pPr>
              <w:spacing w:line="360" w:lineRule="auto"/>
              <w:rPr>
                <w:rFonts w:ascii="仿宋" w:hAnsi="仿宋" w:eastAsia="仿宋" w:cs="仿宋"/>
                <w:sz w:val="24"/>
                <w:highlight w:val="none"/>
              </w:rPr>
            </w:pPr>
            <w:r>
              <w:rPr>
                <w:rFonts w:hint="eastAsia" w:ascii="仿宋" w:hAnsi="仿宋" w:eastAsia="仿宋" w:cs="仿宋"/>
                <w:sz w:val="24"/>
                <w:highlight w:val="none"/>
              </w:rPr>
              <w:t>服务类。</w:t>
            </w:r>
          </w:p>
        </w:tc>
      </w:tr>
      <w:tr w14:paraId="7911D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FAD0A1">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5874C69">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采购标的及其对应的中小企业划分标准所属行业</w:t>
            </w:r>
          </w:p>
        </w:tc>
        <w:tc>
          <w:tcPr>
            <w:tcW w:w="6602" w:type="dxa"/>
            <w:tcBorders>
              <w:top w:val="single" w:color="000000" w:sz="8" w:space="0"/>
              <w:left w:val="single" w:color="000000" w:sz="2" w:space="0"/>
              <w:bottom w:val="single" w:color="000000" w:sz="8" w:space="0"/>
              <w:right w:val="single" w:color="000000" w:sz="8" w:space="0"/>
            </w:tcBorders>
            <w:vAlign w:val="center"/>
          </w:tcPr>
          <w:p w14:paraId="1A249B2B">
            <w:pPr>
              <w:snapToGrid w:val="0"/>
              <w:rPr>
                <w:rFonts w:ascii="仿宋" w:hAnsi="仿宋" w:eastAsia="仿宋" w:cs="仿宋"/>
                <w:highlight w:val="none"/>
              </w:rPr>
            </w:pPr>
            <w:r>
              <w:rPr>
                <w:rFonts w:hint="eastAsia" w:ascii="仿宋" w:hAnsi="仿宋" w:eastAsia="仿宋" w:cs="仿宋"/>
                <w:kern w:val="0"/>
                <w:sz w:val="24"/>
                <w:highlight w:val="none"/>
              </w:rPr>
              <w:t>（1）标的：</w:t>
            </w:r>
            <w:r>
              <w:rPr>
                <w:rFonts w:hint="eastAsia" w:ascii="仿宋" w:hAnsi="仿宋" w:eastAsia="仿宋" w:cs="仿宋"/>
                <w:sz w:val="24"/>
                <w:highlight w:val="none"/>
              </w:rPr>
              <w:t>2025年5G便携式视音频设备使用项目，属于：（十五）租赁和商务服务业行业；根据《关于印发中小企业划型标准规定的通知》（工信部联企业〔2011〕300号）第四条规定：租赁和商务服务业行业。从业人员300人以下或营业收入120000万元以下的为中小微型企业。其中，从业人员100人及以上，且营业收入8000万元及以上的为中型企业；从业人员10人及以上，且营业收入100万元及以上的为小型企业；从业人员10人以下或营业收入100万元以下的为微型企业。</w:t>
            </w:r>
          </w:p>
        </w:tc>
      </w:tr>
      <w:tr w14:paraId="17FF0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A8BD04">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178E9FD">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602" w:type="dxa"/>
            <w:tcBorders>
              <w:top w:val="single" w:color="000000" w:sz="8" w:space="0"/>
              <w:left w:val="single" w:color="000000" w:sz="2" w:space="0"/>
              <w:bottom w:val="single" w:color="000000" w:sz="8" w:space="0"/>
              <w:right w:val="single" w:color="000000" w:sz="8" w:space="0"/>
            </w:tcBorders>
            <w:vAlign w:val="center"/>
          </w:tcPr>
          <w:p w14:paraId="60525690">
            <w:pPr>
              <w:spacing w:line="360" w:lineRule="auto"/>
              <w:rPr>
                <w:rFonts w:ascii="仿宋" w:hAnsi="仿宋" w:eastAsia="仿宋" w:cs="仿宋"/>
                <w:kern w:val="0"/>
                <w:sz w:val="24"/>
                <w:highlight w:val="none"/>
              </w:rPr>
            </w:pPr>
            <w:sdt>
              <w:sdtPr>
                <w:rPr>
                  <w:rFonts w:hint="eastAsia" w:ascii="仿宋" w:hAnsi="仿宋" w:eastAsia="仿宋" w:cs="仿宋"/>
                  <w:kern w:val="0"/>
                  <w:sz w:val="24"/>
                  <w:highlight w:val="none"/>
                </w:rPr>
                <w:id w:val="-1867315524"/>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FE"/>
                </w:r>
              </w:sdtContent>
            </w:sdt>
            <w:r>
              <w:rPr>
                <w:rFonts w:hint="eastAsia" w:ascii="仿宋" w:hAnsi="仿宋" w:eastAsia="仿宋" w:cs="仿宋"/>
                <w:kern w:val="0"/>
                <w:sz w:val="24"/>
                <w:highlight w:val="none"/>
              </w:rPr>
              <w:t>本项目不允许采购进口产品。</w:t>
            </w:r>
          </w:p>
          <w:p w14:paraId="58345999">
            <w:pPr>
              <w:spacing w:line="360" w:lineRule="auto"/>
              <w:rPr>
                <w:rFonts w:ascii="仿宋" w:hAnsi="仿宋" w:eastAsia="仿宋" w:cs="仿宋"/>
                <w:highlight w:val="none"/>
              </w:rPr>
            </w:pPr>
            <w:r>
              <w:rPr>
                <w:rFonts w:hint="eastAsia" w:ascii="仿宋" w:hAnsi="仿宋" w:eastAsia="仿宋" w:cs="仿宋"/>
                <w:kern w:val="0"/>
                <w:sz w:val="24"/>
                <w:highlight w:val="none"/>
              </w:rPr>
              <w:t>☐可以就采购进口产品。</w:t>
            </w:r>
          </w:p>
        </w:tc>
      </w:tr>
      <w:tr w14:paraId="78089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4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7DE672">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D506AE6">
            <w:pPr>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分包</w:t>
            </w:r>
          </w:p>
        </w:tc>
        <w:tc>
          <w:tcPr>
            <w:tcW w:w="6602" w:type="dxa"/>
            <w:tcBorders>
              <w:top w:val="single" w:color="000000" w:sz="8" w:space="0"/>
              <w:left w:val="single" w:color="000000" w:sz="2" w:space="0"/>
              <w:bottom w:val="single" w:color="000000" w:sz="8" w:space="0"/>
              <w:right w:val="single" w:color="000000" w:sz="8" w:space="0"/>
            </w:tcBorders>
            <w:vAlign w:val="center"/>
          </w:tcPr>
          <w:p w14:paraId="35C423B6">
            <w:pPr>
              <w:spacing w:line="360" w:lineRule="auto"/>
              <w:rPr>
                <w:rFonts w:ascii="仿宋" w:hAnsi="仿宋" w:eastAsia="仿宋" w:cs="仿宋"/>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A</w:t>
            </w:r>
            <w:r>
              <w:rPr>
                <w:rFonts w:hint="eastAsia" w:ascii="仿宋" w:hAnsi="仿宋" w:eastAsia="仿宋" w:cs="仿宋"/>
                <w:sz w:val="24"/>
                <w:highlight w:val="none"/>
              </w:rPr>
              <w:t>同意将非主体、非关键性的</w:t>
            </w:r>
            <w:r>
              <w:rPr>
                <w:rFonts w:hint="eastAsia" w:ascii="仿宋" w:hAnsi="仿宋" w:eastAsia="仿宋" w:cs="仿宋"/>
                <w:b/>
                <w:bCs/>
                <w:sz w:val="24"/>
                <w:highlight w:val="none"/>
                <w:u w:val="single"/>
              </w:rPr>
              <w:t xml:space="preserve"> </w:t>
            </w:r>
            <w:r>
              <w:rPr>
                <w:rFonts w:hint="eastAsia" w:ascii="仿宋" w:hAnsi="仿宋" w:eastAsia="仿宋" w:cs="仿宋"/>
                <w:sz w:val="24"/>
                <w:highlight w:val="none"/>
                <w:u w:val="single"/>
              </w:rPr>
              <w:t>培训</w:t>
            </w:r>
            <w:r>
              <w:rPr>
                <w:rFonts w:hint="eastAsia" w:ascii="仿宋" w:hAnsi="仿宋" w:eastAsia="仿宋" w:cs="仿宋"/>
                <w:b/>
                <w:bCs/>
                <w:sz w:val="24"/>
                <w:highlight w:val="none"/>
                <w:u w:val="single"/>
              </w:rPr>
              <w:t xml:space="preserve"> </w:t>
            </w:r>
            <w:r>
              <w:rPr>
                <w:rFonts w:hint="eastAsia" w:ascii="仿宋" w:hAnsi="仿宋" w:eastAsia="仿宋" w:cs="仿宋"/>
                <w:sz w:val="24"/>
                <w:highlight w:val="none"/>
              </w:rPr>
              <w:t>工作分包。</w:t>
            </w:r>
          </w:p>
          <w:p w14:paraId="7A6A0281">
            <w:pPr>
              <w:spacing w:line="360" w:lineRule="auto"/>
              <w:rPr>
                <w:rFonts w:ascii="仿宋" w:hAnsi="仿宋" w:eastAsia="仿宋" w:cs="仿宋"/>
                <w:sz w:val="24"/>
                <w:highlight w:val="none"/>
              </w:rPr>
            </w:pPr>
            <w:sdt>
              <w:sdtPr>
                <w:rPr>
                  <w:rFonts w:hint="eastAsia" w:ascii="仿宋" w:hAnsi="仿宋" w:eastAsia="仿宋" w:cs="仿宋"/>
                  <w:kern w:val="0"/>
                  <w:sz w:val="24"/>
                  <w:highlight w:val="none"/>
                </w:rPr>
                <w:id w:val="-453152107"/>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sdt>
              <w:sdtPr>
                <w:rPr>
                  <w:rFonts w:hint="eastAsia" w:ascii="仿宋" w:hAnsi="仿宋" w:eastAsia="仿宋" w:cs="仿宋"/>
                  <w:kern w:val="0"/>
                  <w:sz w:val="24"/>
                  <w:highlight w:val="none"/>
                </w:rPr>
                <w:id w:val="-882724314"/>
                <w:showingPlcHdr/>
              </w:sdtPr>
              <w:sdtEndPr>
                <w:rPr>
                  <w:rFonts w:hint="eastAsia" w:ascii="仿宋" w:hAnsi="仿宋" w:eastAsia="仿宋" w:cs="仿宋"/>
                  <w:kern w:val="0"/>
                  <w:sz w:val="24"/>
                  <w:highlight w:val="none"/>
                </w:rPr>
              </w:sdtEndPr>
              <w:sdtContent/>
            </w:sdt>
            <w:r>
              <w:rPr>
                <w:rFonts w:hint="eastAsia" w:ascii="仿宋" w:hAnsi="仿宋" w:eastAsia="仿宋" w:cs="仿宋"/>
                <w:kern w:val="0"/>
                <w:sz w:val="24"/>
                <w:highlight w:val="none"/>
              </w:rPr>
              <w:t xml:space="preserve"> B</w:t>
            </w:r>
            <w:r>
              <w:rPr>
                <w:rFonts w:hint="eastAsia" w:ascii="仿宋" w:hAnsi="仿宋" w:eastAsia="仿宋" w:cs="仿宋"/>
                <w:sz w:val="24"/>
                <w:highlight w:val="none"/>
              </w:rPr>
              <w:t>不同意分包。</w:t>
            </w:r>
          </w:p>
          <w:p w14:paraId="22F2B0C2">
            <w:pPr>
              <w:spacing w:line="360" w:lineRule="auto"/>
              <w:rPr>
                <w:rFonts w:ascii="仿宋" w:hAnsi="仿宋" w:eastAsia="仿宋" w:cs="仿宋"/>
                <w:sz w:val="24"/>
                <w:highlight w:val="none"/>
              </w:rPr>
            </w:pPr>
            <w:r>
              <w:rPr>
                <w:rFonts w:hint="eastAsia" w:ascii="仿宋" w:hAnsi="仿宋" w:eastAsia="仿宋" w:cs="仿宋"/>
                <w:sz w:val="24"/>
                <w:highlight w:val="none"/>
              </w:rPr>
              <w:t>注：不得限制大中型企业向小微企业合理分包。</w:t>
            </w:r>
          </w:p>
        </w:tc>
      </w:tr>
      <w:tr w14:paraId="15543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F3DBF3">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FA2232">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602" w:type="dxa"/>
            <w:tcBorders>
              <w:top w:val="single" w:color="000000" w:sz="8" w:space="0"/>
              <w:left w:val="single" w:color="000000" w:sz="2" w:space="0"/>
              <w:bottom w:val="single" w:color="000000" w:sz="8" w:space="0"/>
              <w:right w:val="single" w:color="000000" w:sz="8" w:space="0"/>
            </w:tcBorders>
            <w:vAlign w:val="center"/>
          </w:tcPr>
          <w:p w14:paraId="484E8B94">
            <w:pPr>
              <w:spacing w:line="360" w:lineRule="auto"/>
              <w:rPr>
                <w:rFonts w:ascii="仿宋" w:hAnsi="仿宋" w:eastAsia="仿宋" w:cs="仿宋"/>
                <w:sz w:val="24"/>
                <w:highlight w:val="none"/>
              </w:rPr>
            </w:pPr>
            <w:r>
              <w:rPr>
                <w:rFonts w:hint="eastAsia" w:ascii="仿宋" w:hAnsi="仿宋" w:eastAsia="仿宋" w:cs="仿宋"/>
                <w:kern w:val="0"/>
                <w:sz w:val="24"/>
                <w:highlight w:val="none"/>
              </w:rPr>
              <w:sym w:font="Wingdings" w:char="F0FE"/>
            </w:r>
            <w:sdt>
              <w:sdtPr>
                <w:rPr>
                  <w:rFonts w:hint="eastAsia" w:ascii="仿宋" w:hAnsi="仿宋" w:eastAsia="仿宋" w:cs="仿宋"/>
                  <w:kern w:val="0"/>
                  <w:sz w:val="24"/>
                  <w:highlight w:val="none"/>
                </w:rPr>
                <w:id w:val="1587430614"/>
                <w:showingPlcHdr/>
              </w:sdtPr>
              <w:sdtEndPr>
                <w:rPr>
                  <w:rFonts w:hint="eastAsia" w:ascii="仿宋" w:hAnsi="仿宋" w:eastAsia="仿宋" w:cs="仿宋"/>
                  <w:kern w:val="0"/>
                  <w:sz w:val="24"/>
                  <w:highlight w:val="none"/>
                </w:rPr>
              </w:sdtEndP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69A038D1">
            <w:pPr>
              <w:spacing w:line="360" w:lineRule="auto"/>
              <w:rPr>
                <w:rFonts w:ascii="仿宋" w:hAnsi="仿宋" w:eastAsia="仿宋" w:cs="仿宋"/>
                <w:sz w:val="24"/>
                <w:szCs w:val="20"/>
                <w:highlight w:val="none"/>
              </w:rPr>
            </w:pPr>
            <w:sdt>
              <w:sdtPr>
                <w:rPr>
                  <w:rFonts w:hint="eastAsia" w:ascii="仿宋" w:hAnsi="仿宋" w:eastAsia="仿宋" w:cs="仿宋"/>
                  <w:kern w:val="0"/>
                  <w:sz w:val="24"/>
                  <w:highlight w:val="none"/>
                </w:rPr>
                <w:id w:val="-29231703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r>
              <w:rPr>
                <w:rFonts w:hint="eastAsia" w:ascii="仿宋" w:hAnsi="仿宋" w:eastAsia="仿宋" w:cs="仿宋"/>
                <w:sz w:val="24"/>
                <w:highlight w:val="none"/>
              </w:rPr>
              <w:t>时间：,地点：，联系人：，联系方式：</w:t>
            </w:r>
            <w:r>
              <w:rPr>
                <w:rFonts w:hint="eastAsia" w:ascii="仿宋" w:hAnsi="仿宋" w:eastAsia="仿宋" w:cs="仿宋"/>
                <w:sz w:val="24"/>
                <w:szCs w:val="20"/>
                <w:highlight w:val="none"/>
              </w:rPr>
              <w:t>。</w:t>
            </w:r>
          </w:p>
          <w:p w14:paraId="7EA3569A">
            <w:pPr>
              <w:pStyle w:val="892"/>
              <w:ind w:firstLine="0" w:firstLineChars="0"/>
              <w:rPr>
                <w:highlight w:val="none"/>
              </w:rPr>
            </w:pPr>
            <w:r>
              <w:rPr>
                <w:rFonts w:hint="eastAsia" w:ascii="仿宋" w:hAnsi="仿宋" w:eastAsia="仿宋" w:cs="仿宋"/>
                <w:sz w:val="24"/>
                <w:szCs w:val="24"/>
                <w:highlight w:val="none"/>
              </w:rPr>
              <w:t>☐C不统一组织，供应商在获取采购文件后，自行至项目现场考察。地点： ，联系人： ，联系方式： 。</w:t>
            </w:r>
          </w:p>
        </w:tc>
      </w:tr>
      <w:tr w14:paraId="26340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6037AE">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F6788A">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样品提供</w:t>
            </w:r>
          </w:p>
        </w:tc>
        <w:tc>
          <w:tcPr>
            <w:tcW w:w="6602" w:type="dxa"/>
            <w:tcBorders>
              <w:top w:val="single" w:color="000000" w:sz="8" w:space="0"/>
              <w:left w:val="single" w:color="000000" w:sz="2" w:space="0"/>
              <w:bottom w:val="single" w:color="000000" w:sz="8" w:space="0"/>
              <w:right w:val="single" w:color="000000" w:sz="8" w:space="0"/>
            </w:tcBorders>
            <w:vAlign w:val="center"/>
          </w:tcPr>
          <w:p w14:paraId="03F4819A">
            <w:pPr>
              <w:spacing w:line="360" w:lineRule="auto"/>
              <w:rPr>
                <w:rFonts w:ascii="仿宋" w:hAnsi="仿宋" w:eastAsia="仿宋" w:cs="仿宋"/>
                <w:sz w:val="24"/>
                <w:highlight w:val="none"/>
              </w:rPr>
            </w:pPr>
            <w:sdt>
              <w:sdtPr>
                <w:rPr>
                  <w:rFonts w:hint="eastAsia" w:ascii="仿宋" w:hAnsi="仿宋" w:eastAsia="仿宋" w:cs="仿宋"/>
                  <w:kern w:val="0"/>
                  <w:sz w:val="24"/>
                  <w:highlight w:val="none"/>
                </w:rPr>
                <w:id w:val="-604174747"/>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14:paraId="310E6AF3">
            <w:pPr>
              <w:spacing w:line="360" w:lineRule="auto"/>
              <w:rPr>
                <w:rFonts w:ascii="仿宋" w:hAnsi="仿宋" w:eastAsia="仿宋" w:cs="仿宋"/>
                <w:kern w:val="0"/>
                <w:sz w:val="24"/>
                <w:highlight w:val="none"/>
              </w:rPr>
            </w:pPr>
            <w:sdt>
              <w:sdtPr>
                <w:rPr>
                  <w:rFonts w:hint="eastAsia" w:ascii="仿宋" w:hAnsi="仿宋" w:eastAsia="仿宋" w:cs="仿宋"/>
                  <w:kern w:val="0"/>
                  <w:sz w:val="24"/>
                  <w:highlight w:val="none"/>
                </w:rPr>
                <w:id w:val="-1345985210"/>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B要求提供，</w:t>
            </w:r>
          </w:p>
          <w:p w14:paraId="685F5E93">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snapToGrid w:val="0"/>
                <w:kern w:val="28"/>
                <w:sz w:val="24"/>
                <w:highlight w:val="none"/>
              </w:rPr>
              <w:t>样品：</w:t>
            </w:r>
            <w:r>
              <w:rPr>
                <w:rFonts w:hint="eastAsia" w:ascii="仿宋" w:hAnsi="仿宋" w:eastAsia="仿宋" w:cs="仿宋"/>
                <w:kern w:val="0"/>
                <w:sz w:val="24"/>
                <w:highlight w:val="none"/>
              </w:rPr>
              <w:t>；</w:t>
            </w:r>
          </w:p>
          <w:p w14:paraId="29AF98FE">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snapToGrid w:val="0"/>
                <w:kern w:val="28"/>
                <w:sz w:val="24"/>
                <w:highlight w:val="none"/>
              </w:rPr>
              <w:t>样品制作的标准和要求：</w:t>
            </w:r>
            <w:r>
              <w:rPr>
                <w:rFonts w:hint="eastAsia" w:ascii="仿宋" w:hAnsi="仿宋" w:eastAsia="仿宋" w:cs="仿宋"/>
                <w:kern w:val="0"/>
                <w:sz w:val="24"/>
                <w:highlight w:val="none"/>
              </w:rPr>
              <w:t>；</w:t>
            </w:r>
          </w:p>
          <w:p w14:paraId="78C9A103">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（3）样品的评审方法以及评审标准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rPr>
              <w:t>评标办法</w:t>
            </w:r>
            <w:r>
              <w:rPr>
                <w:rFonts w:hint="eastAsia" w:ascii="仿宋" w:hAnsi="仿宋" w:eastAsia="仿宋" w:cs="仿宋"/>
                <w:kern w:val="0"/>
                <w:sz w:val="24"/>
                <w:highlight w:val="none"/>
              </w:rPr>
              <w:t>；</w:t>
            </w:r>
          </w:p>
          <w:p w14:paraId="1C409C79">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（4）是否需要随样品提交检测报告：</w:t>
            </w:r>
            <w:sdt>
              <w:sdtPr>
                <w:rPr>
                  <w:rFonts w:hint="eastAsia" w:ascii="仿宋" w:hAnsi="仿宋" w:eastAsia="仿宋" w:cs="仿宋"/>
                  <w:kern w:val="0"/>
                  <w:sz w:val="24"/>
                  <w:highlight w:val="none"/>
                </w:rPr>
                <w:id w:val="-1729032221"/>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否；</w:t>
            </w:r>
            <w:sdt>
              <w:sdtPr>
                <w:rPr>
                  <w:rFonts w:hint="eastAsia" w:ascii="仿宋" w:hAnsi="仿宋" w:eastAsia="仿宋" w:cs="仿宋"/>
                  <w:kern w:val="0"/>
                  <w:sz w:val="24"/>
                  <w:highlight w:val="none"/>
                </w:rPr>
                <w:id w:val="-173807134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是，检测机构的要求</w:t>
            </w:r>
            <w:r>
              <w:rPr>
                <w:rFonts w:hint="eastAsia" w:ascii="仿宋" w:hAnsi="仿宋" w:eastAsia="仿宋" w:cs="仿宋"/>
                <w:sz w:val="24"/>
                <w:highlight w:val="none"/>
              </w:rPr>
              <w:t>：</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kern w:val="0"/>
                <w:sz w:val="24"/>
                <w:highlight w:val="none"/>
              </w:rPr>
              <w:t>。</w:t>
            </w:r>
          </w:p>
          <w:p w14:paraId="69E857AE">
            <w:pPr>
              <w:spacing w:line="360" w:lineRule="auto"/>
              <w:rPr>
                <w:rFonts w:ascii="仿宋" w:hAnsi="仿宋" w:eastAsia="仿宋" w:cs="仿宋"/>
                <w:sz w:val="24"/>
                <w:highlight w:val="none"/>
              </w:rPr>
            </w:pPr>
            <w:r>
              <w:rPr>
                <w:rFonts w:hint="eastAsia" w:ascii="仿宋" w:hAnsi="仿宋" w:eastAsia="仿宋" w:cs="仿宋"/>
                <w:sz w:val="24"/>
                <w:highlight w:val="none"/>
              </w:rPr>
              <w:t>（5）提供样品的时间：</w:t>
            </w:r>
            <w:r>
              <w:rPr>
                <w:rFonts w:hint="eastAsia" w:ascii="仿宋" w:hAnsi="仿宋" w:eastAsia="仿宋" w:cs="仿宋"/>
                <w:kern w:val="0"/>
                <w:sz w:val="24"/>
                <w:highlight w:val="none"/>
              </w:rPr>
              <w:t>；地点：；联系人</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rPr>
              <w:t>。请投标人在上述时间内提供样品并按规定位置安装完毕。超过截止时间的，采购人或采购代理机构将不予接收，并将清场并封闭样品现场。</w:t>
            </w:r>
          </w:p>
          <w:p w14:paraId="3DFBB14C">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4ED111C">
            <w:pPr>
              <w:spacing w:line="360" w:lineRule="auto"/>
              <w:rPr>
                <w:rFonts w:ascii="仿宋" w:hAnsi="仿宋" w:eastAsia="仿宋" w:cs="仿宋"/>
                <w:b/>
                <w:sz w:val="24"/>
                <w:highlight w:val="none"/>
              </w:rPr>
            </w:pPr>
            <w:r>
              <w:rPr>
                <w:rFonts w:hint="eastAsia" w:ascii="仿宋" w:hAnsi="仿宋" w:eastAsia="仿宋" w:cs="仿宋"/>
                <w:sz w:val="24"/>
                <w:highlight w:val="none"/>
              </w:rPr>
              <w:t>（7）制作、运输、安装和保管样品所发生的一切费用由投标人自理。</w:t>
            </w:r>
          </w:p>
        </w:tc>
      </w:tr>
      <w:tr w14:paraId="4D99C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62BD97">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693ED8A">
            <w:pPr>
              <w:snapToGrid w:val="0"/>
              <w:spacing w:line="360" w:lineRule="auto"/>
              <w:jc w:val="center"/>
              <w:rPr>
                <w:rFonts w:ascii="仿宋" w:hAnsi="仿宋" w:eastAsia="仿宋" w:cs="仿宋"/>
                <w:bCs/>
                <w:sz w:val="24"/>
                <w:highlight w:val="none"/>
              </w:rPr>
            </w:pPr>
            <w:r>
              <w:rPr>
                <w:rFonts w:hint="eastAsia" w:ascii="仿宋" w:hAnsi="仿宋" w:eastAsia="仿宋" w:cs="仿宋"/>
                <w:b/>
                <w:sz w:val="24"/>
                <w:highlight w:val="none"/>
              </w:rPr>
              <w:t>方案讲解演示</w:t>
            </w:r>
          </w:p>
        </w:tc>
        <w:tc>
          <w:tcPr>
            <w:tcW w:w="6602" w:type="dxa"/>
            <w:tcBorders>
              <w:top w:val="single" w:color="000000" w:sz="8" w:space="0"/>
              <w:left w:val="single" w:color="000000" w:sz="2" w:space="0"/>
              <w:bottom w:val="single" w:color="000000" w:sz="8" w:space="0"/>
              <w:right w:val="single" w:color="000000" w:sz="8" w:space="0"/>
            </w:tcBorders>
            <w:vAlign w:val="center"/>
          </w:tcPr>
          <w:p w14:paraId="2AAE1BAF">
            <w:pPr>
              <w:spacing w:line="360" w:lineRule="auto"/>
              <w:rPr>
                <w:rFonts w:ascii="仿宋" w:hAnsi="仿宋" w:eastAsia="仿宋" w:cs="仿宋"/>
                <w:sz w:val="24"/>
                <w:highlight w:val="none"/>
              </w:rPr>
            </w:pPr>
            <w:sdt>
              <w:sdtPr>
                <w:rPr>
                  <w:rFonts w:hint="eastAsia" w:ascii="仿宋" w:hAnsi="仿宋" w:eastAsia="仿宋" w:cs="仿宋"/>
                  <w:kern w:val="0"/>
                  <w:sz w:val="24"/>
                  <w:highlight w:val="none"/>
                </w:rPr>
                <w:id w:val="-517538192"/>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305107993"/>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5E0688F5">
            <w:pPr>
              <w:spacing w:line="360" w:lineRule="auto"/>
              <w:rPr>
                <w:rFonts w:ascii="仿宋" w:hAnsi="仿宋" w:eastAsia="仿宋" w:cs="仿宋"/>
                <w:kern w:val="0"/>
                <w:sz w:val="24"/>
                <w:highlight w:val="none"/>
              </w:rPr>
            </w:pPr>
            <w:sdt>
              <w:sdtPr>
                <w:rPr>
                  <w:rFonts w:hint="eastAsia" w:ascii="仿宋" w:hAnsi="仿宋" w:eastAsia="仿宋" w:cs="仿宋"/>
                  <w:kern w:val="0"/>
                  <w:sz w:val="24"/>
                  <w:highlight w:val="none"/>
                </w:rPr>
                <w:id w:val="1283232957"/>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p>
          <w:p w14:paraId="1BCB79DD">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（1）在评标时安排每个投标人进行方案讲解演示。每个投标人时间不超过</w:t>
            </w:r>
            <w:r>
              <w:rPr>
                <w:rFonts w:hint="eastAsia" w:ascii="仿宋" w:hAnsi="仿宋" w:eastAsia="仿宋" w:cs="仿宋"/>
                <w:kern w:val="0"/>
                <w:sz w:val="24"/>
                <w:highlight w:val="none"/>
                <w:u w:val="single"/>
              </w:rPr>
              <w:t>20（编制时可根据项目情况进行调整）</w:t>
            </w:r>
            <w:r>
              <w:rPr>
                <w:rFonts w:hint="eastAsia" w:ascii="仿宋" w:hAnsi="仿宋" w:eastAsia="仿宋" w:cs="仿宋"/>
                <w:kern w:val="0"/>
                <w:sz w:val="24"/>
                <w:highlight w:val="none"/>
              </w:rPr>
              <w:t>分钟，讲解次序以投标文件解密时间先后次序为准，讲解演示人员不超过</w:t>
            </w:r>
            <w:r>
              <w:rPr>
                <w:rFonts w:hint="eastAsia" w:ascii="仿宋" w:hAnsi="仿宋" w:eastAsia="仿宋" w:cs="仿宋"/>
                <w:kern w:val="0"/>
                <w:sz w:val="24"/>
                <w:highlight w:val="none"/>
                <w:u w:val="single"/>
              </w:rPr>
              <w:t>3（编制时可根据项目情况进行调整）</w:t>
            </w:r>
            <w:r>
              <w:rPr>
                <w:rFonts w:hint="eastAsia" w:ascii="仿宋" w:hAnsi="仿宋" w:eastAsia="仿宋" w:cs="仿宋"/>
                <w:kern w:val="0"/>
                <w:sz w:val="24"/>
                <w:highlight w:val="none"/>
              </w:rPr>
              <w:t>人。讲解演示结束后按要求解答评标委员会提问。</w:t>
            </w:r>
          </w:p>
          <w:p w14:paraId="713E6D3F">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（2）方案讲解演示可选择以下其中一种方式：</w:t>
            </w:r>
          </w:p>
          <w:p w14:paraId="439F56C0">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方式一：政采云平台在线讲解演示。政采云平台在线讲解需投标人根据政采云平台操作要求做好准备工作，提前完善软硬件配置环境。</w:t>
            </w:r>
          </w:p>
          <w:p w14:paraId="16D7C33B">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14:paraId="3BBD9BAD">
            <w:pPr>
              <w:snapToGrid w:val="0"/>
              <w:spacing w:line="360" w:lineRule="auto"/>
              <w:rPr>
                <w:rFonts w:ascii="仿宋" w:hAnsi="仿宋" w:eastAsia="仿宋" w:cs="仿宋"/>
                <w:b/>
                <w:kern w:val="0"/>
                <w:sz w:val="24"/>
                <w:highlight w:val="none"/>
                <w:lang w:val="zh-CN"/>
              </w:rPr>
            </w:pPr>
            <w:r>
              <w:rPr>
                <w:rFonts w:hint="eastAsia" w:ascii="仿宋" w:hAnsi="仿宋" w:eastAsia="仿宋" w:cs="仿宋"/>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F15A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9AB11FE">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4FCA996">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投标人应当提供的资格、资信证明文件</w:t>
            </w:r>
          </w:p>
        </w:tc>
        <w:tc>
          <w:tcPr>
            <w:tcW w:w="6602" w:type="dxa"/>
            <w:tcBorders>
              <w:top w:val="single" w:color="000000" w:sz="8" w:space="0"/>
              <w:left w:val="single" w:color="000000" w:sz="2" w:space="0"/>
              <w:bottom w:val="single" w:color="auto" w:sz="4" w:space="0"/>
              <w:right w:val="single" w:color="000000" w:sz="8" w:space="0"/>
            </w:tcBorders>
            <w:vAlign w:val="center"/>
          </w:tcPr>
          <w:p w14:paraId="62B6FB50">
            <w:pPr>
              <w:spacing w:line="360" w:lineRule="auto"/>
              <w:rPr>
                <w:rFonts w:ascii="仿宋" w:hAnsi="仿宋" w:eastAsia="仿宋" w:cs="仿宋"/>
                <w:sz w:val="24"/>
                <w:highlight w:val="none"/>
              </w:rPr>
            </w:pPr>
            <w:r>
              <w:rPr>
                <w:rFonts w:hint="eastAsia" w:ascii="仿宋" w:hAnsi="仿宋" w:eastAsia="仿宋" w:cs="仿宋"/>
                <w:sz w:val="24"/>
                <w:highlight w:val="none"/>
              </w:rPr>
              <w:t>（1）资格证明文件：见招标文件第二部分11.1。</w:t>
            </w:r>
          </w:p>
          <w:p w14:paraId="5DE9F710">
            <w:pPr>
              <w:spacing w:line="360" w:lineRule="auto"/>
              <w:rPr>
                <w:rFonts w:ascii="仿宋" w:hAnsi="仿宋" w:eastAsia="仿宋" w:cs="仿宋"/>
                <w:snapToGrid w:val="0"/>
                <w:kern w:val="0"/>
                <w:szCs w:val="21"/>
                <w:highlight w:val="none"/>
              </w:rPr>
            </w:pPr>
            <w:r>
              <w:rPr>
                <w:rFonts w:hint="eastAsia" w:ascii="仿宋" w:hAnsi="仿宋" w:eastAsia="仿宋" w:cs="仿宋"/>
                <w:kern w:val="0"/>
                <w:sz w:val="24"/>
                <w:highlight w:val="none"/>
                <w:lang w:val="zh-CN"/>
              </w:rPr>
              <w:t>投标人未提供有效的资格证明文件的，视为投标人不具备招标文件中规定的资格要求，投标无效。</w:t>
            </w:r>
          </w:p>
        </w:tc>
      </w:tr>
      <w:tr w14:paraId="4D7A8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 w:hRule="atLeast"/>
          <w:tblHeader/>
        </w:trPr>
        <w:tc>
          <w:tcPr>
            <w:tcW w:w="629" w:type="dxa"/>
            <w:vMerge w:val="continue"/>
            <w:tcBorders>
              <w:left w:val="single" w:color="auto" w:sz="4" w:space="0"/>
              <w:bottom w:val="single" w:color="auto" w:sz="4" w:space="0"/>
              <w:right w:val="single" w:color="auto" w:sz="4" w:space="0"/>
            </w:tcBorders>
            <w:vAlign w:val="center"/>
          </w:tcPr>
          <w:p w14:paraId="7D4BFBCB">
            <w:pPr>
              <w:rPr>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A306CE9">
            <w:pPr>
              <w:rPr>
                <w:highlight w:val="none"/>
              </w:rPr>
            </w:pPr>
          </w:p>
        </w:tc>
        <w:tc>
          <w:tcPr>
            <w:tcW w:w="6602" w:type="dxa"/>
            <w:tcBorders>
              <w:top w:val="single" w:color="auto" w:sz="4" w:space="0"/>
              <w:left w:val="single" w:color="000000" w:sz="2" w:space="0"/>
              <w:bottom w:val="single" w:color="000000" w:sz="8" w:space="0"/>
              <w:right w:val="single" w:color="000000" w:sz="8" w:space="0"/>
            </w:tcBorders>
            <w:vAlign w:val="center"/>
          </w:tcPr>
          <w:p w14:paraId="571CB451">
            <w:pPr>
              <w:spacing w:line="360" w:lineRule="auto"/>
              <w:rPr>
                <w:rFonts w:ascii="仿宋" w:hAnsi="仿宋" w:eastAsia="仿宋" w:cs="仿宋"/>
                <w:sz w:val="24"/>
                <w:highlight w:val="none"/>
              </w:rPr>
            </w:pPr>
            <w:r>
              <w:rPr>
                <w:rFonts w:hint="eastAsia" w:ascii="仿宋" w:hAnsi="仿宋" w:eastAsia="仿宋" w:cs="仿宋"/>
                <w:sz w:val="24"/>
                <w:highlight w:val="none"/>
              </w:rPr>
              <w:t>（2）资信证明文件：根据招标文件第四部分评标标准提供。</w:t>
            </w:r>
          </w:p>
        </w:tc>
      </w:tr>
      <w:tr w14:paraId="74D8F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094FD5">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678D69D">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6602" w:type="dxa"/>
            <w:tcBorders>
              <w:top w:val="single" w:color="000000" w:sz="8" w:space="0"/>
              <w:left w:val="single" w:color="000000" w:sz="2" w:space="0"/>
              <w:bottom w:val="single" w:color="000000" w:sz="8" w:space="0"/>
              <w:right w:val="single" w:color="000000" w:sz="8" w:space="0"/>
            </w:tcBorders>
            <w:vAlign w:val="center"/>
          </w:tcPr>
          <w:p w14:paraId="3F963C16">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7212A5C">
            <w:pPr>
              <w:pStyle w:val="892"/>
              <w:ind w:firstLine="480"/>
              <w:jc w:val="both"/>
              <w:rPr>
                <w:rFonts w:ascii="仿宋" w:hAnsi="仿宋" w:eastAsia="仿宋" w:cs="仿宋"/>
                <w:sz w:val="24"/>
                <w:szCs w:val="24"/>
                <w:highlight w:val="none"/>
              </w:rPr>
            </w:pPr>
            <w:sdt>
              <w:sdtPr>
                <w:rPr>
                  <w:rFonts w:hint="eastAsia" w:ascii="仿宋" w:hAnsi="仿宋" w:eastAsia="仿宋" w:cs="仿宋"/>
                  <w:sz w:val="24"/>
                  <w:szCs w:val="24"/>
                  <w:highlight w:val="none"/>
                </w:rPr>
                <w:id w:val="645178271"/>
                <w14:checkbox>
                  <w14:checked w14:val="0"/>
                  <w14:checkedState w14:val="00FE" w14:font="Wingdings"/>
                  <w14:uncheckedState w14:val="2610" w14:font="MS Gothic"/>
                </w14:checkbox>
              </w:sdtPr>
              <w:sdtEndPr>
                <w:rPr>
                  <w:rFonts w:hint="eastAsia" w:ascii="仿宋" w:hAnsi="仿宋" w:eastAsia="仿宋" w:cs="仿宋"/>
                  <w:sz w:val="24"/>
                  <w:szCs w:val="24"/>
                  <w:highlight w:val="none"/>
                </w:rPr>
              </w:sdtEndPr>
              <w:sdtContent>
                <w:r>
                  <w:rPr>
                    <w:rFonts w:hint="eastAsia" w:ascii="仿宋" w:hAnsi="仿宋" w:eastAsia="仿宋" w:cs="仿宋"/>
                    <w:sz w:val="24"/>
                    <w:szCs w:val="24"/>
                    <w:highlight w:val="none"/>
                  </w:rPr>
                  <w:t>☐</w:t>
                </w:r>
              </w:sdtContent>
            </w:sdt>
            <w:r>
              <w:rPr>
                <w:rFonts w:hint="eastAsia" w:ascii="仿宋" w:hAnsi="仿宋" w:eastAsia="仿宋" w:cs="仿宋"/>
                <w:sz w:val="24"/>
                <w:szCs w:val="24"/>
                <w:highlight w:val="none"/>
              </w:rPr>
              <w:t xml:space="preserve">强制采购。产品：    </w:t>
            </w:r>
          </w:p>
          <w:p w14:paraId="1A6CE473">
            <w:pPr>
              <w:pStyle w:val="892"/>
              <w:ind w:firstLine="480"/>
              <w:jc w:val="both"/>
              <w:rPr>
                <w:rFonts w:ascii="仿宋" w:hAnsi="仿宋" w:eastAsia="仿宋" w:cs="仿宋"/>
                <w:sz w:val="24"/>
                <w:szCs w:val="24"/>
                <w:highlight w:val="none"/>
              </w:rPr>
            </w:pPr>
            <w:r>
              <w:rPr>
                <w:rFonts w:hint="eastAsia" w:ascii="仿宋" w:hAnsi="仿宋" w:eastAsia="仿宋" w:cs="仿宋"/>
                <w:sz w:val="24"/>
                <w:szCs w:val="24"/>
                <w:highlight w:val="none"/>
              </w:rPr>
              <w:t xml:space="preserve">□优先采购节能产品。产品：   </w:t>
            </w:r>
          </w:p>
          <w:p w14:paraId="134595FF">
            <w:pPr>
              <w:pStyle w:val="892"/>
              <w:ind w:firstLine="480"/>
              <w:jc w:val="both"/>
              <w:rPr>
                <w:rFonts w:ascii="仿宋" w:hAnsi="仿宋" w:eastAsia="仿宋" w:cs="仿宋"/>
                <w:sz w:val="24"/>
                <w:szCs w:val="24"/>
                <w:highlight w:val="none"/>
              </w:rPr>
            </w:pPr>
            <w:r>
              <w:rPr>
                <w:rFonts w:hint="eastAsia" w:ascii="仿宋" w:hAnsi="仿宋" w:eastAsia="仿宋" w:cs="仿宋"/>
                <w:sz w:val="24"/>
                <w:szCs w:val="24"/>
                <w:highlight w:val="none"/>
              </w:rPr>
              <w:t xml:space="preserve">□优先采购环保产品。产品：    </w:t>
            </w:r>
          </w:p>
          <w:p w14:paraId="6AE4FF84">
            <w:pPr>
              <w:snapToGrid w:val="0"/>
              <w:spacing w:line="360" w:lineRule="auto"/>
              <w:ind w:firstLine="480" w:firstLineChars="200"/>
              <w:rPr>
                <w:rFonts w:ascii="仿宋" w:hAnsi="仿宋" w:eastAsia="仿宋" w:cs="仿宋"/>
                <w:kern w:val="0"/>
                <w:sz w:val="24"/>
                <w:highlight w:val="none"/>
              </w:rPr>
            </w:pPr>
            <w:sdt>
              <w:sdtPr>
                <w:rPr>
                  <w:rFonts w:hint="eastAsia" w:ascii="仿宋" w:hAnsi="仿宋" w:eastAsia="仿宋" w:cs="仿宋"/>
                  <w:kern w:val="0"/>
                  <w:sz w:val="24"/>
                  <w:highlight w:val="none"/>
                </w:rPr>
                <w:id w:val="2033230335"/>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1345201457"/>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sdtContent>
            </w:sdt>
            <w:r>
              <w:rPr>
                <w:rFonts w:hint="eastAsia" w:ascii="仿宋" w:hAnsi="仿宋" w:eastAsia="仿宋" w:cs="仿宋"/>
                <w:kern w:val="0"/>
                <w:sz w:val="24"/>
                <w:highlight w:val="none"/>
              </w:rPr>
              <w:t>无</w:t>
            </w:r>
          </w:p>
        </w:tc>
      </w:tr>
      <w:tr w14:paraId="34D9A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6DA54B">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89FDA49">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报价要求</w:t>
            </w:r>
          </w:p>
        </w:tc>
        <w:tc>
          <w:tcPr>
            <w:tcW w:w="6602" w:type="dxa"/>
            <w:tcBorders>
              <w:top w:val="single" w:color="000000" w:sz="8" w:space="0"/>
              <w:left w:val="single" w:color="000000" w:sz="2" w:space="0"/>
              <w:bottom w:val="single" w:color="000000" w:sz="8" w:space="0"/>
              <w:right w:val="single" w:color="000000" w:sz="8" w:space="0"/>
            </w:tcBorders>
            <w:vAlign w:val="center"/>
          </w:tcPr>
          <w:p w14:paraId="700EE699">
            <w:pPr>
              <w:snapToGrid w:val="0"/>
              <w:spacing w:line="360" w:lineRule="auto"/>
              <w:jc w:val="left"/>
              <w:rPr>
                <w:rFonts w:ascii="仿宋" w:hAnsi="仿宋" w:eastAsia="仿宋" w:cs="仿宋"/>
                <w:b/>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b/>
                <w:bCs/>
                <w:kern w:val="0"/>
                <w:sz w:val="24"/>
                <w:highlight w:val="none"/>
                <w:lang w:val="zh-CN"/>
              </w:rPr>
              <w:t>投标文件</w:t>
            </w:r>
            <w:r>
              <w:rPr>
                <w:rFonts w:hint="eastAsia" w:ascii="仿宋" w:hAnsi="仿宋" w:eastAsia="仿宋" w:cs="仿宋"/>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r>
              <w:rPr>
                <w:rFonts w:hint="eastAsia" w:ascii="仿宋" w:hAnsi="仿宋" w:eastAsia="仿宋" w:cs="仿宋"/>
                <w:b/>
                <w:kern w:val="0"/>
                <w:sz w:val="24"/>
                <w:highlight w:val="none"/>
                <w:lang w:val="zh-CN"/>
              </w:rPr>
              <w:t>提醒：验收时检测费用由采购人承担，不包含在投标总价中。</w:t>
            </w:r>
          </w:p>
          <w:p w14:paraId="45955338">
            <w:pPr>
              <w:snapToGrid w:val="0"/>
              <w:spacing w:line="360" w:lineRule="auto"/>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投标报价出现下列情形的，投标无效：</w:t>
            </w:r>
          </w:p>
          <w:p w14:paraId="40ECC6DC">
            <w:pPr>
              <w:snapToGrid w:val="0"/>
              <w:spacing w:line="360" w:lineRule="auto"/>
              <w:ind w:firstLine="241" w:firstLineChars="100"/>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投标文件出现不是唯一的、有选择性投标报价的；</w:t>
            </w:r>
          </w:p>
          <w:p w14:paraId="01C2FAA3">
            <w:pPr>
              <w:snapToGrid w:val="0"/>
              <w:spacing w:line="360" w:lineRule="auto"/>
              <w:ind w:firstLine="241" w:firstLineChars="100"/>
              <w:jc w:val="left"/>
              <w:rPr>
                <w:rFonts w:ascii="仿宋" w:hAnsi="仿宋" w:eastAsia="仿宋" w:cs="仿宋"/>
                <w:kern w:val="0"/>
                <w:sz w:val="24"/>
                <w:highlight w:val="none"/>
                <w:lang w:val="zh-CN"/>
              </w:rPr>
            </w:pPr>
            <w:r>
              <w:rPr>
                <w:rFonts w:hint="eastAsia" w:ascii="仿宋" w:hAnsi="仿宋" w:eastAsia="仿宋" w:cs="仿宋"/>
                <w:b/>
                <w:kern w:val="0"/>
                <w:sz w:val="24"/>
                <w:highlight w:val="none"/>
                <w:lang w:val="zh-CN"/>
              </w:rPr>
              <w:t>投标报价超过招标文件中规定的预算金额或者最高限价的;</w:t>
            </w:r>
          </w:p>
          <w:p w14:paraId="35B1F9DD">
            <w:pPr>
              <w:autoSpaceDE w:val="0"/>
              <w:autoSpaceDN w:val="0"/>
              <w:snapToGrid w:val="0"/>
              <w:spacing w:line="360" w:lineRule="auto"/>
              <w:ind w:firstLine="241" w:firstLineChars="100"/>
              <w:jc w:val="left"/>
              <w:rPr>
                <w:rFonts w:ascii="仿宋" w:hAnsi="仿宋" w:eastAsia="仿宋" w:cs="仿宋"/>
                <w:b/>
                <w:sz w:val="24"/>
                <w:highlight w:val="none"/>
              </w:rPr>
            </w:pPr>
            <w:r>
              <w:rPr>
                <w:rFonts w:hint="eastAsia" w:ascii="仿宋" w:hAnsi="仿宋" w:eastAsia="仿宋" w:cs="仿宋"/>
                <w:b/>
                <w:kern w:val="0"/>
                <w:sz w:val="24"/>
                <w:highlight w:val="none"/>
                <w:lang w:val="zh-CN"/>
              </w:rPr>
              <w:t>报价明显低于其他通过符合性审查投标人的报价或出现“0元”“补贴”“免费赠送”等形式的无偿报价的，有可能影响产品质量或者不能诚信履约的，未能按要求提供说明或者提交相关证明材料，不能证明其报价合理性的;</w:t>
            </w:r>
          </w:p>
          <w:p w14:paraId="2798BF03">
            <w:pPr>
              <w:spacing w:line="360" w:lineRule="auto"/>
              <w:ind w:firstLine="241" w:firstLineChars="100"/>
              <w:rPr>
                <w:rFonts w:ascii="仿宋" w:hAnsi="仿宋" w:eastAsia="仿宋" w:cs="仿宋"/>
                <w:sz w:val="24"/>
                <w:highlight w:val="none"/>
              </w:rPr>
            </w:pPr>
            <w:r>
              <w:rPr>
                <w:rFonts w:hint="eastAsia" w:ascii="仿宋" w:hAnsi="仿宋" w:eastAsia="仿宋" w:cs="仿宋"/>
                <w:b/>
                <w:kern w:val="0"/>
                <w:sz w:val="24"/>
                <w:highlight w:val="none"/>
              </w:rPr>
              <w:t>投标人对根据修正原则修正后的报价不确认的</w:t>
            </w:r>
            <w:r>
              <w:rPr>
                <w:rFonts w:hint="eastAsia" w:ascii="仿宋" w:hAnsi="仿宋" w:eastAsia="仿宋" w:cs="仿宋"/>
                <w:b/>
                <w:sz w:val="24"/>
                <w:highlight w:val="none"/>
              </w:rPr>
              <w:t>。</w:t>
            </w:r>
          </w:p>
        </w:tc>
      </w:tr>
      <w:tr w14:paraId="3B44F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60BE760C">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11</w:t>
            </w:r>
          </w:p>
        </w:tc>
        <w:tc>
          <w:tcPr>
            <w:tcW w:w="1843" w:type="dxa"/>
            <w:tcBorders>
              <w:top w:val="single" w:color="000000" w:sz="8" w:space="0"/>
              <w:left w:val="single" w:color="000000" w:sz="2" w:space="0"/>
              <w:right w:val="single" w:color="000000" w:sz="8" w:space="0"/>
            </w:tcBorders>
            <w:vAlign w:val="center"/>
          </w:tcPr>
          <w:p w14:paraId="0ACBAF5D">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中小企业信用融资</w:t>
            </w:r>
          </w:p>
        </w:tc>
        <w:tc>
          <w:tcPr>
            <w:tcW w:w="6602" w:type="dxa"/>
            <w:tcBorders>
              <w:top w:val="single" w:color="000000" w:sz="8" w:space="0"/>
              <w:left w:val="single" w:color="000000" w:sz="2" w:space="0"/>
              <w:right w:val="single" w:color="000000" w:sz="8" w:space="0"/>
            </w:tcBorders>
            <w:vAlign w:val="center"/>
          </w:tcPr>
          <w:p w14:paraId="2510DDE5">
            <w:pPr>
              <w:spacing w:line="360" w:lineRule="auto"/>
              <w:ind w:firstLine="480" w:firstLineChars="200"/>
              <w:rPr>
                <w:rFonts w:ascii="仿宋" w:hAnsi="仿宋" w:eastAsia="仿宋" w:cs="仿宋"/>
                <w:sz w:val="24"/>
                <w:highlight w:val="none"/>
              </w:rPr>
            </w:pPr>
            <w:r>
              <w:rPr>
                <w:rFonts w:hint="eastAsia" w:ascii="仿宋" w:hAnsi="仿宋" w:eastAsia="仿宋"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2F37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8E7640">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E0DC64A">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 xml:space="preserve">备份投标文件送达地点和签收人员 </w:t>
            </w:r>
          </w:p>
        </w:tc>
        <w:tc>
          <w:tcPr>
            <w:tcW w:w="6602" w:type="dxa"/>
            <w:tcBorders>
              <w:top w:val="single" w:color="000000" w:sz="8" w:space="0"/>
              <w:left w:val="single" w:color="000000" w:sz="2" w:space="0"/>
              <w:bottom w:val="single" w:color="000000" w:sz="8" w:space="0"/>
              <w:right w:val="single" w:color="000000" w:sz="8" w:space="0"/>
            </w:tcBorders>
            <w:vAlign w:val="center"/>
          </w:tcPr>
          <w:p w14:paraId="2A724B9C">
            <w:pPr>
              <w:pStyle w:val="32"/>
              <w:spacing w:line="360" w:lineRule="auto"/>
              <w:rPr>
                <w:rFonts w:ascii="仿宋" w:hAnsi="仿宋" w:eastAsia="仿宋" w:cs="仿宋"/>
                <w:kern w:val="28"/>
                <w:sz w:val="24"/>
                <w:highlight w:val="none"/>
              </w:rPr>
            </w:pPr>
            <w:r>
              <w:rPr>
                <w:rFonts w:hint="eastAsia" w:ascii="仿宋" w:hAnsi="仿宋" w:eastAsia="仿宋" w:cs="仿宋"/>
                <w:kern w:val="28"/>
                <w:sz w:val="24"/>
                <w:szCs w:val="24"/>
                <w:highlight w:val="none"/>
              </w:rPr>
              <w:t>备份投标文件送达地点：</w:t>
            </w:r>
            <w:r>
              <w:rPr>
                <w:rFonts w:hint="eastAsia" w:ascii="仿宋" w:hAnsi="仿宋" w:eastAsia="仿宋" w:cs="仿宋"/>
                <w:sz w:val="24"/>
                <w:highlight w:val="none"/>
                <w:u w:val="single"/>
              </w:rPr>
              <w:t>杭州市德胜路289号602室</w:t>
            </w:r>
            <w:r>
              <w:rPr>
                <w:rFonts w:hint="eastAsia" w:ascii="仿宋" w:hAnsi="仿宋" w:eastAsia="仿宋" w:cs="仿宋"/>
                <w:kern w:val="28"/>
                <w:sz w:val="24"/>
                <w:szCs w:val="24"/>
                <w:highlight w:val="none"/>
              </w:rPr>
              <w:t>；备份投标文件签收人员联系电话：</w:t>
            </w:r>
            <w:r>
              <w:rPr>
                <w:rFonts w:hint="eastAsia" w:ascii="仿宋" w:hAnsi="仿宋" w:eastAsia="仿宋" w:cs="仿宋"/>
                <w:sz w:val="24"/>
                <w:highlight w:val="none"/>
                <w:u w:val="single"/>
              </w:rPr>
              <w:t>0571-85116015、18057188023</w:t>
            </w:r>
            <w:r>
              <w:rPr>
                <w:rFonts w:hint="eastAsia" w:ascii="仿宋" w:hAnsi="仿宋" w:eastAsia="仿宋" w:cs="仿宋"/>
                <w:sz w:val="24"/>
                <w:szCs w:val="24"/>
                <w:highlight w:val="none"/>
              </w:rPr>
              <w:t>。</w:t>
            </w:r>
            <w:r>
              <w:rPr>
                <w:rFonts w:hint="eastAsia" w:ascii="仿宋" w:hAnsi="仿宋" w:eastAsia="仿宋" w:cs="仿宋"/>
                <w:b/>
                <w:sz w:val="24"/>
                <w:szCs w:val="24"/>
                <w:highlight w:val="none"/>
              </w:rPr>
              <w:t>采购人、采购代理机构不强制或变相强制投标人提交备份投标文件。</w:t>
            </w:r>
          </w:p>
        </w:tc>
      </w:tr>
      <w:tr w14:paraId="49B32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49D02A3">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633D244">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代理费</w:t>
            </w:r>
          </w:p>
        </w:tc>
        <w:tc>
          <w:tcPr>
            <w:tcW w:w="6602" w:type="dxa"/>
            <w:tcBorders>
              <w:top w:val="single" w:color="000000" w:sz="8" w:space="0"/>
              <w:left w:val="single" w:color="000000" w:sz="2" w:space="0"/>
              <w:bottom w:val="single" w:color="000000" w:sz="8" w:space="0"/>
              <w:right w:val="single" w:color="000000" w:sz="8" w:space="0"/>
            </w:tcBorders>
            <w:vAlign w:val="center"/>
          </w:tcPr>
          <w:p w14:paraId="5CA434D4">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本项目的采购代理服务费由中标人支付。计费标准：</w:t>
            </w:r>
          </w:p>
          <w:p w14:paraId="1C4D2361">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以中标（成交）金额为计费基准，按照《关于杭州市招标代理服务收费管理有关问题的通知》(杭价费[2003]148号)文件下浮40%计算的服务类收费标准计取。</w:t>
            </w:r>
          </w:p>
          <w:p w14:paraId="004090D8">
            <w:pPr>
              <w:spacing w:line="360" w:lineRule="auto"/>
              <w:rPr>
                <w:rFonts w:ascii="仿宋" w:hAnsi="仿宋" w:eastAsia="仿宋" w:cs="仿宋"/>
                <w:kern w:val="28"/>
                <w:sz w:val="24"/>
                <w:highlight w:val="none"/>
              </w:rPr>
            </w:pPr>
            <w:r>
              <w:rPr>
                <w:rFonts w:hint="eastAsia" w:ascii="仿宋" w:hAnsi="仿宋" w:eastAsia="仿宋" w:cs="仿宋"/>
                <w:snapToGrid w:val="0"/>
                <w:kern w:val="28"/>
                <w:sz w:val="24"/>
                <w:highlight w:val="none"/>
              </w:rPr>
              <w:t>结算方式及时间为：在领取中标通知书时由中标人一次性向采购代理机构付清。</w:t>
            </w:r>
          </w:p>
        </w:tc>
      </w:tr>
      <w:tr w14:paraId="4643B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1E017D84">
            <w:pPr>
              <w:snapToGrid w:val="0"/>
              <w:spacing w:line="360" w:lineRule="auto"/>
              <w:jc w:val="center"/>
              <w:rPr>
                <w:rFonts w:ascii="宋体" w:hAnsi="宋体" w:cs="宋体"/>
                <w:sz w:val="24"/>
                <w:highlight w:val="none"/>
              </w:rPr>
            </w:pPr>
            <w:r>
              <w:rPr>
                <w:rFonts w:hint="eastAsia" w:ascii="仿宋" w:hAnsi="仿宋" w:eastAsia="仿宋" w:cs="仿宋"/>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2B6D5A5">
            <w:pPr>
              <w:snapToGrid w:val="0"/>
              <w:spacing w:line="360" w:lineRule="auto"/>
              <w:jc w:val="center"/>
              <w:rPr>
                <w:rFonts w:ascii="宋体" w:hAnsi="宋体" w:cs="仿宋_GB2312"/>
                <w:b/>
                <w:sz w:val="24"/>
                <w:highlight w:val="none"/>
              </w:rPr>
            </w:pPr>
            <w:r>
              <w:rPr>
                <w:rFonts w:hint="eastAsia" w:ascii="仿宋" w:hAnsi="仿宋" w:eastAsia="仿宋" w:cs="仿宋"/>
                <w:b/>
                <w:sz w:val="24"/>
                <w:highlight w:val="none"/>
              </w:rPr>
              <w:t>中标候选人数量</w:t>
            </w:r>
          </w:p>
        </w:tc>
        <w:tc>
          <w:tcPr>
            <w:tcW w:w="6602" w:type="dxa"/>
            <w:tcBorders>
              <w:top w:val="single" w:color="auto" w:sz="4" w:space="0"/>
              <w:left w:val="single" w:color="000000" w:sz="2" w:space="0"/>
              <w:bottom w:val="single" w:color="000000" w:sz="8" w:space="0"/>
              <w:right w:val="single" w:color="auto" w:sz="4" w:space="0"/>
            </w:tcBorders>
            <w:vAlign w:val="center"/>
          </w:tcPr>
          <w:p w14:paraId="025292D0">
            <w:pPr>
              <w:spacing w:line="360" w:lineRule="auto"/>
              <w:rPr>
                <w:rFonts w:ascii="宋体" w:hAnsi="宋体" w:cs="宋体"/>
                <w:kern w:val="0"/>
                <w:sz w:val="24"/>
                <w:highlight w:val="none"/>
              </w:rPr>
            </w:pPr>
            <w:r>
              <w:rPr>
                <w:rFonts w:hint="eastAsia" w:ascii="仿宋" w:hAnsi="仿宋" w:eastAsia="仿宋" w:cs="仿宋"/>
                <w:snapToGrid w:val="0"/>
                <w:kern w:val="28"/>
                <w:sz w:val="24"/>
                <w:highlight w:val="none"/>
              </w:rPr>
              <w:t>本项目推荐的中标候选人数量：1名。</w:t>
            </w:r>
          </w:p>
        </w:tc>
      </w:tr>
      <w:tr w14:paraId="0816E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C5E7314">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1FD2F5DA">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特别说明</w:t>
            </w:r>
          </w:p>
        </w:tc>
        <w:tc>
          <w:tcPr>
            <w:tcW w:w="6602" w:type="dxa"/>
            <w:tcBorders>
              <w:top w:val="single" w:color="000000" w:sz="8" w:space="0"/>
              <w:left w:val="single" w:color="000000" w:sz="2" w:space="0"/>
              <w:bottom w:val="single" w:color="000000" w:sz="8" w:space="0"/>
              <w:right w:val="single" w:color="000000" w:sz="8" w:space="0"/>
            </w:tcBorders>
            <w:vAlign w:val="center"/>
          </w:tcPr>
          <w:p w14:paraId="5C9487CB">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联合体投标的，联合体各方分别提供与联合体协议中规定的分工内容相应的业绩证明材料，业绩数量以提供材料较少的一方为准。</w:t>
            </w:r>
          </w:p>
        </w:tc>
      </w:tr>
      <w:tr w14:paraId="1CB76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4BFBC48">
            <w:pPr>
              <w:rPr>
                <w:highlight w:val="none"/>
              </w:rPr>
            </w:pPr>
          </w:p>
        </w:tc>
        <w:tc>
          <w:tcPr>
            <w:tcW w:w="1843" w:type="dxa"/>
            <w:vMerge w:val="continue"/>
            <w:tcBorders>
              <w:left w:val="single" w:color="000000" w:sz="2" w:space="0"/>
              <w:right w:val="single" w:color="000000" w:sz="8" w:space="0"/>
            </w:tcBorders>
            <w:vAlign w:val="center"/>
          </w:tcPr>
          <w:p w14:paraId="569D0AB1">
            <w:pPr>
              <w:rPr>
                <w:highlight w:val="none"/>
              </w:rPr>
            </w:pPr>
          </w:p>
        </w:tc>
        <w:tc>
          <w:tcPr>
            <w:tcW w:w="6602" w:type="dxa"/>
            <w:tcBorders>
              <w:top w:val="single" w:color="000000" w:sz="8" w:space="0"/>
              <w:left w:val="single" w:color="000000" w:sz="2" w:space="0"/>
              <w:bottom w:val="single" w:color="000000" w:sz="8" w:space="0"/>
              <w:right w:val="single" w:color="000000" w:sz="8" w:space="0"/>
            </w:tcBorders>
            <w:vAlign w:val="center"/>
          </w:tcPr>
          <w:p w14:paraId="0FE90670">
            <w:pPr>
              <w:spacing w:line="360" w:lineRule="auto"/>
              <w:rPr>
                <w:rFonts w:ascii="仿宋" w:hAnsi="仿宋" w:eastAsia="仿宋" w:cs="仿宋"/>
                <w:snapToGrid w:val="0"/>
                <w:kern w:val="28"/>
                <w:sz w:val="24"/>
                <w:highlight w:val="none"/>
              </w:rPr>
            </w:pPr>
            <w:sdt>
              <w:sdtPr>
                <w:rPr>
                  <w:rFonts w:hint="eastAsia" w:ascii="仿宋" w:hAnsi="仿宋" w:eastAsia="仿宋" w:cs="仿宋"/>
                  <w:kern w:val="0"/>
                  <w:sz w:val="24"/>
                  <w:highlight w:val="none"/>
                </w:rPr>
                <w:id w:val="935793577"/>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napToGrid w:val="0"/>
                <w:kern w:val="28"/>
                <w:sz w:val="24"/>
                <w:highlight w:val="none"/>
              </w:rPr>
              <w:t>联合体投标的，联合体各方均需按招标文件第四部分评标标准要求提供资信证明文件，否则视为不符合相关要求。</w:t>
            </w:r>
          </w:p>
          <w:p w14:paraId="4161FF24">
            <w:pPr>
              <w:spacing w:line="360" w:lineRule="auto"/>
              <w:rPr>
                <w:rFonts w:ascii="仿宋" w:hAnsi="仿宋" w:eastAsia="仿宋" w:cs="仿宋"/>
                <w:snapToGrid w:val="0"/>
                <w:kern w:val="28"/>
                <w:sz w:val="24"/>
                <w:highlight w:val="none"/>
              </w:rPr>
            </w:pPr>
            <w:sdt>
              <w:sdtPr>
                <w:rPr>
                  <w:rFonts w:hint="eastAsia" w:ascii="仿宋" w:hAnsi="仿宋" w:eastAsia="仿宋" w:cs="仿宋"/>
                  <w:kern w:val="0"/>
                  <w:sz w:val="24"/>
                  <w:highlight w:val="none"/>
                </w:rPr>
                <w:id w:val="623566313"/>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snapToGrid w:val="0"/>
                <w:kern w:val="28"/>
                <w:sz w:val="24"/>
                <w:highlight w:val="none"/>
              </w:rPr>
              <w:t>联合体投标的，联合体中有一方或者联合体成员根据分工按招标文件第四部分评标标准要求提供资信证明文件的，视为符合了相关要求。</w:t>
            </w:r>
          </w:p>
        </w:tc>
      </w:tr>
    </w:tbl>
    <w:p w14:paraId="572707DD">
      <w:pPr>
        <w:snapToGrid w:val="0"/>
        <w:spacing w:line="360" w:lineRule="auto"/>
        <w:jc w:val="center"/>
        <w:rPr>
          <w:rFonts w:ascii="仿宋" w:hAnsi="仿宋" w:eastAsia="仿宋" w:cs="仿宋"/>
          <w:b/>
          <w:sz w:val="32"/>
          <w:szCs w:val="20"/>
          <w:highlight w:val="none"/>
        </w:rPr>
      </w:pPr>
    </w:p>
    <w:bookmarkEnd w:id="10"/>
    <w:p w14:paraId="6FB00DEC">
      <w:pPr>
        <w:adjustRightInd/>
        <w:spacing w:line="360" w:lineRule="auto"/>
        <w:ind w:firstLine="3845" w:firstLineChars="1197"/>
        <w:outlineLvl w:val="0"/>
        <w:rPr>
          <w:rFonts w:ascii="仿宋" w:hAnsi="仿宋" w:eastAsia="仿宋" w:cs="仿宋"/>
          <w:b/>
          <w:sz w:val="32"/>
          <w:szCs w:val="20"/>
          <w:highlight w:val="none"/>
        </w:rPr>
      </w:pPr>
      <w:bookmarkStart w:id="12" w:name="_Toc164416483"/>
      <w:bookmarkStart w:id="13" w:name="第三部分"/>
    </w:p>
    <w:p w14:paraId="7DA324A2">
      <w:pPr>
        <w:adjustRightInd/>
        <w:spacing w:line="360" w:lineRule="auto"/>
        <w:ind w:firstLine="3845" w:firstLineChars="1197"/>
        <w:outlineLvl w:val="0"/>
        <w:rPr>
          <w:rFonts w:ascii="仿宋" w:hAnsi="仿宋" w:eastAsia="仿宋" w:cs="仿宋"/>
          <w:b/>
          <w:sz w:val="32"/>
          <w:szCs w:val="20"/>
          <w:highlight w:val="none"/>
        </w:rPr>
      </w:pPr>
    </w:p>
    <w:p w14:paraId="7454B043">
      <w:pPr>
        <w:adjustRightInd/>
        <w:spacing w:line="360" w:lineRule="auto"/>
        <w:ind w:firstLine="3845" w:firstLineChars="1197"/>
        <w:outlineLvl w:val="0"/>
        <w:rPr>
          <w:rFonts w:ascii="仿宋" w:hAnsi="仿宋" w:eastAsia="仿宋" w:cs="仿宋"/>
          <w:b/>
          <w:sz w:val="32"/>
          <w:szCs w:val="20"/>
          <w:highlight w:val="none"/>
        </w:rPr>
      </w:pPr>
    </w:p>
    <w:p w14:paraId="309715DC">
      <w:pPr>
        <w:adjustRightInd/>
        <w:spacing w:line="360" w:lineRule="auto"/>
        <w:ind w:firstLine="3845" w:firstLineChars="1197"/>
        <w:outlineLvl w:val="0"/>
        <w:rPr>
          <w:rFonts w:ascii="仿宋" w:hAnsi="仿宋" w:eastAsia="仿宋" w:cs="仿宋"/>
          <w:b/>
          <w:sz w:val="32"/>
          <w:szCs w:val="20"/>
          <w:highlight w:val="none"/>
        </w:rPr>
      </w:pPr>
    </w:p>
    <w:p w14:paraId="15CD96A5">
      <w:pPr>
        <w:adjustRightInd/>
        <w:spacing w:line="360" w:lineRule="auto"/>
        <w:ind w:firstLine="3845" w:firstLineChars="1197"/>
        <w:outlineLvl w:val="0"/>
        <w:rPr>
          <w:rFonts w:ascii="仿宋" w:hAnsi="仿宋" w:eastAsia="仿宋" w:cs="仿宋"/>
          <w:b/>
          <w:sz w:val="32"/>
          <w:szCs w:val="20"/>
          <w:highlight w:val="none"/>
        </w:rPr>
      </w:pPr>
    </w:p>
    <w:p w14:paraId="61FD0D86">
      <w:pPr>
        <w:adjustRightInd/>
        <w:spacing w:line="360" w:lineRule="auto"/>
        <w:ind w:firstLine="3845" w:firstLineChars="1197"/>
        <w:outlineLvl w:val="0"/>
        <w:rPr>
          <w:rFonts w:ascii="仿宋" w:hAnsi="仿宋" w:eastAsia="仿宋" w:cs="仿宋"/>
          <w:b/>
          <w:sz w:val="32"/>
          <w:szCs w:val="20"/>
          <w:highlight w:val="none"/>
        </w:rPr>
      </w:pPr>
    </w:p>
    <w:p w14:paraId="6B1F9E5E">
      <w:pPr>
        <w:adjustRightInd/>
        <w:spacing w:line="360" w:lineRule="auto"/>
        <w:ind w:firstLine="3845" w:firstLineChars="1197"/>
        <w:outlineLvl w:val="0"/>
        <w:rPr>
          <w:rFonts w:ascii="仿宋" w:hAnsi="仿宋" w:eastAsia="仿宋" w:cs="仿宋"/>
          <w:b/>
          <w:sz w:val="32"/>
          <w:szCs w:val="20"/>
          <w:highlight w:val="none"/>
        </w:rPr>
      </w:pPr>
      <w:r>
        <w:rPr>
          <w:rFonts w:hint="eastAsia" w:ascii="仿宋" w:hAnsi="仿宋" w:eastAsia="仿宋" w:cs="仿宋"/>
          <w:b/>
          <w:sz w:val="32"/>
          <w:szCs w:val="20"/>
          <w:highlight w:val="none"/>
        </w:rPr>
        <w:t>一、总则</w:t>
      </w:r>
    </w:p>
    <w:p w14:paraId="581C94AD">
      <w:pPr>
        <w:snapToGrid w:val="0"/>
        <w:spacing w:line="360" w:lineRule="auto"/>
        <w:ind w:firstLine="361" w:firstLineChars="150"/>
        <w:jc w:val="left"/>
        <w:outlineLvl w:val="1"/>
        <w:rPr>
          <w:rFonts w:ascii="仿宋" w:hAnsi="仿宋" w:eastAsia="仿宋" w:cs="仿宋"/>
          <w:b/>
          <w:sz w:val="24"/>
          <w:highlight w:val="none"/>
        </w:rPr>
      </w:pPr>
      <w:r>
        <w:rPr>
          <w:rFonts w:hint="eastAsia" w:ascii="仿宋" w:hAnsi="仿宋" w:eastAsia="仿宋" w:cs="仿宋"/>
          <w:b/>
          <w:sz w:val="24"/>
          <w:highlight w:val="none"/>
        </w:rPr>
        <w:t>1. 适用范围</w:t>
      </w:r>
    </w:p>
    <w:p w14:paraId="42B2BD45">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382D4674">
      <w:pPr>
        <w:adjustRightInd/>
        <w:spacing w:line="360" w:lineRule="auto"/>
        <w:outlineLvl w:val="0"/>
        <w:rPr>
          <w:rFonts w:ascii="仿宋" w:hAnsi="仿宋" w:eastAsia="仿宋" w:cs="仿宋"/>
          <w:b/>
          <w:sz w:val="24"/>
          <w:highlight w:val="none"/>
        </w:rPr>
      </w:pPr>
      <w:r>
        <w:rPr>
          <w:rFonts w:hint="eastAsia" w:ascii="仿宋" w:hAnsi="仿宋" w:eastAsia="仿宋" w:cs="仿宋"/>
          <w:b/>
          <w:sz w:val="24"/>
          <w:highlight w:val="none"/>
        </w:rPr>
        <w:t xml:space="preserve">   2.定义</w:t>
      </w:r>
    </w:p>
    <w:p w14:paraId="2279950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14:paraId="12A9E77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 “采购代理机构”系指招标公告中载明的本项目的采购代理机构。</w:t>
      </w:r>
    </w:p>
    <w:p w14:paraId="4E4BE45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14:paraId="74060C4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0A599E3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9C0E93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2.6“电子交易平台”系指本项目政府采购活动所依托的政府采购云平台（https://www.zcygov.cn/）。</w:t>
      </w:r>
    </w:p>
    <w:p w14:paraId="2112B3E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2.7 “▲” 系指实质性要求条款，“</w:t>
      </w:r>
      <w:sdt>
        <w:sdtPr>
          <w:rPr>
            <w:rFonts w:hint="eastAsia" w:ascii="仿宋" w:hAnsi="仿宋" w:eastAsia="仿宋" w:cs="仿宋"/>
            <w:kern w:val="0"/>
            <w:sz w:val="24"/>
            <w:highlight w:val="none"/>
          </w:rPr>
          <w:id w:val="-1531700480"/>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sz w:val="24"/>
          <w:highlight w:val="none"/>
        </w:rPr>
        <w:t>” 系指适用本项目的要求，“</w:t>
      </w:r>
      <w:sdt>
        <w:sdtPr>
          <w:rPr>
            <w:rFonts w:hint="eastAsia" w:ascii="仿宋" w:hAnsi="仿宋" w:eastAsia="仿宋" w:cs="仿宋"/>
            <w:kern w:val="0"/>
            <w:sz w:val="24"/>
            <w:highlight w:val="none"/>
          </w:rPr>
          <w:id w:val="-1585749780"/>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 系指不适用本项目的要求。</w:t>
      </w:r>
    </w:p>
    <w:p w14:paraId="32ED5ECC">
      <w:pPr>
        <w:spacing w:line="360" w:lineRule="auto"/>
        <w:ind w:firstLine="241" w:firstLineChars="100"/>
        <w:rPr>
          <w:rFonts w:ascii="仿宋" w:hAnsi="仿宋" w:eastAsia="仿宋" w:cs="仿宋"/>
          <w:b/>
          <w:sz w:val="24"/>
          <w:highlight w:val="none"/>
        </w:rPr>
      </w:pPr>
      <w:r>
        <w:rPr>
          <w:rFonts w:hint="eastAsia" w:ascii="仿宋" w:hAnsi="仿宋" w:eastAsia="仿宋" w:cs="仿宋"/>
          <w:b/>
          <w:sz w:val="24"/>
          <w:highlight w:val="none"/>
        </w:rPr>
        <w:t>3.采购项目需要落实的政府采购政策</w:t>
      </w:r>
    </w:p>
    <w:p w14:paraId="28058CD7">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highlight w:val="none"/>
        </w:rPr>
        <w:t>优先采购向我国企业转让技术、与我国企业签订消化吸收再创新方案的供应商的进口产品</w:t>
      </w:r>
      <w:r>
        <w:rPr>
          <w:rFonts w:hint="eastAsia" w:ascii="仿宋" w:hAnsi="仿宋" w:eastAsia="仿宋" w:cs="仿宋"/>
          <w:sz w:val="24"/>
          <w:highlight w:val="none"/>
        </w:rPr>
        <w:t>。</w:t>
      </w:r>
    </w:p>
    <w:p w14:paraId="2D715669">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3.2 支持绿色发展</w:t>
      </w:r>
    </w:p>
    <w:p w14:paraId="741ACA20">
      <w:pPr>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DDFB7D7">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3.2.2 修缮、装修类项目采购建材的，采购人应将绿色建筑和绿色建材性能、指标等作为实质性条件纳入招标文件和合同。</w:t>
      </w:r>
    </w:p>
    <w:p w14:paraId="74EBA74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34EE4E7">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9CE367A">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3.3支持中小企业发展</w:t>
      </w:r>
    </w:p>
    <w:p w14:paraId="5F9F208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17F58F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61E68AE9">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E0420CB">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148D36C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B5A0A9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2DF5DAD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81616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42FE1D0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14:paraId="2A0234EF">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14:paraId="4C408DA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3.4.1 首台套、“制造精品”、“专精特新”等创新产品按规定享受政府采购支持政策。</w:t>
      </w:r>
    </w:p>
    <w:p w14:paraId="3EA33A2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3.4.2 采购人应当贯彻落实知识产权保护相关法律法规，应当采购使用正版软件。3.5平等对待内外资企业和符合条件的破产重整企业</w:t>
      </w:r>
    </w:p>
    <w:p w14:paraId="32AFA2F5">
      <w:pPr>
        <w:spacing w:line="360" w:lineRule="auto"/>
        <w:ind w:firstLine="240" w:firstLineChars="100"/>
        <w:rPr>
          <w:rFonts w:ascii="仿宋" w:hAnsi="仿宋" w:eastAsia="仿宋" w:cs="仿宋"/>
          <w:b/>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r>
        <w:rPr>
          <w:rFonts w:hint="eastAsia" w:ascii="仿宋" w:hAnsi="仿宋" w:eastAsia="仿宋" w:cs="仿宋"/>
          <w:sz w:val="24"/>
          <w:highlight w:val="none"/>
        </w:rPr>
        <w:cr/>
      </w:r>
      <w:r>
        <w:rPr>
          <w:rFonts w:hint="eastAsia" w:ascii="仿宋" w:hAnsi="仿宋" w:eastAsia="仿宋" w:cs="仿宋"/>
          <w:b/>
          <w:sz w:val="24"/>
          <w:highlight w:val="none"/>
        </w:rPr>
        <w:t>4. 询问、质疑、投诉、补偿救济</w:t>
      </w:r>
    </w:p>
    <w:p w14:paraId="6719FAD2">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DDB7EA">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4.2供应商询问</w:t>
      </w:r>
    </w:p>
    <w:p w14:paraId="1B9E1410">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C7DA69">
      <w:pPr>
        <w:autoSpaceDE w:val="0"/>
        <w:autoSpaceDN w:val="0"/>
        <w:spacing w:line="360" w:lineRule="auto"/>
        <w:ind w:firstLine="240" w:firstLineChars="1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4.3供应商质疑</w:t>
      </w:r>
    </w:p>
    <w:p w14:paraId="2BC32316">
      <w:pPr>
        <w:pStyle w:val="32"/>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4.3</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14:paraId="19222896">
      <w:pPr>
        <w:pStyle w:val="32"/>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4.3</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.2供应商认为招标文件、采购过程和中标结果使自己的权益受到损害的，可以在知道或者应知其权益受到损害之日起七个工作日内，以书面形式向采购代理机构提出质疑，否则，采购代理机构不予受理：</w:t>
      </w:r>
    </w:p>
    <w:p w14:paraId="7F6E88C8">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1B302030">
      <w:pPr>
        <w:pStyle w:val="32"/>
        <w:spacing w:line="360" w:lineRule="auto"/>
        <w:ind w:left="479" w:leftChars="228"/>
        <w:rPr>
          <w:rFonts w:ascii="仿宋" w:hAnsi="仿宋" w:eastAsia="仿宋" w:cs="仿宋"/>
          <w:sz w:val="24"/>
          <w:highlight w:val="none"/>
        </w:rPr>
      </w:pPr>
      <w:r>
        <w:rPr>
          <w:rFonts w:hint="eastAsia" w:ascii="仿宋" w:hAnsi="仿宋" w:eastAsia="仿宋" w:cs="仿宋"/>
          <w:sz w:val="24"/>
          <w:highlight w:val="none"/>
        </w:rPr>
        <w:t>4.3.2.2对采购过程提出质疑的，质疑期限为各采购程序环节结束之日起计算。4.3.2.3对采购结果提出质疑的，质疑期限自采购结果公告期限届满之日起计算。</w:t>
      </w:r>
    </w:p>
    <w:p w14:paraId="0CCC4FF4">
      <w:pPr>
        <w:pStyle w:val="32"/>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4.3.3</w:t>
      </w:r>
      <w:r>
        <w:rPr>
          <w:rFonts w:hint="eastAsia" w:ascii="仿宋" w:hAnsi="仿宋" w:eastAsia="仿宋" w:cs="仿宋"/>
          <w:sz w:val="24"/>
          <w:highlight w:val="none"/>
        </w:rPr>
        <w:t>供应商提出质疑应当提交质疑函和必要的证明材料。质疑函应当包括下列内容：</w:t>
      </w:r>
    </w:p>
    <w:p w14:paraId="37AB63B6">
      <w:pPr>
        <w:pStyle w:val="32"/>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4.3.3.1供应商的姓名或者名称、地址、邮编、联系人及联系电话；</w:t>
      </w:r>
    </w:p>
    <w:p w14:paraId="54A42FA5">
      <w:pPr>
        <w:pStyle w:val="32"/>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4.3.3.2质疑项目的名称、编号；</w:t>
      </w:r>
    </w:p>
    <w:p w14:paraId="764B66DE">
      <w:pPr>
        <w:pStyle w:val="32"/>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4.3.3.3具体、明确的质疑事项和与质疑事项相关的请求；</w:t>
      </w:r>
    </w:p>
    <w:p w14:paraId="4E734041">
      <w:pPr>
        <w:pStyle w:val="32"/>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4.3.3.4事实依据；</w:t>
      </w:r>
    </w:p>
    <w:p w14:paraId="47FA324A">
      <w:pPr>
        <w:pStyle w:val="32"/>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4.3.3.5必要的法律依据；</w:t>
      </w:r>
    </w:p>
    <w:p w14:paraId="5D229239">
      <w:pPr>
        <w:pStyle w:val="32"/>
        <w:spacing w:line="360" w:lineRule="auto"/>
        <w:ind w:firstLine="960" w:firstLineChars="4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4.3.3.6提出质疑的日期。</w:t>
      </w:r>
    </w:p>
    <w:p w14:paraId="7777F0EE">
      <w:pPr>
        <w:pStyle w:val="823"/>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14:paraId="5CB394D7">
      <w:pPr>
        <w:pStyle w:val="823"/>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质疑函范本及制作说明详见附件2。</w:t>
      </w:r>
    </w:p>
    <w:p w14:paraId="3BFC0877">
      <w:pPr>
        <w:pStyle w:val="823"/>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4.3.4对同一采购程序环节的质疑，供应商须在法定质疑期内一次性提出。</w:t>
      </w:r>
    </w:p>
    <w:p w14:paraId="19FA35BA">
      <w:pPr>
        <w:pStyle w:val="823"/>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lang w:val="zh-CN"/>
        </w:rPr>
        <w:t>4.3</w:t>
      </w:r>
      <w:r>
        <w:rPr>
          <w:rFonts w:hint="eastAsia" w:ascii="仿宋" w:hAnsi="仿宋" w:eastAsia="仿宋" w:cs="仿宋"/>
          <w:highlight w:val="none"/>
        </w:rPr>
        <w:t>.5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代理机构在质疑回复后5个工作日内，在浙江政府采购网的“其他公告”栏目公开质疑答复，答复内容应当完整。质疑函作为附件上传。</w:t>
      </w:r>
    </w:p>
    <w:p w14:paraId="1CEE2ED2">
      <w:pPr>
        <w:pStyle w:val="823"/>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lang w:val="zh-CN"/>
        </w:rPr>
        <w:t>4.3</w:t>
      </w:r>
      <w:r>
        <w:rPr>
          <w:rFonts w:hint="eastAsia" w:ascii="仿宋" w:hAnsi="仿宋" w:eastAsia="仿宋" w:cs="仿宋"/>
          <w:highlight w:val="none"/>
        </w:rPr>
        <w:t>.6询问或者质疑事项可能影响采购结果的，采购人应当暂停签订合同，已经签订合同的，应当中止履行合同。</w:t>
      </w:r>
    </w:p>
    <w:p w14:paraId="2050AB72">
      <w:pPr>
        <w:pStyle w:val="823"/>
        <w:shd w:val="clear" w:color="auto" w:fill="FFFFFF"/>
        <w:snapToGrid w:val="0"/>
        <w:spacing w:after="240" w:afterAutospacing="0" w:line="360" w:lineRule="auto"/>
        <w:ind w:firstLine="480" w:firstLineChars="200"/>
        <w:contextualSpacing/>
        <w:rPr>
          <w:rFonts w:ascii="仿宋" w:hAnsi="仿宋" w:eastAsia="仿宋" w:cs="仿宋"/>
          <w:highlight w:val="none"/>
          <w:lang w:val="zh-CN"/>
        </w:rPr>
      </w:pPr>
      <w:r>
        <w:rPr>
          <w:rFonts w:hint="eastAsia" w:ascii="仿宋" w:hAnsi="仿宋" w:eastAsia="仿宋" w:cs="仿宋"/>
          <w:highlight w:val="none"/>
          <w:lang w:val="zh-CN"/>
        </w:rPr>
        <w:t>4.4供应商投诉</w:t>
      </w:r>
    </w:p>
    <w:p w14:paraId="6B4A2908">
      <w:pPr>
        <w:pStyle w:val="823"/>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B4F645B">
      <w:pPr>
        <w:pStyle w:val="823"/>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4.4.</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5AA5234B">
      <w:pPr>
        <w:pStyle w:val="823"/>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4.4.3供应商投诉应当有明确的请求和必要的证明材料。</w:t>
      </w:r>
    </w:p>
    <w:p w14:paraId="08692BD8">
      <w:pPr>
        <w:pStyle w:val="823"/>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4.4.4以联合体形式参加政府采购活动的，其投诉应当由组成联合体的所有供应商共同提出。</w:t>
      </w:r>
    </w:p>
    <w:p w14:paraId="5C21ED2F">
      <w:pPr>
        <w:pStyle w:val="823"/>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4.4.5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25920095">
      <w:pPr>
        <w:pStyle w:val="823"/>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4.5 补偿救济</w:t>
      </w:r>
    </w:p>
    <w:p w14:paraId="0FA9B11B">
      <w:pPr>
        <w:pStyle w:val="823"/>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采购人因政策变化、规划调整而不履行政府采购合同的，供应商可依据《杭州市涉企补偿救济实施办法（试行）》向采购人提起补偿申请。</w:t>
      </w:r>
    </w:p>
    <w:p w14:paraId="7C2E2AA9">
      <w:pPr>
        <w:pStyle w:val="823"/>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投诉书范本及制作说明详见附件3。</w:t>
      </w:r>
    </w:p>
    <w:p w14:paraId="287AE162">
      <w:pPr>
        <w:pStyle w:val="124"/>
        <w:snapToGrid w:val="0"/>
        <w:spacing w:before="0"/>
        <w:ind w:firstLine="360"/>
        <w:rPr>
          <w:rFonts w:ascii="仿宋" w:hAnsi="仿宋" w:eastAsia="仿宋" w:cs="仿宋"/>
          <w:sz w:val="18"/>
          <w:szCs w:val="18"/>
          <w:highlight w:val="none"/>
        </w:rPr>
      </w:pPr>
    </w:p>
    <w:p w14:paraId="4FECF64E">
      <w:pPr>
        <w:adjustRightInd/>
        <w:spacing w:line="360" w:lineRule="auto"/>
        <w:jc w:val="center"/>
        <w:outlineLvl w:val="0"/>
        <w:rPr>
          <w:rFonts w:ascii="仿宋" w:hAnsi="仿宋" w:eastAsia="仿宋" w:cs="仿宋"/>
          <w:b/>
          <w:sz w:val="32"/>
          <w:szCs w:val="20"/>
          <w:highlight w:val="none"/>
        </w:rPr>
      </w:pPr>
      <w:r>
        <w:rPr>
          <w:rFonts w:hint="eastAsia" w:ascii="仿宋" w:hAnsi="仿宋" w:eastAsia="仿宋" w:cs="仿宋"/>
          <w:b/>
          <w:sz w:val="32"/>
          <w:szCs w:val="20"/>
          <w:highlight w:val="none"/>
        </w:rPr>
        <w:t xml:space="preserve">      二、招标文件的构成、澄清、修改</w:t>
      </w:r>
    </w:p>
    <w:p w14:paraId="3E0C3615">
      <w:pPr>
        <w:pStyle w:val="32"/>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5．招标文件的构成</w:t>
      </w:r>
    </w:p>
    <w:p w14:paraId="5BC18B46">
      <w:pPr>
        <w:pStyle w:val="32"/>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14:paraId="39DB2BEA">
      <w:pPr>
        <w:pStyle w:val="32"/>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5.1.1招标公告；</w:t>
      </w:r>
    </w:p>
    <w:p w14:paraId="78AE9CCD">
      <w:pPr>
        <w:pStyle w:val="32"/>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5.1.2投标人须知；</w:t>
      </w:r>
    </w:p>
    <w:p w14:paraId="25410BB8">
      <w:pPr>
        <w:pStyle w:val="32"/>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5.1.3采购需求；</w:t>
      </w:r>
    </w:p>
    <w:p w14:paraId="4C9F1D84">
      <w:pPr>
        <w:pStyle w:val="32"/>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5.1.4评标办法；</w:t>
      </w:r>
    </w:p>
    <w:p w14:paraId="654705B4">
      <w:pPr>
        <w:pStyle w:val="32"/>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14:paraId="2000B253">
      <w:pPr>
        <w:pStyle w:val="32"/>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14:paraId="43370A5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14:paraId="15C63D5B">
      <w:pPr>
        <w:pStyle w:val="32"/>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6. 招标文件的澄清、修改</w:t>
      </w:r>
    </w:p>
    <w:p w14:paraId="25AFCC0F">
      <w:pPr>
        <w:pStyle w:val="124"/>
        <w:snapToGrid w:val="0"/>
        <w:spacing w:before="0"/>
        <w:ind w:firstLine="480"/>
        <w:rPr>
          <w:rFonts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6.1已获取招标文件的潜在投标人，若有问题需要澄清，应于投标截止时间前，以书面形式向采购代理机构提出。</w:t>
      </w:r>
    </w:p>
    <w:p w14:paraId="772F4BB1">
      <w:pPr>
        <w:pStyle w:val="124"/>
        <w:snapToGrid w:val="0"/>
        <w:spacing w:before="0"/>
        <w:ind w:firstLine="480"/>
        <w:rPr>
          <w:rFonts w:ascii="仿宋" w:hAnsi="仿宋" w:eastAsia="仿宋" w:cs="仿宋"/>
          <w:highlight w:val="none"/>
        </w:rPr>
      </w:pPr>
      <w:r>
        <w:rPr>
          <w:rFonts w:hint="eastAsia" w:ascii="仿宋" w:hAnsi="仿宋" w:eastAsia="仿宋" w:cs="仿宋"/>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BCED6C2">
      <w:pPr>
        <w:pStyle w:val="23"/>
        <w:rPr>
          <w:rFonts w:ascii="仿宋" w:hAnsi="仿宋" w:eastAsia="仿宋" w:cs="仿宋"/>
          <w:sz w:val="18"/>
          <w:szCs w:val="18"/>
          <w:highlight w:val="none"/>
          <w:lang w:val="en-US"/>
        </w:rPr>
      </w:pPr>
    </w:p>
    <w:p w14:paraId="7D4C5A6C">
      <w:pPr>
        <w:adjustRightInd/>
        <w:spacing w:line="360" w:lineRule="auto"/>
        <w:jc w:val="center"/>
        <w:outlineLvl w:val="0"/>
        <w:rPr>
          <w:rFonts w:ascii="仿宋" w:hAnsi="仿宋" w:eastAsia="仿宋" w:cs="仿宋"/>
          <w:b/>
          <w:sz w:val="30"/>
          <w:szCs w:val="20"/>
          <w:highlight w:val="none"/>
        </w:rPr>
      </w:pPr>
      <w:r>
        <w:rPr>
          <w:rFonts w:hint="eastAsia" w:ascii="仿宋" w:hAnsi="仿宋" w:eastAsia="仿宋" w:cs="仿宋"/>
          <w:b/>
          <w:sz w:val="30"/>
          <w:szCs w:val="20"/>
          <w:highlight w:val="none"/>
        </w:rPr>
        <w:t>三、投标</w:t>
      </w:r>
    </w:p>
    <w:p w14:paraId="2E6B4061">
      <w:pPr>
        <w:pStyle w:val="32"/>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7. 招标文件的获取</w:t>
      </w:r>
    </w:p>
    <w:p w14:paraId="41405E11">
      <w:pPr>
        <w:spacing w:line="360" w:lineRule="auto"/>
        <w:ind w:firstLine="480" w:firstLineChars="200"/>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14:paraId="5F0AA980">
      <w:pPr>
        <w:pStyle w:val="32"/>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8.开标前答疑会或现场考察</w:t>
      </w:r>
    </w:p>
    <w:p w14:paraId="1082F841">
      <w:pPr>
        <w:pStyle w:val="32"/>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029464A2">
      <w:pPr>
        <w:pStyle w:val="32"/>
        <w:spacing w:line="360" w:lineRule="auto"/>
        <w:rPr>
          <w:rFonts w:ascii="仿宋" w:hAnsi="仿宋" w:eastAsia="仿宋" w:cs="仿宋"/>
          <w:b/>
          <w:szCs w:val="24"/>
          <w:highlight w:val="none"/>
        </w:rPr>
      </w:pPr>
      <w:r>
        <w:rPr>
          <w:rFonts w:hint="eastAsia" w:ascii="仿宋" w:hAnsi="仿宋" w:eastAsia="仿宋" w:cs="仿宋"/>
          <w:b/>
          <w:kern w:val="28"/>
          <w:sz w:val="24"/>
          <w:szCs w:val="24"/>
          <w:highlight w:val="none"/>
        </w:rPr>
        <w:t>9.投标保证金</w:t>
      </w:r>
    </w:p>
    <w:p w14:paraId="233637A9">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582C5A9">
      <w:pPr>
        <w:pStyle w:val="32"/>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10. 投标文件的语言</w:t>
      </w:r>
    </w:p>
    <w:p w14:paraId="47971BD6">
      <w:pPr>
        <w:autoSpaceDE w:val="0"/>
        <w:autoSpaceDN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投标文件及投标人与采购有关的来往通知、函件和文件均应使用中文。</w:t>
      </w:r>
    </w:p>
    <w:p w14:paraId="7AA337D3">
      <w:pPr>
        <w:pStyle w:val="32"/>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11. 投标文件的组成</w:t>
      </w:r>
    </w:p>
    <w:p w14:paraId="1A59A78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14:paraId="593B9162">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11.1.1符合参加政府采购活动应当具备的一般条件的承诺函；</w:t>
      </w:r>
    </w:p>
    <w:p w14:paraId="7101609B">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11.1.2</w:t>
      </w:r>
      <w:r>
        <w:rPr>
          <w:rFonts w:hint="eastAsia" w:ascii="仿宋" w:hAnsi="仿宋" w:eastAsia="仿宋" w:cs="仿宋"/>
          <w:snapToGrid w:val="0"/>
          <w:kern w:val="28"/>
          <w:sz w:val="24"/>
          <w:szCs w:val="20"/>
          <w:highlight w:val="none"/>
        </w:rPr>
        <w:t>联合协议（如果有)；</w:t>
      </w:r>
    </w:p>
    <w:p w14:paraId="4AF87887">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11.1.3落实政府采购政策需满足的资格要求</w:t>
      </w:r>
      <w:r>
        <w:rPr>
          <w:rFonts w:hint="eastAsia" w:ascii="仿宋" w:hAnsi="仿宋" w:eastAsia="仿宋" w:cs="仿宋"/>
          <w:snapToGrid w:val="0"/>
          <w:kern w:val="28"/>
          <w:sz w:val="24"/>
          <w:szCs w:val="20"/>
          <w:highlight w:val="none"/>
        </w:rPr>
        <w:t>（中小企业声明函)</w:t>
      </w:r>
      <w:r>
        <w:rPr>
          <w:rFonts w:hint="eastAsia" w:ascii="仿宋" w:hAnsi="仿宋" w:eastAsia="仿宋" w:cs="仿宋"/>
          <w:sz w:val="24"/>
          <w:highlight w:val="none"/>
        </w:rPr>
        <w:t>；</w:t>
      </w:r>
    </w:p>
    <w:p w14:paraId="3651C9CF">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11.1.4本项目的特定资格要求。</w:t>
      </w:r>
    </w:p>
    <w:p w14:paraId="3449B5E9">
      <w:pPr>
        <w:snapToGrid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2商务技术</w:t>
      </w:r>
      <w:r>
        <w:rPr>
          <w:rFonts w:hint="eastAsia" w:ascii="仿宋" w:hAnsi="仿宋" w:eastAsia="仿宋" w:cs="仿宋"/>
          <w:sz w:val="24"/>
          <w:highlight w:val="none"/>
          <w:lang w:val="zh-CN"/>
        </w:rPr>
        <w:t>文件：</w:t>
      </w:r>
    </w:p>
    <w:p w14:paraId="4B2EFF4B">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11.2.1投标函；</w:t>
      </w:r>
    </w:p>
    <w:p w14:paraId="5AABA491">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14:paraId="59BB4414">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11.2.3分包意向协议</w:t>
      </w:r>
      <w:r>
        <w:rPr>
          <w:rFonts w:hint="eastAsia" w:ascii="仿宋" w:hAnsi="仿宋" w:eastAsia="仿宋" w:cs="仿宋"/>
          <w:snapToGrid w:val="0"/>
          <w:kern w:val="28"/>
          <w:sz w:val="24"/>
          <w:szCs w:val="20"/>
          <w:highlight w:val="none"/>
        </w:rPr>
        <w:t>（如果有)</w:t>
      </w:r>
      <w:r>
        <w:rPr>
          <w:rFonts w:hint="eastAsia" w:ascii="仿宋" w:hAnsi="仿宋" w:eastAsia="仿宋" w:cs="仿宋"/>
          <w:sz w:val="24"/>
          <w:highlight w:val="none"/>
        </w:rPr>
        <w:t>；</w:t>
      </w:r>
    </w:p>
    <w:p w14:paraId="0AFF3474">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11.2.4符合性审查资料；</w:t>
      </w:r>
    </w:p>
    <w:p w14:paraId="7D69E2B5">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11.2.5评标标准相应的商务技术资料；</w:t>
      </w:r>
    </w:p>
    <w:p w14:paraId="5D3DBBA8">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11.2.6投标标的清单；</w:t>
      </w:r>
    </w:p>
    <w:p w14:paraId="4A984BDB">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11.2.7商务技术偏离表；</w:t>
      </w:r>
    </w:p>
    <w:p w14:paraId="36052855">
      <w:pPr>
        <w:snapToGrid w:val="0"/>
        <w:spacing w:line="360" w:lineRule="auto"/>
        <w:ind w:firstLine="960" w:firstLineChars="400"/>
        <w:rPr>
          <w:rFonts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14:paraId="0724B315">
      <w:pPr>
        <w:snapToGrid w:val="0"/>
        <w:spacing w:line="360" w:lineRule="auto"/>
        <w:ind w:firstLine="480" w:firstLineChars="200"/>
        <w:rPr>
          <w:rFonts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p>
    <w:p w14:paraId="70ED7272">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11.3.1开标一览表（报价表）；</w:t>
      </w:r>
    </w:p>
    <w:p w14:paraId="32A2E547">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11.3.2 报价情况说明（如供应商报价低于项目预算50%的，应当提交本文档，详细阐述不影响产品质量或者诚信履约的具体原因）。</w:t>
      </w:r>
    </w:p>
    <w:p w14:paraId="1B929D07">
      <w:pPr>
        <w:spacing w:line="360" w:lineRule="auto"/>
        <w:ind w:firstLine="723" w:firstLineChars="300"/>
        <w:rPr>
          <w:rFonts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14:paraId="71BB6D7B">
      <w:pPr>
        <w:spacing w:line="360" w:lineRule="auto"/>
        <w:ind w:firstLine="723" w:firstLineChars="300"/>
        <w:rPr>
          <w:rFonts w:ascii="仿宋" w:hAnsi="仿宋" w:eastAsia="仿宋" w:cs="仿宋"/>
          <w:b/>
          <w:sz w:val="24"/>
          <w:szCs w:val="21"/>
          <w:highlight w:val="none"/>
        </w:rPr>
      </w:pPr>
      <w:r>
        <w:rPr>
          <w:rFonts w:hint="eastAsia" w:ascii="仿宋" w:hAnsi="仿宋" w:eastAsia="仿宋" w:cs="仿宋"/>
          <w:b/>
          <w:sz w:val="24"/>
          <w:highlight w:val="none"/>
        </w:rPr>
        <w:t>投标人提供虚假材料投标的，投标无效。</w:t>
      </w:r>
    </w:p>
    <w:p w14:paraId="4EF8A83B">
      <w:pPr>
        <w:snapToGrid w:val="0"/>
        <w:spacing w:line="360" w:lineRule="auto"/>
        <w:ind w:firstLine="720" w:firstLineChars="300"/>
        <w:rPr>
          <w:rFonts w:ascii="仿宋" w:hAnsi="仿宋" w:eastAsia="仿宋" w:cs="仿宋"/>
          <w:sz w:val="24"/>
          <w:highlight w:val="none"/>
        </w:rPr>
      </w:pPr>
      <w:r>
        <w:rPr>
          <w:rFonts w:hint="eastAsia" w:ascii="仿宋" w:hAnsi="仿宋" w:eastAsia="仿宋" w:cs="仿宋"/>
          <w:sz w:val="24"/>
          <w:highlight w:val="none"/>
        </w:rPr>
        <w:t>投标人应对投标文件中材料的真实性、合法性负责。投标人可事先在公开官网查询、核对相关证书和报告内容，确保投标（响应）文件资料准确无误。</w:t>
      </w:r>
    </w:p>
    <w:p w14:paraId="0AB84A2A">
      <w:pPr>
        <w:pStyle w:val="124"/>
        <w:snapToGrid w:val="0"/>
        <w:spacing w:before="0"/>
        <w:ind w:firstLine="0" w:firstLineChars="0"/>
        <w:outlineLvl w:val="0"/>
        <w:rPr>
          <w:rFonts w:ascii="仿宋" w:hAnsi="仿宋" w:eastAsia="仿宋" w:cs="仿宋"/>
          <w:b/>
          <w:szCs w:val="24"/>
          <w:highlight w:val="none"/>
        </w:rPr>
      </w:pPr>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投标文件的编制</w:t>
      </w:r>
    </w:p>
    <w:p w14:paraId="496768B0">
      <w:pPr>
        <w:spacing w:line="360" w:lineRule="auto"/>
        <w:ind w:firstLine="480" w:firstLineChars="200"/>
        <w:rPr>
          <w:rFonts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F950743">
      <w:pPr>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C6A40E1">
      <w:pPr>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14:paraId="3E4EA2AD">
      <w:pPr>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13.投标文件的签署、盖章</w:t>
      </w:r>
    </w:p>
    <w:p w14:paraId="6F3156CA">
      <w:pPr>
        <w:pStyle w:val="124"/>
        <w:snapToGrid w:val="0"/>
        <w:spacing w:before="0"/>
        <w:ind w:firstLine="480"/>
        <w:rPr>
          <w:rFonts w:ascii="仿宋" w:hAnsi="仿宋" w:eastAsia="仿宋" w:cs="仿宋"/>
          <w:b/>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14:paraId="1C009EAC">
      <w:pPr>
        <w:pStyle w:val="124"/>
        <w:snapToGrid w:val="0"/>
        <w:spacing w:before="0"/>
        <w:ind w:firstLine="480"/>
        <w:rPr>
          <w:rFonts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14:paraId="6542E7F7">
      <w:pPr>
        <w:pStyle w:val="124"/>
        <w:snapToGrid w:val="0"/>
        <w:spacing w:before="0"/>
        <w:ind w:firstLine="480"/>
        <w:rPr>
          <w:rFonts w:ascii="仿宋" w:hAnsi="仿宋" w:eastAsia="仿宋" w:cs="仿宋"/>
          <w:szCs w:val="24"/>
          <w:highlight w:val="none"/>
        </w:rPr>
      </w:pPr>
      <w:r>
        <w:rPr>
          <w:rFonts w:hint="eastAsia" w:ascii="仿宋" w:hAnsi="仿宋" w:eastAsia="仿宋" w:cs="仿宋"/>
          <w:highlight w:val="none"/>
        </w:rPr>
        <w:t>13.3招标文件对投标文件签署、盖章的要求适用于电子签名。</w:t>
      </w:r>
    </w:p>
    <w:p w14:paraId="38AB297F">
      <w:pPr>
        <w:pStyle w:val="124"/>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14. 投标文件的提交、补充、修改、撤回</w:t>
      </w:r>
    </w:p>
    <w:p w14:paraId="5F857609">
      <w:pPr>
        <w:pStyle w:val="124"/>
        <w:ind w:firstLine="480"/>
        <w:rPr>
          <w:rFonts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E7276A8">
      <w:pPr>
        <w:pStyle w:val="124"/>
        <w:spacing w:before="0"/>
        <w:ind w:firstLine="480"/>
        <w:rPr>
          <w:rFonts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A0BEC59">
      <w:pPr>
        <w:pStyle w:val="124"/>
        <w:spacing w:before="0"/>
        <w:ind w:firstLine="480"/>
        <w:rPr>
          <w:rFonts w:ascii="仿宋" w:hAnsi="仿宋" w:eastAsia="仿宋" w:cs="仿宋"/>
          <w:szCs w:val="24"/>
          <w:highlight w:val="none"/>
        </w:rPr>
      </w:pPr>
      <w:r>
        <w:rPr>
          <w:rFonts w:hint="eastAsia" w:ascii="仿宋" w:hAnsi="仿宋" w:eastAsia="仿宋" w:cs="仿宋"/>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F7F9B2E">
      <w:pPr>
        <w:pStyle w:val="32"/>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15.备份投标文件</w:t>
      </w:r>
    </w:p>
    <w:p w14:paraId="5D81F7CF">
      <w:pPr>
        <w:pStyle w:val="32"/>
        <w:spacing w:line="360" w:lineRule="auto"/>
        <w:ind w:firstLine="360" w:firstLineChars="150"/>
        <w:rPr>
          <w:rFonts w:ascii="仿宋" w:hAnsi="仿宋" w:eastAsia="仿宋" w:cs="仿宋"/>
          <w:b/>
          <w:sz w:val="24"/>
          <w:szCs w:val="24"/>
          <w:highlight w:val="none"/>
        </w:rPr>
      </w:pPr>
      <w:r>
        <w:rPr>
          <w:rFonts w:hint="eastAsia" w:ascii="仿宋" w:hAnsi="仿宋" w:eastAsia="仿宋" w:cs="仿宋"/>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highlight w:val="none"/>
        </w:rPr>
        <w:t>但采购人、采购代理机构不强制或变相强制投标人提交备份投标文件。</w:t>
      </w:r>
    </w:p>
    <w:p w14:paraId="4047B2A8">
      <w:pPr>
        <w:pStyle w:val="32"/>
        <w:spacing w:line="360" w:lineRule="auto"/>
        <w:ind w:firstLine="480" w:firstLineChars="200"/>
        <w:rPr>
          <w:rFonts w:ascii="仿宋" w:hAnsi="仿宋" w:eastAsia="仿宋" w:cs="仿宋"/>
          <w:b/>
          <w:sz w:val="24"/>
          <w:szCs w:val="24"/>
          <w:highlight w:val="none"/>
        </w:rPr>
      </w:pPr>
      <w:r>
        <w:rPr>
          <w:rFonts w:hint="eastAsia" w:ascii="仿宋" w:hAnsi="仿宋" w:eastAsia="仿宋" w:cs="仿宋"/>
          <w:sz w:val="24"/>
          <w:szCs w:val="24"/>
          <w:highlight w:val="none"/>
        </w:rPr>
        <w:t>15.2备份投标文件须在“政采云投标客户端”制作生成，并储存在</w:t>
      </w:r>
      <w:r>
        <w:rPr>
          <w:rFonts w:hint="eastAsia" w:ascii="仿宋" w:hAnsi="仿宋" w:eastAsia="仿宋" w:cs="仿宋"/>
          <w:sz w:val="24"/>
          <w:highlight w:val="none"/>
        </w:rPr>
        <w:t>DVD光盘等存储介质</w:t>
      </w:r>
      <w:r>
        <w:rPr>
          <w:rFonts w:hint="eastAsia" w:ascii="仿宋" w:hAnsi="仿宋" w:eastAsia="仿宋" w:cs="仿宋"/>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highlight w:val="none"/>
        </w:rPr>
        <w:t>不符合上述制作、</w:t>
      </w:r>
      <w:r>
        <w:rPr>
          <w:rFonts w:hint="eastAsia" w:ascii="仿宋" w:hAnsi="仿宋" w:eastAsia="仿宋" w:cs="仿宋"/>
          <w:b/>
          <w:sz w:val="24"/>
          <w:szCs w:val="24"/>
          <w:highlight w:val="none"/>
        </w:rPr>
        <w:t>存储、密封规定的备份投标文件将被视为无效或者被拒绝接收。</w:t>
      </w:r>
    </w:p>
    <w:p w14:paraId="6C006096">
      <w:pPr>
        <w:pStyle w:val="32"/>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ED10739">
      <w:pPr>
        <w:pStyle w:val="32"/>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highlight w:val="none"/>
        </w:rPr>
        <w:t>招标文件第二部分投标人须知前附表规定的备份投标文件送达地点；</w:t>
      </w:r>
      <w:r>
        <w:rPr>
          <w:rFonts w:hint="eastAsia" w:ascii="仿宋" w:hAnsi="仿宋" w:eastAsia="仿宋" w:cs="仿宋"/>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8ADF8AA">
      <w:pPr>
        <w:pStyle w:val="32"/>
        <w:spacing w:line="360" w:lineRule="auto"/>
        <w:ind w:firstLine="479" w:firstLineChars="199"/>
        <w:rPr>
          <w:rFonts w:ascii="仿宋" w:hAnsi="仿宋" w:eastAsia="仿宋" w:cs="仿宋"/>
          <w:b/>
          <w:sz w:val="24"/>
          <w:szCs w:val="24"/>
          <w:highlight w:val="none"/>
        </w:rPr>
      </w:pPr>
      <w:r>
        <w:rPr>
          <w:rFonts w:hint="eastAsia" w:ascii="仿宋" w:hAnsi="仿宋" w:eastAsia="仿宋" w:cs="仿宋"/>
          <w:b/>
          <w:sz w:val="24"/>
          <w:szCs w:val="24"/>
          <w:highlight w:val="none"/>
        </w:rPr>
        <w:t>15.5投标人仅提交备份投标文件，未在电子交易平台传输递交投标文件的，投标无效。</w:t>
      </w:r>
    </w:p>
    <w:p w14:paraId="42F09957">
      <w:pPr>
        <w:pStyle w:val="124"/>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16.投标文件的无效处理</w:t>
      </w:r>
    </w:p>
    <w:p w14:paraId="7DA89234">
      <w:pPr>
        <w:pStyle w:val="24"/>
        <w:spacing w:line="360" w:lineRule="auto"/>
        <w:ind w:firstLine="360" w:firstLineChars="150"/>
        <w:rPr>
          <w:rFonts w:ascii="仿宋" w:hAnsi="仿宋" w:eastAsia="仿宋" w:cs="仿宋"/>
          <w:szCs w:val="21"/>
          <w:highlight w:val="none"/>
        </w:rPr>
      </w:pPr>
      <w:r>
        <w:rPr>
          <w:rFonts w:hint="eastAsia" w:ascii="仿宋" w:hAnsi="仿宋" w:eastAsia="仿宋" w:cs="仿宋"/>
          <w:szCs w:val="21"/>
          <w:highlight w:val="none"/>
        </w:rPr>
        <w:t>有招标文件第四部分4.2规定的情形之一的，投标无效：</w:t>
      </w:r>
    </w:p>
    <w:p w14:paraId="69380802">
      <w:pPr>
        <w:pStyle w:val="124"/>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17.投标有效期</w:t>
      </w:r>
    </w:p>
    <w:p w14:paraId="78CA75EA">
      <w:pPr>
        <w:spacing w:line="360" w:lineRule="auto"/>
        <w:ind w:firstLine="480" w:firstLineChars="200"/>
        <w:rPr>
          <w:rFonts w:ascii="仿宋" w:hAnsi="仿宋" w:eastAsia="仿宋" w:cs="仿宋"/>
          <w:b/>
          <w:sz w:val="24"/>
          <w:szCs w:val="21"/>
          <w:highlight w:val="none"/>
        </w:rPr>
      </w:pPr>
      <w:r>
        <w:rPr>
          <w:rFonts w:hint="eastAsia" w:ascii="仿宋" w:hAnsi="仿宋" w:eastAsia="仿宋" w:cs="仿宋"/>
          <w:sz w:val="24"/>
          <w:szCs w:val="20"/>
          <w:highlight w:val="none"/>
        </w:rPr>
        <w:t>17.1投标有效期为从提交投标文件的截止之日起90天。▲</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14:paraId="1EF38D63">
      <w:pPr>
        <w:pStyle w:val="124"/>
        <w:spacing w:before="0"/>
        <w:ind w:firstLine="480"/>
        <w:rPr>
          <w:rFonts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14:paraId="2F381A6B">
      <w:pPr>
        <w:pStyle w:val="124"/>
        <w:spacing w:before="0"/>
        <w:ind w:firstLine="480"/>
        <w:rPr>
          <w:rFonts w:ascii="仿宋" w:hAnsi="仿宋" w:eastAsia="仿宋" w:cs="仿宋"/>
          <w:highlight w:val="none"/>
        </w:rPr>
      </w:pPr>
      <w:r>
        <w:rPr>
          <w:rFonts w:hint="eastAsia" w:ascii="仿宋" w:hAnsi="仿宋" w:eastAsia="仿宋" w:cs="仿宋"/>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D112E92">
      <w:pPr>
        <w:pStyle w:val="124"/>
        <w:spacing w:before="0"/>
        <w:ind w:firstLine="643"/>
        <w:rPr>
          <w:rFonts w:ascii="仿宋" w:hAnsi="仿宋" w:eastAsia="仿宋" w:cs="仿宋"/>
          <w:b/>
          <w:sz w:val="32"/>
          <w:highlight w:val="none"/>
        </w:rPr>
      </w:pPr>
    </w:p>
    <w:p w14:paraId="7FC5C074">
      <w:pPr>
        <w:pStyle w:val="124"/>
        <w:spacing w:before="0"/>
        <w:ind w:firstLine="1928" w:firstLineChars="600"/>
        <w:rPr>
          <w:rFonts w:ascii="仿宋" w:hAnsi="仿宋" w:eastAsia="仿宋" w:cs="仿宋"/>
          <w:b/>
          <w:sz w:val="32"/>
          <w:highlight w:val="none"/>
        </w:rPr>
      </w:pPr>
      <w:r>
        <w:rPr>
          <w:rFonts w:hint="eastAsia" w:ascii="仿宋" w:hAnsi="仿宋" w:eastAsia="仿宋" w:cs="仿宋"/>
          <w:b/>
          <w:sz w:val="32"/>
          <w:highlight w:val="none"/>
        </w:rPr>
        <w:t>四、开标、资格审查与信用信息查询</w:t>
      </w:r>
    </w:p>
    <w:p w14:paraId="34857D60">
      <w:pPr>
        <w:pStyle w:val="491"/>
        <w:spacing w:before="0" w:line="360" w:lineRule="auto"/>
        <w:ind w:left="0" w:firstLine="241" w:firstLineChars="100"/>
        <w:contextualSpacing/>
        <w:rPr>
          <w:rFonts w:ascii="仿宋" w:hAnsi="仿宋" w:eastAsia="仿宋" w:cs="仿宋"/>
          <w:sz w:val="24"/>
          <w:highlight w:val="none"/>
        </w:rPr>
      </w:pPr>
      <w:r>
        <w:rPr>
          <w:rFonts w:hint="eastAsia" w:ascii="仿宋" w:hAnsi="仿宋" w:eastAsia="仿宋" w:cs="仿宋"/>
          <w:b/>
          <w:sz w:val="24"/>
          <w:szCs w:val="24"/>
          <w:highlight w:val="none"/>
        </w:rPr>
        <w:t>18.开标</w:t>
      </w:r>
    </w:p>
    <w:p w14:paraId="615BFCED">
      <w:pPr>
        <w:pStyle w:val="491"/>
        <w:spacing w:before="0" w:line="360" w:lineRule="auto"/>
        <w:ind w:left="0" w:firstLine="480" w:firstLineChars="200"/>
        <w:contextualSpacing/>
        <w:rPr>
          <w:rFonts w:ascii="仿宋" w:hAnsi="仿宋" w:eastAsia="仿宋" w:cs="仿宋"/>
          <w:sz w:val="24"/>
          <w:highlight w:val="none"/>
        </w:rPr>
      </w:pPr>
      <w:r>
        <w:rPr>
          <w:rFonts w:hint="eastAsia" w:ascii="仿宋" w:hAnsi="仿宋" w:eastAsia="仿宋" w:cs="仿宋"/>
          <w:sz w:val="24"/>
          <w:highlight w:val="none"/>
        </w:rPr>
        <w:t>18.1采购代理机构按照招标文件规定的时间通过电子交易平台组织开标，所有投标人均应当准时在线参加。投标人不足3家的，不得开标。</w:t>
      </w:r>
    </w:p>
    <w:p w14:paraId="6AF931F4">
      <w:pPr>
        <w:pStyle w:val="491"/>
        <w:spacing w:before="0" w:line="360" w:lineRule="auto"/>
        <w:ind w:left="0" w:firstLine="240" w:firstLineChars="100"/>
        <w:contextualSpacing/>
        <w:rPr>
          <w:rFonts w:ascii="仿宋" w:hAnsi="仿宋" w:eastAsia="仿宋" w:cs="仿宋"/>
          <w:sz w:val="24"/>
          <w:highlight w:val="none"/>
        </w:rPr>
      </w:pPr>
      <w:r>
        <w:rPr>
          <w:rFonts w:hint="eastAsia" w:ascii="仿宋" w:hAnsi="仿宋" w:eastAsia="仿宋" w:cs="仿宋"/>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C53BEDF">
      <w:pPr>
        <w:pStyle w:val="491"/>
        <w:spacing w:before="0" w:line="360" w:lineRule="auto"/>
        <w:ind w:left="0" w:firstLine="240" w:firstLineChars="100"/>
        <w:contextualSpacing/>
        <w:rPr>
          <w:rFonts w:ascii="仿宋" w:hAnsi="仿宋" w:eastAsia="仿宋" w:cs="仿宋"/>
          <w:b/>
          <w:sz w:val="24"/>
          <w:highlight w:val="none"/>
        </w:rPr>
      </w:pPr>
      <w:r>
        <w:rPr>
          <w:rFonts w:hint="eastAsia" w:ascii="仿宋" w:hAnsi="仿宋" w:eastAsia="仿宋" w:cs="仿宋"/>
          <w:sz w:val="24"/>
          <w:highlight w:val="none"/>
        </w:rPr>
        <w:t>　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14:paraId="43D10332">
      <w:pPr>
        <w:widowControl/>
        <w:spacing w:before="100" w:beforeAutospacing="1" w:after="240" w:line="360" w:lineRule="auto"/>
        <w:jc w:val="left"/>
        <w:rPr>
          <w:rFonts w:ascii="仿宋" w:hAnsi="仿宋" w:eastAsia="仿宋" w:cs="仿宋"/>
          <w:b/>
          <w:sz w:val="24"/>
          <w:szCs w:val="20"/>
          <w:highlight w:val="none"/>
        </w:rPr>
      </w:pPr>
      <w:r>
        <w:rPr>
          <w:rFonts w:hint="eastAsia" w:ascii="仿宋" w:hAnsi="仿宋" w:eastAsia="仿宋" w:cs="仿宋"/>
          <w:b/>
          <w:sz w:val="24"/>
          <w:szCs w:val="20"/>
          <w:highlight w:val="none"/>
        </w:rPr>
        <w:t>　19、资格审查</w:t>
      </w:r>
    </w:p>
    <w:p w14:paraId="7A982D7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t>19.1</w:t>
      </w:r>
      <w:r>
        <w:rPr>
          <w:rFonts w:hint="eastAsia" w:ascii="仿宋" w:hAnsi="仿宋" w:eastAsia="仿宋" w:cs="仿宋"/>
          <w:sz w:val="24"/>
          <w:highlight w:val="none"/>
        </w:rPr>
        <w:t>采购人或采购代理机构依据法律法规和招标文件的规定，对投标人的资格进行审查。</w:t>
      </w:r>
    </w:p>
    <w:p w14:paraId="0F31FBA8">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19.2投标人未按照招标文件要求提供与资格条件相应的有效资格证明材料的，视为投标人不具备招标文件中规定的资格要求，其投标无效。</w:t>
      </w:r>
    </w:p>
    <w:p w14:paraId="1DD5FDF5">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19.3对未通过资格审查的投标人，采购人或采购代理机构告知其未通过的原因。</w:t>
      </w:r>
    </w:p>
    <w:p w14:paraId="07C3F535">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19.4合格投标人不足3家的，不再评标。</w:t>
      </w:r>
    </w:p>
    <w:p w14:paraId="2E8BD280">
      <w:pPr>
        <w:pStyle w:val="124"/>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20、信用信息查询</w:t>
      </w:r>
    </w:p>
    <w:p w14:paraId="103C3C72">
      <w:pPr>
        <w:pStyle w:val="124"/>
        <w:spacing w:before="0"/>
        <w:ind w:firstLine="495" w:firstLineChars="0"/>
        <w:rPr>
          <w:rFonts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0038D9B1">
      <w:pPr>
        <w:pStyle w:val="124"/>
        <w:spacing w:before="0"/>
        <w:ind w:firstLine="495" w:firstLineChars="0"/>
        <w:rPr>
          <w:rFonts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14:paraId="0EF46EF5">
      <w:pPr>
        <w:pStyle w:val="124"/>
        <w:spacing w:before="0"/>
        <w:ind w:firstLine="495" w:firstLineChars="0"/>
        <w:rPr>
          <w:rFonts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14:paraId="7A79FA73">
      <w:pPr>
        <w:pStyle w:val="124"/>
        <w:spacing w:before="0"/>
        <w:ind w:firstLine="480"/>
        <w:rPr>
          <w:rFonts w:ascii="仿宋" w:hAnsi="仿宋" w:eastAsia="仿宋" w:cs="仿宋"/>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14:paraId="39ED74E2">
      <w:pPr>
        <w:pStyle w:val="124"/>
        <w:spacing w:before="0"/>
        <w:ind w:firstLine="0" w:firstLineChars="0"/>
        <w:rPr>
          <w:rFonts w:ascii="仿宋" w:hAnsi="仿宋" w:eastAsia="仿宋" w:cs="仿宋"/>
          <w:kern w:val="0"/>
          <w:szCs w:val="24"/>
          <w:highlight w:val="none"/>
        </w:rPr>
      </w:pPr>
    </w:p>
    <w:p w14:paraId="3176FF49">
      <w:pPr>
        <w:snapToGrid w:val="0"/>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五、评标</w:t>
      </w:r>
    </w:p>
    <w:p w14:paraId="782A3AAE">
      <w:pPr>
        <w:spacing w:line="360" w:lineRule="auto"/>
        <w:rPr>
          <w:rFonts w:ascii="仿宋" w:hAnsi="仿宋" w:eastAsia="仿宋" w:cs="仿宋"/>
          <w:b/>
          <w:sz w:val="24"/>
          <w:highlight w:val="none"/>
        </w:rPr>
      </w:pPr>
      <w:bookmarkStart w:id="14" w:name="_Toc91899903"/>
      <w:r>
        <w:rPr>
          <w:rFonts w:hint="eastAsia" w:ascii="仿宋" w:hAnsi="仿宋" w:eastAsia="仿宋" w:cs="仿宋"/>
          <w:b/>
          <w:sz w:val="24"/>
          <w:highlight w:val="none"/>
        </w:rPr>
        <w:t>21.</w:t>
      </w:r>
      <w:r>
        <w:rPr>
          <w:rFonts w:hint="eastAsia" w:ascii="仿宋" w:hAnsi="仿宋" w:eastAsia="仿宋" w:cs="仿宋"/>
          <w:sz w:val="24"/>
          <w:highlight w:val="none"/>
        </w:rPr>
        <w:t>评标委员会【评标委员会由采购人代表和评审专家组成，成员人数为5人（采购人代表1人，评标专家4人由政采云平台相关专业随机抽取产生）】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highlight w:val="none"/>
        </w:rPr>
        <w:t>详见招标文件第四部分评标办法。</w:t>
      </w:r>
    </w:p>
    <w:p w14:paraId="56F08291">
      <w:pPr>
        <w:spacing w:line="360" w:lineRule="auto"/>
        <w:rPr>
          <w:rFonts w:ascii="仿宋" w:hAnsi="仿宋" w:eastAsia="仿宋" w:cs="仿宋"/>
          <w:b/>
          <w:sz w:val="24"/>
          <w:highlight w:val="none"/>
        </w:rPr>
      </w:pPr>
    </w:p>
    <w:p w14:paraId="4F891D32">
      <w:pPr>
        <w:snapToGrid w:val="0"/>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六、定 标</w:t>
      </w:r>
    </w:p>
    <w:p w14:paraId="384AF31E">
      <w:pPr>
        <w:pStyle w:val="24"/>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22. 确定中标供应商</w:t>
      </w:r>
    </w:p>
    <w:p w14:paraId="67A05338">
      <w:pPr>
        <w:pStyle w:val="124"/>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219E0A5">
      <w:pPr>
        <w:pStyle w:val="124"/>
        <w:snapToGrid w:val="0"/>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23. 中标通知与中标结果公告</w:t>
      </w:r>
    </w:p>
    <w:p w14:paraId="119E3C54">
      <w:pPr>
        <w:widowControl/>
        <w:shd w:val="clear" w:color="auto" w:fill="FFFFFF"/>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23.1自中标人确定之日起2个工作日内，采购代理机构通过电子交易平台向中标人发出中标通知书，同时编制发布采购结果公告。采购代理机构也可以以纸质形式进行中标通知。</w:t>
      </w:r>
    </w:p>
    <w:p w14:paraId="0CC0C822">
      <w:pPr>
        <w:widowControl/>
        <w:shd w:val="clear" w:color="auto" w:fill="FFFFFF"/>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仿宋" w:hAnsi="仿宋" w:eastAsia="仿宋" w:cs="仿宋"/>
          <w:sz w:val="24"/>
          <w:highlight w:val="none"/>
        </w:rPr>
        <w:t>资格审查情况、评审专家抽取规则、符合性审查情况、</w:t>
      </w:r>
      <w:bookmarkEnd w:id="15"/>
      <w:r>
        <w:rPr>
          <w:rFonts w:hint="eastAsia" w:ascii="仿宋" w:hAnsi="仿宋" w:eastAsia="仿宋" w:cs="仿宋"/>
          <w:sz w:val="24"/>
          <w:highlight w:val="none"/>
        </w:rPr>
        <w:t>未中标情况说明、中标公告期限以及评审专家名单、评分汇总及明细、中小企业声明函。</w:t>
      </w:r>
    </w:p>
    <w:p w14:paraId="720D4F61">
      <w:pPr>
        <w:widowControl/>
        <w:shd w:val="clear" w:color="auto" w:fill="FFFFFF"/>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23.3公告期限为1个工作日。</w:t>
      </w:r>
    </w:p>
    <w:p w14:paraId="214856C6">
      <w:pPr>
        <w:widowControl/>
        <w:shd w:val="clear" w:color="auto" w:fill="FFFFFF"/>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23.4由于中标、成交供应商原因导致重新采购的，应当承担支付代理费和专家评审费等费用在内的赔偿责任。</w:t>
      </w:r>
    </w:p>
    <w:p w14:paraId="3F0F1568">
      <w:pPr>
        <w:snapToGrid w:val="0"/>
        <w:spacing w:line="360" w:lineRule="auto"/>
        <w:ind w:left="120" w:leftChars="57" w:firstLine="482" w:firstLineChars="150"/>
        <w:jc w:val="center"/>
        <w:rPr>
          <w:rFonts w:ascii="仿宋" w:hAnsi="仿宋" w:eastAsia="仿宋" w:cs="仿宋"/>
          <w:b/>
          <w:sz w:val="32"/>
          <w:highlight w:val="none"/>
        </w:rPr>
      </w:pPr>
    </w:p>
    <w:p w14:paraId="4787D985">
      <w:pPr>
        <w:snapToGrid w:val="0"/>
        <w:spacing w:line="360" w:lineRule="auto"/>
        <w:ind w:left="120" w:leftChars="57" w:firstLine="482" w:firstLineChars="150"/>
        <w:jc w:val="center"/>
        <w:rPr>
          <w:rFonts w:ascii="仿宋" w:hAnsi="仿宋" w:eastAsia="仿宋" w:cs="仿宋"/>
          <w:b/>
          <w:sz w:val="32"/>
          <w:highlight w:val="none"/>
        </w:rPr>
      </w:pPr>
      <w:r>
        <w:rPr>
          <w:rFonts w:hint="eastAsia" w:ascii="仿宋" w:hAnsi="仿宋" w:eastAsia="仿宋" w:cs="仿宋"/>
          <w:b/>
          <w:sz w:val="32"/>
          <w:highlight w:val="none"/>
        </w:rPr>
        <w:t>七、合同授予</w:t>
      </w:r>
    </w:p>
    <w:p w14:paraId="2798F28C">
      <w:pPr>
        <w:pStyle w:val="24"/>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 xml:space="preserve">24. </w:t>
      </w:r>
      <w:r>
        <w:rPr>
          <w:rFonts w:hint="eastAsia" w:ascii="仿宋" w:hAnsi="仿宋" w:eastAsia="仿宋" w:cs="仿宋"/>
          <w:highlight w:val="none"/>
        </w:rPr>
        <w:t>合同主要条款详见第五部分拟签订的合同文本。</w:t>
      </w:r>
    </w:p>
    <w:p w14:paraId="6280B189">
      <w:pPr>
        <w:pStyle w:val="24"/>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25. 合同的签订</w:t>
      </w:r>
    </w:p>
    <w:p w14:paraId="1CC52048">
      <w:pPr>
        <w:widowControl/>
        <w:shd w:val="clear" w:color="auto" w:fill="FFFFFF"/>
        <w:spacing w:line="360" w:lineRule="auto"/>
        <w:ind w:firstLine="480"/>
        <w:jc w:val="left"/>
        <w:rPr>
          <w:rFonts w:ascii="仿宋" w:hAnsi="仿宋" w:eastAsia="仿宋" w:cs="仿宋"/>
          <w:kern w:val="0"/>
          <w:sz w:val="24"/>
          <w:highlight w:val="none"/>
        </w:rPr>
      </w:pPr>
      <w:r>
        <w:rPr>
          <w:rFonts w:hint="eastAsia" w:ascii="仿宋" w:hAnsi="仿宋" w:eastAsia="仿宋" w:cs="仿宋"/>
          <w:sz w:val="24"/>
          <w:highlight w:val="none"/>
        </w:rPr>
        <w:t>25.1</w:t>
      </w:r>
      <w:r>
        <w:rPr>
          <w:rFonts w:hint="eastAsia" w:ascii="仿宋" w:hAnsi="仿宋" w:eastAsia="仿宋" w:cs="仿宋"/>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11A416D">
      <w:pPr>
        <w:pStyle w:val="124"/>
        <w:snapToGrid w:val="0"/>
        <w:spacing w:before="0"/>
        <w:ind w:firstLine="480"/>
        <w:rPr>
          <w:rFonts w:ascii="仿宋" w:hAnsi="仿宋" w:eastAsia="仿宋" w:cs="仿宋"/>
          <w:kern w:val="0"/>
          <w:highlight w:val="none"/>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885EEE5">
      <w:pPr>
        <w:pStyle w:val="124"/>
        <w:snapToGrid w:val="0"/>
        <w:spacing w:before="0"/>
        <w:ind w:firstLine="480"/>
        <w:rPr>
          <w:rFonts w:ascii="仿宋" w:hAnsi="仿宋" w:eastAsia="仿宋" w:cs="仿宋"/>
          <w:highlight w:val="none"/>
        </w:rPr>
      </w:pPr>
      <w:r>
        <w:rPr>
          <w:rFonts w:hint="eastAsia" w:ascii="仿宋" w:hAnsi="仿宋" w:eastAsia="仿宋" w:cs="仿宋"/>
          <w:highlight w:val="none"/>
        </w:rPr>
        <w:t>25.3如签订合同并生效后，供应商无故拒绝或延期，除按照合同条款处理外，列入不良行为记录一次，并给予通报。</w:t>
      </w:r>
    </w:p>
    <w:p w14:paraId="51942A66">
      <w:pPr>
        <w:pStyle w:val="124"/>
        <w:snapToGrid w:val="0"/>
        <w:spacing w:before="0"/>
        <w:ind w:firstLine="480"/>
        <w:rPr>
          <w:rFonts w:ascii="仿宋" w:hAnsi="仿宋" w:eastAsia="仿宋" w:cs="仿宋"/>
          <w:highlight w:val="none"/>
        </w:rPr>
      </w:pPr>
      <w:r>
        <w:rPr>
          <w:rFonts w:hint="eastAsia" w:ascii="仿宋" w:hAnsi="仿宋" w:eastAsia="仿宋" w:cs="仿宋"/>
          <w:highlight w:val="none"/>
        </w:rPr>
        <w:t>25.4中标供应商拒绝与采购人签订合同的，采购人可以按照评审报告推荐的中标或者成交候选人名单排序，确定下一候选人为中标供应商，也可以重新开展政府采购活动。</w:t>
      </w:r>
    </w:p>
    <w:p w14:paraId="59EAB717">
      <w:pPr>
        <w:pStyle w:val="124"/>
        <w:snapToGrid w:val="0"/>
        <w:spacing w:before="0" w:after="120"/>
        <w:ind w:firstLine="480"/>
        <w:rPr>
          <w:rFonts w:ascii="仿宋" w:hAnsi="仿宋" w:eastAsia="仿宋" w:cs="仿宋"/>
          <w:highlight w:val="none"/>
        </w:rPr>
      </w:pPr>
      <w:r>
        <w:rPr>
          <w:rFonts w:hint="eastAsia" w:ascii="仿宋" w:hAnsi="仿宋" w:eastAsia="仿宋" w:cs="仿宋"/>
          <w:highlight w:val="none"/>
        </w:rPr>
        <w:t>25.5采购合同由采购人与中标供应商根据招标文件、投标文件等内容通过政府采购电子交易平台在线签订，自动备案。</w:t>
      </w:r>
    </w:p>
    <w:p w14:paraId="3917C7F9">
      <w:pPr>
        <w:pStyle w:val="24"/>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26. 履约保证金</w:t>
      </w:r>
    </w:p>
    <w:p w14:paraId="75E73B98">
      <w:pPr>
        <w:tabs>
          <w:tab w:val="left" w:pos="0"/>
        </w:tabs>
        <w:spacing w:line="360" w:lineRule="auto"/>
        <w:ind w:firstLine="482"/>
        <w:rPr>
          <w:rFonts w:ascii="仿宋" w:hAnsi="仿宋" w:eastAsia="仿宋" w:cs="仿宋"/>
          <w:sz w:val="24"/>
          <w:highlight w:val="none"/>
        </w:rPr>
      </w:pPr>
      <w:r>
        <w:rPr>
          <w:rFonts w:hint="eastAsia" w:ascii="仿宋" w:hAnsi="仿宋" w:eastAsia="仿宋" w:cs="仿宋"/>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EFF672A">
      <w:pPr>
        <w:pStyle w:val="3"/>
        <w:ind w:left="0" w:firstLine="480" w:firstLineChars="200"/>
        <w:rPr>
          <w:rFonts w:ascii="仿宋" w:eastAsia="仿宋" w:cs="仿宋"/>
          <w:b w:val="0"/>
          <w:bCs w:val="0"/>
          <w:snapToGrid w:val="0"/>
          <w:kern w:val="28"/>
          <w:sz w:val="24"/>
          <w:highlight w:val="none"/>
        </w:rPr>
      </w:pPr>
      <w:r>
        <w:rPr>
          <w:rFonts w:hint="eastAsia" w:ascii="仿宋" w:eastAsia="仿宋" w:cs="仿宋"/>
          <w:b w:val="0"/>
          <w:bCs w:val="0"/>
          <w:snapToGrid w:val="0"/>
          <w:kern w:val="28"/>
          <w:sz w:val="24"/>
          <w:highlight w:val="none"/>
        </w:rPr>
        <w:t>供应商</w:t>
      </w:r>
      <w:r>
        <w:rPr>
          <w:rFonts w:hint="eastAsia" w:ascii="仿宋" w:eastAsia="仿宋" w:cs="仿宋"/>
          <w:b w:val="0"/>
          <w:bCs w:val="0"/>
          <w:snapToGrid w:val="0"/>
          <w:kern w:val="28"/>
          <w:sz w:val="24"/>
          <w:highlight w:val="none"/>
          <w:lang w:val="en-US"/>
        </w:rPr>
        <w:t>可</w:t>
      </w:r>
      <w:r>
        <w:rPr>
          <w:rFonts w:hint="eastAsia" w:ascii="仿宋" w:eastAsia="仿宋" w:cs="仿宋"/>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5370C17">
      <w:pPr>
        <w:pStyle w:val="3"/>
        <w:rPr>
          <w:rFonts w:ascii="仿宋" w:eastAsia="仿宋" w:cs="仿宋"/>
          <w:highlight w:val="none"/>
        </w:rPr>
      </w:pPr>
      <w:r>
        <w:rPr>
          <w:rFonts w:hint="eastAsia" w:ascii="仿宋" w:eastAsia="仿宋" w:cs="仿宋"/>
          <w:sz w:val="24"/>
          <w:highlight w:val="none"/>
          <w:lang w:val="en-US"/>
        </w:rPr>
        <w:t>27.预付款</w:t>
      </w:r>
    </w:p>
    <w:p w14:paraId="01B8324F">
      <w:pPr>
        <w:adjustRightInd/>
        <w:spacing w:line="360" w:lineRule="auto"/>
        <w:ind w:firstLine="480" w:firstLineChars="200"/>
        <w:rPr>
          <w:rFonts w:ascii="仿宋" w:hAnsi="仿宋" w:eastAsia="仿宋" w:cs="仿宋"/>
          <w:highlight w:val="none"/>
        </w:rPr>
      </w:pPr>
      <w:r>
        <w:rPr>
          <w:rFonts w:hint="eastAsia" w:ascii="仿宋" w:hAnsi="仿宋" w:eastAsia="仿宋" w:cs="仿宋"/>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A9302A8">
      <w:pPr>
        <w:rPr>
          <w:rFonts w:ascii="仿宋" w:hAnsi="仿宋" w:eastAsia="仿宋" w:cs="仿宋"/>
          <w:highlight w:val="none"/>
        </w:rPr>
      </w:pPr>
    </w:p>
    <w:p w14:paraId="41893856">
      <w:pPr>
        <w:snapToGrid w:val="0"/>
        <w:spacing w:line="360" w:lineRule="auto"/>
        <w:ind w:firstLine="3357" w:firstLineChars="1045"/>
        <w:rPr>
          <w:rFonts w:ascii="仿宋" w:hAnsi="仿宋" w:eastAsia="仿宋" w:cs="仿宋"/>
          <w:b/>
          <w:sz w:val="32"/>
          <w:highlight w:val="none"/>
        </w:rPr>
      </w:pPr>
    </w:p>
    <w:p w14:paraId="50D1FFF6">
      <w:pPr>
        <w:snapToGrid w:val="0"/>
        <w:spacing w:line="360" w:lineRule="auto"/>
        <w:ind w:firstLine="3357" w:firstLineChars="1045"/>
        <w:rPr>
          <w:rFonts w:ascii="仿宋" w:hAnsi="仿宋" w:eastAsia="仿宋" w:cs="仿宋"/>
          <w:b/>
          <w:sz w:val="24"/>
          <w:highlight w:val="none"/>
        </w:rPr>
      </w:pPr>
      <w:r>
        <w:rPr>
          <w:rFonts w:hint="eastAsia" w:ascii="仿宋" w:hAnsi="仿宋" w:eastAsia="仿宋" w:cs="仿宋"/>
          <w:b/>
          <w:sz w:val="32"/>
          <w:highlight w:val="none"/>
        </w:rPr>
        <w:t>八、电子交易活动的中止</w:t>
      </w:r>
    </w:p>
    <w:p w14:paraId="5A057AE3">
      <w:pPr>
        <w:pStyle w:val="124"/>
        <w:snapToGrid w:val="0"/>
        <w:spacing w:before="0"/>
        <w:ind w:firstLine="0" w:firstLineChars="0"/>
        <w:rPr>
          <w:rFonts w:ascii="仿宋" w:hAnsi="仿宋" w:eastAsia="仿宋" w:cs="仿宋"/>
          <w:highlight w:val="none"/>
        </w:rPr>
      </w:pPr>
      <w:r>
        <w:rPr>
          <w:rFonts w:hint="eastAsia" w:ascii="仿宋" w:hAnsi="仿宋" w:eastAsia="仿宋" w:cs="仿宋"/>
          <w:b/>
          <w:bCs/>
          <w:highlight w:val="none"/>
        </w:rPr>
        <w:t>2</w:t>
      </w:r>
      <w:r>
        <w:rPr>
          <w:rFonts w:hint="eastAsia" w:ascii="仿宋" w:hAnsi="仿宋" w:eastAsia="仿宋" w:cs="仿宋"/>
          <w:b/>
          <w:bCs/>
          <w:szCs w:val="24"/>
          <w:highlight w:val="none"/>
        </w:rPr>
        <w:t>8</w:t>
      </w:r>
      <w:r>
        <w:rPr>
          <w:rFonts w:hint="eastAsia" w:ascii="仿宋" w:hAnsi="仿宋" w:eastAsia="仿宋" w:cs="仿宋"/>
          <w:b/>
          <w:szCs w:val="24"/>
          <w:highlight w:val="none"/>
        </w:rPr>
        <w:t>. 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采购过程中出现以下情形，导致电子交易平台无法正常运行，或者无法保证电子交易的公平、公正和安全时，采购代理机构可中止电子交易活动：</w:t>
      </w:r>
    </w:p>
    <w:p w14:paraId="3AE9501F">
      <w:pPr>
        <w:pStyle w:val="124"/>
        <w:snapToGrid w:val="0"/>
        <w:spacing w:before="0"/>
        <w:ind w:firstLine="480"/>
        <w:rPr>
          <w:rFonts w:ascii="仿宋" w:hAnsi="仿宋" w:eastAsia="仿宋" w:cs="仿宋"/>
          <w:highlight w:val="none"/>
        </w:rPr>
      </w:pPr>
      <w:r>
        <w:rPr>
          <w:rFonts w:hint="eastAsia" w:ascii="仿宋" w:hAnsi="仿宋" w:eastAsia="仿宋" w:cs="仿宋"/>
          <w:highlight w:val="none"/>
        </w:rPr>
        <w:t xml:space="preserve">28.1电子交易平台发生故障而无法登录访问的； </w:t>
      </w:r>
    </w:p>
    <w:p w14:paraId="5F131892">
      <w:pPr>
        <w:pStyle w:val="124"/>
        <w:snapToGrid w:val="0"/>
        <w:spacing w:before="0"/>
        <w:ind w:firstLine="480"/>
        <w:rPr>
          <w:rFonts w:ascii="仿宋" w:hAnsi="仿宋" w:eastAsia="仿宋" w:cs="仿宋"/>
          <w:highlight w:val="none"/>
        </w:rPr>
      </w:pPr>
      <w:r>
        <w:rPr>
          <w:rFonts w:hint="eastAsia" w:ascii="仿宋" w:hAnsi="仿宋" w:eastAsia="仿宋" w:cs="仿宋"/>
          <w:highlight w:val="none"/>
        </w:rPr>
        <w:t>28.2电子交易平台应用或数据库出现错误，不能进行正常操作的；</w:t>
      </w:r>
    </w:p>
    <w:p w14:paraId="338AAC50">
      <w:pPr>
        <w:pStyle w:val="124"/>
        <w:snapToGrid w:val="0"/>
        <w:spacing w:before="0"/>
        <w:ind w:firstLine="480"/>
        <w:rPr>
          <w:rFonts w:ascii="仿宋" w:hAnsi="仿宋" w:eastAsia="仿宋" w:cs="仿宋"/>
          <w:highlight w:val="none"/>
        </w:rPr>
      </w:pPr>
      <w:r>
        <w:rPr>
          <w:rFonts w:hint="eastAsia" w:ascii="仿宋" w:hAnsi="仿宋" w:eastAsia="仿宋" w:cs="仿宋"/>
          <w:highlight w:val="none"/>
        </w:rPr>
        <w:t>28.3电子交易平台发现严重安全漏洞，有潜在泄密危险的；</w:t>
      </w:r>
    </w:p>
    <w:p w14:paraId="39D2DB08">
      <w:pPr>
        <w:pStyle w:val="124"/>
        <w:snapToGrid w:val="0"/>
        <w:spacing w:before="0"/>
        <w:ind w:firstLine="480"/>
        <w:rPr>
          <w:rFonts w:ascii="仿宋" w:hAnsi="仿宋" w:eastAsia="仿宋" w:cs="仿宋"/>
          <w:highlight w:val="none"/>
        </w:rPr>
      </w:pPr>
      <w:r>
        <w:rPr>
          <w:rFonts w:hint="eastAsia" w:ascii="仿宋" w:hAnsi="仿宋" w:eastAsia="仿宋" w:cs="仿宋"/>
          <w:highlight w:val="none"/>
        </w:rPr>
        <w:t xml:space="preserve">28.4病毒发作导致不能进行正常操作的； </w:t>
      </w:r>
    </w:p>
    <w:p w14:paraId="21314EEC">
      <w:pPr>
        <w:pStyle w:val="124"/>
        <w:snapToGrid w:val="0"/>
        <w:spacing w:before="0"/>
        <w:ind w:firstLine="480"/>
        <w:rPr>
          <w:rFonts w:ascii="仿宋" w:hAnsi="仿宋" w:eastAsia="仿宋" w:cs="仿宋"/>
          <w:highlight w:val="none"/>
        </w:rPr>
      </w:pPr>
      <w:r>
        <w:rPr>
          <w:rFonts w:hint="eastAsia" w:ascii="仿宋" w:hAnsi="仿宋" w:eastAsia="仿宋" w:cs="仿宋"/>
          <w:highlight w:val="none"/>
        </w:rPr>
        <w:t>28.5其他无法保证电子交易的公平、公正和安全的情况。</w:t>
      </w:r>
    </w:p>
    <w:p w14:paraId="72D69EE4">
      <w:pPr>
        <w:pStyle w:val="124"/>
        <w:snapToGrid w:val="0"/>
        <w:spacing w:before="0"/>
        <w:ind w:firstLine="0" w:firstLineChars="0"/>
        <w:rPr>
          <w:rFonts w:ascii="仿宋" w:hAnsi="仿宋" w:eastAsia="仿宋" w:cs="仿宋"/>
          <w:highlight w:val="none"/>
        </w:rPr>
      </w:pPr>
      <w:r>
        <w:rPr>
          <w:rFonts w:hint="eastAsia" w:ascii="仿宋" w:hAnsi="仿宋" w:eastAsia="仿宋" w:cs="仿宋"/>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1085EA8">
      <w:pPr>
        <w:tabs>
          <w:tab w:val="left" w:pos="0"/>
        </w:tabs>
        <w:spacing w:line="360" w:lineRule="auto"/>
        <w:ind w:firstLine="480"/>
        <w:rPr>
          <w:rFonts w:ascii="仿宋" w:hAnsi="仿宋" w:eastAsia="仿宋" w:cs="仿宋"/>
          <w:sz w:val="24"/>
          <w:highlight w:val="none"/>
        </w:rPr>
      </w:pPr>
    </w:p>
    <w:p w14:paraId="2B392145">
      <w:pPr>
        <w:snapToGrid w:val="0"/>
        <w:spacing w:line="360" w:lineRule="auto"/>
        <w:ind w:left="120" w:leftChars="57" w:firstLine="482" w:firstLineChars="150"/>
        <w:jc w:val="center"/>
        <w:rPr>
          <w:rFonts w:ascii="仿宋" w:hAnsi="仿宋" w:eastAsia="仿宋" w:cs="仿宋"/>
          <w:b/>
          <w:sz w:val="32"/>
          <w:highlight w:val="none"/>
        </w:rPr>
      </w:pPr>
      <w:r>
        <w:rPr>
          <w:rFonts w:hint="eastAsia" w:ascii="仿宋" w:hAnsi="仿宋" w:eastAsia="仿宋" w:cs="仿宋"/>
          <w:b/>
          <w:sz w:val="32"/>
          <w:highlight w:val="none"/>
        </w:rPr>
        <w:t>九、验收</w:t>
      </w:r>
    </w:p>
    <w:p w14:paraId="3795DF1F">
      <w:pPr>
        <w:pStyle w:val="24"/>
        <w:spacing w:line="360" w:lineRule="auto"/>
        <w:ind w:firstLine="0" w:firstLineChars="0"/>
        <w:rPr>
          <w:rFonts w:ascii="仿宋" w:hAnsi="仿宋" w:eastAsia="仿宋" w:cs="仿宋"/>
          <w:b/>
          <w:highlight w:val="none"/>
        </w:rPr>
      </w:pPr>
      <w:r>
        <w:rPr>
          <w:rFonts w:hint="eastAsia" w:ascii="仿宋" w:hAnsi="仿宋" w:eastAsia="仿宋" w:cs="仿宋"/>
          <w:b/>
          <w:highlight w:val="none"/>
        </w:rPr>
        <w:t>30.验收</w:t>
      </w:r>
    </w:p>
    <w:p w14:paraId="35C5F6D3">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D4FB1D">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30.2采购人可以邀请参加本项目的其他投标人或者第三方机构参与验收。参与验收的投标人或者第三方机构的意见作为验收书的参考资料一并存档。</w:t>
      </w:r>
    </w:p>
    <w:p w14:paraId="43333FF1">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30.3严格按照采购合同开展履约验收。采购人成立验收小组（验收小组由5人组成：其中采购人1名，从乐采云专家库抽取相关专业专家4名），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F8B04B">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3264A7B">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CA13869">
      <w:pPr>
        <w:pStyle w:val="24"/>
        <w:ind w:firstLine="480"/>
        <w:rPr>
          <w:rFonts w:ascii="仿宋" w:hAnsi="仿宋" w:eastAsia="仿宋" w:cs="仿宋"/>
          <w:highlight w:val="none"/>
        </w:rPr>
      </w:pPr>
    </w:p>
    <w:bookmarkEnd w:id="14"/>
    <w:p w14:paraId="34CD0B47">
      <w:pPr>
        <w:tabs>
          <w:tab w:val="left" w:pos="0"/>
        </w:tabs>
        <w:spacing w:line="360" w:lineRule="auto"/>
        <w:ind w:firstLine="480"/>
        <w:rPr>
          <w:rFonts w:ascii="仿宋" w:hAnsi="仿宋" w:eastAsia="仿宋" w:cs="仿宋"/>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5236011"/>
      <w:bookmarkEnd w:id="16"/>
      <w:bookmarkStart w:id="17" w:name="_Hlt68072998"/>
      <w:bookmarkEnd w:id="17"/>
      <w:bookmarkStart w:id="18" w:name="_Hlt74729768"/>
      <w:bookmarkEnd w:id="18"/>
      <w:bookmarkStart w:id="19" w:name="_Hlt74730295"/>
      <w:bookmarkEnd w:id="19"/>
      <w:bookmarkStart w:id="20" w:name="_Hlt75236101"/>
      <w:bookmarkEnd w:id="20"/>
      <w:bookmarkStart w:id="21" w:name="_Hlt74714665"/>
      <w:bookmarkEnd w:id="21"/>
      <w:bookmarkStart w:id="22" w:name="_Hlt74707468"/>
      <w:bookmarkEnd w:id="22"/>
      <w:bookmarkStart w:id="23" w:name="_Hlt75236290"/>
      <w:bookmarkEnd w:id="23"/>
      <w:bookmarkStart w:id="24" w:name="_Hlt68072990"/>
      <w:bookmarkEnd w:id="24"/>
      <w:bookmarkStart w:id="25" w:name="_Hlt68403820"/>
      <w:bookmarkEnd w:id="25"/>
      <w:bookmarkStart w:id="26" w:name="_Hlt68057669"/>
      <w:bookmarkEnd w:id="26"/>
      <w:bookmarkStart w:id="27" w:name="_Hlt68073093"/>
      <w:bookmarkEnd w:id="27"/>
    </w:p>
    <w:bookmarkEnd w:id="12"/>
    <w:bookmarkEnd w:id="13"/>
    <w:p w14:paraId="603E1D3B">
      <w:pPr>
        <w:spacing w:line="360" w:lineRule="auto"/>
        <w:jc w:val="center"/>
        <w:outlineLvl w:val="0"/>
        <w:rPr>
          <w:rFonts w:ascii="仿宋" w:hAnsi="仿宋" w:eastAsia="仿宋" w:cs="仿宋"/>
          <w:b/>
          <w:sz w:val="36"/>
          <w:szCs w:val="36"/>
          <w:highlight w:val="none"/>
        </w:rPr>
      </w:pPr>
      <w:bookmarkStart w:id="28" w:name="第四部分"/>
    </w:p>
    <w:p w14:paraId="68E15186">
      <w:pPr>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第三部分   采购需求</w:t>
      </w:r>
    </w:p>
    <w:p w14:paraId="3B3C5013">
      <w:pPr>
        <w:spacing w:line="360" w:lineRule="auto"/>
        <w:jc w:val="left"/>
        <w:rPr>
          <w:rFonts w:ascii="仿宋" w:hAnsi="仿宋" w:eastAsia="仿宋" w:cs="仿宋"/>
          <w:b/>
          <w:bCs/>
          <w:sz w:val="24"/>
          <w:highlight w:val="none"/>
        </w:rPr>
      </w:pPr>
      <w:r>
        <w:rPr>
          <w:rFonts w:hint="eastAsia" w:ascii="仿宋" w:hAnsi="仿宋" w:eastAsia="仿宋" w:cs="仿宋"/>
          <w:b/>
          <w:sz w:val="24"/>
          <w:highlight w:val="none"/>
        </w:rPr>
        <w:t>（一）项目</w:t>
      </w:r>
      <w:r>
        <w:rPr>
          <w:rFonts w:hint="eastAsia" w:ascii="仿宋" w:hAnsi="仿宋" w:eastAsia="仿宋" w:cs="仿宋"/>
          <w:b/>
          <w:bCs/>
          <w:sz w:val="24"/>
          <w:highlight w:val="none"/>
        </w:rPr>
        <w:t>主要内容：</w:t>
      </w:r>
    </w:p>
    <w:p w14:paraId="6CAF2BF1">
      <w:pPr>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u w:val="single"/>
        </w:rPr>
        <w:t>租赁内容包括：以购买服务方式，提供1800套5G便携式视音频设备、87套便携式视音频设备采集站、1个服务器的使用服务，并完成便携式视音频证据管理系统迁移改造。</w:t>
      </w:r>
    </w:p>
    <w:p w14:paraId="084F7267">
      <w:pPr>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u w:val="single"/>
        </w:rPr>
        <w:t>租赁期：12个月（2025年8月1日-2026年7月31日）。</w:t>
      </w:r>
    </w:p>
    <w:p w14:paraId="317E212A">
      <w:pPr>
        <w:numPr>
          <w:ilvl w:val="0"/>
          <w:numId w:val="2"/>
        </w:numPr>
        <w:spacing w:line="360" w:lineRule="auto"/>
        <w:jc w:val="left"/>
        <w:rPr>
          <w:rFonts w:ascii="仿宋" w:hAnsi="仿宋" w:eastAsia="仿宋" w:cs="仿宋"/>
          <w:bCs/>
          <w:sz w:val="24"/>
          <w:highlight w:val="none"/>
        </w:rPr>
      </w:pPr>
      <w:r>
        <w:rPr>
          <w:rFonts w:hint="eastAsia" w:ascii="仿宋" w:hAnsi="仿宋" w:eastAsia="仿宋" w:cs="仿宋"/>
          <w:b/>
          <w:sz w:val="24"/>
          <w:highlight w:val="none"/>
        </w:rPr>
        <w:t>预算金额：</w:t>
      </w:r>
      <w:r>
        <w:rPr>
          <w:rFonts w:hint="eastAsia" w:ascii="仿宋" w:hAnsi="仿宋" w:eastAsia="仿宋" w:cs="仿宋"/>
          <w:bCs/>
          <w:sz w:val="24"/>
          <w:highlight w:val="none"/>
        </w:rPr>
        <w:t>预算229.95万元（其中2025年安排114.975万元）。</w:t>
      </w:r>
      <w:r>
        <w:rPr>
          <w:rFonts w:hint="eastAsia" w:ascii="仿宋" w:hAnsi="仿宋" w:eastAsia="仿宋" w:cs="仿宋"/>
          <w:bCs/>
          <w:sz w:val="24"/>
          <w:highlight w:val="none"/>
          <w:lang w:val="en-US" w:eastAsia="zh-CN"/>
        </w:rPr>
        <w:t>最高限价224.98万元</w:t>
      </w:r>
    </w:p>
    <w:p w14:paraId="73B1421E">
      <w:pPr>
        <w:spacing w:line="336" w:lineRule="auto"/>
        <w:jc w:val="left"/>
        <w:rPr>
          <w:rFonts w:ascii="仿宋" w:hAnsi="仿宋" w:eastAsia="仿宋" w:cs="仿宋"/>
          <w:b/>
          <w:sz w:val="24"/>
          <w:highlight w:val="none"/>
        </w:rPr>
      </w:pPr>
      <w:r>
        <w:rPr>
          <w:rFonts w:hint="eastAsia" w:ascii="仿宋" w:hAnsi="仿宋" w:eastAsia="仿宋" w:cs="仿宋"/>
          <w:b/>
          <w:sz w:val="24"/>
          <w:highlight w:val="none"/>
        </w:rPr>
        <w:t>（三）需满足的政府采购政策目标和具体支持对象</w:t>
      </w:r>
    </w:p>
    <w:p w14:paraId="66E58A7F">
      <w:pPr>
        <w:spacing w:line="336" w:lineRule="auto"/>
        <w:jc w:val="left"/>
        <w:rPr>
          <w:rFonts w:ascii="仿宋" w:hAnsi="仿宋" w:eastAsia="仿宋" w:cs="仿宋"/>
          <w:b/>
          <w:sz w:val="24"/>
          <w:highlight w:val="none"/>
        </w:rPr>
      </w:pPr>
      <w:r>
        <w:rPr>
          <w:rFonts w:hint="eastAsia" w:ascii="仿宋" w:hAnsi="仿宋" w:eastAsia="仿宋" w:cs="仿宋"/>
          <w:b/>
          <w:sz w:val="24"/>
          <w:highlight w:val="none"/>
        </w:rPr>
        <w:sym w:font="Wingdings" w:char="00FE"/>
      </w:r>
      <w:r>
        <w:rPr>
          <w:rFonts w:hint="eastAsia" w:ascii="仿宋" w:hAnsi="仿宋" w:eastAsia="仿宋" w:cs="仿宋"/>
          <w:b/>
          <w:sz w:val="24"/>
          <w:highlight w:val="none"/>
        </w:rPr>
        <w:t xml:space="preserve">扶持中小企业  </w:t>
      </w:r>
      <w:r>
        <w:rPr>
          <w:rFonts w:hint="eastAsia" w:ascii="仿宋" w:hAnsi="仿宋" w:eastAsia="仿宋" w:cs="仿宋"/>
          <w:b/>
          <w:sz w:val="24"/>
          <w:highlight w:val="none"/>
        </w:rPr>
        <w:sym w:font="Wingdings" w:char="00A8"/>
      </w:r>
      <w:r>
        <w:rPr>
          <w:rFonts w:hint="eastAsia" w:ascii="仿宋" w:hAnsi="仿宋" w:eastAsia="仿宋" w:cs="仿宋"/>
          <w:b/>
          <w:sz w:val="24"/>
          <w:highlight w:val="none"/>
        </w:rPr>
        <w:t xml:space="preserve">节能环保   </w:t>
      </w:r>
      <w:r>
        <w:rPr>
          <w:rFonts w:hint="eastAsia" w:ascii="仿宋" w:hAnsi="仿宋" w:eastAsia="仿宋" w:cs="仿宋"/>
          <w:b/>
          <w:sz w:val="24"/>
          <w:highlight w:val="none"/>
        </w:rPr>
        <w:sym w:font="Wingdings" w:char="00A8"/>
      </w:r>
      <w:r>
        <w:rPr>
          <w:rFonts w:hint="eastAsia" w:ascii="仿宋" w:hAnsi="仿宋" w:eastAsia="仿宋" w:cs="仿宋"/>
          <w:b/>
          <w:sz w:val="24"/>
          <w:highlight w:val="none"/>
        </w:rPr>
        <w:t>其他</w:t>
      </w:r>
    </w:p>
    <w:p w14:paraId="4E9DE604">
      <w:pPr>
        <w:spacing w:line="336" w:lineRule="auto"/>
        <w:jc w:val="left"/>
        <w:rPr>
          <w:rFonts w:ascii="仿宋" w:hAnsi="仿宋" w:eastAsia="仿宋" w:cs="仿宋"/>
          <w:sz w:val="24"/>
          <w:highlight w:val="none"/>
        </w:rPr>
      </w:pPr>
      <w:r>
        <w:rPr>
          <w:rFonts w:hint="eastAsia" w:ascii="仿宋" w:hAnsi="仿宋" w:eastAsia="仿宋" w:cs="仿宋"/>
          <w:b/>
          <w:sz w:val="24"/>
          <w:highlight w:val="none"/>
        </w:rPr>
        <w:t>（四）采购标的是否进口产品：</w:t>
      </w:r>
      <w:r>
        <w:rPr>
          <w:rFonts w:hint="eastAsia" w:ascii="仿宋" w:hAnsi="仿宋" w:eastAsia="仿宋" w:cs="仿宋"/>
          <w:sz w:val="24"/>
          <w:highlight w:val="none"/>
        </w:rPr>
        <w:t>□进口  □国产，</w:t>
      </w:r>
      <w:r>
        <w:rPr>
          <w:rFonts w:hint="eastAsia" w:ascii="仿宋" w:hAnsi="仿宋" w:eastAsia="仿宋" w:cs="仿宋"/>
          <w:sz w:val="24"/>
          <w:highlight w:val="none"/>
          <w:u w:val="single"/>
        </w:rPr>
        <w:t>本项目为服务租赁。</w:t>
      </w:r>
    </w:p>
    <w:p w14:paraId="1F99822D">
      <w:pPr>
        <w:spacing w:line="336" w:lineRule="auto"/>
        <w:jc w:val="left"/>
        <w:rPr>
          <w:rFonts w:ascii="仿宋" w:hAnsi="仿宋" w:eastAsia="仿宋" w:cs="仿宋"/>
          <w:b/>
          <w:sz w:val="24"/>
          <w:highlight w:val="none"/>
        </w:rPr>
      </w:pPr>
      <w:r>
        <w:rPr>
          <w:rFonts w:hint="eastAsia" w:ascii="仿宋" w:hAnsi="仿宋" w:eastAsia="仿宋" w:cs="仿宋"/>
          <w:b/>
          <w:sz w:val="24"/>
          <w:highlight w:val="none"/>
        </w:rPr>
        <w:t>（五）拟采购标的的服务要求</w:t>
      </w:r>
    </w:p>
    <w:tbl>
      <w:tblPr>
        <w:tblStyle w:val="62"/>
        <w:tblW w:w="9493"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4266"/>
      </w:tblGrid>
      <w:tr w14:paraId="066AEEA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73" w:hRule="atLeast"/>
          <w:jc w:val="center"/>
        </w:trPr>
        <w:tc>
          <w:tcPr>
            <w:tcW w:w="145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9467C9">
            <w:pPr>
              <w:spacing w:line="360" w:lineRule="auto"/>
              <w:rPr>
                <w:rFonts w:ascii="仿宋" w:hAnsi="仿宋" w:eastAsia="仿宋" w:cs="仿宋"/>
                <w:b/>
                <w:bCs/>
                <w:kern w:val="0"/>
                <w:sz w:val="24"/>
                <w:highlight w:val="none"/>
                <w:lang w:bidi="zh-CN"/>
              </w:rPr>
            </w:pPr>
            <w:r>
              <w:rPr>
                <w:rFonts w:hint="eastAsia" w:ascii="仿宋" w:hAnsi="仿宋" w:eastAsia="仿宋" w:cs="仿宋"/>
                <w:b/>
                <w:bCs/>
                <w:kern w:val="0"/>
                <w:sz w:val="24"/>
                <w:highlight w:val="none"/>
                <w:lang w:bidi="zh-CN"/>
              </w:rPr>
              <w:t>标的内容</w:t>
            </w:r>
          </w:p>
        </w:tc>
        <w:tc>
          <w:tcPr>
            <w:tcW w:w="8035"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14:paraId="7DA8D6B9">
            <w:pPr>
              <w:spacing w:line="360" w:lineRule="auto"/>
              <w:ind w:firstLine="240" w:firstLineChars="100"/>
              <w:jc w:val="center"/>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5G便携式视音频设备使用服务</w:t>
            </w:r>
          </w:p>
        </w:tc>
      </w:tr>
      <w:tr w14:paraId="10C4FF2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19" w:hRule="atLeast"/>
          <w:jc w:val="center"/>
        </w:trPr>
        <w:tc>
          <w:tcPr>
            <w:tcW w:w="145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EF19D0">
            <w:pPr>
              <w:spacing w:line="360" w:lineRule="auto"/>
              <w:rPr>
                <w:rFonts w:ascii="仿宋" w:hAnsi="仿宋" w:eastAsia="仿宋" w:cs="仿宋"/>
                <w:b/>
                <w:bCs/>
                <w:kern w:val="0"/>
                <w:sz w:val="24"/>
                <w:highlight w:val="none"/>
                <w:lang w:bidi="zh-CN"/>
              </w:rPr>
            </w:pPr>
            <w:r>
              <w:rPr>
                <w:rFonts w:hint="eastAsia" w:ascii="仿宋" w:hAnsi="仿宋" w:eastAsia="仿宋" w:cs="仿宋"/>
                <w:b/>
                <w:bCs/>
                <w:kern w:val="0"/>
                <w:sz w:val="24"/>
                <w:highlight w:val="none"/>
                <w:lang w:bidi="zh-CN"/>
              </w:rPr>
              <w:t>数量</w:t>
            </w:r>
          </w:p>
        </w:tc>
        <w:tc>
          <w:tcPr>
            <w:tcW w:w="240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EB018D6">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1</w:t>
            </w:r>
          </w:p>
        </w:tc>
        <w:tc>
          <w:tcPr>
            <w:tcW w:w="13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37C4CF1">
            <w:pPr>
              <w:spacing w:line="360" w:lineRule="auto"/>
              <w:ind w:firstLine="241" w:firstLineChars="100"/>
              <w:rPr>
                <w:rFonts w:ascii="仿宋" w:hAnsi="仿宋" w:eastAsia="仿宋" w:cs="仿宋"/>
                <w:kern w:val="0"/>
                <w:sz w:val="24"/>
                <w:highlight w:val="none"/>
                <w:lang w:bidi="zh-CN"/>
              </w:rPr>
            </w:pPr>
            <w:r>
              <w:rPr>
                <w:rFonts w:hint="eastAsia" w:ascii="仿宋" w:hAnsi="仿宋" w:eastAsia="仿宋" w:cs="仿宋"/>
                <w:b/>
                <w:bCs/>
                <w:kern w:val="0"/>
                <w:sz w:val="24"/>
                <w:highlight w:val="none"/>
                <w:lang w:bidi="zh-CN"/>
              </w:rPr>
              <w:t>单位</w:t>
            </w:r>
          </w:p>
        </w:tc>
        <w:tc>
          <w:tcPr>
            <w:tcW w:w="4266"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0986552">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项</w:t>
            </w:r>
          </w:p>
        </w:tc>
      </w:tr>
      <w:tr w14:paraId="1668359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309" w:hRule="atLeast"/>
          <w:jc w:val="center"/>
        </w:trPr>
        <w:tc>
          <w:tcPr>
            <w:tcW w:w="1458" w:type="dxa"/>
            <w:tcBorders>
              <w:top w:val="single" w:color="808080" w:sz="4" w:space="0"/>
              <w:left w:val="single" w:color="808080" w:sz="4" w:space="0"/>
              <w:bottom w:val="single" w:color="808080" w:sz="4" w:space="0"/>
              <w:right w:val="single" w:color="808080" w:sz="4" w:space="0"/>
            </w:tcBorders>
            <w:shd w:val="clear" w:color="auto" w:fill="auto"/>
          </w:tcPr>
          <w:p w14:paraId="266426EE">
            <w:pPr>
              <w:spacing w:line="360" w:lineRule="auto"/>
              <w:rPr>
                <w:rFonts w:ascii="仿宋" w:hAnsi="仿宋" w:eastAsia="仿宋" w:cs="仿宋"/>
                <w:b/>
                <w:bCs/>
                <w:kern w:val="0"/>
                <w:sz w:val="24"/>
                <w:highlight w:val="none"/>
                <w:lang w:bidi="zh-CN"/>
              </w:rPr>
            </w:pPr>
            <w:r>
              <w:rPr>
                <w:rFonts w:hint="eastAsia" w:ascii="仿宋" w:hAnsi="仿宋" w:eastAsia="仿宋" w:cs="仿宋"/>
                <w:b/>
                <w:bCs/>
                <w:kern w:val="0"/>
                <w:sz w:val="24"/>
                <w:highlight w:val="none"/>
                <w:lang w:bidi="zh-CN"/>
              </w:rPr>
              <w:t>功能和质量要求</w:t>
            </w:r>
          </w:p>
        </w:tc>
        <w:tc>
          <w:tcPr>
            <w:tcW w:w="8035" w:type="dxa"/>
            <w:gridSpan w:val="3"/>
            <w:tcBorders>
              <w:top w:val="single" w:color="808080" w:sz="4" w:space="0"/>
              <w:left w:val="single" w:color="808080" w:sz="4" w:space="0"/>
              <w:bottom w:val="single" w:color="808080" w:sz="4" w:space="0"/>
              <w:right w:val="single" w:color="808080" w:sz="4" w:space="0"/>
            </w:tcBorders>
            <w:shd w:val="clear" w:color="auto" w:fill="auto"/>
          </w:tcPr>
          <w:p w14:paraId="4E8AFF5A">
            <w:pPr>
              <w:spacing w:line="360" w:lineRule="auto"/>
              <w:ind w:firstLine="241" w:firstLineChars="100"/>
              <w:rPr>
                <w:rFonts w:ascii="仿宋" w:hAnsi="仿宋" w:eastAsia="仿宋" w:cs="仿宋"/>
                <w:b/>
                <w:kern w:val="0"/>
                <w:sz w:val="24"/>
                <w:highlight w:val="none"/>
                <w:lang w:bidi="zh-CN"/>
              </w:rPr>
            </w:pPr>
            <w:r>
              <w:rPr>
                <w:rFonts w:hint="eastAsia" w:ascii="仿宋" w:hAnsi="仿宋" w:eastAsia="仿宋" w:cs="仿宋"/>
                <w:b/>
                <w:kern w:val="0"/>
                <w:sz w:val="24"/>
                <w:highlight w:val="none"/>
                <w:lang w:bidi="zh-CN"/>
              </w:rPr>
              <w:t>一、本次租赁内容如下：</w:t>
            </w:r>
          </w:p>
          <w:p w14:paraId="53E94D1E">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以购买服务方式，提供1800套5G便携式视音频设备、87套便携式视音频设备采集站</w:t>
            </w:r>
            <w:r>
              <w:rPr>
                <w:rFonts w:hint="eastAsia" w:ascii="仿宋" w:hAnsi="仿宋" w:eastAsia="仿宋" w:cs="仿宋"/>
                <w:sz w:val="24"/>
                <w:highlight w:val="none"/>
                <w:u w:val="single"/>
              </w:rPr>
              <w:t>、1个服务器</w:t>
            </w:r>
            <w:r>
              <w:rPr>
                <w:rFonts w:hint="eastAsia" w:ascii="仿宋" w:hAnsi="仿宋" w:eastAsia="仿宋" w:cs="仿宋"/>
                <w:kern w:val="0"/>
                <w:sz w:val="24"/>
                <w:highlight w:val="none"/>
                <w:lang w:bidi="zh-CN"/>
              </w:rPr>
              <w:t>的使用服务，并完成便携式视音频证据管理系统迁移改造。服务时间：12个月（2025年8月1日-2026年7月31日），其中便携式视音频证据管理系统、服务器，服务期满后处置权归</w:t>
            </w:r>
            <w:r>
              <w:rPr>
                <w:rFonts w:hint="eastAsia" w:ascii="仿宋" w:hAnsi="仿宋" w:eastAsia="仿宋" w:cs="仿宋"/>
                <w:kern w:val="0"/>
                <w:sz w:val="24"/>
                <w:highlight w:val="none"/>
                <w:lang w:bidi="zh-CN"/>
              </w:rPr>
              <w:t>采购人</w:t>
            </w:r>
            <w:r>
              <w:rPr>
                <w:rFonts w:hint="eastAsia" w:ascii="仿宋" w:hAnsi="仿宋" w:eastAsia="仿宋" w:cs="仿宋"/>
                <w:kern w:val="0"/>
                <w:sz w:val="24"/>
                <w:highlight w:val="none"/>
                <w:lang w:bidi="zh-CN"/>
              </w:rPr>
              <w:t>所有。</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4079"/>
              <w:gridCol w:w="1797"/>
            </w:tblGrid>
            <w:tr w14:paraId="75DC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tcBorders>
                    <w:top w:val="single" w:color="000000" w:sz="4" w:space="0"/>
                    <w:left w:val="single" w:color="000000" w:sz="4" w:space="0"/>
                    <w:bottom w:val="single" w:color="000000" w:sz="4" w:space="0"/>
                    <w:right w:val="single" w:color="000000" w:sz="4" w:space="0"/>
                  </w:tcBorders>
                  <w:vAlign w:val="center"/>
                </w:tcPr>
                <w:p w14:paraId="3A729F76">
                  <w:pPr>
                    <w:spacing w:line="360" w:lineRule="auto"/>
                    <w:jc w:val="center"/>
                    <w:rPr>
                      <w:rFonts w:ascii="仿宋" w:hAnsi="仿宋" w:eastAsia="仿宋" w:cs="仿宋"/>
                      <w:b/>
                      <w:bCs/>
                      <w:kern w:val="0"/>
                      <w:sz w:val="24"/>
                      <w:highlight w:val="none"/>
                      <w:lang w:bidi="zh-CN"/>
                    </w:rPr>
                  </w:pPr>
                  <w:r>
                    <w:rPr>
                      <w:rFonts w:hint="eastAsia" w:ascii="仿宋" w:hAnsi="仿宋" w:eastAsia="仿宋" w:cs="仿宋"/>
                      <w:b/>
                      <w:kern w:val="0"/>
                      <w:sz w:val="24"/>
                      <w:highlight w:val="none"/>
                      <w:lang w:bidi="zh-CN"/>
                    </w:rPr>
                    <w:t>序号</w:t>
                  </w:r>
                </w:p>
              </w:tc>
              <w:tc>
                <w:tcPr>
                  <w:tcW w:w="4079" w:type="dxa"/>
                  <w:tcBorders>
                    <w:top w:val="single" w:color="000000" w:sz="4" w:space="0"/>
                    <w:left w:val="single" w:color="000000" w:sz="4" w:space="0"/>
                    <w:bottom w:val="single" w:color="000000" w:sz="4" w:space="0"/>
                    <w:right w:val="single" w:color="000000" w:sz="4" w:space="0"/>
                  </w:tcBorders>
                  <w:vAlign w:val="center"/>
                </w:tcPr>
                <w:p w14:paraId="1C1593EF">
                  <w:pPr>
                    <w:spacing w:line="360" w:lineRule="auto"/>
                    <w:jc w:val="center"/>
                    <w:rPr>
                      <w:rFonts w:ascii="仿宋" w:hAnsi="仿宋" w:eastAsia="仿宋" w:cs="仿宋"/>
                      <w:b/>
                      <w:bCs/>
                      <w:kern w:val="0"/>
                      <w:sz w:val="24"/>
                      <w:highlight w:val="none"/>
                      <w:lang w:bidi="zh-CN"/>
                    </w:rPr>
                  </w:pPr>
                  <w:r>
                    <w:rPr>
                      <w:rFonts w:hint="eastAsia" w:ascii="仿宋" w:hAnsi="仿宋" w:eastAsia="仿宋" w:cs="仿宋"/>
                      <w:b/>
                      <w:kern w:val="0"/>
                      <w:sz w:val="24"/>
                      <w:highlight w:val="none"/>
                      <w:lang w:bidi="zh-CN"/>
                    </w:rPr>
                    <w:t>设备名称</w:t>
                  </w:r>
                </w:p>
              </w:tc>
              <w:tc>
                <w:tcPr>
                  <w:tcW w:w="1797" w:type="dxa"/>
                  <w:tcBorders>
                    <w:top w:val="single" w:color="000000" w:sz="4" w:space="0"/>
                    <w:left w:val="single" w:color="000000" w:sz="4" w:space="0"/>
                    <w:bottom w:val="single" w:color="000000" w:sz="4" w:space="0"/>
                    <w:right w:val="single" w:color="000000" w:sz="4" w:space="0"/>
                  </w:tcBorders>
                  <w:vAlign w:val="center"/>
                </w:tcPr>
                <w:p w14:paraId="4F4229BA">
                  <w:pPr>
                    <w:spacing w:line="360" w:lineRule="auto"/>
                    <w:jc w:val="center"/>
                    <w:rPr>
                      <w:rFonts w:ascii="仿宋" w:hAnsi="仿宋" w:eastAsia="仿宋" w:cs="仿宋"/>
                      <w:b/>
                      <w:bCs/>
                      <w:kern w:val="0"/>
                      <w:sz w:val="24"/>
                      <w:highlight w:val="none"/>
                      <w:lang w:bidi="zh-CN"/>
                    </w:rPr>
                  </w:pPr>
                  <w:r>
                    <w:rPr>
                      <w:rFonts w:hint="eastAsia" w:ascii="仿宋" w:hAnsi="仿宋" w:eastAsia="仿宋" w:cs="仿宋"/>
                      <w:b/>
                      <w:kern w:val="0"/>
                      <w:sz w:val="24"/>
                      <w:highlight w:val="none"/>
                      <w:lang w:bidi="zh-CN"/>
                    </w:rPr>
                    <w:t>数量</w:t>
                  </w:r>
                </w:p>
              </w:tc>
            </w:tr>
            <w:tr w14:paraId="7C2E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tcBorders>
                    <w:top w:val="single" w:color="000000" w:sz="4" w:space="0"/>
                    <w:left w:val="single" w:color="000000" w:sz="4" w:space="0"/>
                    <w:bottom w:val="single" w:color="000000" w:sz="4" w:space="0"/>
                    <w:right w:val="single" w:color="000000" w:sz="4" w:space="0"/>
                  </w:tcBorders>
                  <w:vAlign w:val="center"/>
                </w:tcPr>
                <w:p w14:paraId="67132F19">
                  <w:pPr>
                    <w:spacing w:line="360" w:lineRule="auto"/>
                    <w:jc w:val="center"/>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1</w:t>
                  </w:r>
                </w:p>
              </w:tc>
              <w:tc>
                <w:tcPr>
                  <w:tcW w:w="4079" w:type="dxa"/>
                  <w:tcBorders>
                    <w:top w:val="single" w:color="000000" w:sz="4" w:space="0"/>
                    <w:left w:val="single" w:color="000000" w:sz="4" w:space="0"/>
                    <w:bottom w:val="single" w:color="000000" w:sz="4" w:space="0"/>
                    <w:right w:val="single" w:color="000000" w:sz="4" w:space="0"/>
                  </w:tcBorders>
                  <w:vAlign w:val="center"/>
                </w:tcPr>
                <w:p w14:paraId="653208B6">
                  <w:pPr>
                    <w:spacing w:line="360" w:lineRule="auto"/>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5G便携式视音频设备</w:t>
                  </w:r>
                </w:p>
              </w:tc>
              <w:tc>
                <w:tcPr>
                  <w:tcW w:w="1797" w:type="dxa"/>
                  <w:tcBorders>
                    <w:top w:val="single" w:color="000000" w:sz="4" w:space="0"/>
                    <w:left w:val="single" w:color="000000" w:sz="4" w:space="0"/>
                    <w:bottom w:val="single" w:color="000000" w:sz="4" w:space="0"/>
                    <w:right w:val="single" w:color="000000" w:sz="4" w:space="0"/>
                  </w:tcBorders>
                  <w:vAlign w:val="center"/>
                </w:tcPr>
                <w:p w14:paraId="1DB2D460">
                  <w:pPr>
                    <w:spacing w:line="360" w:lineRule="auto"/>
                    <w:jc w:val="center"/>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1800台</w:t>
                  </w:r>
                </w:p>
              </w:tc>
            </w:tr>
            <w:tr w14:paraId="371E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tcBorders>
                    <w:top w:val="single" w:color="000000" w:sz="4" w:space="0"/>
                    <w:left w:val="single" w:color="000000" w:sz="4" w:space="0"/>
                    <w:bottom w:val="single" w:color="000000" w:sz="4" w:space="0"/>
                    <w:right w:val="single" w:color="000000" w:sz="4" w:space="0"/>
                  </w:tcBorders>
                  <w:vAlign w:val="center"/>
                </w:tcPr>
                <w:p w14:paraId="3A08A94E">
                  <w:pPr>
                    <w:spacing w:line="360" w:lineRule="auto"/>
                    <w:jc w:val="center"/>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2</w:t>
                  </w:r>
                </w:p>
              </w:tc>
              <w:tc>
                <w:tcPr>
                  <w:tcW w:w="4079" w:type="dxa"/>
                  <w:tcBorders>
                    <w:top w:val="single" w:color="000000" w:sz="4" w:space="0"/>
                    <w:left w:val="single" w:color="000000" w:sz="4" w:space="0"/>
                    <w:bottom w:val="single" w:color="000000" w:sz="4" w:space="0"/>
                    <w:right w:val="single" w:color="000000" w:sz="4" w:space="0"/>
                  </w:tcBorders>
                  <w:vAlign w:val="center"/>
                </w:tcPr>
                <w:p w14:paraId="41430F89">
                  <w:pPr>
                    <w:spacing w:line="360" w:lineRule="auto"/>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国产化采集站</w:t>
                  </w:r>
                </w:p>
              </w:tc>
              <w:tc>
                <w:tcPr>
                  <w:tcW w:w="1797" w:type="dxa"/>
                  <w:tcBorders>
                    <w:top w:val="single" w:color="000000" w:sz="4" w:space="0"/>
                    <w:left w:val="single" w:color="000000" w:sz="4" w:space="0"/>
                    <w:bottom w:val="single" w:color="000000" w:sz="4" w:space="0"/>
                    <w:right w:val="single" w:color="000000" w:sz="4" w:space="0"/>
                  </w:tcBorders>
                  <w:vAlign w:val="center"/>
                </w:tcPr>
                <w:p w14:paraId="12600181">
                  <w:pPr>
                    <w:spacing w:line="360" w:lineRule="auto"/>
                    <w:jc w:val="center"/>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87台</w:t>
                  </w:r>
                </w:p>
              </w:tc>
            </w:tr>
            <w:tr w14:paraId="1BBA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tcBorders>
                    <w:top w:val="single" w:color="000000" w:sz="4" w:space="0"/>
                    <w:left w:val="single" w:color="000000" w:sz="4" w:space="0"/>
                    <w:bottom w:val="single" w:color="000000" w:sz="4" w:space="0"/>
                    <w:right w:val="single" w:color="000000" w:sz="4" w:space="0"/>
                  </w:tcBorders>
                  <w:vAlign w:val="center"/>
                </w:tcPr>
                <w:p w14:paraId="1A93D059">
                  <w:pPr>
                    <w:spacing w:line="360" w:lineRule="auto"/>
                    <w:jc w:val="center"/>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3</w:t>
                  </w:r>
                </w:p>
              </w:tc>
              <w:tc>
                <w:tcPr>
                  <w:tcW w:w="4079" w:type="dxa"/>
                  <w:tcBorders>
                    <w:top w:val="single" w:color="000000" w:sz="4" w:space="0"/>
                    <w:left w:val="single" w:color="000000" w:sz="4" w:space="0"/>
                    <w:bottom w:val="single" w:color="000000" w:sz="4" w:space="0"/>
                    <w:right w:val="single" w:color="000000" w:sz="4" w:space="0"/>
                  </w:tcBorders>
                  <w:vAlign w:val="center"/>
                </w:tcPr>
                <w:p w14:paraId="5FBA7130">
                  <w:pPr>
                    <w:spacing w:line="360" w:lineRule="auto"/>
                    <w:rPr>
                      <w:rFonts w:ascii="仿宋" w:hAnsi="仿宋" w:eastAsia="仿宋" w:cs="仿宋"/>
                      <w:bCs/>
                      <w:kern w:val="0"/>
                      <w:sz w:val="24"/>
                      <w:highlight w:val="none"/>
                      <w:lang w:bidi="zh-CN"/>
                    </w:rPr>
                  </w:pPr>
                  <w:r>
                    <w:rPr>
                      <w:rFonts w:hint="eastAsia" w:ascii="仿宋" w:hAnsi="仿宋" w:eastAsia="仿宋" w:cs="仿宋"/>
                      <w:kern w:val="0"/>
                      <w:sz w:val="24"/>
                      <w:highlight w:val="none"/>
                    </w:rPr>
                    <w:t>便携式视音频证据管理系统迁移改造</w:t>
                  </w:r>
                </w:p>
              </w:tc>
              <w:tc>
                <w:tcPr>
                  <w:tcW w:w="1797" w:type="dxa"/>
                  <w:tcBorders>
                    <w:top w:val="single" w:color="000000" w:sz="4" w:space="0"/>
                    <w:left w:val="single" w:color="000000" w:sz="4" w:space="0"/>
                    <w:bottom w:val="single" w:color="000000" w:sz="4" w:space="0"/>
                    <w:right w:val="single" w:color="000000" w:sz="4" w:space="0"/>
                  </w:tcBorders>
                  <w:vAlign w:val="center"/>
                </w:tcPr>
                <w:p w14:paraId="1E23840E">
                  <w:pPr>
                    <w:spacing w:line="360" w:lineRule="auto"/>
                    <w:jc w:val="center"/>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1套</w:t>
                  </w:r>
                </w:p>
              </w:tc>
            </w:tr>
            <w:tr w14:paraId="56E8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tcBorders>
                    <w:top w:val="single" w:color="000000" w:sz="4" w:space="0"/>
                    <w:left w:val="single" w:color="000000" w:sz="4" w:space="0"/>
                    <w:bottom w:val="single" w:color="000000" w:sz="4" w:space="0"/>
                    <w:right w:val="single" w:color="000000" w:sz="4" w:space="0"/>
                  </w:tcBorders>
                  <w:vAlign w:val="center"/>
                </w:tcPr>
                <w:p w14:paraId="4A316108">
                  <w:pPr>
                    <w:spacing w:line="360" w:lineRule="auto"/>
                    <w:jc w:val="center"/>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4</w:t>
                  </w:r>
                </w:p>
              </w:tc>
              <w:tc>
                <w:tcPr>
                  <w:tcW w:w="4079" w:type="dxa"/>
                  <w:tcBorders>
                    <w:top w:val="single" w:color="000000" w:sz="4" w:space="0"/>
                    <w:left w:val="single" w:color="000000" w:sz="4" w:space="0"/>
                    <w:bottom w:val="single" w:color="000000" w:sz="4" w:space="0"/>
                    <w:right w:val="single" w:color="000000" w:sz="4" w:space="0"/>
                  </w:tcBorders>
                  <w:vAlign w:val="center"/>
                </w:tcPr>
                <w:p w14:paraId="71C683EB">
                  <w:pPr>
                    <w:spacing w:line="360" w:lineRule="auto"/>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服务器</w:t>
                  </w:r>
                </w:p>
              </w:tc>
              <w:tc>
                <w:tcPr>
                  <w:tcW w:w="1797" w:type="dxa"/>
                  <w:tcBorders>
                    <w:top w:val="single" w:color="000000" w:sz="4" w:space="0"/>
                    <w:left w:val="single" w:color="000000" w:sz="4" w:space="0"/>
                    <w:bottom w:val="single" w:color="000000" w:sz="4" w:space="0"/>
                    <w:right w:val="single" w:color="000000" w:sz="4" w:space="0"/>
                  </w:tcBorders>
                  <w:vAlign w:val="center"/>
                </w:tcPr>
                <w:p w14:paraId="13BACD76">
                  <w:pPr>
                    <w:spacing w:line="360" w:lineRule="auto"/>
                    <w:jc w:val="center"/>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1个</w:t>
                  </w:r>
                </w:p>
              </w:tc>
            </w:tr>
          </w:tbl>
          <w:p w14:paraId="5475CECD">
            <w:pPr>
              <w:spacing w:before="209" w:line="360" w:lineRule="auto"/>
              <w:ind w:left="106" w:right="119" w:firstLine="482" w:firstLineChars="200"/>
              <w:rPr>
                <w:rFonts w:ascii="仿宋" w:hAnsi="仿宋" w:eastAsia="仿宋" w:cs="仿宋"/>
                <w:b/>
                <w:kern w:val="0"/>
                <w:sz w:val="24"/>
                <w:highlight w:val="none"/>
                <w:lang w:val="zh-CN" w:bidi="zh-CN"/>
              </w:rPr>
            </w:pPr>
            <w:r>
              <w:rPr>
                <w:rFonts w:hint="eastAsia" w:ascii="仿宋" w:hAnsi="仿宋" w:eastAsia="仿宋" w:cs="仿宋"/>
                <w:b/>
                <w:bCs/>
                <w:sz w:val="24"/>
                <w:highlight w:val="none"/>
                <w:u w:val="single"/>
                <w:lang w:val="zh-CN" w:bidi="zh-CN"/>
              </w:rPr>
              <w:t>注：质量符合公安部GA/T 947-2015标准。</w:t>
            </w:r>
          </w:p>
          <w:p w14:paraId="1F4F3E64">
            <w:pPr>
              <w:spacing w:line="360" w:lineRule="auto"/>
              <w:ind w:firstLine="241" w:firstLineChars="100"/>
              <w:rPr>
                <w:rFonts w:ascii="仿宋" w:hAnsi="仿宋" w:eastAsia="仿宋" w:cs="仿宋"/>
                <w:b/>
                <w:kern w:val="0"/>
                <w:sz w:val="24"/>
                <w:highlight w:val="none"/>
                <w:lang w:bidi="zh-CN"/>
              </w:rPr>
            </w:pPr>
            <w:r>
              <w:rPr>
                <w:rFonts w:hint="eastAsia" w:ascii="仿宋" w:hAnsi="仿宋" w:eastAsia="仿宋" w:cs="仿宋"/>
                <w:b/>
                <w:kern w:val="0"/>
                <w:sz w:val="24"/>
                <w:highlight w:val="none"/>
                <w:lang w:bidi="zh-CN"/>
              </w:rPr>
              <w:t>二、本次租赁采购技术需求</w:t>
            </w:r>
          </w:p>
          <w:p w14:paraId="6143936F">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服务要求中标“▲”参数为实质性要求（不参与评审），不允许负偏离，负偏离将按投标无效处理；★为关键技术指标，需提供CMA资质第三方检测机构或其他国家认可的检测机构出具的检测报告证明。</w:t>
            </w:r>
          </w:p>
          <w:tbl>
            <w:tblPr>
              <w:tblStyle w:val="62"/>
              <w:tblW w:w="0" w:type="auto"/>
              <w:tblInd w:w="118" w:type="dxa"/>
              <w:tblLayout w:type="fixed"/>
              <w:tblCellMar>
                <w:top w:w="0" w:type="dxa"/>
                <w:left w:w="108" w:type="dxa"/>
                <w:bottom w:w="0" w:type="dxa"/>
                <w:right w:w="108" w:type="dxa"/>
              </w:tblCellMar>
            </w:tblPr>
            <w:tblGrid>
              <w:gridCol w:w="645"/>
              <w:gridCol w:w="992"/>
              <w:gridCol w:w="5245"/>
              <w:gridCol w:w="799"/>
            </w:tblGrid>
            <w:tr w14:paraId="1148C311">
              <w:tblPrEx>
                <w:tblCellMar>
                  <w:top w:w="0" w:type="dxa"/>
                  <w:left w:w="108" w:type="dxa"/>
                  <w:bottom w:w="0" w:type="dxa"/>
                  <w:right w:w="108" w:type="dxa"/>
                </w:tblCellMar>
              </w:tblPrEx>
              <w:trPr>
                <w:trHeight w:val="340" w:hRule="atLeast"/>
              </w:trPr>
              <w:tc>
                <w:tcPr>
                  <w:tcW w:w="645" w:type="dxa"/>
                  <w:tcBorders>
                    <w:top w:val="single" w:color="auto" w:sz="8" w:space="0"/>
                    <w:left w:val="single" w:color="auto" w:sz="8" w:space="0"/>
                    <w:bottom w:val="single" w:color="auto" w:sz="8" w:space="0"/>
                    <w:right w:val="single" w:color="auto" w:sz="8" w:space="0"/>
                  </w:tcBorders>
                  <w:vAlign w:val="center"/>
                </w:tcPr>
                <w:p w14:paraId="3834675B">
                  <w:pPr>
                    <w:widowControl/>
                    <w:spacing w:line="360" w:lineRule="auto"/>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序号</w:t>
                  </w:r>
                </w:p>
              </w:tc>
              <w:tc>
                <w:tcPr>
                  <w:tcW w:w="992" w:type="dxa"/>
                  <w:tcBorders>
                    <w:top w:val="single" w:color="auto" w:sz="8" w:space="0"/>
                    <w:left w:val="nil"/>
                    <w:bottom w:val="single" w:color="auto" w:sz="8" w:space="0"/>
                    <w:right w:val="single" w:color="auto" w:sz="8" w:space="0"/>
                  </w:tcBorders>
                  <w:vAlign w:val="center"/>
                </w:tcPr>
                <w:p w14:paraId="0CCC7FE4">
                  <w:pPr>
                    <w:widowControl/>
                    <w:spacing w:line="360" w:lineRule="auto"/>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设备名称</w:t>
                  </w:r>
                </w:p>
              </w:tc>
              <w:tc>
                <w:tcPr>
                  <w:tcW w:w="5245" w:type="dxa"/>
                  <w:tcBorders>
                    <w:top w:val="single" w:color="auto" w:sz="8" w:space="0"/>
                    <w:left w:val="nil"/>
                    <w:bottom w:val="single" w:color="auto" w:sz="8" w:space="0"/>
                    <w:right w:val="single" w:color="auto" w:sz="8" w:space="0"/>
                  </w:tcBorders>
                  <w:vAlign w:val="center"/>
                </w:tcPr>
                <w:p w14:paraId="5DBA494A">
                  <w:pPr>
                    <w:widowControl/>
                    <w:spacing w:line="360" w:lineRule="auto"/>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规格配置</w:t>
                  </w:r>
                </w:p>
              </w:tc>
              <w:tc>
                <w:tcPr>
                  <w:tcW w:w="799" w:type="dxa"/>
                  <w:tcBorders>
                    <w:top w:val="single" w:color="auto" w:sz="8" w:space="0"/>
                    <w:left w:val="nil"/>
                    <w:bottom w:val="single" w:color="auto" w:sz="8" w:space="0"/>
                    <w:right w:val="single" w:color="auto" w:sz="8" w:space="0"/>
                  </w:tcBorders>
                  <w:vAlign w:val="center"/>
                </w:tcPr>
                <w:p w14:paraId="2D571A30">
                  <w:pPr>
                    <w:widowControl/>
                    <w:spacing w:line="360" w:lineRule="auto"/>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数量</w:t>
                  </w:r>
                </w:p>
              </w:tc>
            </w:tr>
            <w:tr w14:paraId="2DAA6A3B">
              <w:tblPrEx>
                <w:tblCellMar>
                  <w:top w:w="0" w:type="dxa"/>
                  <w:left w:w="108" w:type="dxa"/>
                  <w:bottom w:w="0" w:type="dxa"/>
                  <w:right w:w="108" w:type="dxa"/>
                </w:tblCellMar>
              </w:tblPrEx>
              <w:trPr>
                <w:trHeight w:val="340" w:hRule="atLeast"/>
              </w:trPr>
              <w:tc>
                <w:tcPr>
                  <w:tcW w:w="645" w:type="dxa"/>
                  <w:tcBorders>
                    <w:top w:val="nil"/>
                    <w:left w:val="single" w:color="auto" w:sz="8" w:space="0"/>
                    <w:bottom w:val="single" w:color="000000" w:sz="8" w:space="0"/>
                    <w:right w:val="single" w:color="auto" w:sz="8" w:space="0"/>
                  </w:tcBorders>
                  <w:vAlign w:val="center"/>
                </w:tcPr>
                <w:p w14:paraId="40821B4D">
                  <w:pPr>
                    <w:widowControl/>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992" w:type="dxa"/>
                  <w:tcBorders>
                    <w:top w:val="nil"/>
                    <w:left w:val="single" w:color="auto" w:sz="8" w:space="0"/>
                    <w:bottom w:val="single" w:color="000000" w:sz="8" w:space="0"/>
                    <w:right w:val="single" w:color="auto" w:sz="8" w:space="0"/>
                  </w:tcBorders>
                  <w:vAlign w:val="center"/>
                </w:tcPr>
                <w:p w14:paraId="31928601">
                  <w:pPr>
                    <w:widowControl/>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lang w:bidi="zh-CN"/>
                    </w:rPr>
                    <w:t>5G便携式视音频设备</w:t>
                  </w:r>
                </w:p>
              </w:tc>
              <w:tc>
                <w:tcPr>
                  <w:tcW w:w="5245" w:type="dxa"/>
                  <w:tcBorders>
                    <w:top w:val="nil"/>
                    <w:left w:val="nil"/>
                    <w:bottom w:val="single" w:color="000000" w:sz="8" w:space="0"/>
                    <w:right w:val="single" w:color="000000" w:sz="8" w:space="0"/>
                  </w:tcBorders>
                  <w:vAlign w:val="center"/>
                </w:tcPr>
                <w:p w14:paraId="463D75A7">
                  <w:pPr>
                    <w:widowControl/>
                    <w:spacing w:line="360" w:lineRule="auto"/>
                    <w:rPr>
                      <w:rFonts w:ascii="仿宋" w:hAnsi="仿宋" w:eastAsia="仿宋" w:cs="仿宋"/>
                      <w:b/>
                      <w:bCs/>
                      <w:kern w:val="0"/>
                      <w:sz w:val="24"/>
                      <w:highlight w:val="none"/>
                    </w:rPr>
                  </w:pPr>
                  <w:r>
                    <w:rPr>
                      <w:rFonts w:hint="eastAsia" w:ascii="仿宋" w:hAnsi="仿宋" w:eastAsia="仿宋" w:cs="仿宋"/>
                      <w:kern w:val="0"/>
                      <w:sz w:val="24"/>
                      <w:highlight w:val="none"/>
                    </w:rPr>
                    <w:t>操作系统：不低于安卓13</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CPU：≥8核 2.4GHz</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系统内存：≥4G(RAM)+64G（ROM）</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运营商网络：5G全网通，兼容4G/3G/2G，支持移动/联通/电信</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WIFI：支持2.4G、5G双频WiFi</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蓝牙：不低于蓝牙5.1</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 xml:space="preserve">传感器：支持加速度传感器，地磁传感器、陀螺传感器 </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★显示屏：彩色触摸屏，屏幕尺寸≥3.1in，显示屏幕亮度≥300cd/㎡，对比度≥400:1</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★接口：支持通过type-C进行充电和数据传输，支持通过type-c接口连接高清外置摄像头，并且可以自动开启红外功能</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指示灯：录像红灯闪烁、录音黄灯闪烁、待机绿灯慢闪、图传蓝灯闪烁、激光灯指示</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★摄像头：具有≥4个摄像头，主摄像头最大分辨率≥9600×5400,副摄像头最大分辨率≥3120×4160，人像摄像头最大分辨率≥1920×1080，夜视摄像头≥1280×720</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 xml:space="preserve">电池容量：锂聚合物电池，3500mAh </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视频分辨率：4K、2K、1080P、720P、480P</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双码流：最大支持录像 4K（30 帧/秒） ，同时网传 4K（30 帧/秒 ）</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照片分辨率：JPG, 支持5200万像素</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 xml:space="preserve">充电时间：≤2小时 </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工作环境：-20℃~+55℃</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★双卡双待：便携式视音频设备应能同时插入两张 5G SIM 卡，可接入中国移动、联通、电信、广电四家运营商 5G网络，用户可以自行切换主 SIM 卡数据网络；</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★设备采用可更换电池方式供电，更换一块电池后，1920×1080分辨率录像时间≧18h，单块电池容量≥3500mAh；</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★数据分享功能：便携式视音频设备可将本机存储的数据文件，分享给其他的便携式视音频设备，数据文件包括文字短讯、图片和视音频文件，可实现即时通讯；</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★远程控制功能：通过管理平台可远程设置便携式视音频设备参数和远程操控便携式视音频设备录像，远程锁定、清除数据、出厂设置、远程升级等功能；</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★录像文件加密功能：便携式视音频设备支持录像视音频文件加密功能，加密视频文件通过专用播放器才可播放；</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★指令接受和反馈功能：当管理平台下发指令（包括文字信息，图片等）给便携式视音频设备，便携式视音频设备接受指令后，自动反馈给管理平台已阅读指令；</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★紧急摄录功能：紧急摄录功能开启状态下，录像过程中发生撞击时，可自动保存录像文件并重新进入摄录模式，在待机状态下发生撞击时，可自动进入录像模式；</w:t>
                  </w:r>
                </w:p>
              </w:tc>
              <w:tc>
                <w:tcPr>
                  <w:tcW w:w="799" w:type="dxa"/>
                  <w:tcBorders>
                    <w:top w:val="nil"/>
                    <w:left w:val="single" w:color="auto" w:sz="8" w:space="0"/>
                    <w:bottom w:val="single" w:color="000000" w:sz="8" w:space="0"/>
                    <w:right w:val="single" w:color="auto" w:sz="8" w:space="0"/>
                  </w:tcBorders>
                  <w:vAlign w:val="center"/>
                </w:tcPr>
                <w:p w14:paraId="55CA3706">
                  <w:pPr>
                    <w:widowControl/>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1800</w:t>
                  </w:r>
                </w:p>
              </w:tc>
            </w:tr>
            <w:tr w14:paraId="114A9D97">
              <w:tblPrEx>
                <w:tblCellMar>
                  <w:top w:w="0" w:type="dxa"/>
                  <w:left w:w="108" w:type="dxa"/>
                  <w:bottom w:w="0" w:type="dxa"/>
                  <w:right w:w="108" w:type="dxa"/>
                </w:tblCellMar>
              </w:tblPrEx>
              <w:trPr>
                <w:trHeight w:val="340" w:hRule="atLeast"/>
              </w:trPr>
              <w:tc>
                <w:tcPr>
                  <w:tcW w:w="645" w:type="dxa"/>
                  <w:tcBorders>
                    <w:top w:val="nil"/>
                    <w:left w:val="single" w:color="auto" w:sz="8" w:space="0"/>
                    <w:bottom w:val="single" w:color="000000" w:sz="8" w:space="0"/>
                    <w:right w:val="single" w:color="auto" w:sz="8" w:space="0"/>
                  </w:tcBorders>
                  <w:vAlign w:val="center"/>
                </w:tcPr>
                <w:p w14:paraId="7F698E6A">
                  <w:pPr>
                    <w:widowControl/>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c>
                <w:tcPr>
                  <w:tcW w:w="992" w:type="dxa"/>
                  <w:tcBorders>
                    <w:top w:val="nil"/>
                    <w:left w:val="single" w:color="auto" w:sz="8" w:space="0"/>
                    <w:bottom w:val="single" w:color="000000" w:sz="8" w:space="0"/>
                    <w:right w:val="single" w:color="auto" w:sz="8" w:space="0"/>
                  </w:tcBorders>
                  <w:vAlign w:val="center"/>
                </w:tcPr>
                <w:p w14:paraId="3B39B96D">
                  <w:pPr>
                    <w:widowControl/>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国产化采集站</w:t>
                  </w:r>
                </w:p>
              </w:tc>
              <w:tc>
                <w:tcPr>
                  <w:tcW w:w="5245" w:type="dxa"/>
                  <w:tcBorders>
                    <w:top w:val="nil"/>
                    <w:left w:val="nil"/>
                    <w:bottom w:val="single" w:color="000000" w:sz="8" w:space="0"/>
                    <w:right w:val="single" w:color="000000" w:sz="8" w:space="0"/>
                  </w:tcBorders>
                  <w:vAlign w:val="center"/>
                </w:tcPr>
                <w:p w14:paraId="26172538">
                  <w:pPr>
                    <w:widowControl/>
                    <w:spacing w:line="360" w:lineRule="auto"/>
                    <w:rPr>
                      <w:rFonts w:ascii="仿宋" w:hAnsi="仿宋" w:eastAsia="仿宋" w:cs="仿宋"/>
                      <w:b/>
                      <w:bCs/>
                      <w:kern w:val="0"/>
                      <w:sz w:val="24"/>
                      <w:highlight w:val="none"/>
                    </w:rPr>
                  </w:pPr>
                  <w:r>
                    <w:rPr>
                      <w:rFonts w:hint="eastAsia" w:ascii="仿宋" w:hAnsi="仿宋" w:eastAsia="仿宋" w:cs="仿宋"/>
                      <w:kern w:val="0"/>
                      <w:sz w:val="24"/>
                      <w:highlight w:val="none"/>
                    </w:rPr>
                    <w:t>主处理器：国产化嵌入式微控制器（≥四核1.15GHz，集成MIPI D-PHY接口，具备多协议视频编解码、处理能力），定制嵌入式操作系统</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操作界面：本地GUI操作/WEB方式</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显示屏：≥13.3英寸电容触摸液晶屏</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摄像头：≥200万CMOS高清摄像头</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★支持≥330个用户，每个用户可以录入3个指纹，1张人脸和1个密码；可通过录入的指纹、人脸或密码进行登录；</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支持≥32台设备同时采集，接口为type C</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网络接口：≥2RJ45千兆网口</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USB接口：≥2个（USB2.0和USB3.0各一个）</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RS-232接口：≥1个</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硬盘接口：≥6个6T SATA3.0硬盘</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设备接入状态显示：支持对设备接入的状态显示</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设备升级：支持对设备进行自动或手动升级支持对采集站进行本地或网络升级</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数据自动采集：支持</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★数据优先采集：可设置优先采集接口，当此接口接入便携式视音频设备后，其他接口的采集速率应降低，最多可设置8个优先采集接口；</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采集速度：≥128MB/S总带宽</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★支持后台配置数据、账户数据和密钥数据采用了AES256加密技术加密存储；</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★支持存储空间录满后自动停止或循环覆盖2种存储方式；已标记的重点文件不应被自动删除；未上传平台的文件，可配置不被覆盖；</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★当便携式视音频设备接入采集站时，可通过样机对便携式视音频设备进行注册，对未注册的便携式视音频设备只能进行充电；</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★单个扩展模块具有8个独立控制仓位，可接入8个便携式视音频设备进行数据采集，每个仓位配有仓门。最多支持4个扩展模块；</w:t>
                  </w:r>
                </w:p>
              </w:tc>
              <w:tc>
                <w:tcPr>
                  <w:tcW w:w="799" w:type="dxa"/>
                  <w:tcBorders>
                    <w:top w:val="nil"/>
                    <w:left w:val="single" w:color="auto" w:sz="8" w:space="0"/>
                    <w:bottom w:val="single" w:color="000000" w:sz="8" w:space="0"/>
                    <w:right w:val="single" w:color="auto" w:sz="8" w:space="0"/>
                  </w:tcBorders>
                  <w:vAlign w:val="center"/>
                </w:tcPr>
                <w:p w14:paraId="1FCEF6FA">
                  <w:pPr>
                    <w:widowControl/>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87</w:t>
                  </w:r>
                </w:p>
              </w:tc>
            </w:tr>
            <w:tr w14:paraId="15927917">
              <w:tblPrEx>
                <w:tblCellMar>
                  <w:top w:w="0" w:type="dxa"/>
                  <w:left w:w="108" w:type="dxa"/>
                  <w:bottom w:w="0" w:type="dxa"/>
                  <w:right w:w="108" w:type="dxa"/>
                </w:tblCellMar>
              </w:tblPrEx>
              <w:trPr>
                <w:trHeight w:val="340" w:hRule="atLeast"/>
              </w:trPr>
              <w:tc>
                <w:tcPr>
                  <w:tcW w:w="645" w:type="dxa"/>
                  <w:tcBorders>
                    <w:top w:val="nil"/>
                    <w:left w:val="single" w:color="auto" w:sz="8" w:space="0"/>
                    <w:bottom w:val="single" w:color="000000" w:sz="8" w:space="0"/>
                    <w:right w:val="single" w:color="auto" w:sz="8" w:space="0"/>
                  </w:tcBorders>
                  <w:vAlign w:val="center"/>
                </w:tcPr>
                <w:p w14:paraId="1B092C61">
                  <w:pPr>
                    <w:widowControl/>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3</w:t>
                  </w:r>
                </w:p>
              </w:tc>
              <w:tc>
                <w:tcPr>
                  <w:tcW w:w="992" w:type="dxa"/>
                  <w:tcBorders>
                    <w:top w:val="nil"/>
                    <w:left w:val="single" w:color="auto" w:sz="8" w:space="0"/>
                    <w:bottom w:val="single" w:color="000000" w:sz="8" w:space="0"/>
                    <w:right w:val="single" w:color="auto" w:sz="8" w:space="0"/>
                  </w:tcBorders>
                  <w:vAlign w:val="center"/>
                </w:tcPr>
                <w:p w14:paraId="37365464">
                  <w:pPr>
                    <w:widowControl/>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便携式视音频证据管理系统迁移改造</w:t>
                  </w:r>
                </w:p>
              </w:tc>
              <w:tc>
                <w:tcPr>
                  <w:tcW w:w="5245" w:type="dxa"/>
                  <w:tcBorders>
                    <w:top w:val="nil"/>
                    <w:left w:val="nil"/>
                    <w:bottom w:val="single" w:color="000000" w:sz="8" w:space="0"/>
                    <w:right w:val="single" w:color="000000" w:sz="8" w:space="0"/>
                  </w:tcBorders>
                  <w:vAlign w:val="center"/>
                </w:tcPr>
                <w:p w14:paraId="0F630325">
                  <w:pPr>
                    <w:widowControl/>
                    <w:spacing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服务期内完成迁移改造服务，具体软件功能如下：</w:t>
                  </w:r>
                  <w:r>
                    <w:rPr>
                      <w:rFonts w:hint="eastAsia" w:ascii="仿宋" w:hAnsi="仿宋" w:eastAsia="仿宋" w:cs="仿宋"/>
                      <w:kern w:val="0"/>
                      <w:sz w:val="21"/>
                      <w:szCs w:val="21"/>
                      <w:highlight w:val="none"/>
                    </w:rPr>
                    <w:br w:type="textWrapping"/>
                  </w:r>
                  <w:r>
                    <w:rPr>
                      <w:rFonts w:hint="eastAsia" w:ascii="仿宋" w:hAnsi="仿宋" w:eastAsia="仿宋" w:cs="仿宋"/>
                      <w:kern w:val="0"/>
                      <w:sz w:val="21"/>
                      <w:szCs w:val="21"/>
                      <w:highlight w:val="none"/>
                    </w:rPr>
                    <w:t>1.前端设备支持手动和按照计划上传文件到平台，支持WiFi和4G/5G网络上传；</w:t>
                  </w:r>
                  <w:r>
                    <w:rPr>
                      <w:rFonts w:hint="eastAsia" w:ascii="仿宋" w:hAnsi="仿宋" w:eastAsia="仿宋" w:cs="仿宋"/>
                      <w:kern w:val="0"/>
                      <w:sz w:val="21"/>
                      <w:szCs w:val="21"/>
                      <w:highlight w:val="none"/>
                    </w:rPr>
                    <w:br w:type="textWrapping"/>
                  </w:r>
                  <w:r>
                    <w:rPr>
                      <w:rFonts w:hint="eastAsia" w:ascii="仿宋" w:hAnsi="仿宋" w:eastAsia="仿宋" w:cs="仿宋"/>
                      <w:kern w:val="0"/>
                      <w:sz w:val="21"/>
                      <w:szCs w:val="21"/>
                      <w:highlight w:val="none"/>
                    </w:rPr>
                    <w:t>2.支持证据下载，支持大文件下载，支持批量下载；</w:t>
                  </w:r>
                  <w:r>
                    <w:rPr>
                      <w:rFonts w:hint="eastAsia" w:ascii="仿宋" w:hAnsi="仿宋" w:eastAsia="仿宋" w:cs="仿宋"/>
                      <w:kern w:val="0"/>
                      <w:sz w:val="21"/>
                      <w:szCs w:val="21"/>
                      <w:highlight w:val="none"/>
                    </w:rPr>
                    <w:br w:type="textWrapping"/>
                  </w:r>
                  <w:r>
                    <w:rPr>
                      <w:rFonts w:hint="eastAsia" w:ascii="仿宋" w:hAnsi="仿宋" w:eastAsia="仿宋" w:cs="仿宋"/>
                      <w:kern w:val="0"/>
                      <w:sz w:val="21"/>
                      <w:szCs w:val="21"/>
                      <w:highlight w:val="none"/>
                    </w:rPr>
                    <w:t>3.证据支持评价，评价内容为“无明显异常、执法不文明、违规执法、严重违规执法”四类中一种；</w:t>
                  </w:r>
                  <w:r>
                    <w:rPr>
                      <w:rFonts w:hint="eastAsia" w:ascii="仿宋" w:hAnsi="仿宋" w:eastAsia="仿宋" w:cs="仿宋"/>
                      <w:kern w:val="0"/>
                      <w:sz w:val="21"/>
                      <w:szCs w:val="21"/>
                      <w:highlight w:val="none"/>
                    </w:rPr>
                    <w:br w:type="textWrapping"/>
                  </w:r>
                  <w:r>
                    <w:rPr>
                      <w:rFonts w:hint="eastAsia" w:ascii="仿宋" w:hAnsi="仿宋" w:eastAsia="仿宋" w:cs="仿宋"/>
                      <w:kern w:val="0"/>
                      <w:sz w:val="21"/>
                      <w:szCs w:val="21"/>
                      <w:highlight w:val="none"/>
                    </w:rPr>
                    <w:t>4.支持重点标记，支持批量重点标记，标记后的证据支持永久存储，不被覆盖删除；</w:t>
                  </w:r>
                  <w:r>
                    <w:rPr>
                      <w:rFonts w:hint="eastAsia" w:ascii="仿宋" w:hAnsi="仿宋" w:eastAsia="仿宋" w:cs="仿宋"/>
                      <w:kern w:val="0"/>
                      <w:sz w:val="21"/>
                      <w:szCs w:val="21"/>
                      <w:highlight w:val="none"/>
                    </w:rPr>
                    <w:br w:type="textWrapping"/>
                  </w:r>
                  <w:r>
                    <w:rPr>
                      <w:rFonts w:hint="eastAsia" w:ascii="仿宋" w:hAnsi="仿宋" w:eastAsia="仿宋" w:cs="仿宋"/>
                      <w:kern w:val="0"/>
                      <w:sz w:val="21"/>
                      <w:szCs w:val="21"/>
                      <w:highlight w:val="none"/>
                    </w:rPr>
                    <w:t>5.支持证据关联事件；</w:t>
                  </w:r>
                  <w:r>
                    <w:rPr>
                      <w:rFonts w:hint="eastAsia" w:ascii="仿宋" w:hAnsi="仿宋" w:eastAsia="仿宋" w:cs="仿宋"/>
                      <w:kern w:val="0"/>
                      <w:sz w:val="21"/>
                      <w:szCs w:val="21"/>
                      <w:highlight w:val="none"/>
                    </w:rPr>
                    <w:br w:type="textWrapping"/>
                  </w:r>
                  <w:r>
                    <w:rPr>
                      <w:rFonts w:hint="eastAsia" w:ascii="仿宋" w:hAnsi="仿宋" w:eastAsia="仿宋" w:cs="仿宋"/>
                      <w:kern w:val="0"/>
                      <w:sz w:val="21"/>
                      <w:szCs w:val="21"/>
                      <w:highlight w:val="none"/>
                    </w:rPr>
                    <w:t>6.证据时长统计表，展示内容警员编号、警员姓名、归属部门、统计日期、统计录像时长、统计录音时长、统计图片数量，排序根据录像时长从小到大排序，支持查询导出</w:t>
                  </w:r>
                </w:p>
                <w:p w14:paraId="290902A7">
                  <w:pPr>
                    <w:widowControl/>
                    <w:spacing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7.</w:t>
                  </w:r>
                  <w:r>
                    <w:rPr>
                      <w:rFonts w:hint="eastAsia" w:ascii="仿宋" w:hAnsi="仿宋" w:eastAsia="仿宋" w:cs="仿宋"/>
                      <w:sz w:val="21"/>
                      <w:szCs w:val="21"/>
                      <w:highlight w:val="none"/>
                    </w:rPr>
                    <w:t xml:space="preserve"> </w:t>
                  </w:r>
                  <w:r>
                    <w:rPr>
                      <w:rFonts w:hint="eastAsia" w:ascii="仿宋" w:hAnsi="仿宋" w:eastAsia="仿宋" w:cs="仿宋"/>
                      <w:kern w:val="0"/>
                      <w:sz w:val="21"/>
                      <w:szCs w:val="21"/>
                      <w:highlight w:val="none"/>
                    </w:rPr>
                    <w:t>基于一张图展示便携式视音频设备的位置信息。</w:t>
                  </w:r>
                </w:p>
                <w:p w14:paraId="3AB38549">
                  <w:pPr>
                    <w:widowControl/>
                    <w:spacing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支持图上调取便携式视音频设备的实时视频画面；支持图上音频呼叫。</w:t>
                  </w:r>
                </w:p>
                <w:p w14:paraId="7BAE4B19">
                  <w:pPr>
                    <w:widowControl/>
                    <w:spacing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8.</w:t>
                  </w:r>
                  <w:r>
                    <w:rPr>
                      <w:rFonts w:hint="eastAsia" w:ascii="仿宋" w:hAnsi="仿宋" w:eastAsia="仿宋" w:cs="仿宋"/>
                      <w:sz w:val="21"/>
                      <w:szCs w:val="21"/>
                      <w:highlight w:val="none"/>
                    </w:rPr>
                    <w:t xml:space="preserve"> </w:t>
                  </w:r>
                  <w:r>
                    <w:rPr>
                      <w:rFonts w:hint="eastAsia" w:ascii="仿宋" w:hAnsi="仿宋" w:eastAsia="仿宋" w:cs="仿宋"/>
                      <w:kern w:val="0"/>
                      <w:sz w:val="21"/>
                      <w:szCs w:val="21"/>
                      <w:highlight w:val="none"/>
                    </w:rPr>
                    <w:t>支持圈选功能，设定区域后，系统智能检索附近便携式视音频设备信息，支持圈选调取便携式视音频设备视频画面，支持多路视频监控同时调取查看，支持图上一键呼叫。支持圈选便携式视音频设备资源一键开启音视频会商。支持圈选资源数量统计。</w:t>
                  </w:r>
                </w:p>
                <w:p w14:paraId="2E6B7F18">
                  <w:pPr>
                    <w:widowControl/>
                    <w:spacing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9.支持根据终端编号及时间查询用户的轨迹，并支持轨迹信息的回放；支持过去任意时间内24小时之内的轨迹查询。支持便携式视音频设备历史轨迹回放操作。</w:t>
                  </w:r>
                </w:p>
                <w:p w14:paraId="332CE51C">
                  <w:pPr>
                    <w:widowControl/>
                    <w:spacing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10.</w:t>
                  </w:r>
                  <w:r>
                    <w:rPr>
                      <w:rFonts w:hint="eastAsia" w:ascii="仿宋" w:hAnsi="仿宋" w:eastAsia="仿宋" w:cs="仿宋"/>
                      <w:sz w:val="21"/>
                      <w:szCs w:val="21"/>
                      <w:highlight w:val="none"/>
                    </w:rPr>
                    <w:t xml:space="preserve"> </w:t>
                  </w:r>
                  <w:r>
                    <w:rPr>
                      <w:rFonts w:hint="eastAsia" w:ascii="仿宋" w:hAnsi="仿宋" w:eastAsia="仿宋" w:cs="仿宋"/>
                      <w:kern w:val="0"/>
                      <w:sz w:val="21"/>
                      <w:szCs w:val="21"/>
                      <w:highlight w:val="none"/>
                    </w:rPr>
                    <w:t>结合一张图，在一张图上完成事件发生地点标注，在辅屏上完成新增事件录入、历史事件导入、历史事件录入、导出。一张图上支持事件数量统计显示，分别以列表形式呈现，事件类型通过不同色块区分，并可通过地图定位显示事件发生位置（事件上报带定位信息）。</w:t>
                  </w:r>
                </w:p>
                <w:p w14:paraId="20B88419">
                  <w:pPr>
                    <w:widowControl/>
                    <w:spacing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11.支持事件报送，在通信录中选择报送对象，结合事件报送模板，智能合成核实、报告、通报、呈报的短信息快报内容。</w:t>
                  </w:r>
                </w:p>
                <w:p w14:paraId="1C130A96">
                  <w:pPr>
                    <w:widowControl/>
                    <w:spacing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12.</w:t>
                  </w:r>
                  <w:r>
                    <w:rPr>
                      <w:rFonts w:hint="eastAsia" w:ascii="仿宋" w:hAnsi="仿宋" w:eastAsia="仿宋" w:cs="仿宋"/>
                      <w:sz w:val="21"/>
                      <w:szCs w:val="21"/>
                      <w:highlight w:val="none"/>
                    </w:rPr>
                    <w:t xml:space="preserve"> </w:t>
                  </w:r>
                  <w:r>
                    <w:rPr>
                      <w:rFonts w:hint="eastAsia" w:ascii="仿宋" w:hAnsi="仿宋" w:eastAsia="仿宋" w:cs="仿宋"/>
                      <w:kern w:val="0"/>
                      <w:sz w:val="21"/>
                      <w:szCs w:val="21"/>
                      <w:highlight w:val="none"/>
                    </w:rPr>
                    <w:t>支持突发事件按时间轴回溯完整的处置过程。支持回放事件处置过程中的中心与现场便携式视音频设备的协调会商视频。并可查看绑定的视频、图片、录音的证据；事件回溯窗口的包括：执法指挥、视频证据、图片证据、语音证据、处置记录；其中执法指挥，分为视频连线、图文指令。</w:t>
                  </w:r>
                </w:p>
                <w:p w14:paraId="49487C83">
                  <w:pPr>
                    <w:widowControl/>
                    <w:spacing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13.</w:t>
                  </w:r>
                  <w:r>
                    <w:rPr>
                      <w:rFonts w:hint="eastAsia" w:ascii="仿宋" w:hAnsi="仿宋" w:eastAsia="仿宋" w:cs="仿宋"/>
                      <w:sz w:val="21"/>
                      <w:szCs w:val="21"/>
                      <w:highlight w:val="none"/>
                    </w:rPr>
                    <w:t xml:space="preserve"> </w:t>
                  </w:r>
                  <w:r>
                    <w:rPr>
                      <w:rFonts w:hint="eastAsia" w:ascii="仿宋" w:hAnsi="仿宋" w:eastAsia="仿宋" w:cs="仿宋"/>
                      <w:kern w:val="0"/>
                      <w:sz w:val="21"/>
                      <w:szCs w:val="21"/>
                      <w:highlight w:val="none"/>
                    </w:rPr>
                    <w:t>支持便携式视音频设备终端报警；将报警源与视频监控绑定后，支持1-4路视频监控绑定。绑定视频后，收到配置的报警源后，能够联动弹窗，弹出的视频窗口中能够自动播放配置的视频。</w:t>
                  </w:r>
                </w:p>
                <w:p w14:paraId="18933C07">
                  <w:pPr>
                    <w:widowControl/>
                    <w:adjustRightInd/>
                    <w:spacing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14. 支持在PC端查询、回放、下载、删除，单兵、采集站上传的录像、录音、抓图。</w:t>
                  </w:r>
                </w:p>
                <w:p w14:paraId="408D1271">
                  <w:pPr>
                    <w:widowControl/>
                    <w:adjustRightInd/>
                    <w:spacing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可以通过录制时间、用户名、设备名进行录像列表模糊查询。删除操作，将会保留操作日志，能够通过管理端的日志管理模块查看；</w:t>
                  </w:r>
                </w:p>
                <w:p w14:paraId="63A278FE">
                  <w:pPr>
                    <w:widowControl/>
                    <w:adjustRightInd/>
                    <w:spacing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便携式视音频设备证据管理抓图，可显示设备名称、警员名称、抓图时间，及相关图片的信息。</w:t>
                  </w:r>
                </w:p>
                <w:p w14:paraId="78EBF461">
                  <w:pPr>
                    <w:widowControl/>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便携式视音频设备证据管理可显示设备名称、警员名称、录音开始结束时间，及录音时长，可进行下载、播放、删除操作。</w:t>
                  </w:r>
                </w:p>
                <w:p w14:paraId="62F4AD52">
                  <w:pPr>
                    <w:widowControl/>
                    <w:adjustRightInd/>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服务期内完成信创改造服务，定制化软件，功能如下：</w:t>
                  </w:r>
                </w:p>
                <w:p w14:paraId="7C44CDF1">
                  <w:pPr>
                    <w:widowControl/>
                    <w:adjustRightInd/>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 前端设备支持手动和按照计划上传文件到平台，支持WiFi和4G/5G网络上传；</w:t>
                  </w:r>
                </w:p>
                <w:p w14:paraId="426E867A">
                  <w:pPr>
                    <w:widowControl/>
                    <w:adjustRightInd/>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 证据下载：支持证据下载，支持大文件下载，支持批量下载；</w:t>
                  </w:r>
                </w:p>
                <w:p w14:paraId="664CC525">
                  <w:pPr>
                    <w:widowControl/>
                    <w:adjustRightInd/>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 证据评价：评价内容为“无明显异常、执法不文明、违规执法、严重违规执法”四类中一种；</w:t>
                  </w:r>
                </w:p>
                <w:p w14:paraId="715EF542">
                  <w:pPr>
                    <w:widowControl/>
                    <w:adjustRightInd/>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 证据标记：支持重点标记，支持批量重点标记，标记后的证据支持永久存储，不被覆盖删除；</w:t>
                  </w:r>
                </w:p>
                <w:p w14:paraId="26FE4FE3">
                  <w:pPr>
                    <w:widowControl/>
                    <w:adjustRightInd/>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5. 证据关联：支持证据关联事件</w:t>
                  </w:r>
                </w:p>
                <w:p w14:paraId="647438BF">
                  <w:pPr>
                    <w:widowControl/>
                    <w:adjustRightInd/>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6. 事件录入：支持事件录入、事件下发</w:t>
                  </w:r>
                </w:p>
                <w:p w14:paraId="7F9A8C49">
                  <w:pPr>
                    <w:widowControl/>
                    <w:adjustRightInd/>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7. 事件任务管理：支持可快速创建任务，并指派给相关事件和相关人员；已创建任务的查看：可根据待处理、处理中、已完成三个状态进行任务查看，可查看创建任务的全部处理过程。</w:t>
                  </w:r>
                </w:p>
                <w:p w14:paraId="5386A12A">
                  <w:pPr>
                    <w:widowControl/>
                    <w:adjustRightInd/>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8. 事件报送：在通信录中选择报送对象，结合事件报送模板，智能合成核实、报告、通报、呈报的短信息快报内容。</w:t>
                  </w:r>
                </w:p>
                <w:p w14:paraId="7956DC3E">
                  <w:pPr>
                    <w:widowControl/>
                    <w:adjustRightInd/>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9. 事件回溯：支持突发事件按时间轴回溯完整的处置过程。支持回放事件处置过程中的中心与现场便携式视音频设备的协调会商视频。并可查看绑定的视频、图片、录音的证据；事件回溯窗口的包括：执法指挥、视频证据、图片证据、语音证据、处置记录；其中执法指挥，分为视频连线、图文指令。</w:t>
                  </w:r>
                </w:p>
                <w:p w14:paraId="6517E2ED">
                  <w:pPr>
                    <w:widowControl/>
                    <w:adjustRightInd/>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10. 事件标注：在辅屏上完成新增事件录入、历史事件导入、历史事件录入、导出。一张图上支持事件数量统计显示，分别以列表形式呈现，事件类型通过不同色块区分，并可通过地图定位显示事件发生位置（事件上报带定位信息）。</w:t>
                  </w:r>
                </w:p>
                <w:p w14:paraId="2AD53809">
                  <w:pPr>
                    <w:widowControl/>
                    <w:adjustRightInd/>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11. 任务管理评价：支持添加评价任务，任务信息包含任务标题、时间范围、抽取样本数；支持查看评价任务详情，所有任务评价完成后，任务状态自动更新为已完成</w:t>
                  </w:r>
                </w:p>
                <w:p w14:paraId="10FA9550">
                  <w:pPr>
                    <w:widowControl/>
                    <w:adjustRightInd/>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12. 证据时长统计：展示内容警员编号、警员姓名、归属部门、统计日期、统计录像时长、统计录音时长、统计图片数量，排序根据录像时长从小到大排序，支持查询导出</w:t>
                  </w:r>
                </w:p>
                <w:p w14:paraId="18079A63">
                  <w:pPr>
                    <w:widowControl/>
                    <w:adjustRightInd/>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13. 指挥一张图：基于一张图展示便携式视音频设备设备的位置信息。支持图上调取便携式视音频设备的实时视频画面；支持图上音频呼叫。</w:t>
                  </w:r>
                </w:p>
                <w:p w14:paraId="693C3A8D">
                  <w:pPr>
                    <w:widowControl/>
                    <w:adjustRightInd/>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14. 支持圈选功能，设定区域后，系统智能检索附近便携式视音频设备信息，支持圈选调取便携式视音频设备视频画面，支持多路视频监控同时调取查看，支持图上一键呼叫。支持圈选便携式视音频设备资源一键开启音视频会商。支持圈选资源数量统计。</w:t>
                  </w:r>
                </w:p>
                <w:p w14:paraId="6C86FA48">
                  <w:pPr>
                    <w:widowControl/>
                    <w:adjustRightInd/>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15. 支持根据终端编号及时间查询用户的轨迹，并支持轨迹信息的回放；支持过去任意时间内24小时之内的轨迹查询。支持便携式视音频设备历史轨迹回放操作。</w:t>
                  </w:r>
                </w:p>
                <w:p w14:paraId="68E8A09F">
                  <w:pPr>
                    <w:widowControl/>
                    <w:adjustRightInd/>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16. 支持便携式视音频设备终端报警；将报警源与视频监控绑定后，支持1-4路视频监控绑定。绑定视频后，收到配置的报警源后，能够联动弹窗，弹出的视频窗口中能够自动播放配置的视频。</w:t>
                  </w:r>
                </w:p>
                <w:p w14:paraId="26EA00DA">
                  <w:pPr>
                    <w:widowControl/>
                    <w:adjustRightInd/>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17. 支持在PC端查询、回放、下载、删除，单兵、采集站上传的录像、录音、抓图。可以通过录制时间、用户名、设备名进行录像列表模糊查询。删除操作，将会保留操作日志，能够通过管理端的日志管理模块查看；执法仪证据管理抓图，可显示设备名称、警员名称、抓图时间，及相关图片的信息。</w:t>
                  </w:r>
                </w:p>
                <w:p w14:paraId="28A1EE66">
                  <w:pPr>
                    <w:widowControl/>
                    <w:adjustRightInd/>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18. 数据对接：支持便携式视音频设备数据推送至110接处警系统，与警情关联。</w:t>
                  </w:r>
                </w:p>
                <w:p w14:paraId="09F6D9D7">
                  <w:pPr>
                    <w:widowControl/>
                    <w:adjustRightInd/>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19. 签到管理：支持添加签到任务，通过地图划定签到区域，用于人员签到签出，支持签到方案名称、签到的时间范围、选择需要签到的人员。</w:t>
                  </w:r>
                </w:p>
                <w:p w14:paraId="118D8DA3">
                  <w:pPr>
                    <w:widowControl/>
                    <w:adjustRightInd/>
                    <w:spacing w:line="360" w:lineRule="auto"/>
                    <w:rPr>
                      <w:sz w:val="21"/>
                      <w:szCs w:val="21"/>
                      <w:highlight w:val="none"/>
                    </w:rPr>
                  </w:pPr>
                  <w:r>
                    <w:rPr>
                      <w:rFonts w:hint="eastAsia" w:ascii="仿宋" w:hAnsi="仿宋" w:eastAsia="仿宋" w:cs="仿宋"/>
                      <w:kern w:val="0"/>
                      <w:sz w:val="21"/>
                      <w:szCs w:val="21"/>
                      <w:highlight w:val="none"/>
                    </w:rPr>
                    <w:t>20. 签到记录：.支持展示签到记录，展示包含签到名称、签到日期、人员、部门、签入时间、签出时间、异常情况。</w:t>
                  </w:r>
                </w:p>
              </w:tc>
              <w:tc>
                <w:tcPr>
                  <w:tcW w:w="799" w:type="dxa"/>
                  <w:tcBorders>
                    <w:top w:val="nil"/>
                    <w:left w:val="single" w:color="auto" w:sz="8" w:space="0"/>
                    <w:bottom w:val="single" w:color="000000" w:sz="8" w:space="0"/>
                    <w:right w:val="single" w:color="auto" w:sz="8" w:space="0"/>
                  </w:tcBorders>
                  <w:vAlign w:val="center"/>
                </w:tcPr>
                <w:p w14:paraId="51310100">
                  <w:pPr>
                    <w:widowControl/>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r>
            <w:tr w14:paraId="75A6C9A8">
              <w:tblPrEx>
                <w:tblCellMar>
                  <w:top w:w="0" w:type="dxa"/>
                  <w:left w:w="108" w:type="dxa"/>
                  <w:bottom w:w="0" w:type="dxa"/>
                  <w:right w:w="108" w:type="dxa"/>
                </w:tblCellMar>
              </w:tblPrEx>
              <w:trPr>
                <w:trHeight w:val="340" w:hRule="atLeast"/>
              </w:trPr>
              <w:tc>
                <w:tcPr>
                  <w:tcW w:w="645" w:type="dxa"/>
                  <w:tcBorders>
                    <w:top w:val="nil"/>
                    <w:left w:val="single" w:color="auto" w:sz="8" w:space="0"/>
                    <w:bottom w:val="single" w:color="000000" w:sz="8" w:space="0"/>
                    <w:right w:val="single" w:color="auto" w:sz="8" w:space="0"/>
                  </w:tcBorders>
                  <w:vAlign w:val="center"/>
                </w:tcPr>
                <w:p w14:paraId="4981B282">
                  <w:pPr>
                    <w:widowControl/>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4</w:t>
                  </w:r>
                </w:p>
              </w:tc>
              <w:tc>
                <w:tcPr>
                  <w:tcW w:w="992" w:type="dxa"/>
                  <w:tcBorders>
                    <w:top w:val="nil"/>
                    <w:left w:val="single" w:color="auto" w:sz="8" w:space="0"/>
                    <w:bottom w:val="single" w:color="000000" w:sz="8" w:space="0"/>
                    <w:right w:val="single" w:color="auto" w:sz="8" w:space="0"/>
                  </w:tcBorders>
                  <w:vAlign w:val="center"/>
                </w:tcPr>
                <w:p w14:paraId="2C28DE75">
                  <w:pPr>
                    <w:widowControl/>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服务器</w:t>
                  </w:r>
                </w:p>
              </w:tc>
              <w:tc>
                <w:tcPr>
                  <w:tcW w:w="5245" w:type="dxa"/>
                  <w:tcBorders>
                    <w:top w:val="nil"/>
                    <w:left w:val="nil"/>
                    <w:bottom w:val="single" w:color="000000" w:sz="8" w:space="0"/>
                    <w:right w:val="single" w:color="000000" w:sz="8" w:space="0"/>
                  </w:tcBorders>
                  <w:vAlign w:val="center"/>
                </w:tcPr>
                <w:p w14:paraId="4A6260EA">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主处理器：≥2颗国产化CPU，24核，主频≥2.5GHz</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外观高度：2U机架式服务器机箱</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内存：≥4条16GB/DDR4 RDIMM内存-2933MT/s</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网口：≥8个GE网口</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接口：后面板提供≥2个USB 3.0端口、≥1个DB15 VGA端口、≥1个RJ45串 口、≥1个RJ45系统管理端口。</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电源：≥2个900W交流电源模块</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功耗：≤900W</w:t>
                  </w:r>
                </w:p>
                <w:p w14:paraId="3DDF1D9F">
                  <w:pPr>
                    <w:widowControl/>
                    <w:spacing w:line="360" w:lineRule="auto"/>
                    <w:rPr>
                      <w:rFonts w:ascii="仿宋" w:hAnsi="仿宋" w:eastAsia="仿宋" w:cs="仿宋"/>
                      <w:b/>
                      <w:bCs/>
                      <w:kern w:val="0"/>
                      <w:sz w:val="24"/>
                      <w:highlight w:val="none"/>
                    </w:rPr>
                  </w:pPr>
                  <w:r>
                    <w:rPr>
                      <w:rFonts w:hint="eastAsia" w:ascii="仿宋" w:hAnsi="仿宋" w:eastAsia="仿宋" w:cs="仿宋"/>
                      <w:sz w:val="24"/>
                      <w:highlight w:val="none"/>
                    </w:rPr>
                    <w:t>详细参数见“便携式视音频设备证据管理系统国产化服务器具体参数需求”</w:t>
                  </w:r>
                </w:p>
              </w:tc>
              <w:tc>
                <w:tcPr>
                  <w:tcW w:w="799" w:type="dxa"/>
                  <w:tcBorders>
                    <w:top w:val="nil"/>
                    <w:left w:val="single" w:color="auto" w:sz="8" w:space="0"/>
                    <w:bottom w:val="single" w:color="000000" w:sz="8" w:space="0"/>
                    <w:right w:val="single" w:color="auto" w:sz="8" w:space="0"/>
                  </w:tcBorders>
                  <w:vAlign w:val="center"/>
                </w:tcPr>
                <w:p w14:paraId="04B385C3">
                  <w:pPr>
                    <w:widowControl/>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r>
          </w:tbl>
          <w:p w14:paraId="7F7AF391">
            <w:pPr>
              <w:ind w:firstLine="482"/>
              <w:rPr>
                <w:rFonts w:ascii="仿宋" w:hAnsi="仿宋" w:eastAsia="仿宋" w:cs="仿宋"/>
                <w:b/>
                <w:bCs/>
                <w:sz w:val="24"/>
                <w:highlight w:val="none"/>
              </w:rPr>
            </w:pPr>
            <w:r>
              <w:rPr>
                <w:rFonts w:hint="eastAsia" w:ascii="仿宋" w:hAnsi="仿宋" w:eastAsia="仿宋" w:cs="仿宋"/>
                <w:b/>
                <w:bCs/>
                <w:sz w:val="24"/>
                <w:highlight w:val="none"/>
              </w:rPr>
              <w:t>便携式视音频设备证据管理系统国产化服务器具体参数需求：</w:t>
            </w:r>
          </w:p>
          <w:tbl>
            <w:tblPr>
              <w:tblStyle w:val="62"/>
              <w:tblW w:w="7819" w:type="dxa"/>
              <w:jc w:val="center"/>
              <w:tblLayout w:type="fixed"/>
              <w:tblCellMar>
                <w:top w:w="0" w:type="dxa"/>
                <w:left w:w="108" w:type="dxa"/>
                <w:bottom w:w="0" w:type="dxa"/>
                <w:right w:w="108" w:type="dxa"/>
              </w:tblCellMar>
            </w:tblPr>
            <w:tblGrid>
              <w:gridCol w:w="865"/>
              <w:gridCol w:w="1247"/>
              <w:gridCol w:w="1264"/>
              <w:gridCol w:w="4443"/>
            </w:tblGrid>
            <w:tr w14:paraId="133DC0CE">
              <w:tblPrEx>
                <w:tblCellMar>
                  <w:top w:w="0" w:type="dxa"/>
                  <w:left w:w="108" w:type="dxa"/>
                  <w:bottom w:w="0" w:type="dxa"/>
                  <w:right w:w="108" w:type="dxa"/>
                </w:tblCellMar>
              </w:tblPrEx>
              <w:trPr>
                <w:trHeight w:val="636" w:hRule="atLeast"/>
                <w:jc w:val="center"/>
              </w:trPr>
              <w:tc>
                <w:tcPr>
                  <w:tcW w:w="865" w:type="dxa"/>
                  <w:tcBorders>
                    <w:top w:val="single" w:color="auto" w:sz="8" w:space="0"/>
                    <w:left w:val="single" w:color="auto" w:sz="8" w:space="0"/>
                    <w:bottom w:val="single" w:color="auto" w:sz="8" w:space="0"/>
                    <w:right w:val="single" w:color="auto" w:sz="8" w:space="0"/>
                  </w:tcBorders>
                  <w:shd w:val="clear" w:color="000000" w:fill="D9D9D9"/>
                  <w:vAlign w:val="center"/>
                </w:tcPr>
                <w:p w14:paraId="7D2E896B">
                  <w:pPr>
                    <w:pStyle w:val="209"/>
                    <w:rPr>
                      <w:rFonts w:ascii="仿宋" w:hAnsi="仿宋" w:eastAsia="仿宋" w:cs="仿宋"/>
                      <w:color w:val="auto"/>
                      <w:highlight w:val="none"/>
                    </w:rPr>
                  </w:pPr>
                  <w:r>
                    <w:rPr>
                      <w:rFonts w:hint="eastAsia" w:ascii="仿宋" w:hAnsi="仿宋" w:eastAsia="仿宋" w:cs="仿宋"/>
                      <w:color w:val="auto"/>
                      <w:highlight w:val="none"/>
                    </w:rPr>
                    <w:t>序号</w:t>
                  </w:r>
                </w:p>
              </w:tc>
              <w:tc>
                <w:tcPr>
                  <w:tcW w:w="1247" w:type="dxa"/>
                  <w:tcBorders>
                    <w:top w:val="single" w:color="auto" w:sz="8" w:space="0"/>
                    <w:left w:val="nil"/>
                    <w:bottom w:val="single" w:color="auto" w:sz="8" w:space="0"/>
                    <w:right w:val="single" w:color="auto" w:sz="8" w:space="0"/>
                  </w:tcBorders>
                  <w:shd w:val="clear" w:color="000000" w:fill="D9D9D9"/>
                  <w:vAlign w:val="center"/>
                </w:tcPr>
                <w:p w14:paraId="51E10CC5">
                  <w:pPr>
                    <w:pStyle w:val="209"/>
                    <w:rPr>
                      <w:rFonts w:ascii="仿宋" w:hAnsi="仿宋" w:eastAsia="仿宋" w:cs="仿宋"/>
                      <w:color w:val="auto"/>
                      <w:highlight w:val="none"/>
                    </w:rPr>
                  </w:pPr>
                  <w:r>
                    <w:rPr>
                      <w:rFonts w:hint="eastAsia" w:ascii="仿宋" w:hAnsi="仿宋" w:eastAsia="仿宋" w:cs="仿宋"/>
                      <w:color w:val="auto"/>
                      <w:highlight w:val="none"/>
                    </w:rPr>
                    <w:t>一级性能参数指标</w:t>
                  </w:r>
                </w:p>
              </w:tc>
              <w:tc>
                <w:tcPr>
                  <w:tcW w:w="1264" w:type="dxa"/>
                  <w:tcBorders>
                    <w:top w:val="single" w:color="auto" w:sz="8" w:space="0"/>
                    <w:left w:val="nil"/>
                    <w:bottom w:val="single" w:color="auto" w:sz="8" w:space="0"/>
                    <w:right w:val="single" w:color="auto" w:sz="8" w:space="0"/>
                  </w:tcBorders>
                  <w:shd w:val="clear" w:color="000000" w:fill="D9D9D9"/>
                  <w:vAlign w:val="center"/>
                </w:tcPr>
                <w:p w14:paraId="39C8D4C7">
                  <w:pPr>
                    <w:pStyle w:val="209"/>
                    <w:rPr>
                      <w:rFonts w:ascii="仿宋" w:hAnsi="仿宋" w:eastAsia="仿宋" w:cs="仿宋"/>
                      <w:color w:val="auto"/>
                      <w:highlight w:val="none"/>
                    </w:rPr>
                  </w:pPr>
                  <w:r>
                    <w:rPr>
                      <w:rFonts w:hint="eastAsia" w:ascii="仿宋" w:hAnsi="仿宋" w:eastAsia="仿宋" w:cs="仿宋"/>
                      <w:color w:val="auto"/>
                      <w:highlight w:val="none"/>
                    </w:rPr>
                    <w:t>二级性能参数指标</w:t>
                  </w:r>
                </w:p>
              </w:tc>
              <w:tc>
                <w:tcPr>
                  <w:tcW w:w="4443" w:type="dxa"/>
                  <w:tcBorders>
                    <w:top w:val="single" w:color="auto" w:sz="8" w:space="0"/>
                    <w:left w:val="nil"/>
                    <w:bottom w:val="single" w:color="auto" w:sz="8" w:space="0"/>
                    <w:right w:val="single" w:color="auto" w:sz="8" w:space="0"/>
                  </w:tcBorders>
                  <w:shd w:val="clear" w:color="000000" w:fill="D9D9D9"/>
                  <w:vAlign w:val="center"/>
                </w:tcPr>
                <w:p w14:paraId="5262A336">
                  <w:pPr>
                    <w:pStyle w:val="209"/>
                    <w:rPr>
                      <w:rFonts w:ascii="仿宋" w:hAnsi="仿宋" w:eastAsia="仿宋" w:cs="仿宋"/>
                      <w:color w:val="auto"/>
                      <w:highlight w:val="none"/>
                    </w:rPr>
                  </w:pPr>
                  <w:r>
                    <w:rPr>
                      <w:rFonts w:hint="eastAsia" w:ascii="仿宋" w:hAnsi="仿宋" w:eastAsia="仿宋" w:cs="仿宋"/>
                      <w:color w:val="auto"/>
                      <w:highlight w:val="none"/>
                    </w:rPr>
                    <w:t>指标要求</w:t>
                  </w:r>
                </w:p>
              </w:tc>
            </w:tr>
            <w:tr w14:paraId="64F520E4">
              <w:tblPrEx>
                <w:tblCellMar>
                  <w:top w:w="0" w:type="dxa"/>
                  <w:left w:w="108" w:type="dxa"/>
                  <w:bottom w:w="0" w:type="dxa"/>
                  <w:right w:w="108" w:type="dxa"/>
                </w:tblCellMar>
              </w:tblPrEx>
              <w:trPr>
                <w:trHeight w:val="624" w:hRule="atLeast"/>
                <w:jc w:val="center"/>
              </w:trPr>
              <w:tc>
                <w:tcPr>
                  <w:tcW w:w="865" w:type="dxa"/>
                  <w:vMerge w:val="restart"/>
                  <w:tcBorders>
                    <w:top w:val="nil"/>
                    <w:left w:val="single" w:color="auto" w:sz="8" w:space="0"/>
                    <w:bottom w:val="single" w:color="000000" w:sz="8" w:space="0"/>
                    <w:right w:val="single" w:color="auto" w:sz="8" w:space="0"/>
                  </w:tcBorders>
                  <w:vAlign w:val="center"/>
                </w:tcPr>
                <w:p w14:paraId="67DDB4FC">
                  <w:pPr>
                    <w:pStyle w:val="209"/>
                    <w:rPr>
                      <w:rFonts w:ascii="仿宋" w:hAnsi="仿宋" w:eastAsia="仿宋" w:cs="仿宋"/>
                      <w:color w:val="auto"/>
                      <w:highlight w:val="none"/>
                    </w:rPr>
                  </w:pPr>
                  <w:r>
                    <w:rPr>
                      <w:rFonts w:hint="eastAsia" w:ascii="仿宋" w:hAnsi="仿宋" w:eastAsia="仿宋" w:cs="仿宋"/>
                      <w:color w:val="auto"/>
                      <w:highlight w:val="none"/>
                    </w:rPr>
                    <w:t>1</w:t>
                  </w:r>
                </w:p>
              </w:tc>
              <w:tc>
                <w:tcPr>
                  <w:tcW w:w="1247" w:type="dxa"/>
                  <w:vMerge w:val="restart"/>
                  <w:tcBorders>
                    <w:top w:val="nil"/>
                    <w:left w:val="single" w:color="auto" w:sz="8" w:space="0"/>
                    <w:bottom w:val="single" w:color="000000" w:sz="8" w:space="0"/>
                    <w:right w:val="single" w:color="auto" w:sz="8" w:space="0"/>
                  </w:tcBorders>
                  <w:vAlign w:val="center"/>
                </w:tcPr>
                <w:p w14:paraId="2BE8303F">
                  <w:pPr>
                    <w:pStyle w:val="209"/>
                    <w:rPr>
                      <w:rFonts w:ascii="仿宋" w:hAnsi="仿宋" w:eastAsia="仿宋" w:cs="仿宋"/>
                      <w:color w:val="auto"/>
                      <w:highlight w:val="none"/>
                    </w:rPr>
                  </w:pPr>
                  <w:r>
                    <w:rPr>
                      <w:rFonts w:hint="eastAsia" w:ascii="仿宋" w:hAnsi="仿宋" w:eastAsia="仿宋" w:cs="仿宋"/>
                      <w:color w:val="auto"/>
                      <w:highlight w:val="none"/>
                    </w:rPr>
                    <w:t>▲CPU规格</w:t>
                  </w:r>
                </w:p>
              </w:tc>
              <w:tc>
                <w:tcPr>
                  <w:tcW w:w="1264" w:type="dxa"/>
                  <w:vMerge w:val="restart"/>
                  <w:tcBorders>
                    <w:top w:val="nil"/>
                    <w:left w:val="single" w:color="auto" w:sz="8" w:space="0"/>
                    <w:bottom w:val="single" w:color="000000" w:sz="8" w:space="0"/>
                    <w:right w:val="single" w:color="auto" w:sz="8" w:space="0"/>
                  </w:tcBorders>
                  <w:vAlign w:val="center"/>
                </w:tcPr>
                <w:p w14:paraId="3BBC865D">
                  <w:pPr>
                    <w:pStyle w:val="209"/>
                    <w:rPr>
                      <w:rFonts w:ascii="仿宋" w:hAnsi="仿宋" w:eastAsia="仿宋" w:cs="仿宋"/>
                      <w:color w:val="auto"/>
                      <w:highlight w:val="none"/>
                    </w:rPr>
                  </w:pPr>
                  <w:r>
                    <w:rPr>
                      <w:rFonts w:hint="eastAsia" w:ascii="仿宋" w:hAnsi="仿宋" w:eastAsia="仿宋" w:cs="仿宋"/>
                      <w:color w:val="auto"/>
                      <w:highlight w:val="none"/>
                    </w:rPr>
                    <w:t>▲CPU信息</w:t>
                  </w:r>
                </w:p>
              </w:tc>
              <w:tc>
                <w:tcPr>
                  <w:tcW w:w="4443" w:type="dxa"/>
                  <w:tcBorders>
                    <w:top w:val="single" w:color="auto" w:sz="8" w:space="0"/>
                    <w:left w:val="single" w:color="auto" w:sz="8" w:space="0"/>
                    <w:bottom w:val="single" w:color="auto" w:sz="8" w:space="0"/>
                    <w:right w:val="single" w:color="auto" w:sz="8" w:space="0"/>
                  </w:tcBorders>
                  <w:vAlign w:val="center"/>
                </w:tcPr>
                <w:p w14:paraId="4EE38399">
                  <w:pPr>
                    <w:pStyle w:val="209"/>
                    <w:rPr>
                      <w:rFonts w:ascii="仿宋" w:hAnsi="仿宋" w:eastAsia="仿宋" w:cs="仿宋"/>
                      <w:color w:val="auto"/>
                      <w:highlight w:val="none"/>
                    </w:rPr>
                  </w:pPr>
                  <w:r>
                    <w:rPr>
                      <w:rFonts w:hint="eastAsia" w:ascii="仿宋" w:hAnsi="仿宋" w:eastAsia="仿宋" w:cs="仿宋"/>
                      <w:color w:val="auto"/>
                      <w:highlight w:val="none"/>
                    </w:rPr>
                    <w:t>（1）配置国产架构处理器，支持超线程技术和睿频技术；</w:t>
                  </w:r>
                </w:p>
              </w:tc>
            </w:tr>
            <w:tr w14:paraId="003854B7">
              <w:tblPrEx>
                <w:tblCellMar>
                  <w:top w:w="0" w:type="dxa"/>
                  <w:left w:w="108" w:type="dxa"/>
                  <w:bottom w:w="0" w:type="dxa"/>
                  <w:right w:w="108" w:type="dxa"/>
                </w:tblCellMar>
              </w:tblPrEx>
              <w:trPr>
                <w:trHeight w:val="1884" w:hRule="atLeast"/>
                <w:jc w:val="center"/>
              </w:trPr>
              <w:tc>
                <w:tcPr>
                  <w:tcW w:w="865" w:type="dxa"/>
                  <w:vMerge w:val="continue"/>
                  <w:tcBorders>
                    <w:top w:val="nil"/>
                    <w:left w:val="single" w:color="auto" w:sz="8" w:space="0"/>
                    <w:bottom w:val="single" w:color="000000" w:sz="8" w:space="0"/>
                    <w:right w:val="single" w:color="auto" w:sz="8" w:space="0"/>
                  </w:tcBorders>
                  <w:vAlign w:val="center"/>
                </w:tcPr>
                <w:p w14:paraId="4E161142">
                  <w:pPr>
                    <w:rPr>
                      <w:highlight w:val="none"/>
                    </w:rPr>
                  </w:pPr>
                </w:p>
              </w:tc>
              <w:tc>
                <w:tcPr>
                  <w:tcW w:w="1247" w:type="dxa"/>
                  <w:vMerge w:val="continue"/>
                  <w:tcBorders>
                    <w:top w:val="nil"/>
                    <w:left w:val="single" w:color="auto" w:sz="8" w:space="0"/>
                    <w:bottom w:val="single" w:color="000000" w:sz="8" w:space="0"/>
                    <w:right w:val="single" w:color="auto" w:sz="8" w:space="0"/>
                  </w:tcBorders>
                  <w:vAlign w:val="center"/>
                </w:tcPr>
                <w:p w14:paraId="7E971EAF">
                  <w:pPr>
                    <w:rPr>
                      <w:highlight w:val="none"/>
                    </w:rPr>
                  </w:pPr>
                </w:p>
              </w:tc>
              <w:tc>
                <w:tcPr>
                  <w:tcW w:w="1264" w:type="dxa"/>
                  <w:vMerge w:val="continue"/>
                  <w:tcBorders>
                    <w:top w:val="nil"/>
                    <w:left w:val="single" w:color="auto" w:sz="8" w:space="0"/>
                    <w:bottom w:val="single" w:color="000000" w:sz="8" w:space="0"/>
                    <w:right w:val="single" w:color="auto" w:sz="8" w:space="0"/>
                  </w:tcBorders>
                  <w:vAlign w:val="center"/>
                </w:tcPr>
                <w:p w14:paraId="18F610E3">
                  <w:pPr>
                    <w:rPr>
                      <w:highlight w:val="none"/>
                    </w:rPr>
                  </w:pPr>
                </w:p>
              </w:tc>
              <w:tc>
                <w:tcPr>
                  <w:tcW w:w="4443" w:type="dxa"/>
                  <w:tcBorders>
                    <w:top w:val="single" w:color="auto" w:sz="8" w:space="0"/>
                    <w:left w:val="nil"/>
                    <w:bottom w:val="single" w:color="auto" w:sz="8" w:space="0"/>
                    <w:right w:val="single" w:color="auto" w:sz="8" w:space="0"/>
                  </w:tcBorders>
                  <w:vAlign w:val="center"/>
                </w:tcPr>
                <w:p w14:paraId="0B8E4641">
                  <w:pPr>
                    <w:pStyle w:val="209"/>
                    <w:rPr>
                      <w:rFonts w:ascii="仿宋" w:hAnsi="仿宋" w:eastAsia="仿宋" w:cs="仿宋"/>
                      <w:color w:val="auto"/>
                      <w:highlight w:val="none"/>
                    </w:rPr>
                  </w:pPr>
                  <w:r>
                    <w:rPr>
                      <w:rFonts w:hint="eastAsia" w:ascii="仿宋" w:hAnsi="仿宋" w:eastAsia="仿宋" w:cs="仿宋"/>
                      <w:color w:val="auto"/>
                      <w:highlight w:val="none"/>
                    </w:rPr>
                    <w:t>（2）单颗CPU物理核心数≥24核、主频≥2.5GHz、末级缓存容量≥24MB、线程数≥24、热设计功耗≥95W、支持内存的最高速率≥2933MHz、通道数≥4、位宽≥64位；</w:t>
                  </w:r>
                </w:p>
                <w:p w14:paraId="592E47CC">
                  <w:pPr>
                    <w:pStyle w:val="209"/>
                    <w:rPr>
                      <w:rFonts w:ascii="仿宋" w:hAnsi="仿宋" w:eastAsia="仿宋" w:cs="仿宋"/>
                      <w:color w:val="auto"/>
                      <w:highlight w:val="none"/>
                    </w:rPr>
                  </w:pPr>
                  <w:r>
                    <w:rPr>
                      <w:rFonts w:hint="eastAsia" w:ascii="仿宋" w:hAnsi="仿宋" w:eastAsia="仿宋" w:cs="仿宋"/>
                      <w:color w:val="auto"/>
                      <w:highlight w:val="none"/>
                    </w:rPr>
                    <w:t>投标人应在投标时给出CPU型号；</w:t>
                  </w:r>
                </w:p>
              </w:tc>
            </w:tr>
            <w:tr w14:paraId="283F268B">
              <w:tblPrEx>
                <w:tblCellMar>
                  <w:top w:w="0" w:type="dxa"/>
                  <w:left w:w="108" w:type="dxa"/>
                  <w:bottom w:w="0" w:type="dxa"/>
                  <w:right w:w="108" w:type="dxa"/>
                </w:tblCellMar>
              </w:tblPrEx>
              <w:trPr>
                <w:trHeight w:val="1260" w:hRule="atLeast"/>
                <w:jc w:val="center"/>
              </w:trPr>
              <w:tc>
                <w:tcPr>
                  <w:tcW w:w="865" w:type="dxa"/>
                  <w:tcBorders>
                    <w:top w:val="nil"/>
                    <w:left w:val="single" w:color="auto" w:sz="8" w:space="0"/>
                    <w:bottom w:val="single" w:color="auto" w:sz="8" w:space="0"/>
                    <w:right w:val="single" w:color="auto" w:sz="8" w:space="0"/>
                  </w:tcBorders>
                  <w:vAlign w:val="center"/>
                </w:tcPr>
                <w:p w14:paraId="4E157A58">
                  <w:pPr>
                    <w:pStyle w:val="209"/>
                    <w:rPr>
                      <w:rFonts w:ascii="仿宋" w:hAnsi="仿宋" w:eastAsia="仿宋" w:cs="仿宋"/>
                      <w:color w:val="auto"/>
                      <w:highlight w:val="none"/>
                    </w:rPr>
                  </w:pPr>
                  <w:r>
                    <w:rPr>
                      <w:rFonts w:hint="eastAsia" w:ascii="仿宋" w:hAnsi="仿宋" w:eastAsia="仿宋" w:cs="仿宋"/>
                      <w:color w:val="auto"/>
                      <w:highlight w:val="none"/>
                    </w:rPr>
                    <w:t>2</w:t>
                  </w:r>
                </w:p>
              </w:tc>
              <w:tc>
                <w:tcPr>
                  <w:tcW w:w="1247" w:type="dxa"/>
                  <w:vMerge w:val="restart"/>
                  <w:tcBorders>
                    <w:top w:val="nil"/>
                    <w:left w:val="single" w:color="auto" w:sz="8" w:space="0"/>
                    <w:bottom w:val="single" w:color="000000" w:sz="8" w:space="0"/>
                    <w:right w:val="single" w:color="auto" w:sz="8" w:space="0"/>
                  </w:tcBorders>
                  <w:vAlign w:val="center"/>
                </w:tcPr>
                <w:p w14:paraId="33C14444">
                  <w:pPr>
                    <w:pStyle w:val="209"/>
                    <w:rPr>
                      <w:rFonts w:ascii="仿宋" w:hAnsi="仿宋" w:eastAsia="仿宋" w:cs="仿宋"/>
                      <w:color w:val="auto"/>
                      <w:highlight w:val="none"/>
                    </w:rPr>
                  </w:pPr>
                  <w:r>
                    <w:rPr>
                      <w:rFonts w:hint="eastAsia" w:ascii="仿宋" w:hAnsi="仿宋" w:eastAsia="仿宋" w:cs="仿宋"/>
                      <w:color w:val="auto"/>
                      <w:highlight w:val="none"/>
                    </w:rPr>
                    <w:t>▲主板规格</w:t>
                  </w:r>
                </w:p>
              </w:tc>
              <w:tc>
                <w:tcPr>
                  <w:tcW w:w="1264" w:type="dxa"/>
                  <w:tcBorders>
                    <w:top w:val="nil"/>
                    <w:left w:val="nil"/>
                    <w:bottom w:val="single" w:color="auto" w:sz="8" w:space="0"/>
                    <w:right w:val="single" w:color="auto" w:sz="8" w:space="0"/>
                  </w:tcBorders>
                  <w:vAlign w:val="center"/>
                </w:tcPr>
                <w:p w14:paraId="0D0C0464">
                  <w:pPr>
                    <w:pStyle w:val="209"/>
                    <w:rPr>
                      <w:rFonts w:ascii="仿宋" w:hAnsi="仿宋" w:eastAsia="仿宋" w:cs="仿宋"/>
                      <w:color w:val="auto"/>
                      <w:highlight w:val="none"/>
                    </w:rPr>
                  </w:pPr>
                  <w:r>
                    <w:rPr>
                      <w:rFonts w:hint="eastAsia" w:ascii="仿宋" w:hAnsi="仿宋" w:eastAsia="仿宋" w:cs="仿宋"/>
                      <w:color w:val="auto"/>
                      <w:highlight w:val="none"/>
                    </w:rPr>
                    <w:t>▲主板支持的CPU 和内存情况</w:t>
                  </w:r>
                </w:p>
              </w:tc>
              <w:tc>
                <w:tcPr>
                  <w:tcW w:w="4443" w:type="dxa"/>
                  <w:tcBorders>
                    <w:top w:val="nil"/>
                    <w:left w:val="nil"/>
                    <w:bottom w:val="single" w:color="auto" w:sz="8" w:space="0"/>
                    <w:right w:val="single" w:color="auto" w:sz="8" w:space="0"/>
                  </w:tcBorders>
                  <w:vAlign w:val="center"/>
                </w:tcPr>
                <w:p w14:paraId="2DC377DB">
                  <w:pPr>
                    <w:pStyle w:val="209"/>
                    <w:rPr>
                      <w:rFonts w:ascii="仿宋" w:hAnsi="仿宋" w:eastAsia="仿宋" w:cs="仿宋"/>
                      <w:color w:val="auto"/>
                      <w:highlight w:val="none"/>
                    </w:rPr>
                  </w:pPr>
                  <w:r>
                    <w:rPr>
                      <w:rFonts w:hint="eastAsia" w:ascii="仿宋" w:hAnsi="仿宋" w:eastAsia="仿宋" w:cs="仿宋"/>
                      <w:color w:val="auto"/>
                      <w:highlight w:val="none"/>
                    </w:rPr>
                    <w:t>主板支持CPU ≥2颗，内存数量支持≥ 16个，</w:t>
                  </w:r>
                </w:p>
                <w:p w14:paraId="116D121C">
                  <w:pPr>
                    <w:pStyle w:val="209"/>
                    <w:rPr>
                      <w:rFonts w:ascii="仿宋" w:hAnsi="仿宋" w:eastAsia="仿宋" w:cs="仿宋"/>
                      <w:color w:val="auto"/>
                      <w:highlight w:val="none"/>
                    </w:rPr>
                  </w:pPr>
                  <w:r>
                    <w:rPr>
                      <w:rFonts w:hint="eastAsia" w:ascii="仿宋" w:hAnsi="仿宋" w:eastAsia="仿宋" w:cs="仿宋"/>
                      <w:color w:val="auto"/>
                      <w:highlight w:val="none"/>
                    </w:rPr>
                    <w:t>投标人应在投标时给出主板支持的CPU型号；</w:t>
                  </w:r>
                </w:p>
              </w:tc>
            </w:tr>
            <w:tr w14:paraId="583A0488">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4" w:space="0"/>
                    <w:right w:val="single" w:color="auto" w:sz="8" w:space="0"/>
                  </w:tcBorders>
                  <w:vAlign w:val="center"/>
                </w:tcPr>
                <w:p w14:paraId="347066A7">
                  <w:pPr>
                    <w:pStyle w:val="209"/>
                    <w:rPr>
                      <w:rFonts w:ascii="仿宋" w:hAnsi="仿宋" w:eastAsia="仿宋" w:cs="仿宋"/>
                      <w:color w:val="auto"/>
                      <w:highlight w:val="none"/>
                    </w:rPr>
                  </w:pPr>
                  <w:r>
                    <w:rPr>
                      <w:rFonts w:hint="eastAsia" w:ascii="仿宋" w:hAnsi="仿宋" w:eastAsia="仿宋" w:cs="仿宋"/>
                      <w:color w:val="auto"/>
                      <w:highlight w:val="none"/>
                    </w:rPr>
                    <w:t>3</w:t>
                  </w:r>
                </w:p>
              </w:tc>
              <w:tc>
                <w:tcPr>
                  <w:tcW w:w="1247" w:type="dxa"/>
                  <w:vMerge w:val="continue"/>
                  <w:tcBorders>
                    <w:top w:val="nil"/>
                    <w:left w:val="single" w:color="auto" w:sz="8" w:space="0"/>
                    <w:bottom w:val="single" w:color="auto" w:sz="4" w:space="0"/>
                    <w:right w:val="single" w:color="auto" w:sz="8" w:space="0"/>
                  </w:tcBorders>
                  <w:vAlign w:val="center"/>
                </w:tcPr>
                <w:p w14:paraId="4881ABFE">
                  <w:pPr>
                    <w:rPr>
                      <w:highlight w:val="none"/>
                    </w:rPr>
                  </w:pPr>
                </w:p>
              </w:tc>
              <w:tc>
                <w:tcPr>
                  <w:tcW w:w="1264" w:type="dxa"/>
                  <w:tcBorders>
                    <w:top w:val="nil"/>
                    <w:left w:val="nil"/>
                    <w:bottom w:val="single" w:color="auto" w:sz="4" w:space="0"/>
                    <w:right w:val="single" w:color="auto" w:sz="8" w:space="0"/>
                  </w:tcBorders>
                  <w:vAlign w:val="center"/>
                </w:tcPr>
                <w:p w14:paraId="0FD3A69C">
                  <w:pPr>
                    <w:pStyle w:val="209"/>
                    <w:rPr>
                      <w:rFonts w:ascii="仿宋" w:hAnsi="仿宋" w:eastAsia="仿宋" w:cs="仿宋"/>
                      <w:color w:val="auto"/>
                      <w:highlight w:val="none"/>
                    </w:rPr>
                  </w:pPr>
                  <w:r>
                    <w:rPr>
                      <w:rFonts w:hint="eastAsia" w:ascii="仿宋" w:hAnsi="仿宋" w:eastAsia="仿宋" w:cs="仿宋"/>
                      <w:color w:val="auto"/>
                      <w:highlight w:val="none"/>
                    </w:rPr>
                    <w:t>▲主板内存槽数量</w:t>
                  </w:r>
                </w:p>
              </w:tc>
              <w:tc>
                <w:tcPr>
                  <w:tcW w:w="4443" w:type="dxa"/>
                  <w:tcBorders>
                    <w:top w:val="nil"/>
                    <w:left w:val="nil"/>
                    <w:bottom w:val="single" w:color="auto" w:sz="4" w:space="0"/>
                    <w:right w:val="single" w:color="auto" w:sz="8" w:space="0"/>
                  </w:tcBorders>
                  <w:vAlign w:val="center"/>
                </w:tcPr>
                <w:p w14:paraId="37C38FED">
                  <w:pPr>
                    <w:pStyle w:val="209"/>
                    <w:rPr>
                      <w:rFonts w:ascii="仿宋" w:hAnsi="仿宋" w:eastAsia="仿宋" w:cs="仿宋"/>
                      <w:color w:val="auto"/>
                      <w:highlight w:val="none"/>
                    </w:rPr>
                  </w:pPr>
                  <w:r>
                    <w:rPr>
                      <w:rFonts w:hint="eastAsia" w:ascii="仿宋" w:hAnsi="仿宋" w:eastAsia="仿宋" w:cs="仿宋"/>
                      <w:color w:val="auto"/>
                      <w:highlight w:val="none"/>
                    </w:rPr>
                    <w:t>主板内存槽数量≥16个</w:t>
                  </w:r>
                </w:p>
              </w:tc>
            </w:tr>
            <w:tr w14:paraId="5ED1CCEA">
              <w:tblPrEx>
                <w:tblCellMar>
                  <w:top w:w="0" w:type="dxa"/>
                  <w:left w:w="108" w:type="dxa"/>
                  <w:bottom w:w="0" w:type="dxa"/>
                  <w:right w:w="108" w:type="dxa"/>
                </w:tblCellMar>
              </w:tblPrEx>
              <w:trPr>
                <w:trHeight w:val="624" w:hRule="atLeast"/>
                <w:jc w:val="center"/>
              </w:trPr>
              <w:tc>
                <w:tcPr>
                  <w:tcW w:w="865" w:type="dxa"/>
                  <w:tcBorders>
                    <w:top w:val="single" w:color="auto" w:sz="4" w:space="0"/>
                    <w:left w:val="single" w:color="auto" w:sz="4" w:space="0"/>
                    <w:bottom w:val="single" w:color="auto" w:sz="4" w:space="0"/>
                    <w:right w:val="single" w:color="auto" w:sz="8" w:space="0"/>
                  </w:tcBorders>
                  <w:vAlign w:val="center"/>
                </w:tcPr>
                <w:p w14:paraId="4A7022A9">
                  <w:pPr>
                    <w:pStyle w:val="209"/>
                    <w:rPr>
                      <w:rFonts w:ascii="仿宋" w:hAnsi="仿宋" w:eastAsia="仿宋" w:cs="仿宋"/>
                      <w:color w:val="auto"/>
                      <w:highlight w:val="none"/>
                    </w:rPr>
                  </w:pPr>
                  <w:r>
                    <w:rPr>
                      <w:rFonts w:hint="eastAsia" w:ascii="仿宋" w:hAnsi="仿宋" w:eastAsia="仿宋" w:cs="仿宋"/>
                      <w:color w:val="auto"/>
                      <w:highlight w:val="none"/>
                    </w:rPr>
                    <w:t>4</w:t>
                  </w:r>
                </w:p>
              </w:tc>
              <w:tc>
                <w:tcPr>
                  <w:tcW w:w="1247" w:type="dxa"/>
                  <w:vMerge w:val="continue"/>
                  <w:tcBorders>
                    <w:top w:val="single" w:color="auto" w:sz="4" w:space="0"/>
                    <w:left w:val="single" w:color="auto" w:sz="8" w:space="0"/>
                    <w:bottom w:val="single" w:color="auto" w:sz="4" w:space="0"/>
                    <w:right w:val="single" w:color="auto" w:sz="8" w:space="0"/>
                  </w:tcBorders>
                  <w:vAlign w:val="center"/>
                </w:tcPr>
                <w:p w14:paraId="336BDB52">
                  <w:pPr>
                    <w:rPr>
                      <w:highlight w:val="none"/>
                    </w:rPr>
                  </w:pPr>
                </w:p>
              </w:tc>
              <w:tc>
                <w:tcPr>
                  <w:tcW w:w="1264" w:type="dxa"/>
                  <w:tcBorders>
                    <w:top w:val="single" w:color="auto" w:sz="4" w:space="0"/>
                    <w:left w:val="nil"/>
                    <w:bottom w:val="single" w:color="auto" w:sz="4" w:space="0"/>
                    <w:right w:val="single" w:color="auto" w:sz="8" w:space="0"/>
                  </w:tcBorders>
                  <w:vAlign w:val="center"/>
                </w:tcPr>
                <w:p w14:paraId="16533F7A">
                  <w:pPr>
                    <w:pStyle w:val="209"/>
                    <w:rPr>
                      <w:rFonts w:ascii="仿宋" w:hAnsi="仿宋" w:eastAsia="仿宋" w:cs="仿宋"/>
                      <w:color w:val="auto"/>
                      <w:highlight w:val="none"/>
                    </w:rPr>
                  </w:pPr>
                  <w:r>
                    <w:rPr>
                      <w:rFonts w:hint="eastAsia" w:ascii="仿宋" w:hAnsi="仿宋" w:eastAsia="仿宋" w:cs="仿宋"/>
                      <w:color w:val="auto"/>
                      <w:highlight w:val="none"/>
                    </w:rPr>
                    <w:t>▲主板存储接口</w:t>
                  </w:r>
                </w:p>
              </w:tc>
              <w:tc>
                <w:tcPr>
                  <w:tcW w:w="4443" w:type="dxa"/>
                  <w:tcBorders>
                    <w:top w:val="single" w:color="auto" w:sz="4" w:space="0"/>
                    <w:left w:val="nil"/>
                    <w:bottom w:val="single" w:color="auto" w:sz="4" w:space="0"/>
                    <w:right w:val="single" w:color="auto" w:sz="4" w:space="0"/>
                  </w:tcBorders>
                  <w:vAlign w:val="center"/>
                </w:tcPr>
                <w:p w14:paraId="7A3E3885">
                  <w:pPr>
                    <w:pStyle w:val="209"/>
                    <w:rPr>
                      <w:rFonts w:ascii="仿宋" w:hAnsi="仿宋" w:eastAsia="仿宋" w:cs="仿宋"/>
                      <w:color w:val="auto"/>
                      <w:highlight w:val="none"/>
                    </w:rPr>
                  </w:pPr>
                  <w:r>
                    <w:rPr>
                      <w:rFonts w:hint="eastAsia" w:ascii="仿宋" w:hAnsi="仿宋" w:eastAsia="仿宋" w:cs="仿宋"/>
                      <w:color w:val="auto"/>
                      <w:highlight w:val="none"/>
                    </w:rPr>
                    <w:t>主板支持SAS/SATA/NVMe SSD存储接口；</w:t>
                  </w:r>
                </w:p>
              </w:tc>
            </w:tr>
            <w:tr w14:paraId="74795C0A">
              <w:tblPrEx>
                <w:tblCellMar>
                  <w:top w:w="0" w:type="dxa"/>
                  <w:left w:w="108" w:type="dxa"/>
                  <w:bottom w:w="0" w:type="dxa"/>
                  <w:right w:w="108" w:type="dxa"/>
                </w:tblCellMar>
              </w:tblPrEx>
              <w:trPr>
                <w:trHeight w:val="636" w:hRule="atLeast"/>
                <w:jc w:val="center"/>
              </w:trPr>
              <w:tc>
                <w:tcPr>
                  <w:tcW w:w="865" w:type="dxa"/>
                  <w:tcBorders>
                    <w:top w:val="single" w:color="auto" w:sz="4" w:space="0"/>
                    <w:left w:val="single" w:color="auto" w:sz="8" w:space="0"/>
                    <w:bottom w:val="single" w:color="auto" w:sz="8" w:space="0"/>
                    <w:right w:val="single" w:color="auto" w:sz="8" w:space="0"/>
                  </w:tcBorders>
                  <w:vAlign w:val="center"/>
                </w:tcPr>
                <w:p w14:paraId="6CEA0B4B">
                  <w:pPr>
                    <w:pStyle w:val="209"/>
                    <w:rPr>
                      <w:rFonts w:ascii="仿宋" w:hAnsi="仿宋" w:eastAsia="仿宋" w:cs="仿宋"/>
                      <w:color w:val="auto"/>
                      <w:highlight w:val="none"/>
                    </w:rPr>
                  </w:pPr>
                  <w:r>
                    <w:rPr>
                      <w:rFonts w:hint="eastAsia" w:ascii="仿宋" w:hAnsi="仿宋" w:eastAsia="仿宋" w:cs="仿宋"/>
                      <w:color w:val="auto"/>
                      <w:highlight w:val="none"/>
                    </w:rPr>
                    <w:t>5</w:t>
                  </w:r>
                </w:p>
              </w:tc>
              <w:tc>
                <w:tcPr>
                  <w:tcW w:w="1247" w:type="dxa"/>
                  <w:vMerge w:val="continue"/>
                  <w:tcBorders>
                    <w:top w:val="single" w:color="auto" w:sz="4" w:space="0"/>
                    <w:left w:val="single" w:color="auto" w:sz="8" w:space="0"/>
                    <w:bottom w:val="single" w:color="000000" w:sz="8" w:space="0"/>
                    <w:right w:val="single" w:color="auto" w:sz="8" w:space="0"/>
                  </w:tcBorders>
                  <w:vAlign w:val="center"/>
                </w:tcPr>
                <w:p w14:paraId="308D64D4">
                  <w:pPr>
                    <w:rPr>
                      <w:highlight w:val="none"/>
                    </w:rPr>
                  </w:pPr>
                </w:p>
              </w:tc>
              <w:tc>
                <w:tcPr>
                  <w:tcW w:w="1264" w:type="dxa"/>
                  <w:tcBorders>
                    <w:top w:val="single" w:color="auto" w:sz="4" w:space="0"/>
                    <w:left w:val="nil"/>
                    <w:bottom w:val="single" w:color="auto" w:sz="8" w:space="0"/>
                    <w:right w:val="single" w:color="auto" w:sz="8" w:space="0"/>
                  </w:tcBorders>
                  <w:vAlign w:val="center"/>
                </w:tcPr>
                <w:p w14:paraId="04129671">
                  <w:pPr>
                    <w:pStyle w:val="209"/>
                    <w:rPr>
                      <w:rFonts w:ascii="仿宋" w:hAnsi="仿宋" w:eastAsia="仿宋" w:cs="仿宋"/>
                      <w:color w:val="auto"/>
                      <w:highlight w:val="none"/>
                    </w:rPr>
                  </w:pPr>
                  <w:r>
                    <w:rPr>
                      <w:rFonts w:hint="eastAsia" w:ascii="仿宋" w:hAnsi="仿宋" w:eastAsia="仿宋" w:cs="仿宋"/>
                      <w:color w:val="auto"/>
                      <w:highlight w:val="none"/>
                    </w:rPr>
                    <w:t>▲PCIe 插槽接口</w:t>
                  </w:r>
                </w:p>
              </w:tc>
              <w:tc>
                <w:tcPr>
                  <w:tcW w:w="4443" w:type="dxa"/>
                  <w:tcBorders>
                    <w:top w:val="single" w:color="auto" w:sz="4" w:space="0"/>
                    <w:left w:val="nil"/>
                    <w:bottom w:val="single" w:color="auto" w:sz="8" w:space="0"/>
                    <w:right w:val="single" w:color="auto" w:sz="8" w:space="0"/>
                  </w:tcBorders>
                  <w:vAlign w:val="center"/>
                </w:tcPr>
                <w:p w14:paraId="3943461F">
                  <w:pPr>
                    <w:pStyle w:val="209"/>
                    <w:rPr>
                      <w:rFonts w:ascii="仿宋" w:hAnsi="仿宋" w:eastAsia="仿宋" w:cs="仿宋"/>
                      <w:color w:val="auto"/>
                      <w:highlight w:val="none"/>
                    </w:rPr>
                  </w:pPr>
                  <w:r>
                    <w:rPr>
                      <w:rFonts w:hint="eastAsia" w:ascii="仿宋" w:hAnsi="仿宋" w:eastAsia="仿宋" w:cs="仿宋"/>
                      <w:color w:val="auto"/>
                      <w:highlight w:val="none"/>
                    </w:rPr>
                    <w:t>符合 PCIe3.0 或以上的高速串行计</w:t>
                  </w:r>
                </w:p>
                <w:p w14:paraId="313E50A8">
                  <w:pPr>
                    <w:pStyle w:val="209"/>
                    <w:rPr>
                      <w:rFonts w:ascii="仿宋" w:hAnsi="仿宋" w:eastAsia="仿宋" w:cs="仿宋"/>
                      <w:color w:val="auto"/>
                      <w:highlight w:val="none"/>
                    </w:rPr>
                  </w:pPr>
                  <w:r>
                    <w:rPr>
                      <w:rFonts w:hint="eastAsia" w:ascii="仿宋" w:hAnsi="仿宋" w:eastAsia="仿宋" w:cs="仿宋"/>
                      <w:color w:val="auto"/>
                      <w:highlight w:val="none"/>
                    </w:rPr>
                    <w:t>算机扩展总线标准，PCIe 的接口速</w:t>
                  </w:r>
                </w:p>
                <w:p w14:paraId="2EF2491F">
                  <w:pPr>
                    <w:pStyle w:val="209"/>
                    <w:rPr>
                      <w:rFonts w:ascii="仿宋" w:hAnsi="仿宋" w:eastAsia="仿宋" w:cs="仿宋"/>
                      <w:color w:val="auto"/>
                      <w:highlight w:val="none"/>
                    </w:rPr>
                  </w:pPr>
                  <w:r>
                    <w:rPr>
                      <w:rFonts w:hint="eastAsia" w:ascii="仿宋" w:hAnsi="仿宋" w:eastAsia="仿宋" w:cs="仿宋"/>
                      <w:color w:val="auto"/>
                      <w:highlight w:val="none"/>
                    </w:rPr>
                    <w:t>率与位宽需保证向下兼容</w:t>
                  </w:r>
                </w:p>
              </w:tc>
            </w:tr>
            <w:tr w14:paraId="147F40EF">
              <w:tblPrEx>
                <w:tblCellMar>
                  <w:top w:w="0" w:type="dxa"/>
                  <w:left w:w="108" w:type="dxa"/>
                  <w:bottom w:w="0" w:type="dxa"/>
                  <w:right w:w="108" w:type="dxa"/>
                </w:tblCellMar>
              </w:tblPrEx>
              <w:trPr>
                <w:trHeight w:val="948" w:hRule="atLeast"/>
                <w:jc w:val="center"/>
              </w:trPr>
              <w:tc>
                <w:tcPr>
                  <w:tcW w:w="865" w:type="dxa"/>
                  <w:tcBorders>
                    <w:top w:val="nil"/>
                    <w:left w:val="single" w:color="auto" w:sz="8" w:space="0"/>
                    <w:bottom w:val="single" w:color="auto" w:sz="8" w:space="0"/>
                    <w:right w:val="single" w:color="auto" w:sz="8" w:space="0"/>
                  </w:tcBorders>
                  <w:vAlign w:val="center"/>
                </w:tcPr>
                <w:p w14:paraId="6BB54B1E">
                  <w:pPr>
                    <w:pStyle w:val="209"/>
                    <w:rPr>
                      <w:rFonts w:ascii="仿宋" w:hAnsi="仿宋" w:eastAsia="仿宋" w:cs="仿宋"/>
                      <w:color w:val="auto"/>
                      <w:highlight w:val="none"/>
                    </w:rPr>
                  </w:pPr>
                  <w:r>
                    <w:rPr>
                      <w:rFonts w:hint="eastAsia" w:ascii="仿宋" w:hAnsi="仿宋" w:eastAsia="仿宋" w:cs="仿宋"/>
                      <w:color w:val="auto"/>
                      <w:highlight w:val="none"/>
                    </w:rPr>
                    <w:t>6</w:t>
                  </w:r>
                </w:p>
              </w:tc>
              <w:tc>
                <w:tcPr>
                  <w:tcW w:w="1247" w:type="dxa"/>
                  <w:vMerge w:val="continue"/>
                  <w:tcBorders>
                    <w:top w:val="nil"/>
                    <w:left w:val="single" w:color="auto" w:sz="8" w:space="0"/>
                    <w:bottom w:val="single" w:color="000000" w:sz="8" w:space="0"/>
                    <w:right w:val="single" w:color="auto" w:sz="8" w:space="0"/>
                  </w:tcBorders>
                  <w:vAlign w:val="center"/>
                </w:tcPr>
                <w:p w14:paraId="0C9584C8">
                  <w:pPr>
                    <w:rPr>
                      <w:highlight w:val="none"/>
                    </w:rPr>
                  </w:pPr>
                </w:p>
              </w:tc>
              <w:tc>
                <w:tcPr>
                  <w:tcW w:w="1264" w:type="dxa"/>
                  <w:tcBorders>
                    <w:top w:val="nil"/>
                    <w:left w:val="nil"/>
                    <w:bottom w:val="single" w:color="auto" w:sz="8" w:space="0"/>
                    <w:right w:val="single" w:color="auto" w:sz="8" w:space="0"/>
                  </w:tcBorders>
                  <w:vAlign w:val="center"/>
                </w:tcPr>
                <w:p w14:paraId="4E0E1DC8">
                  <w:pPr>
                    <w:pStyle w:val="209"/>
                    <w:rPr>
                      <w:rFonts w:ascii="仿宋" w:hAnsi="仿宋" w:eastAsia="仿宋" w:cs="仿宋"/>
                      <w:color w:val="auto"/>
                      <w:highlight w:val="none"/>
                    </w:rPr>
                  </w:pPr>
                  <w:r>
                    <w:rPr>
                      <w:rFonts w:hint="eastAsia" w:ascii="仿宋" w:hAnsi="仿宋" w:eastAsia="仿宋" w:cs="仿宋"/>
                      <w:color w:val="auto"/>
                      <w:highlight w:val="none"/>
                    </w:rPr>
                    <w:t>▲主板 PCIe 插槽数量及规格</w:t>
                  </w:r>
                </w:p>
              </w:tc>
              <w:tc>
                <w:tcPr>
                  <w:tcW w:w="4443" w:type="dxa"/>
                  <w:tcBorders>
                    <w:top w:val="nil"/>
                    <w:left w:val="nil"/>
                    <w:bottom w:val="single" w:color="auto" w:sz="8" w:space="0"/>
                    <w:right w:val="single" w:color="auto" w:sz="8" w:space="0"/>
                  </w:tcBorders>
                  <w:vAlign w:val="center"/>
                </w:tcPr>
                <w:p w14:paraId="75C0A18B">
                  <w:pPr>
                    <w:pStyle w:val="209"/>
                    <w:rPr>
                      <w:rFonts w:ascii="仿宋" w:hAnsi="仿宋" w:eastAsia="仿宋" w:cs="仿宋"/>
                      <w:color w:val="auto"/>
                      <w:highlight w:val="none"/>
                    </w:rPr>
                  </w:pPr>
                  <w:r>
                    <w:rPr>
                      <w:rFonts w:hint="eastAsia" w:ascii="仿宋" w:hAnsi="仿宋" w:eastAsia="仿宋" w:cs="仿宋"/>
                      <w:color w:val="auto"/>
                      <w:highlight w:val="none"/>
                    </w:rPr>
                    <w:t>PCIe插槽≥5，可通过扩展卡进行插</w:t>
                  </w:r>
                </w:p>
                <w:p w14:paraId="16AA520C">
                  <w:pPr>
                    <w:pStyle w:val="209"/>
                    <w:rPr>
                      <w:rFonts w:ascii="仿宋" w:hAnsi="仿宋" w:eastAsia="仿宋" w:cs="仿宋"/>
                      <w:color w:val="auto"/>
                      <w:highlight w:val="none"/>
                    </w:rPr>
                  </w:pPr>
                  <w:r>
                    <w:rPr>
                      <w:rFonts w:hint="eastAsia" w:ascii="仿宋" w:hAnsi="仿宋" w:eastAsia="仿宋" w:cs="仿宋"/>
                      <w:color w:val="auto"/>
                      <w:highlight w:val="none"/>
                    </w:rPr>
                    <w:t>槽扩展；</w:t>
                  </w:r>
                </w:p>
              </w:tc>
            </w:tr>
            <w:tr w14:paraId="332823DD">
              <w:tblPrEx>
                <w:tblCellMar>
                  <w:top w:w="0" w:type="dxa"/>
                  <w:left w:w="108" w:type="dxa"/>
                  <w:bottom w:w="0" w:type="dxa"/>
                  <w:right w:w="108" w:type="dxa"/>
                </w:tblCellMar>
              </w:tblPrEx>
              <w:trPr>
                <w:trHeight w:val="324" w:hRule="atLeast"/>
                <w:jc w:val="center"/>
              </w:trPr>
              <w:tc>
                <w:tcPr>
                  <w:tcW w:w="865" w:type="dxa"/>
                  <w:tcBorders>
                    <w:top w:val="nil"/>
                    <w:left w:val="single" w:color="auto" w:sz="8" w:space="0"/>
                    <w:bottom w:val="single" w:color="auto" w:sz="8" w:space="0"/>
                    <w:right w:val="single" w:color="auto" w:sz="8" w:space="0"/>
                  </w:tcBorders>
                  <w:vAlign w:val="center"/>
                </w:tcPr>
                <w:p w14:paraId="6B86695E">
                  <w:pPr>
                    <w:pStyle w:val="209"/>
                    <w:rPr>
                      <w:rFonts w:ascii="仿宋" w:hAnsi="仿宋" w:eastAsia="仿宋" w:cs="仿宋"/>
                      <w:color w:val="auto"/>
                      <w:highlight w:val="none"/>
                    </w:rPr>
                  </w:pPr>
                  <w:r>
                    <w:rPr>
                      <w:rFonts w:hint="eastAsia" w:ascii="仿宋" w:hAnsi="仿宋" w:eastAsia="仿宋" w:cs="仿宋"/>
                      <w:color w:val="auto"/>
                      <w:highlight w:val="none"/>
                    </w:rPr>
                    <w:t>7</w:t>
                  </w:r>
                </w:p>
              </w:tc>
              <w:tc>
                <w:tcPr>
                  <w:tcW w:w="1247" w:type="dxa"/>
                  <w:vMerge w:val="restart"/>
                  <w:tcBorders>
                    <w:top w:val="nil"/>
                    <w:left w:val="single" w:color="auto" w:sz="8" w:space="0"/>
                    <w:bottom w:val="single" w:color="000000" w:sz="8" w:space="0"/>
                    <w:right w:val="single" w:color="auto" w:sz="8" w:space="0"/>
                  </w:tcBorders>
                  <w:vAlign w:val="center"/>
                </w:tcPr>
                <w:p w14:paraId="554A4CB4">
                  <w:pPr>
                    <w:pStyle w:val="209"/>
                    <w:rPr>
                      <w:rFonts w:ascii="仿宋" w:hAnsi="仿宋" w:eastAsia="仿宋" w:cs="仿宋"/>
                      <w:color w:val="auto"/>
                      <w:highlight w:val="none"/>
                    </w:rPr>
                  </w:pPr>
                  <w:r>
                    <w:rPr>
                      <w:rFonts w:hint="eastAsia" w:ascii="仿宋" w:hAnsi="仿宋" w:eastAsia="仿宋" w:cs="仿宋"/>
                      <w:color w:val="auto"/>
                      <w:highlight w:val="none"/>
                    </w:rPr>
                    <w:t>▲内存规格</w:t>
                  </w:r>
                </w:p>
              </w:tc>
              <w:tc>
                <w:tcPr>
                  <w:tcW w:w="1264" w:type="dxa"/>
                  <w:tcBorders>
                    <w:top w:val="nil"/>
                    <w:left w:val="nil"/>
                    <w:bottom w:val="single" w:color="auto" w:sz="8" w:space="0"/>
                    <w:right w:val="single" w:color="auto" w:sz="8" w:space="0"/>
                  </w:tcBorders>
                  <w:vAlign w:val="center"/>
                </w:tcPr>
                <w:p w14:paraId="53BBD2BA">
                  <w:pPr>
                    <w:pStyle w:val="209"/>
                    <w:rPr>
                      <w:rFonts w:ascii="仿宋" w:hAnsi="仿宋" w:eastAsia="仿宋" w:cs="仿宋"/>
                      <w:color w:val="auto"/>
                      <w:highlight w:val="none"/>
                    </w:rPr>
                  </w:pPr>
                  <w:r>
                    <w:rPr>
                      <w:rFonts w:hint="eastAsia" w:ascii="仿宋" w:hAnsi="仿宋" w:eastAsia="仿宋" w:cs="仿宋"/>
                      <w:color w:val="auto"/>
                      <w:highlight w:val="none"/>
                    </w:rPr>
                    <w:t>▲内存数量</w:t>
                  </w:r>
                </w:p>
              </w:tc>
              <w:tc>
                <w:tcPr>
                  <w:tcW w:w="4443" w:type="dxa"/>
                  <w:tcBorders>
                    <w:top w:val="nil"/>
                    <w:left w:val="nil"/>
                    <w:bottom w:val="single" w:color="auto" w:sz="8" w:space="0"/>
                    <w:right w:val="single" w:color="auto" w:sz="8" w:space="0"/>
                  </w:tcBorders>
                  <w:vAlign w:val="center"/>
                </w:tcPr>
                <w:p w14:paraId="2A2D3BB1">
                  <w:pPr>
                    <w:pStyle w:val="209"/>
                    <w:rPr>
                      <w:rFonts w:ascii="仿宋" w:hAnsi="仿宋" w:eastAsia="仿宋" w:cs="仿宋"/>
                      <w:color w:val="auto"/>
                      <w:highlight w:val="none"/>
                    </w:rPr>
                  </w:pPr>
                  <w:r>
                    <w:rPr>
                      <w:rFonts w:hint="eastAsia" w:ascii="仿宋" w:hAnsi="仿宋" w:eastAsia="仿宋" w:cs="仿宋"/>
                      <w:color w:val="auto"/>
                      <w:highlight w:val="none"/>
                    </w:rPr>
                    <w:t>内存数量≥4</w:t>
                  </w:r>
                </w:p>
              </w:tc>
            </w:tr>
            <w:tr w14:paraId="6512F0C1">
              <w:tblPrEx>
                <w:tblCellMar>
                  <w:top w:w="0" w:type="dxa"/>
                  <w:left w:w="108" w:type="dxa"/>
                  <w:bottom w:w="0" w:type="dxa"/>
                  <w:right w:w="108" w:type="dxa"/>
                </w:tblCellMar>
              </w:tblPrEx>
              <w:trPr>
                <w:trHeight w:val="324" w:hRule="atLeast"/>
                <w:jc w:val="center"/>
              </w:trPr>
              <w:tc>
                <w:tcPr>
                  <w:tcW w:w="865" w:type="dxa"/>
                  <w:tcBorders>
                    <w:top w:val="nil"/>
                    <w:left w:val="single" w:color="auto" w:sz="8" w:space="0"/>
                    <w:bottom w:val="single" w:color="auto" w:sz="8" w:space="0"/>
                    <w:right w:val="single" w:color="auto" w:sz="8" w:space="0"/>
                  </w:tcBorders>
                  <w:vAlign w:val="center"/>
                </w:tcPr>
                <w:p w14:paraId="63D4A7AB">
                  <w:pPr>
                    <w:pStyle w:val="209"/>
                    <w:rPr>
                      <w:rFonts w:ascii="仿宋" w:hAnsi="仿宋" w:eastAsia="仿宋" w:cs="仿宋"/>
                      <w:color w:val="auto"/>
                      <w:highlight w:val="none"/>
                    </w:rPr>
                  </w:pPr>
                  <w:r>
                    <w:rPr>
                      <w:rFonts w:hint="eastAsia" w:ascii="仿宋" w:hAnsi="仿宋" w:eastAsia="仿宋" w:cs="仿宋"/>
                      <w:color w:val="auto"/>
                      <w:highlight w:val="none"/>
                    </w:rPr>
                    <w:t>8</w:t>
                  </w:r>
                </w:p>
              </w:tc>
              <w:tc>
                <w:tcPr>
                  <w:tcW w:w="1247" w:type="dxa"/>
                  <w:vMerge w:val="continue"/>
                  <w:tcBorders>
                    <w:top w:val="nil"/>
                    <w:left w:val="single" w:color="auto" w:sz="8" w:space="0"/>
                    <w:bottom w:val="single" w:color="000000" w:sz="8" w:space="0"/>
                    <w:right w:val="single" w:color="auto" w:sz="8" w:space="0"/>
                  </w:tcBorders>
                  <w:vAlign w:val="center"/>
                </w:tcPr>
                <w:p w14:paraId="0545393D">
                  <w:pPr>
                    <w:rPr>
                      <w:highlight w:val="none"/>
                    </w:rPr>
                  </w:pPr>
                </w:p>
              </w:tc>
              <w:tc>
                <w:tcPr>
                  <w:tcW w:w="1264" w:type="dxa"/>
                  <w:tcBorders>
                    <w:top w:val="nil"/>
                    <w:left w:val="nil"/>
                    <w:bottom w:val="single" w:color="auto" w:sz="8" w:space="0"/>
                    <w:right w:val="single" w:color="auto" w:sz="8" w:space="0"/>
                  </w:tcBorders>
                  <w:vAlign w:val="center"/>
                </w:tcPr>
                <w:p w14:paraId="4188BF6C">
                  <w:pPr>
                    <w:pStyle w:val="209"/>
                    <w:rPr>
                      <w:rFonts w:ascii="仿宋" w:hAnsi="仿宋" w:eastAsia="仿宋" w:cs="仿宋"/>
                      <w:color w:val="auto"/>
                      <w:highlight w:val="none"/>
                    </w:rPr>
                  </w:pPr>
                  <w:r>
                    <w:rPr>
                      <w:rFonts w:hint="eastAsia" w:ascii="仿宋" w:hAnsi="仿宋" w:eastAsia="仿宋" w:cs="仿宋"/>
                      <w:color w:val="auto"/>
                      <w:highlight w:val="none"/>
                    </w:rPr>
                    <w:t>▲内存规格</w:t>
                  </w:r>
                </w:p>
              </w:tc>
              <w:tc>
                <w:tcPr>
                  <w:tcW w:w="4443" w:type="dxa"/>
                  <w:tcBorders>
                    <w:top w:val="nil"/>
                    <w:left w:val="nil"/>
                    <w:bottom w:val="single" w:color="auto" w:sz="8" w:space="0"/>
                    <w:right w:val="single" w:color="auto" w:sz="8" w:space="0"/>
                  </w:tcBorders>
                  <w:vAlign w:val="center"/>
                </w:tcPr>
                <w:p w14:paraId="4C44FE40">
                  <w:pPr>
                    <w:pStyle w:val="209"/>
                    <w:rPr>
                      <w:rFonts w:ascii="仿宋" w:hAnsi="仿宋" w:eastAsia="仿宋" w:cs="仿宋"/>
                      <w:color w:val="auto"/>
                      <w:highlight w:val="none"/>
                    </w:rPr>
                  </w:pPr>
                  <w:r>
                    <w:rPr>
                      <w:rFonts w:hint="eastAsia" w:ascii="仿宋" w:hAnsi="仿宋" w:eastAsia="仿宋" w:cs="仿宋"/>
                      <w:color w:val="auto"/>
                      <w:highlight w:val="none"/>
                    </w:rPr>
                    <w:t>实配≥16GB DDR4*4</w:t>
                  </w:r>
                </w:p>
              </w:tc>
            </w:tr>
            <w:tr w14:paraId="0F6DFD86">
              <w:tblPrEx>
                <w:tblCellMar>
                  <w:top w:w="0" w:type="dxa"/>
                  <w:left w:w="108" w:type="dxa"/>
                  <w:bottom w:w="0" w:type="dxa"/>
                  <w:right w:w="108" w:type="dxa"/>
                </w:tblCellMar>
              </w:tblPrEx>
              <w:trPr>
                <w:trHeight w:val="324" w:hRule="atLeast"/>
                <w:jc w:val="center"/>
              </w:trPr>
              <w:tc>
                <w:tcPr>
                  <w:tcW w:w="865" w:type="dxa"/>
                  <w:tcBorders>
                    <w:top w:val="nil"/>
                    <w:left w:val="single" w:color="auto" w:sz="8" w:space="0"/>
                    <w:bottom w:val="single" w:color="auto" w:sz="8" w:space="0"/>
                    <w:right w:val="single" w:color="auto" w:sz="8" w:space="0"/>
                  </w:tcBorders>
                  <w:vAlign w:val="center"/>
                </w:tcPr>
                <w:p w14:paraId="255FFFD6">
                  <w:pPr>
                    <w:pStyle w:val="209"/>
                    <w:rPr>
                      <w:rFonts w:ascii="仿宋" w:hAnsi="仿宋" w:eastAsia="仿宋" w:cs="仿宋"/>
                      <w:color w:val="auto"/>
                      <w:highlight w:val="none"/>
                    </w:rPr>
                  </w:pPr>
                  <w:r>
                    <w:rPr>
                      <w:rFonts w:hint="eastAsia" w:ascii="仿宋" w:hAnsi="仿宋" w:eastAsia="仿宋" w:cs="仿宋"/>
                      <w:color w:val="auto"/>
                      <w:highlight w:val="none"/>
                    </w:rPr>
                    <w:t>9</w:t>
                  </w:r>
                </w:p>
              </w:tc>
              <w:tc>
                <w:tcPr>
                  <w:tcW w:w="1247" w:type="dxa"/>
                  <w:vMerge w:val="continue"/>
                  <w:tcBorders>
                    <w:top w:val="nil"/>
                    <w:left w:val="single" w:color="auto" w:sz="8" w:space="0"/>
                    <w:bottom w:val="single" w:color="000000" w:sz="8" w:space="0"/>
                    <w:right w:val="single" w:color="auto" w:sz="8" w:space="0"/>
                  </w:tcBorders>
                  <w:vAlign w:val="center"/>
                </w:tcPr>
                <w:p w14:paraId="1E102345">
                  <w:pPr>
                    <w:rPr>
                      <w:highlight w:val="none"/>
                    </w:rPr>
                  </w:pPr>
                </w:p>
              </w:tc>
              <w:tc>
                <w:tcPr>
                  <w:tcW w:w="1264" w:type="dxa"/>
                  <w:tcBorders>
                    <w:top w:val="nil"/>
                    <w:left w:val="nil"/>
                    <w:bottom w:val="single" w:color="auto" w:sz="8" w:space="0"/>
                    <w:right w:val="single" w:color="auto" w:sz="8" w:space="0"/>
                  </w:tcBorders>
                  <w:vAlign w:val="center"/>
                </w:tcPr>
                <w:p w14:paraId="1BA72340">
                  <w:pPr>
                    <w:pStyle w:val="209"/>
                    <w:rPr>
                      <w:rFonts w:ascii="仿宋" w:hAnsi="仿宋" w:eastAsia="仿宋" w:cs="仿宋"/>
                      <w:color w:val="auto"/>
                      <w:highlight w:val="none"/>
                    </w:rPr>
                  </w:pPr>
                  <w:r>
                    <w:rPr>
                      <w:rFonts w:hint="eastAsia" w:ascii="仿宋" w:hAnsi="仿宋" w:eastAsia="仿宋" w:cs="仿宋"/>
                      <w:color w:val="auto"/>
                      <w:highlight w:val="none"/>
                    </w:rPr>
                    <w:t>▲内存通道</w:t>
                  </w:r>
                </w:p>
              </w:tc>
              <w:tc>
                <w:tcPr>
                  <w:tcW w:w="4443" w:type="dxa"/>
                  <w:tcBorders>
                    <w:top w:val="nil"/>
                    <w:left w:val="nil"/>
                    <w:bottom w:val="single" w:color="auto" w:sz="8" w:space="0"/>
                    <w:right w:val="single" w:color="auto" w:sz="8" w:space="0"/>
                  </w:tcBorders>
                  <w:vAlign w:val="center"/>
                </w:tcPr>
                <w:p w14:paraId="363C3CF4">
                  <w:pPr>
                    <w:pStyle w:val="209"/>
                    <w:rPr>
                      <w:rFonts w:ascii="仿宋" w:hAnsi="仿宋" w:eastAsia="仿宋" w:cs="仿宋"/>
                      <w:color w:val="auto"/>
                      <w:highlight w:val="none"/>
                    </w:rPr>
                  </w:pPr>
                  <w:r>
                    <w:rPr>
                      <w:rFonts w:hint="eastAsia" w:ascii="仿宋" w:hAnsi="仿宋" w:eastAsia="仿宋" w:cs="仿宋"/>
                      <w:color w:val="auto"/>
                      <w:highlight w:val="none"/>
                    </w:rPr>
                    <w:t>支持≥4个内存接口通道</w:t>
                  </w:r>
                </w:p>
              </w:tc>
            </w:tr>
            <w:tr w14:paraId="0219FC4A">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4D851F6D">
                  <w:pPr>
                    <w:pStyle w:val="209"/>
                    <w:rPr>
                      <w:rFonts w:ascii="仿宋" w:hAnsi="仿宋" w:eastAsia="仿宋" w:cs="仿宋"/>
                      <w:color w:val="auto"/>
                      <w:highlight w:val="none"/>
                    </w:rPr>
                  </w:pPr>
                  <w:r>
                    <w:rPr>
                      <w:rFonts w:hint="eastAsia" w:ascii="仿宋" w:hAnsi="仿宋" w:eastAsia="仿宋" w:cs="仿宋"/>
                      <w:color w:val="auto"/>
                      <w:highlight w:val="none"/>
                    </w:rPr>
                    <w:t>10</w:t>
                  </w:r>
                </w:p>
              </w:tc>
              <w:tc>
                <w:tcPr>
                  <w:tcW w:w="1247" w:type="dxa"/>
                  <w:vMerge w:val="restart"/>
                  <w:tcBorders>
                    <w:top w:val="nil"/>
                    <w:left w:val="single" w:color="auto" w:sz="8" w:space="0"/>
                    <w:bottom w:val="nil"/>
                    <w:right w:val="single" w:color="auto" w:sz="8" w:space="0"/>
                  </w:tcBorders>
                  <w:vAlign w:val="center"/>
                </w:tcPr>
                <w:p w14:paraId="27B00309">
                  <w:pPr>
                    <w:pStyle w:val="209"/>
                    <w:rPr>
                      <w:rFonts w:ascii="仿宋" w:hAnsi="仿宋" w:eastAsia="仿宋" w:cs="仿宋"/>
                      <w:color w:val="auto"/>
                      <w:highlight w:val="none"/>
                    </w:rPr>
                  </w:pPr>
                  <w:r>
                    <w:rPr>
                      <w:rFonts w:hint="eastAsia" w:ascii="仿宋" w:hAnsi="仿宋" w:eastAsia="仿宋" w:cs="仿宋"/>
                      <w:color w:val="auto"/>
                      <w:highlight w:val="none"/>
                    </w:rPr>
                    <w:t>▲存储规格</w:t>
                  </w:r>
                </w:p>
              </w:tc>
              <w:tc>
                <w:tcPr>
                  <w:tcW w:w="1264" w:type="dxa"/>
                  <w:tcBorders>
                    <w:top w:val="nil"/>
                    <w:left w:val="nil"/>
                    <w:bottom w:val="single" w:color="auto" w:sz="8" w:space="0"/>
                    <w:right w:val="single" w:color="auto" w:sz="8" w:space="0"/>
                  </w:tcBorders>
                  <w:vAlign w:val="center"/>
                </w:tcPr>
                <w:p w14:paraId="489853DE">
                  <w:pPr>
                    <w:pStyle w:val="209"/>
                    <w:rPr>
                      <w:rFonts w:ascii="仿宋" w:hAnsi="仿宋" w:eastAsia="仿宋" w:cs="仿宋"/>
                      <w:color w:val="auto"/>
                      <w:highlight w:val="none"/>
                    </w:rPr>
                  </w:pPr>
                  <w:r>
                    <w:rPr>
                      <w:rFonts w:hint="eastAsia" w:ascii="仿宋" w:hAnsi="仿宋" w:eastAsia="仿宋" w:cs="仿宋"/>
                      <w:color w:val="auto"/>
                      <w:highlight w:val="none"/>
                    </w:rPr>
                    <w:t>▲硬磁盘实配容量</w:t>
                  </w:r>
                </w:p>
              </w:tc>
              <w:tc>
                <w:tcPr>
                  <w:tcW w:w="4443" w:type="dxa"/>
                  <w:tcBorders>
                    <w:top w:val="nil"/>
                    <w:left w:val="nil"/>
                    <w:bottom w:val="single" w:color="auto" w:sz="8" w:space="0"/>
                    <w:right w:val="single" w:color="auto" w:sz="8" w:space="0"/>
                  </w:tcBorders>
                  <w:vAlign w:val="center"/>
                </w:tcPr>
                <w:p w14:paraId="5EFF07E2">
                  <w:pPr>
                    <w:pStyle w:val="209"/>
                    <w:rPr>
                      <w:rFonts w:ascii="仿宋" w:hAnsi="仿宋" w:eastAsia="仿宋" w:cs="仿宋"/>
                      <w:color w:val="auto"/>
                      <w:highlight w:val="none"/>
                    </w:rPr>
                  </w:pPr>
                  <w:r>
                    <w:rPr>
                      <w:rFonts w:hint="eastAsia" w:ascii="仿宋" w:hAnsi="仿宋" w:eastAsia="仿宋" w:cs="仿宋"/>
                      <w:color w:val="auto"/>
                      <w:highlight w:val="none"/>
                    </w:rPr>
                    <w:t>实配≥4T</w:t>
                  </w:r>
                </w:p>
              </w:tc>
            </w:tr>
            <w:tr w14:paraId="6EFAB343">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6558CC6F">
                  <w:pPr>
                    <w:pStyle w:val="209"/>
                    <w:rPr>
                      <w:rFonts w:ascii="仿宋" w:hAnsi="仿宋" w:eastAsia="仿宋" w:cs="仿宋"/>
                      <w:color w:val="auto"/>
                      <w:highlight w:val="none"/>
                    </w:rPr>
                  </w:pPr>
                  <w:r>
                    <w:rPr>
                      <w:rFonts w:hint="eastAsia" w:ascii="仿宋" w:hAnsi="仿宋" w:eastAsia="仿宋" w:cs="仿宋"/>
                      <w:color w:val="auto"/>
                      <w:highlight w:val="none"/>
                    </w:rPr>
                    <w:t>11</w:t>
                  </w:r>
                </w:p>
              </w:tc>
              <w:tc>
                <w:tcPr>
                  <w:tcW w:w="1247" w:type="dxa"/>
                  <w:vMerge w:val="continue"/>
                  <w:tcBorders>
                    <w:top w:val="nil"/>
                    <w:left w:val="single" w:color="auto" w:sz="8" w:space="0"/>
                    <w:bottom w:val="single" w:color="auto" w:sz="8" w:space="0"/>
                    <w:right w:val="single" w:color="auto" w:sz="8" w:space="0"/>
                  </w:tcBorders>
                  <w:vAlign w:val="center"/>
                </w:tcPr>
                <w:p w14:paraId="0EF75F96">
                  <w:pPr>
                    <w:rPr>
                      <w:highlight w:val="none"/>
                    </w:rPr>
                  </w:pPr>
                </w:p>
              </w:tc>
              <w:tc>
                <w:tcPr>
                  <w:tcW w:w="1264" w:type="dxa"/>
                  <w:tcBorders>
                    <w:top w:val="nil"/>
                    <w:left w:val="nil"/>
                    <w:bottom w:val="single" w:color="auto" w:sz="8" w:space="0"/>
                    <w:right w:val="single" w:color="auto" w:sz="8" w:space="0"/>
                  </w:tcBorders>
                  <w:vAlign w:val="center"/>
                </w:tcPr>
                <w:p w14:paraId="2052ED3A">
                  <w:pPr>
                    <w:pStyle w:val="209"/>
                    <w:rPr>
                      <w:rFonts w:ascii="仿宋" w:hAnsi="仿宋" w:eastAsia="仿宋" w:cs="仿宋"/>
                      <w:color w:val="auto"/>
                      <w:highlight w:val="none"/>
                    </w:rPr>
                  </w:pPr>
                  <w:r>
                    <w:rPr>
                      <w:rFonts w:hint="eastAsia" w:ascii="仿宋" w:hAnsi="仿宋" w:eastAsia="仿宋" w:cs="仿宋"/>
                      <w:color w:val="auto"/>
                      <w:highlight w:val="none"/>
                    </w:rPr>
                    <w:t>▲硬盘实配数量</w:t>
                  </w:r>
                </w:p>
              </w:tc>
              <w:tc>
                <w:tcPr>
                  <w:tcW w:w="4443" w:type="dxa"/>
                  <w:tcBorders>
                    <w:top w:val="nil"/>
                    <w:left w:val="nil"/>
                    <w:bottom w:val="single" w:color="auto" w:sz="8" w:space="0"/>
                    <w:right w:val="single" w:color="auto" w:sz="8" w:space="0"/>
                  </w:tcBorders>
                  <w:vAlign w:val="center"/>
                </w:tcPr>
                <w:p w14:paraId="6FB256AA">
                  <w:pPr>
                    <w:pStyle w:val="209"/>
                    <w:rPr>
                      <w:rFonts w:ascii="仿宋" w:hAnsi="仿宋" w:eastAsia="仿宋" w:cs="仿宋"/>
                      <w:color w:val="auto"/>
                      <w:highlight w:val="none"/>
                    </w:rPr>
                  </w:pPr>
                  <w:r>
                    <w:rPr>
                      <w:rFonts w:hint="eastAsia" w:ascii="仿宋" w:hAnsi="仿宋" w:eastAsia="仿宋" w:cs="仿宋"/>
                      <w:color w:val="auto"/>
                      <w:highlight w:val="none"/>
                    </w:rPr>
                    <w:t>实配≥2块；</w:t>
                  </w:r>
                </w:p>
              </w:tc>
            </w:tr>
            <w:tr w14:paraId="793DAE80">
              <w:tblPrEx>
                <w:tblCellMar>
                  <w:top w:w="0" w:type="dxa"/>
                  <w:left w:w="108" w:type="dxa"/>
                  <w:bottom w:w="0" w:type="dxa"/>
                  <w:right w:w="108" w:type="dxa"/>
                </w:tblCellMar>
              </w:tblPrEx>
              <w:trPr>
                <w:trHeight w:val="624" w:hRule="atLeast"/>
                <w:jc w:val="center"/>
              </w:trPr>
              <w:tc>
                <w:tcPr>
                  <w:tcW w:w="865" w:type="dxa"/>
                  <w:tcBorders>
                    <w:top w:val="single" w:color="auto" w:sz="8" w:space="0"/>
                    <w:left w:val="single" w:color="auto" w:sz="8" w:space="0"/>
                    <w:bottom w:val="single" w:color="auto" w:sz="8" w:space="0"/>
                    <w:right w:val="single" w:color="auto" w:sz="8" w:space="0"/>
                  </w:tcBorders>
                  <w:vAlign w:val="center"/>
                </w:tcPr>
                <w:p w14:paraId="78C7AC98">
                  <w:pPr>
                    <w:pStyle w:val="209"/>
                    <w:rPr>
                      <w:rFonts w:ascii="仿宋" w:hAnsi="仿宋" w:eastAsia="仿宋" w:cs="仿宋"/>
                      <w:color w:val="auto"/>
                      <w:highlight w:val="none"/>
                    </w:rPr>
                  </w:pPr>
                  <w:r>
                    <w:rPr>
                      <w:rFonts w:hint="eastAsia" w:ascii="仿宋" w:hAnsi="仿宋" w:eastAsia="仿宋" w:cs="仿宋"/>
                      <w:color w:val="auto"/>
                      <w:highlight w:val="none"/>
                    </w:rPr>
                    <w:t>12</w:t>
                  </w:r>
                </w:p>
              </w:tc>
              <w:tc>
                <w:tcPr>
                  <w:tcW w:w="1247" w:type="dxa"/>
                  <w:vMerge w:val="continue"/>
                  <w:tcBorders>
                    <w:top w:val="single" w:color="auto" w:sz="8" w:space="0"/>
                    <w:left w:val="single" w:color="auto" w:sz="8" w:space="0"/>
                    <w:bottom w:val="single" w:color="auto" w:sz="8" w:space="0"/>
                    <w:right w:val="single" w:color="auto" w:sz="8" w:space="0"/>
                  </w:tcBorders>
                  <w:vAlign w:val="center"/>
                </w:tcPr>
                <w:p w14:paraId="49199954">
                  <w:pPr>
                    <w:rPr>
                      <w:highlight w:val="none"/>
                    </w:rPr>
                  </w:pPr>
                </w:p>
              </w:tc>
              <w:tc>
                <w:tcPr>
                  <w:tcW w:w="1264" w:type="dxa"/>
                  <w:tcBorders>
                    <w:top w:val="single" w:color="auto" w:sz="8" w:space="0"/>
                    <w:left w:val="single" w:color="auto" w:sz="8" w:space="0"/>
                    <w:bottom w:val="single" w:color="auto" w:sz="8" w:space="0"/>
                    <w:right w:val="single" w:color="auto" w:sz="8" w:space="0"/>
                  </w:tcBorders>
                  <w:vAlign w:val="center"/>
                </w:tcPr>
                <w:p w14:paraId="71E48425">
                  <w:pPr>
                    <w:pStyle w:val="209"/>
                    <w:rPr>
                      <w:rFonts w:ascii="仿宋" w:hAnsi="仿宋" w:eastAsia="仿宋" w:cs="仿宋"/>
                      <w:color w:val="auto"/>
                      <w:highlight w:val="none"/>
                    </w:rPr>
                  </w:pPr>
                  <w:r>
                    <w:rPr>
                      <w:rFonts w:hint="eastAsia" w:ascii="仿宋" w:hAnsi="仿宋" w:eastAsia="仿宋" w:cs="仿宋"/>
                      <w:color w:val="auto"/>
                      <w:highlight w:val="none"/>
                    </w:rPr>
                    <w:t>▲硬盘插槽数量及规格</w:t>
                  </w:r>
                </w:p>
              </w:tc>
              <w:tc>
                <w:tcPr>
                  <w:tcW w:w="4443" w:type="dxa"/>
                  <w:tcBorders>
                    <w:top w:val="single" w:color="auto" w:sz="8" w:space="0"/>
                    <w:left w:val="single" w:color="auto" w:sz="8" w:space="0"/>
                    <w:bottom w:val="single" w:color="auto" w:sz="8" w:space="0"/>
                    <w:right w:val="single" w:color="auto" w:sz="8" w:space="0"/>
                  </w:tcBorders>
                  <w:vAlign w:val="center"/>
                </w:tcPr>
                <w:p w14:paraId="695005BD">
                  <w:pPr>
                    <w:pStyle w:val="209"/>
                    <w:rPr>
                      <w:rFonts w:ascii="仿宋" w:hAnsi="仿宋" w:eastAsia="仿宋" w:cs="仿宋"/>
                      <w:color w:val="auto"/>
                      <w:highlight w:val="none"/>
                    </w:rPr>
                  </w:pPr>
                  <w:r>
                    <w:rPr>
                      <w:rFonts w:hint="eastAsia" w:ascii="仿宋" w:hAnsi="仿宋" w:eastAsia="仿宋" w:cs="仿宋"/>
                      <w:color w:val="auto"/>
                      <w:highlight w:val="none"/>
                    </w:rPr>
                    <w:t>支持≥4个热插拔3.5硬盘或2.5硬盘</w:t>
                  </w:r>
                </w:p>
              </w:tc>
            </w:tr>
            <w:tr w14:paraId="260EC45F">
              <w:tblPrEx>
                <w:tblCellMar>
                  <w:top w:w="0" w:type="dxa"/>
                  <w:left w:w="108" w:type="dxa"/>
                  <w:bottom w:w="0" w:type="dxa"/>
                  <w:right w:w="108" w:type="dxa"/>
                </w:tblCellMar>
              </w:tblPrEx>
              <w:trPr>
                <w:trHeight w:val="636" w:hRule="atLeast"/>
                <w:jc w:val="center"/>
              </w:trPr>
              <w:tc>
                <w:tcPr>
                  <w:tcW w:w="865" w:type="dxa"/>
                  <w:tcBorders>
                    <w:top w:val="single" w:color="auto" w:sz="8" w:space="0"/>
                    <w:left w:val="single" w:color="auto" w:sz="8" w:space="0"/>
                    <w:bottom w:val="single" w:color="auto" w:sz="8" w:space="0"/>
                    <w:right w:val="single" w:color="auto" w:sz="8" w:space="0"/>
                  </w:tcBorders>
                  <w:vAlign w:val="center"/>
                </w:tcPr>
                <w:p w14:paraId="762C7693">
                  <w:pPr>
                    <w:pStyle w:val="209"/>
                    <w:rPr>
                      <w:rFonts w:ascii="仿宋" w:hAnsi="仿宋" w:eastAsia="仿宋" w:cs="仿宋"/>
                      <w:color w:val="auto"/>
                      <w:highlight w:val="none"/>
                    </w:rPr>
                  </w:pPr>
                  <w:r>
                    <w:rPr>
                      <w:rFonts w:hint="eastAsia" w:ascii="仿宋" w:hAnsi="仿宋" w:eastAsia="仿宋" w:cs="仿宋"/>
                      <w:color w:val="auto"/>
                      <w:highlight w:val="none"/>
                    </w:rPr>
                    <w:t>13</w:t>
                  </w:r>
                </w:p>
              </w:tc>
              <w:tc>
                <w:tcPr>
                  <w:tcW w:w="1247" w:type="dxa"/>
                  <w:tcBorders>
                    <w:top w:val="single" w:color="auto" w:sz="8" w:space="0"/>
                    <w:left w:val="single" w:color="auto" w:sz="8" w:space="0"/>
                    <w:bottom w:val="single" w:color="auto" w:sz="8" w:space="0"/>
                    <w:right w:val="single" w:color="auto" w:sz="8" w:space="0"/>
                  </w:tcBorders>
                  <w:vAlign w:val="center"/>
                </w:tcPr>
                <w:p w14:paraId="7D9FDC84">
                  <w:pPr>
                    <w:pStyle w:val="209"/>
                    <w:rPr>
                      <w:rFonts w:ascii="仿宋" w:hAnsi="仿宋" w:eastAsia="仿宋" w:cs="仿宋"/>
                      <w:color w:val="auto"/>
                      <w:highlight w:val="none"/>
                    </w:rPr>
                  </w:pPr>
                  <w:r>
                    <w:rPr>
                      <w:rFonts w:hint="eastAsia" w:ascii="仿宋" w:hAnsi="仿宋" w:eastAsia="仿宋" w:cs="仿宋"/>
                      <w:color w:val="auto"/>
                      <w:highlight w:val="none"/>
                    </w:rPr>
                    <w:t>▲网络规格</w:t>
                  </w:r>
                </w:p>
              </w:tc>
              <w:tc>
                <w:tcPr>
                  <w:tcW w:w="1264" w:type="dxa"/>
                  <w:tcBorders>
                    <w:top w:val="single" w:color="auto" w:sz="8" w:space="0"/>
                    <w:left w:val="single" w:color="auto" w:sz="8" w:space="0"/>
                    <w:bottom w:val="single" w:color="auto" w:sz="8" w:space="0"/>
                    <w:right w:val="single" w:color="auto" w:sz="8" w:space="0"/>
                  </w:tcBorders>
                  <w:vAlign w:val="center"/>
                </w:tcPr>
                <w:p w14:paraId="51286663">
                  <w:pPr>
                    <w:pStyle w:val="209"/>
                    <w:rPr>
                      <w:rFonts w:ascii="仿宋" w:hAnsi="仿宋" w:eastAsia="仿宋" w:cs="仿宋"/>
                      <w:color w:val="auto"/>
                      <w:highlight w:val="none"/>
                    </w:rPr>
                  </w:pPr>
                  <w:r>
                    <w:rPr>
                      <w:rFonts w:hint="eastAsia" w:ascii="仿宋" w:hAnsi="仿宋" w:eastAsia="仿宋" w:cs="仿宋"/>
                      <w:color w:val="auto"/>
                      <w:highlight w:val="none"/>
                    </w:rPr>
                    <w:t>▲网口速率和数量</w:t>
                  </w:r>
                </w:p>
              </w:tc>
              <w:tc>
                <w:tcPr>
                  <w:tcW w:w="4443" w:type="dxa"/>
                  <w:tcBorders>
                    <w:top w:val="single" w:color="auto" w:sz="8" w:space="0"/>
                    <w:left w:val="single" w:color="auto" w:sz="8" w:space="0"/>
                    <w:bottom w:val="single" w:color="auto" w:sz="8" w:space="0"/>
                    <w:right w:val="single" w:color="auto" w:sz="8" w:space="0"/>
                  </w:tcBorders>
                  <w:vAlign w:val="center"/>
                </w:tcPr>
                <w:p w14:paraId="789D96A3">
                  <w:pPr>
                    <w:pStyle w:val="209"/>
                    <w:rPr>
                      <w:rFonts w:ascii="仿宋" w:hAnsi="仿宋" w:eastAsia="仿宋" w:cs="仿宋"/>
                      <w:color w:val="auto"/>
                      <w:highlight w:val="none"/>
                    </w:rPr>
                  </w:pPr>
                  <w:r>
                    <w:rPr>
                      <w:rFonts w:hint="eastAsia" w:ascii="仿宋" w:hAnsi="仿宋" w:eastAsia="仿宋" w:cs="仿宋"/>
                      <w:color w:val="auto"/>
                      <w:highlight w:val="none"/>
                    </w:rPr>
                    <w:t>≥8个千兆网口</w:t>
                  </w:r>
                </w:p>
              </w:tc>
            </w:tr>
            <w:tr w14:paraId="75CF9834">
              <w:tblPrEx>
                <w:tblCellMar>
                  <w:top w:w="0" w:type="dxa"/>
                  <w:left w:w="108" w:type="dxa"/>
                  <w:bottom w:w="0" w:type="dxa"/>
                  <w:right w:w="108" w:type="dxa"/>
                </w:tblCellMar>
              </w:tblPrEx>
              <w:trPr>
                <w:trHeight w:val="324" w:hRule="atLeast"/>
                <w:jc w:val="center"/>
              </w:trPr>
              <w:tc>
                <w:tcPr>
                  <w:tcW w:w="865" w:type="dxa"/>
                  <w:tcBorders>
                    <w:top w:val="single" w:color="auto" w:sz="8" w:space="0"/>
                    <w:left w:val="single" w:color="auto" w:sz="8" w:space="0"/>
                    <w:bottom w:val="single" w:color="auto" w:sz="8" w:space="0"/>
                    <w:right w:val="single" w:color="auto" w:sz="8" w:space="0"/>
                  </w:tcBorders>
                  <w:vAlign w:val="center"/>
                </w:tcPr>
                <w:p w14:paraId="590E7DA0">
                  <w:pPr>
                    <w:pStyle w:val="209"/>
                    <w:rPr>
                      <w:rFonts w:ascii="仿宋" w:hAnsi="仿宋" w:eastAsia="仿宋" w:cs="仿宋"/>
                      <w:color w:val="auto"/>
                      <w:highlight w:val="none"/>
                    </w:rPr>
                  </w:pPr>
                  <w:r>
                    <w:rPr>
                      <w:rFonts w:hint="eastAsia" w:ascii="仿宋" w:hAnsi="仿宋" w:eastAsia="仿宋" w:cs="仿宋"/>
                      <w:color w:val="auto"/>
                      <w:highlight w:val="none"/>
                    </w:rPr>
                    <w:t>14</w:t>
                  </w:r>
                </w:p>
              </w:tc>
              <w:tc>
                <w:tcPr>
                  <w:tcW w:w="1247" w:type="dxa"/>
                  <w:vMerge w:val="restart"/>
                  <w:tcBorders>
                    <w:top w:val="single" w:color="auto" w:sz="8" w:space="0"/>
                    <w:left w:val="single" w:color="auto" w:sz="8" w:space="0"/>
                    <w:bottom w:val="single" w:color="000000" w:sz="8" w:space="0"/>
                    <w:right w:val="single" w:color="auto" w:sz="8" w:space="0"/>
                  </w:tcBorders>
                  <w:vAlign w:val="center"/>
                </w:tcPr>
                <w:p w14:paraId="52C2B421">
                  <w:pPr>
                    <w:pStyle w:val="209"/>
                    <w:rPr>
                      <w:rFonts w:ascii="仿宋" w:hAnsi="仿宋" w:eastAsia="仿宋" w:cs="仿宋"/>
                      <w:color w:val="auto"/>
                      <w:highlight w:val="none"/>
                    </w:rPr>
                  </w:pPr>
                  <w:r>
                    <w:rPr>
                      <w:rFonts w:hint="eastAsia" w:ascii="仿宋" w:hAnsi="仿宋" w:eastAsia="仿宋" w:cs="仿宋"/>
                      <w:color w:val="auto"/>
                      <w:highlight w:val="none"/>
                    </w:rPr>
                    <w:t>▲外部接口规格</w:t>
                  </w:r>
                </w:p>
              </w:tc>
              <w:tc>
                <w:tcPr>
                  <w:tcW w:w="1264" w:type="dxa"/>
                  <w:tcBorders>
                    <w:top w:val="single" w:color="auto" w:sz="8" w:space="0"/>
                    <w:left w:val="nil"/>
                    <w:bottom w:val="single" w:color="auto" w:sz="8" w:space="0"/>
                    <w:right w:val="single" w:color="auto" w:sz="8" w:space="0"/>
                  </w:tcBorders>
                  <w:vAlign w:val="center"/>
                </w:tcPr>
                <w:p w14:paraId="14B09FCB">
                  <w:pPr>
                    <w:pStyle w:val="209"/>
                    <w:rPr>
                      <w:rFonts w:ascii="仿宋" w:hAnsi="仿宋" w:eastAsia="仿宋" w:cs="仿宋"/>
                      <w:color w:val="auto"/>
                      <w:highlight w:val="none"/>
                    </w:rPr>
                  </w:pPr>
                  <w:r>
                    <w:rPr>
                      <w:rFonts w:hint="eastAsia" w:ascii="仿宋" w:hAnsi="仿宋" w:eastAsia="仿宋" w:cs="仿宋"/>
                      <w:color w:val="auto"/>
                      <w:highlight w:val="none"/>
                    </w:rPr>
                    <w:t>▲显示接口</w:t>
                  </w:r>
                </w:p>
              </w:tc>
              <w:tc>
                <w:tcPr>
                  <w:tcW w:w="4443" w:type="dxa"/>
                  <w:tcBorders>
                    <w:top w:val="single" w:color="auto" w:sz="8" w:space="0"/>
                    <w:left w:val="nil"/>
                    <w:bottom w:val="single" w:color="auto" w:sz="8" w:space="0"/>
                    <w:right w:val="single" w:color="auto" w:sz="8" w:space="0"/>
                  </w:tcBorders>
                  <w:vAlign w:val="center"/>
                </w:tcPr>
                <w:p w14:paraId="75A79603">
                  <w:pPr>
                    <w:pStyle w:val="209"/>
                    <w:rPr>
                      <w:rFonts w:ascii="仿宋" w:hAnsi="仿宋" w:eastAsia="仿宋" w:cs="仿宋"/>
                      <w:color w:val="auto"/>
                      <w:highlight w:val="none"/>
                    </w:rPr>
                  </w:pPr>
                  <w:r>
                    <w:rPr>
                      <w:rFonts w:hint="eastAsia" w:ascii="仿宋" w:hAnsi="仿宋" w:eastAsia="仿宋" w:cs="仿宋"/>
                      <w:color w:val="auto"/>
                      <w:highlight w:val="none"/>
                    </w:rPr>
                    <w:t>配置≥1个DB15 VGA端口</w:t>
                  </w:r>
                </w:p>
              </w:tc>
            </w:tr>
            <w:tr w14:paraId="5B8EC02D">
              <w:tblPrEx>
                <w:tblCellMar>
                  <w:top w:w="0" w:type="dxa"/>
                  <w:left w:w="108" w:type="dxa"/>
                  <w:bottom w:w="0" w:type="dxa"/>
                  <w:right w:w="108" w:type="dxa"/>
                </w:tblCellMar>
              </w:tblPrEx>
              <w:trPr>
                <w:trHeight w:val="324" w:hRule="atLeast"/>
                <w:jc w:val="center"/>
              </w:trPr>
              <w:tc>
                <w:tcPr>
                  <w:tcW w:w="865" w:type="dxa"/>
                  <w:tcBorders>
                    <w:top w:val="nil"/>
                    <w:left w:val="single" w:color="auto" w:sz="8" w:space="0"/>
                    <w:bottom w:val="single" w:color="auto" w:sz="8" w:space="0"/>
                    <w:right w:val="single" w:color="auto" w:sz="8" w:space="0"/>
                  </w:tcBorders>
                  <w:vAlign w:val="center"/>
                </w:tcPr>
                <w:p w14:paraId="2BC05D45">
                  <w:pPr>
                    <w:pStyle w:val="209"/>
                    <w:rPr>
                      <w:rFonts w:ascii="仿宋" w:hAnsi="仿宋" w:eastAsia="仿宋" w:cs="仿宋"/>
                      <w:color w:val="auto"/>
                      <w:highlight w:val="none"/>
                    </w:rPr>
                  </w:pPr>
                  <w:r>
                    <w:rPr>
                      <w:rFonts w:hint="eastAsia" w:ascii="仿宋" w:hAnsi="仿宋" w:eastAsia="仿宋" w:cs="仿宋"/>
                      <w:color w:val="auto"/>
                      <w:highlight w:val="none"/>
                    </w:rPr>
                    <w:t>15</w:t>
                  </w:r>
                </w:p>
              </w:tc>
              <w:tc>
                <w:tcPr>
                  <w:tcW w:w="1247" w:type="dxa"/>
                  <w:vMerge w:val="continue"/>
                  <w:tcBorders>
                    <w:top w:val="nil"/>
                    <w:left w:val="single" w:color="auto" w:sz="8" w:space="0"/>
                    <w:bottom w:val="single" w:color="000000" w:sz="8" w:space="0"/>
                    <w:right w:val="single" w:color="auto" w:sz="8" w:space="0"/>
                  </w:tcBorders>
                  <w:vAlign w:val="center"/>
                </w:tcPr>
                <w:p w14:paraId="134C38A3">
                  <w:pPr>
                    <w:rPr>
                      <w:highlight w:val="none"/>
                    </w:rPr>
                  </w:pPr>
                </w:p>
              </w:tc>
              <w:tc>
                <w:tcPr>
                  <w:tcW w:w="1264" w:type="dxa"/>
                  <w:tcBorders>
                    <w:top w:val="nil"/>
                    <w:left w:val="nil"/>
                    <w:bottom w:val="single" w:color="auto" w:sz="8" w:space="0"/>
                    <w:right w:val="single" w:color="auto" w:sz="8" w:space="0"/>
                  </w:tcBorders>
                  <w:vAlign w:val="center"/>
                </w:tcPr>
                <w:p w14:paraId="2E3271C4">
                  <w:pPr>
                    <w:pStyle w:val="209"/>
                    <w:rPr>
                      <w:rFonts w:ascii="仿宋" w:hAnsi="仿宋" w:eastAsia="仿宋" w:cs="仿宋"/>
                      <w:color w:val="auto"/>
                      <w:highlight w:val="none"/>
                    </w:rPr>
                  </w:pPr>
                  <w:r>
                    <w:rPr>
                      <w:rFonts w:hint="eastAsia" w:ascii="仿宋" w:hAnsi="仿宋" w:eastAsia="仿宋" w:cs="仿宋"/>
                      <w:color w:val="auto"/>
                      <w:highlight w:val="none"/>
                    </w:rPr>
                    <w:t>▲USB 接口</w:t>
                  </w:r>
                </w:p>
              </w:tc>
              <w:tc>
                <w:tcPr>
                  <w:tcW w:w="4443" w:type="dxa"/>
                  <w:tcBorders>
                    <w:top w:val="nil"/>
                    <w:left w:val="nil"/>
                    <w:bottom w:val="single" w:color="auto" w:sz="8" w:space="0"/>
                    <w:right w:val="single" w:color="auto" w:sz="8" w:space="0"/>
                  </w:tcBorders>
                  <w:vAlign w:val="center"/>
                </w:tcPr>
                <w:p w14:paraId="5D90BC41">
                  <w:pPr>
                    <w:pStyle w:val="209"/>
                    <w:rPr>
                      <w:rFonts w:ascii="仿宋" w:hAnsi="仿宋" w:eastAsia="仿宋" w:cs="仿宋"/>
                      <w:color w:val="auto"/>
                      <w:highlight w:val="none"/>
                    </w:rPr>
                  </w:pPr>
                  <w:r>
                    <w:rPr>
                      <w:rFonts w:hint="eastAsia" w:ascii="仿宋" w:hAnsi="仿宋" w:eastAsia="仿宋" w:cs="仿宋"/>
                      <w:color w:val="auto"/>
                      <w:highlight w:val="none"/>
                    </w:rPr>
                    <w:t>配置≥2个USB3.0接口</w:t>
                  </w:r>
                </w:p>
              </w:tc>
            </w:tr>
            <w:tr w14:paraId="167FAAB7">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2F113EBC">
                  <w:pPr>
                    <w:pStyle w:val="209"/>
                    <w:rPr>
                      <w:rFonts w:ascii="仿宋" w:hAnsi="仿宋" w:eastAsia="仿宋" w:cs="仿宋"/>
                      <w:color w:val="auto"/>
                      <w:highlight w:val="none"/>
                    </w:rPr>
                  </w:pPr>
                  <w:r>
                    <w:rPr>
                      <w:rFonts w:hint="eastAsia" w:ascii="仿宋" w:hAnsi="仿宋" w:eastAsia="仿宋" w:cs="仿宋"/>
                      <w:color w:val="auto"/>
                      <w:highlight w:val="none"/>
                    </w:rPr>
                    <w:t>16</w:t>
                  </w:r>
                </w:p>
              </w:tc>
              <w:tc>
                <w:tcPr>
                  <w:tcW w:w="1247" w:type="dxa"/>
                  <w:vMerge w:val="restart"/>
                  <w:tcBorders>
                    <w:top w:val="nil"/>
                    <w:left w:val="single" w:color="auto" w:sz="8" w:space="0"/>
                    <w:bottom w:val="single" w:color="000000" w:sz="8" w:space="0"/>
                    <w:right w:val="single" w:color="auto" w:sz="8" w:space="0"/>
                  </w:tcBorders>
                  <w:vAlign w:val="center"/>
                </w:tcPr>
                <w:p w14:paraId="181E8361">
                  <w:pPr>
                    <w:pStyle w:val="209"/>
                    <w:rPr>
                      <w:rFonts w:ascii="仿宋" w:hAnsi="仿宋" w:eastAsia="仿宋" w:cs="仿宋"/>
                      <w:color w:val="auto"/>
                      <w:highlight w:val="none"/>
                    </w:rPr>
                  </w:pPr>
                  <w:r>
                    <w:rPr>
                      <w:rFonts w:hint="eastAsia" w:ascii="仿宋" w:hAnsi="仿宋" w:eastAsia="仿宋" w:cs="仿宋"/>
                      <w:color w:val="auto"/>
                      <w:highlight w:val="none"/>
                    </w:rPr>
                    <w:t>▲电源规格</w:t>
                  </w:r>
                </w:p>
              </w:tc>
              <w:tc>
                <w:tcPr>
                  <w:tcW w:w="1264" w:type="dxa"/>
                  <w:tcBorders>
                    <w:top w:val="nil"/>
                    <w:left w:val="nil"/>
                    <w:bottom w:val="single" w:color="auto" w:sz="8" w:space="0"/>
                    <w:right w:val="single" w:color="auto" w:sz="8" w:space="0"/>
                  </w:tcBorders>
                  <w:vAlign w:val="center"/>
                </w:tcPr>
                <w:p w14:paraId="7E8B4C31">
                  <w:pPr>
                    <w:pStyle w:val="209"/>
                    <w:rPr>
                      <w:rFonts w:ascii="仿宋" w:hAnsi="仿宋" w:eastAsia="仿宋" w:cs="仿宋"/>
                      <w:color w:val="auto"/>
                      <w:highlight w:val="none"/>
                    </w:rPr>
                  </w:pPr>
                  <w:r>
                    <w:rPr>
                      <w:rFonts w:hint="eastAsia" w:ascii="仿宋" w:hAnsi="仿宋" w:eastAsia="仿宋" w:cs="仿宋"/>
                      <w:color w:val="auto"/>
                      <w:highlight w:val="none"/>
                    </w:rPr>
                    <w:t>▲电源模块数量</w:t>
                  </w:r>
                </w:p>
              </w:tc>
              <w:tc>
                <w:tcPr>
                  <w:tcW w:w="4443" w:type="dxa"/>
                  <w:tcBorders>
                    <w:top w:val="nil"/>
                    <w:left w:val="nil"/>
                    <w:bottom w:val="single" w:color="auto" w:sz="8" w:space="0"/>
                    <w:right w:val="single" w:color="auto" w:sz="8" w:space="0"/>
                  </w:tcBorders>
                  <w:vAlign w:val="center"/>
                </w:tcPr>
                <w:p w14:paraId="3EA8C87D">
                  <w:pPr>
                    <w:pStyle w:val="209"/>
                    <w:rPr>
                      <w:rFonts w:ascii="仿宋" w:hAnsi="仿宋" w:eastAsia="仿宋" w:cs="仿宋"/>
                      <w:color w:val="auto"/>
                      <w:highlight w:val="none"/>
                    </w:rPr>
                  </w:pPr>
                  <w:r>
                    <w:rPr>
                      <w:rFonts w:hint="eastAsia" w:ascii="仿宋" w:hAnsi="仿宋" w:eastAsia="仿宋" w:cs="仿宋"/>
                      <w:color w:val="auto"/>
                      <w:highlight w:val="none"/>
                    </w:rPr>
                    <w:t>≥2</w:t>
                  </w:r>
                </w:p>
              </w:tc>
            </w:tr>
            <w:tr w14:paraId="0D5890DF">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7FE619A7">
                  <w:pPr>
                    <w:pStyle w:val="209"/>
                    <w:rPr>
                      <w:rFonts w:ascii="仿宋" w:hAnsi="仿宋" w:eastAsia="仿宋" w:cs="仿宋"/>
                      <w:color w:val="auto"/>
                      <w:highlight w:val="none"/>
                    </w:rPr>
                  </w:pPr>
                  <w:r>
                    <w:rPr>
                      <w:rFonts w:hint="eastAsia" w:ascii="仿宋" w:hAnsi="仿宋" w:eastAsia="仿宋" w:cs="仿宋"/>
                      <w:color w:val="auto"/>
                      <w:highlight w:val="none"/>
                    </w:rPr>
                    <w:t>17</w:t>
                  </w:r>
                </w:p>
              </w:tc>
              <w:tc>
                <w:tcPr>
                  <w:tcW w:w="1247" w:type="dxa"/>
                  <w:vMerge w:val="continue"/>
                  <w:tcBorders>
                    <w:top w:val="nil"/>
                    <w:left w:val="single" w:color="auto" w:sz="8" w:space="0"/>
                    <w:bottom w:val="single" w:color="000000" w:sz="8" w:space="0"/>
                    <w:right w:val="single" w:color="auto" w:sz="8" w:space="0"/>
                  </w:tcBorders>
                  <w:vAlign w:val="center"/>
                </w:tcPr>
                <w:p w14:paraId="24DBE68C">
                  <w:pPr>
                    <w:rPr>
                      <w:highlight w:val="none"/>
                    </w:rPr>
                  </w:pPr>
                </w:p>
              </w:tc>
              <w:tc>
                <w:tcPr>
                  <w:tcW w:w="1264" w:type="dxa"/>
                  <w:tcBorders>
                    <w:top w:val="nil"/>
                    <w:left w:val="nil"/>
                    <w:bottom w:val="single" w:color="auto" w:sz="8" w:space="0"/>
                    <w:right w:val="single" w:color="auto" w:sz="8" w:space="0"/>
                  </w:tcBorders>
                  <w:vAlign w:val="center"/>
                </w:tcPr>
                <w:p w14:paraId="43F28351">
                  <w:pPr>
                    <w:pStyle w:val="209"/>
                    <w:rPr>
                      <w:rFonts w:ascii="仿宋" w:hAnsi="仿宋" w:eastAsia="仿宋" w:cs="仿宋"/>
                      <w:color w:val="auto"/>
                      <w:highlight w:val="none"/>
                    </w:rPr>
                  </w:pPr>
                  <w:r>
                    <w:rPr>
                      <w:rFonts w:hint="eastAsia" w:ascii="仿宋" w:hAnsi="仿宋" w:eastAsia="仿宋" w:cs="仿宋"/>
                      <w:color w:val="auto"/>
                      <w:highlight w:val="none"/>
                    </w:rPr>
                    <w:t>▲电源功率</w:t>
                  </w:r>
                </w:p>
              </w:tc>
              <w:tc>
                <w:tcPr>
                  <w:tcW w:w="4443" w:type="dxa"/>
                  <w:tcBorders>
                    <w:top w:val="nil"/>
                    <w:left w:val="nil"/>
                    <w:bottom w:val="single" w:color="auto" w:sz="8" w:space="0"/>
                    <w:right w:val="single" w:color="auto" w:sz="8" w:space="0"/>
                  </w:tcBorders>
                  <w:vAlign w:val="center"/>
                </w:tcPr>
                <w:p w14:paraId="0E36CA67">
                  <w:pPr>
                    <w:pStyle w:val="209"/>
                    <w:rPr>
                      <w:rFonts w:ascii="仿宋" w:hAnsi="仿宋" w:eastAsia="仿宋" w:cs="仿宋"/>
                      <w:color w:val="auto"/>
                      <w:highlight w:val="none"/>
                    </w:rPr>
                  </w:pPr>
                  <w:r>
                    <w:rPr>
                      <w:rFonts w:hint="eastAsia" w:ascii="仿宋" w:hAnsi="仿宋" w:eastAsia="仿宋" w:cs="仿宋"/>
                      <w:color w:val="auto"/>
                      <w:highlight w:val="none"/>
                    </w:rPr>
                    <w:t>≥900W，电源模块功率应有一定冗余， 满足处理器满载时的需求</w:t>
                  </w:r>
                </w:p>
              </w:tc>
            </w:tr>
            <w:tr w14:paraId="5F84F0CC">
              <w:tblPrEx>
                <w:tblCellMar>
                  <w:top w:w="0" w:type="dxa"/>
                  <w:left w:w="108" w:type="dxa"/>
                  <w:bottom w:w="0" w:type="dxa"/>
                  <w:right w:w="108" w:type="dxa"/>
                </w:tblCellMar>
              </w:tblPrEx>
              <w:trPr>
                <w:trHeight w:val="1248" w:hRule="atLeast"/>
                <w:jc w:val="center"/>
              </w:trPr>
              <w:tc>
                <w:tcPr>
                  <w:tcW w:w="865" w:type="dxa"/>
                  <w:vMerge w:val="restart"/>
                  <w:tcBorders>
                    <w:top w:val="nil"/>
                    <w:left w:val="single" w:color="auto" w:sz="8" w:space="0"/>
                    <w:bottom w:val="single" w:color="000000" w:sz="8" w:space="0"/>
                    <w:right w:val="single" w:color="auto" w:sz="8" w:space="0"/>
                  </w:tcBorders>
                  <w:vAlign w:val="center"/>
                </w:tcPr>
                <w:p w14:paraId="63FD4F76">
                  <w:pPr>
                    <w:pStyle w:val="209"/>
                    <w:rPr>
                      <w:rFonts w:ascii="仿宋" w:hAnsi="仿宋" w:eastAsia="仿宋" w:cs="仿宋"/>
                      <w:color w:val="auto"/>
                      <w:highlight w:val="none"/>
                    </w:rPr>
                  </w:pPr>
                  <w:r>
                    <w:rPr>
                      <w:rFonts w:hint="eastAsia" w:ascii="仿宋" w:hAnsi="仿宋" w:eastAsia="仿宋" w:cs="仿宋"/>
                      <w:color w:val="auto"/>
                      <w:highlight w:val="none"/>
                    </w:rPr>
                    <w:t>18</w:t>
                  </w:r>
                </w:p>
              </w:tc>
              <w:tc>
                <w:tcPr>
                  <w:tcW w:w="1247" w:type="dxa"/>
                  <w:vMerge w:val="restart"/>
                  <w:tcBorders>
                    <w:top w:val="nil"/>
                    <w:left w:val="single" w:color="auto" w:sz="8" w:space="0"/>
                    <w:bottom w:val="single" w:color="000000" w:sz="8" w:space="0"/>
                    <w:right w:val="single" w:color="auto" w:sz="8" w:space="0"/>
                  </w:tcBorders>
                  <w:vAlign w:val="center"/>
                </w:tcPr>
                <w:p w14:paraId="45177ED9">
                  <w:pPr>
                    <w:pStyle w:val="209"/>
                    <w:rPr>
                      <w:rFonts w:ascii="仿宋" w:hAnsi="仿宋" w:eastAsia="仿宋" w:cs="仿宋"/>
                      <w:color w:val="auto"/>
                      <w:highlight w:val="none"/>
                    </w:rPr>
                  </w:pPr>
                  <w:r>
                    <w:rPr>
                      <w:rFonts w:hint="eastAsia" w:ascii="仿宋" w:hAnsi="仿宋" w:eastAsia="仿宋" w:cs="仿宋"/>
                      <w:color w:val="auto"/>
                      <w:highlight w:val="none"/>
                    </w:rPr>
                    <w:t>▲整机规格</w:t>
                  </w:r>
                </w:p>
              </w:tc>
              <w:tc>
                <w:tcPr>
                  <w:tcW w:w="1264" w:type="dxa"/>
                  <w:vMerge w:val="restart"/>
                  <w:tcBorders>
                    <w:top w:val="nil"/>
                    <w:left w:val="single" w:color="auto" w:sz="8" w:space="0"/>
                    <w:bottom w:val="single" w:color="000000" w:sz="8" w:space="0"/>
                    <w:right w:val="single" w:color="auto" w:sz="8" w:space="0"/>
                  </w:tcBorders>
                  <w:vAlign w:val="center"/>
                </w:tcPr>
                <w:p w14:paraId="03620929">
                  <w:pPr>
                    <w:pStyle w:val="209"/>
                    <w:rPr>
                      <w:rFonts w:ascii="仿宋" w:hAnsi="仿宋" w:eastAsia="仿宋" w:cs="仿宋"/>
                      <w:color w:val="auto"/>
                      <w:highlight w:val="none"/>
                    </w:rPr>
                  </w:pPr>
                  <w:r>
                    <w:rPr>
                      <w:rFonts w:hint="eastAsia" w:ascii="仿宋" w:hAnsi="仿宋" w:eastAsia="仿宋" w:cs="仿宋"/>
                      <w:color w:val="auto"/>
                      <w:highlight w:val="none"/>
                    </w:rPr>
                    <w:t>▲外观和结构</w:t>
                  </w:r>
                </w:p>
              </w:tc>
              <w:tc>
                <w:tcPr>
                  <w:tcW w:w="4443" w:type="dxa"/>
                  <w:tcBorders>
                    <w:top w:val="single" w:color="auto" w:sz="8" w:space="0"/>
                    <w:left w:val="single" w:color="auto" w:sz="8" w:space="0"/>
                    <w:bottom w:val="single" w:color="auto" w:sz="8" w:space="0"/>
                    <w:right w:val="single" w:color="auto" w:sz="8" w:space="0"/>
                  </w:tcBorders>
                  <w:vAlign w:val="center"/>
                </w:tcPr>
                <w:p w14:paraId="389D4FC4">
                  <w:pPr>
                    <w:pStyle w:val="209"/>
                    <w:rPr>
                      <w:rFonts w:ascii="仿宋" w:hAnsi="仿宋" w:eastAsia="仿宋" w:cs="仿宋"/>
                      <w:color w:val="auto"/>
                      <w:highlight w:val="none"/>
                    </w:rPr>
                  </w:pPr>
                  <w:r>
                    <w:rPr>
                      <w:rFonts w:hint="eastAsia" w:ascii="仿宋" w:hAnsi="仿宋" w:eastAsia="仿宋" w:cs="仿宋"/>
                      <w:color w:val="auto"/>
                      <w:highlight w:val="none"/>
                    </w:rPr>
                    <w:t>a)服务器的零部件应紧固无松动，可插拔部件应可靠连接，开关、按钮和其它控制部件应灵活可靠，布局应方便使用；</w:t>
                  </w:r>
                </w:p>
              </w:tc>
            </w:tr>
            <w:tr w14:paraId="006A846B">
              <w:tblPrEx>
                <w:tblCellMar>
                  <w:top w:w="0" w:type="dxa"/>
                  <w:left w:w="108" w:type="dxa"/>
                  <w:bottom w:w="0" w:type="dxa"/>
                  <w:right w:w="108" w:type="dxa"/>
                </w:tblCellMar>
              </w:tblPrEx>
              <w:trPr>
                <w:trHeight w:val="1248" w:hRule="atLeast"/>
                <w:jc w:val="center"/>
              </w:trPr>
              <w:tc>
                <w:tcPr>
                  <w:tcW w:w="865" w:type="dxa"/>
                  <w:vMerge w:val="continue"/>
                  <w:tcBorders>
                    <w:top w:val="nil"/>
                    <w:left w:val="single" w:color="auto" w:sz="8" w:space="0"/>
                    <w:bottom w:val="single" w:color="000000" w:sz="8" w:space="0"/>
                    <w:right w:val="single" w:color="auto" w:sz="8" w:space="0"/>
                  </w:tcBorders>
                  <w:vAlign w:val="center"/>
                </w:tcPr>
                <w:p w14:paraId="0284B7A2">
                  <w:pPr>
                    <w:rPr>
                      <w:highlight w:val="none"/>
                    </w:rPr>
                  </w:pPr>
                </w:p>
              </w:tc>
              <w:tc>
                <w:tcPr>
                  <w:tcW w:w="1247" w:type="dxa"/>
                  <w:vMerge w:val="continue"/>
                  <w:tcBorders>
                    <w:top w:val="nil"/>
                    <w:left w:val="single" w:color="auto" w:sz="8" w:space="0"/>
                    <w:bottom w:val="single" w:color="000000" w:sz="8" w:space="0"/>
                    <w:right w:val="single" w:color="auto" w:sz="8" w:space="0"/>
                  </w:tcBorders>
                  <w:vAlign w:val="center"/>
                </w:tcPr>
                <w:p w14:paraId="67383071">
                  <w:pPr>
                    <w:rPr>
                      <w:highlight w:val="none"/>
                    </w:rPr>
                  </w:pPr>
                </w:p>
              </w:tc>
              <w:tc>
                <w:tcPr>
                  <w:tcW w:w="1264" w:type="dxa"/>
                  <w:vMerge w:val="continue"/>
                  <w:tcBorders>
                    <w:top w:val="nil"/>
                    <w:left w:val="single" w:color="auto" w:sz="8" w:space="0"/>
                    <w:bottom w:val="single" w:color="000000" w:sz="8" w:space="0"/>
                    <w:right w:val="single" w:color="auto" w:sz="8" w:space="0"/>
                  </w:tcBorders>
                  <w:vAlign w:val="center"/>
                </w:tcPr>
                <w:p w14:paraId="068B27D8">
                  <w:pPr>
                    <w:rPr>
                      <w:highlight w:val="none"/>
                    </w:rPr>
                  </w:pPr>
                </w:p>
              </w:tc>
              <w:tc>
                <w:tcPr>
                  <w:tcW w:w="4443" w:type="dxa"/>
                  <w:tcBorders>
                    <w:top w:val="single" w:color="auto" w:sz="8" w:space="0"/>
                    <w:left w:val="single" w:color="auto" w:sz="8" w:space="0"/>
                    <w:bottom w:val="single" w:color="auto" w:sz="8" w:space="0"/>
                    <w:right w:val="single" w:color="auto" w:sz="8" w:space="0"/>
                  </w:tcBorders>
                  <w:vAlign w:val="center"/>
                </w:tcPr>
                <w:p w14:paraId="7BADB3EC">
                  <w:pPr>
                    <w:pStyle w:val="209"/>
                    <w:rPr>
                      <w:rFonts w:ascii="仿宋" w:hAnsi="仿宋" w:eastAsia="仿宋" w:cs="仿宋"/>
                      <w:color w:val="auto"/>
                      <w:highlight w:val="none"/>
                    </w:rPr>
                  </w:pPr>
                  <w:r>
                    <w:rPr>
                      <w:rFonts w:hint="eastAsia" w:ascii="仿宋" w:hAnsi="仿宋" w:eastAsia="仿宋" w:cs="仿宋"/>
                      <w:color w:val="auto"/>
                      <w:highlight w:val="none"/>
                    </w:rPr>
                    <w:t>b) 产品表面不应有明显的凹痕、划伤、裂缝、变形和污染等。表面涂层均匀，不应起泡、龟裂、脱落和磨损，金属零部件无锈蚀及其它机械损伤；</w:t>
                  </w:r>
                </w:p>
              </w:tc>
            </w:tr>
            <w:tr w14:paraId="64F36A91">
              <w:tblPrEx>
                <w:tblCellMar>
                  <w:top w:w="0" w:type="dxa"/>
                  <w:left w:w="108" w:type="dxa"/>
                  <w:bottom w:w="0" w:type="dxa"/>
                  <w:right w:w="108" w:type="dxa"/>
                </w:tblCellMar>
              </w:tblPrEx>
              <w:trPr>
                <w:trHeight w:val="624" w:hRule="atLeast"/>
                <w:jc w:val="center"/>
              </w:trPr>
              <w:tc>
                <w:tcPr>
                  <w:tcW w:w="865" w:type="dxa"/>
                  <w:vMerge w:val="continue"/>
                  <w:tcBorders>
                    <w:top w:val="nil"/>
                    <w:left w:val="single" w:color="auto" w:sz="8" w:space="0"/>
                    <w:bottom w:val="single" w:color="000000" w:sz="8" w:space="0"/>
                    <w:right w:val="single" w:color="auto" w:sz="8" w:space="0"/>
                  </w:tcBorders>
                  <w:vAlign w:val="center"/>
                </w:tcPr>
                <w:p w14:paraId="6F498652">
                  <w:pPr>
                    <w:rPr>
                      <w:highlight w:val="none"/>
                    </w:rPr>
                  </w:pPr>
                </w:p>
              </w:tc>
              <w:tc>
                <w:tcPr>
                  <w:tcW w:w="1247" w:type="dxa"/>
                  <w:vMerge w:val="continue"/>
                  <w:tcBorders>
                    <w:top w:val="nil"/>
                    <w:left w:val="single" w:color="auto" w:sz="8" w:space="0"/>
                    <w:bottom w:val="single" w:color="000000" w:sz="8" w:space="0"/>
                    <w:right w:val="single" w:color="auto" w:sz="8" w:space="0"/>
                  </w:tcBorders>
                  <w:vAlign w:val="center"/>
                </w:tcPr>
                <w:p w14:paraId="28DAC7EB">
                  <w:pPr>
                    <w:rPr>
                      <w:highlight w:val="none"/>
                    </w:rPr>
                  </w:pPr>
                </w:p>
              </w:tc>
              <w:tc>
                <w:tcPr>
                  <w:tcW w:w="1264" w:type="dxa"/>
                  <w:vMerge w:val="continue"/>
                  <w:tcBorders>
                    <w:top w:val="nil"/>
                    <w:left w:val="single" w:color="auto" w:sz="8" w:space="0"/>
                    <w:bottom w:val="single" w:color="000000" w:sz="8" w:space="0"/>
                    <w:right w:val="single" w:color="auto" w:sz="8" w:space="0"/>
                  </w:tcBorders>
                  <w:vAlign w:val="center"/>
                </w:tcPr>
                <w:p w14:paraId="1D6749FD">
                  <w:pPr>
                    <w:rPr>
                      <w:highlight w:val="none"/>
                    </w:rPr>
                  </w:pPr>
                </w:p>
              </w:tc>
              <w:tc>
                <w:tcPr>
                  <w:tcW w:w="4443" w:type="dxa"/>
                  <w:tcBorders>
                    <w:top w:val="single" w:color="auto" w:sz="8" w:space="0"/>
                    <w:left w:val="single" w:color="auto" w:sz="8" w:space="0"/>
                    <w:bottom w:val="single" w:color="auto" w:sz="8" w:space="0"/>
                    <w:right w:val="single" w:color="auto" w:sz="8" w:space="0"/>
                  </w:tcBorders>
                  <w:vAlign w:val="center"/>
                </w:tcPr>
                <w:p w14:paraId="4E5DF2FC">
                  <w:pPr>
                    <w:pStyle w:val="209"/>
                    <w:rPr>
                      <w:rFonts w:ascii="仿宋" w:hAnsi="仿宋" w:eastAsia="仿宋" w:cs="仿宋"/>
                      <w:color w:val="auto"/>
                      <w:highlight w:val="none"/>
                    </w:rPr>
                  </w:pPr>
                  <w:r>
                    <w:rPr>
                      <w:rFonts w:hint="eastAsia" w:ascii="仿宋" w:hAnsi="仿宋" w:eastAsia="仿宋" w:cs="仿宋"/>
                      <w:color w:val="auto"/>
                      <w:highlight w:val="none"/>
                    </w:rPr>
                    <w:t>c) 产品表面说明功能的文字、符号和标志应清晰、端正且牢固；</w:t>
                  </w:r>
                </w:p>
              </w:tc>
            </w:tr>
            <w:tr w14:paraId="46C2EE05">
              <w:tblPrEx>
                <w:tblCellMar>
                  <w:top w:w="0" w:type="dxa"/>
                  <w:left w:w="108" w:type="dxa"/>
                  <w:bottom w:w="0" w:type="dxa"/>
                  <w:right w:w="108" w:type="dxa"/>
                </w:tblCellMar>
              </w:tblPrEx>
              <w:trPr>
                <w:trHeight w:val="936" w:hRule="atLeast"/>
                <w:jc w:val="center"/>
              </w:trPr>
              <w:tc>
                <w:tcPr>
                  <w:tcW w:w="865" w:type="dxa"/>
                  <w:vMerge w:val="continue"/>
                  <w:tcBorders>
                    <w:top w:val="nil"/>
                    <w:left w:val="single" w:color="auto" w:sz="8" w:space="0"/>
                    <w:bottom w:val="single" w:color="000000" w:sz="8" w:space="0"/>
                    <w:right w:val="single" w:color="auto" w:sz="8" w:space="0"/>
                  </w:tcBorders>
                  <w:vAlign w:val="center"/>
                </w:tcPr>
                <w:p w14:paraId="3EF71D50">
                  <w:pPr>
                    <w:rPr>
                      <w:highlight w:val="none"/>
                    </w:rPr>
                  </w:pPr>
                </w:p>
              </w:tc>
              <w:tc>
                <w:tcPr>
                  <w:tcW w:w="1247" w:type="dxa"/>
                  <w:vMerge w:val="continue"/>
                  <w:tcBorders>
                    <w:top w:val="nil"/>
                    <w:left w:val="single" w:color="auto" w:sz="8" w:space="0"/>
                    <w:bottom w:val="single" w:color="000000" w:sz="8" w:space="0"/>
                    <w:right w:val="single" w:color="auto" w:sz="8" w:space="0"/>
                  </w:tcBorders>
                  <w:vAlign w:val="center"/>
                </w:tcPr>
                <w:p w14:paraId="108AAF0B">
                  <w:pPr>
                    <w:rPr>
                      <w:highlight w:val="none"/>
                    </w:rPr>
                  </w:pPr>
                </w:p>
              </w:tc>
              <w:tc>
                <w:tcPr>
                  <w:tcW w:w="1264" w:type="dxa"/>
                  <w:vMerge w:val="continue"/>
                  <w:tcBorders>
                    <w:top w:val="nil"/>
                    <w:left w:val="single" w:color="auto" w:sz="8" w:space="0"/>
                    <w:bottom w:val="single" w:color="000000" w:sz="8" w:space="0"/>
                    <w:right w:val="single" w:color="auto" w:sz="8" w:space="0"/>
                  </w:tcBorders>
                  <w:vAlign w:val="center"/>
                </w:tcPr>
                <w:p w14:paraId="78C0A072">
                  <w:pPr>
                    <w:rPr>
                      <w:highlight w:val="none"/>
                    </w:rPr>
                  </w:pPr>
                </w:p>
              </w:tc>
              <w:tc>
                <w:tcPr>
                  <w:tcW w:w="4443" w:type="dxa"/>
                  <w:tcBorders>
                    <w:top w:val="single" w:color="auto" w:sz="8" w:space="0"/>
                    <w:left w:val="single" w:color="auto" w:sz="8" w:space="0"/>
                    <w:bottom w:val="single" w:color="auto" w:sz="8" w:space="0"/>
                    <w:right w:val="single" w:color="auto" w:sz="8" w:space="0"/>
                  </w:tcBorders>
                  <w:vAlign w:val="center"/>
                </w:tcPr>
                <w:p w14:paraId="3B8BFB5C">
                  <w:pPr>
                    <w:pStyle w:val="209"/>
                    <w:rPr>
                      <w:rFonts w:ascii="仿宋" w:hAnsi="仿宋" w:eastAsia="仿宋" w:cs="仿宋"/>
                      <w:color w:val="auto"/>
                      <w:highlight w:val="none"/>
                    </w:rPr>
                  </w:pPr>
                  <w:r>
                    <w:rPr>
                      <w:rFonts w:hint="eastAsia" w:ascii="仿宋" w:hAnsi="仿宋" w:eastAsia="仿宋" w:cs="仿宋"/>
                      <w:color w:val="auto"/>
                      <w:highlight w:val="none"/>
                    </w:rPr>
                    <w:t>d) 应在服务器的显著位置提供运行状态的指示功能，并在随机文件中明确具体含义；</w:t>
                  </w:r>
                </w:p>
              </w:tc>
            </w:tr>
            <w:tr w14:paraId="575B8603">
              <w:tblPrEx>
                <w:tblCellMar>
                  <w:top w:w="0" w:type="dxa"/>
                  <w:left w:w="108" w:type="dxa"/>
                  <w:bottom w:w="0" w:type="dxa"/>
                  <w:right w:w="108" w:type="dxa"/>
                </w:tblCellMar>
              </w:tblPrEx>
              <w:trPr>
                <w:trHeight w:val="1560" w:hRule="atLeast"/>
                <w:jc w:val="center"/>
              </w:trPr>
              <w:tc>
                <w:tcPr>
                  <w:tcW w:w="865" w:type="dxa"/>
                  <w:vMerge w:val="continue"/>
                  <w:tcBorders>
                    <w:top w:val="nil"/>
                    <w:left w:val="single" w:color="auto" w:sz="8" w:space="0"/>
                    <w:bottom w:val="single" w:color="000000" w:sz="8" w:space="0"/>
                    <w:right w:val="single" w:color="auto" w:sz="8" w:space="0"/>
                  </w:tcBorders>
                  <w:vAlign w:val="center"/>
                </w:tcPr>
                <w:p w14:paraId="6A8DFF82">
                  <w:pPr>
                    <w:rPr>
                      <w:highlight w:val="none"/>
                    </w:rPr>
                  </w:pPr>
                </w:p>
              </w:tc>
              <w:tc>
                <w:tcPr>
                  <w:tcW w:w="1247" w:type="dxa"/>
                  <w:vMerge w:val="continue"/>
                  <w:tcBorders>
                    <w:top w:val="nil"/>
                    <w:left w:val="single" w:color="auto" w:sz="8" w:space="0"/>
                    <w:bottom w:val="single" w:color="000000" w:sz="8" w:space="0"/>
                    <w:right w:val="single" w:color="auto" w:sz="8" w:space="0"/>
                  </w:tcBorders>
                  <w:vAlign w:val="center"/>
                </w:tcPr>
                <w:p w14:paraId="0565B71A">
                  <w:pPr>
                    <w:rPr>
                      <w:highlight w:val="none"/>
                    </w:rPr>
                  </w:pPr>
                </w:p>
              </w:tc>
              <w:tc>
                <w:tcPr>
                  <w:tcW w:w="1264" w:type="dxa"/>
                  <w:vMerge w:val="continue"/>
                  <w:tcBorders>
                    <w:top w:val="nil"/>
                    <w:left w:val="single" w:color="auto" w:sz="8" w:space="0"/>
                    <w:bottom w:val="single" w:color="000000" w:sz="8" w:space="0"/>
                    <w:right w:val="single" w:color="auto" w:sz="8" w:space="0"/>
                  </w:tcBorders>
                  <w:vAlign w:val="center"/>
                </w:tcPr>
                <w:p w14:paraId="0AB84776">
                  <w:pPr>
                    <w:rPr>
                      <w:highlight w:val="none"/>
                    </w:rPr>
                  </w:pPr>
                </w:p>
              </w:tc>
              <w:tc>
                <w:tcPr>
                  <w:tcW w:w="4443" w:type="dxa"/>
                  <w:tcBorders>
                    <w:top w:val="single" w:color="auto" w:sz="8" w:space="0"/>
                    <w:left w:val="single" w:color="auto" w:sz="8" w:space="0"/>
                    <w:bottom w:val="single" w:color="auto" w:sz="8" w:space="0"/>
                    <w:right w:val="single" w:color="auto" w:sz="8" w:space="0"/>
                  </w:tcBorders>
                  <w:vAlign w:val="center"/>
                </w:tcPr>
                <w:p w14:paraId="1533E1C6">
                  <w:pPr>
                    <w:pStyle w:val="209"/>
                    <w:rPr>
                      <w:rFonts w:ascii="仿宋" w:hAnsi="仿宋" w:eastAsia="仿宋" w:cs="仿宋"/>
                      <w:color w:val="auto"/>
                      <w:highlight w:val="none"/>
                    </w:rPr>
                  </w:pPr>
                  <w:r>
                    <w:rPr>
                      <w:rFonts w:hint="eastAsia" w:ascii="仿宋" w:hAnsi="仿宋" w:eastAsia="仿宋" w:cs="仿宋"/>
                      <w:color w:val="auto"/>
                      <w:highlight w:val="none"/>
                    </w:rPr>
                    <w:t>e) 机架、机箱的尺寸应符合通用机柜的安装要求，插入总线插座的电路板接口外形尺寸应符合有关总线标准的规定，将机箱固定在机柜上，机箱底面最大下垂变形不得干涉相邻机体；</w:t>
                  </w:r>
                </w:p>
              </w:tc>
            </w:tr>
            <w:tr w14:paraId="0A04824D">
              <w:tblPrEx>
                <w:tblCellMar>
                  <w:top w:w="0" w:type="dxa"/>
                  <w:left w:w="108" w:type="dxa"/>
                  <w:bottom w:w="0" w:type="dxa"/>
                  <w:right w:w="108" w:type="dxa"/>
                </w:tblCellMar>
              </w:tblPrEx>
              <w:trPr>
                <w:trHeight w:val="624" w:hRule="atLeast"/>
                <w:jc w:val="center"/>
              </w:trPr>
              <w:tc>
                <w:tcPr>
                  <w:tcW w:w="865" w:type="dxa"/>
                  <w:vMerge w:val="continue"/>
                  <w:tcBorders>
                    <w:top w:val="nil"/>
                    <w:left w:val="single" w:color="auto" w:sz="8" w:space="0"/>
                    <w:bottom w:val="single" w:color="000000" w:sz="8" w:space="0"/>
                    <w:right w:val="single" w:color="auto" w:sz="8" w:space="0"/>
                  </w:tcBorders>
                  <w:vAlign w:val="center"/>
                </w:tcPr>
                <w:p w14:paraId="1087156A">
                  <w:pPr>
                    <w:rPr>
                      <w:highlight w:val="none"/>
                    </w:rPr>
                  </w:pPr>
                </w:p>
              </w:tc>
              <w:tc>
                <w:tcPr>
                  <w:tcW w:w="1247" w:type="dxa"/>
                  <w:vMerge w:val="continue"/>
                  <w:tcBorders>
                    <w:top w:val="nil"/>
                    <w:left w:val="single" w:color="auto" w:sz="8" w:space="0"/>
                    <w:bottom w:val="single" w:color="000000" w:sz="8" w:space="0"/>
                    <w:right w:val="single" w:color="auto" w:sz="8" w:space="0"/>
                  </w:tcBorders>
                  <w:vAlign w:val="center"/>
                </w:tcPr>
                <w:p w14:paraId="5375E33D">
                  <w:pPr>
                    <w:rPr>
                      <w:highlight w:val="none"/>
                    </w:rPr>
                  </w:pPr>
                </w:p>
              </w:tc>
              <w:tc>
                <w:tcPr>
                  <w:tcW w:w="1264" w:type="dxa"/>
                  <w:vMerge w:val="continue"/>
                  <w:tcBorders>
                    <w:top w:val="nil"/>
                    <w:left w:val="single" w:color="auto" w:sz="8" w:space="0"/>
                    <w:bottom w:val="single" w:color="000000" w:sz="8" w:space="0"/>
                    <w:right w:val="single" w:color="auto" w:sz="8" w:space="0"/>
                  </w:tcBorders>
                  <w:vAlign w:val="center"/>
                </w:tcPr>
                <w:p w14:paraId="27310579">
                  <w:pPr>
                    <w:rPr>
                      <w:highlight w:val="none"/>
                    </w:rPr>
                  </w:pPr>
                </w:p>
              </w:tc>
              <w:tc>
                <w:tcPr>
                  <w:tcW w:w="4443" w:type="dxa"/>
                  <w:tcBorders>
                    <w:top w:val="single" w:color="auto" w:sz="8" w:space="0"/>
                    <w:left w:val="single" w:color="auto" w:sz="8" w:space="0"/>
                    <w:bottom w:val="single" w:color="auto" w:sz="8" w:space="0"/>
                    <w:right w:val="single" w:color="auto" w:sz="8" w:space="0"/>
                  </w:tcBorders>
                  <w:vAlign w:val="center"/>
                </w:tcPr>
                <w:p w14:paraId="4CD049EC">
                  <w:pPr>
                    <w:pStyle w:val="209"/>
                    <w:rPr>
                      <w:rFonts w:ascii="仿宋" w:hAnsi="仿宋" w:eastAsia="仿宋" w:cs="仿宋"/>
                      <w:color w:val="auto"/>
                      <w:highlight w:val="none"/>
                    </w:rPr>
                  </w:pPr>
                  <w:r>
                    <w:rPr>
                      <w:rFonts w:hint="eastAsia" w:ascii="仿宋" w:hAnsi="仿宋" w:eastAsia="仿宋" w:cs="仿宋"/>
                      <w:color w:val="auto"/>
                      <w:highlight w:val="none"/>
                    </w:rPr>
                    <w:t>f) 高密度服务器应给出 CPU 个数与机柜高度；</w:t>
                  </w:r>
                </w:p>
              </w:tc>
            </w:tr>
            <w:tr w14:paraId="28B6DFCE">
              <w:tblPrEx>
                <w:tblCellMar>
                  <w:top w:w="0" w:type="dxa"/>
                  <w:left w:w="108" w:type="dxa"/>
                  <w:bottom w:w="0" w:type="dxa"/>
                  <w:right w:w="108" w:type="dxa"/>
                </w:tblCellMar>
              </w:tblPrEx>
              <w:trPr>
                <w:trHeight w:val="636" w:hRule="atLeast"/>
                <w:jc w:val="center"/>
              </w:trPr>
              <w:tc>
                <w:tcPr>
                  <w:tcW w:w="865" w:type="dxa"/>
                  <w:vMerge w:val="continue"/>
                  <w:tcBorders>
                    <w:top w:val="nil"/>
                    <w:left w:val="single" w:color="auto" w:sz="8" w:space="0"/>
                    <w:bottom w:val="single" w:color="000000" w:sz="8" w:space="0"/>
                    <w:right w:val="single" w:color="auto" w:sz="8" w:space="0"/>
                  </w:tcBorders>
                  <w:vAlign w:val="center"/>
                </w:tcPr>
                <w:p w14:paraId="19329EEC">
                  <w:pPr>
                    <w:rPr>
                      <w:highlight w:val="none"/>
                    </w:rPr>
                  </w:pPr>
                </w:p>
              </w:tc>
              <w:tc>
                <w:tcPr>
                  <w:tcW w:w="1247" w:type="dxa"/>
                  <w:vMerge w:val="continue"/>
                  <w:tcBorders>
                    <w:top w:val="nil"/>
                    <w:left w:val="single" w:color="auto" w:sz="8" w:space="0"/>
                    <w:bottom w:val="single" w:color="000000" w:sz="8" w:space="0"/>
                    <w:right w:val="single" w:color="auto" w:sz="8" w:space="0"/>
                  </w:tcBorders>
                  <w:vAlign w:val="center"/>
                </w:tcPr>
                <w:p w14:paraId="474C0CA3">
                  <w:pPr>
                    <w:rPr>
                      <w:highlight w:val="none"/>
                    </w:rPr>
                  </w:pPr>
                </w:p>
              </w:tc>
              <w:tc>
                <w:tcPr>
                  <w:tcW w:w="1264" w:type="dxa"/>
                  <w:vMerge w:val="continue"/>
                  <w:tcBorders>
                    <w:top w:val="nil"/>
                    <w:left w:val="single" w:color="auto" w:sz="8" w:space="0"/>
                    <w:bottom w:val="single" w:color="000000" w:sz="8" w:space="0"/>
                    <w:right w:val="single" w:color="auto" w:sz="8" w:space="0"/>
                  </w:tcBorders>
                  <w:vAlign w:val="center"/>
                </w:tcPr>
                <w:p w14:paraId="53A3B47F">
                  <w:pPr>
                    <w:rPr>
                      <w:highlight w:val="none"/>
                    </w:rPr>
                  </w:pPr>
                </w:p>
              </w:tc>
              <w:tc>
                <w:tcPr>
                  <w:tcW w:w="4443" w:type="dxa"/>
                  <w:tcBorders>
                    <w:top w:val="single" w:color="auto" w:sz="8" w:space="0"/>
                    <w:left w:val="single" w:color="auto" w:sz="8" w:space="0"/>
                    <w:bottom w:val="single" w:color="auto" w:sz="8" w:space="0"/>
                    <w:right w:val="single" w:color="auto" w:sz="8" w:space="0"/>
                  </w:tcBorders>
                  <w:vAlign w:val="center"/>
                </w:tcPr>
                <w:p w14:paraId="604DC1B5">
                  <w:pPr>
                    <w:pStyle w:val="209"/>
                    <w:rPr>
                      <w:rFonts w:ascii="仿宋" w:hAnsi="仿宋" w:eastAsia="仿宋" w:cs="仿宋"/>
                      <w:color w:val="auto"/>
                      <w:highlight w:val="none"/>
                    </w:rPr>
                  </w:pPr>
                  <w:r>
                    <w:rPr>
                      <w:rFonts w:hint="eastAsia" w:ascii="仿宋" w:hAnsi="仿宋" w:eastAsia="仿宋" w:cs="仿宋"/>
                      <w:color w:val="auto"/>
                      <w:highlight w:val="none"/>
                    </w:rPr>
                    <w:t>g) 服务器尺寸具体要求在随机文件中明确</w:t>
                  </w:r>
                </w:p>
              </w:tc>
            </w:tr>
            <w:tr w14:paraId="35F259BB">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3418721D">
                  <w:pPr>
                    <w:pStyle w:val="209"/>
                    <w:rPr>
                      <w:rFonts w:ascii="仿宋" w:hAnsi="仿宋" w:eastAsia="仿宋" w:cs="仿宋"/>
                      <w:color w:val="auto"/>
                      <w:highlight w:val="none"/>
                    </w:rPr>
                  </w:pPr>
                  <w:r>
                    <w:rPr>
                      <w:rFonts w:hint="eastAsia" w:ascii="仿宋" w:hAnsi="仿宋" w:eastAsia="仿宋" w:cs="仿宋"/>
                      <w:color w:val="auto"/>
                      <w:highlight w:val="none"/>
                    </w:rPr>
                    <w:t>19</w:t>
                  </w:r>
                </w:p>
              </w:tc>
              <w:tc>
                <w:tcPr>
                  <w:tcW w:w="1247" w:type="dxa"/>
                  <w:vMerge w:val="continue"/>
                  <w:tcBorders>
                    <w:top w:val="nil"/>
                    <w:left w:val="single" w:color="auto" w:sz="8" w:space="0"/>
                    <w:bottom w:val="single" w:color="000000" w:sz="8" w:space="0"/>
                    <w:right w:val="single" w:color="auto" w:sz="8" w:space="0"/>
                  </w:tcBorders>
                  <w:vAlign w:val="center"/>
                </w:tcPr>
                <w:p w14:paraId="15FD8094">
                  <w:pPr>
                    <w:rPr>
                      <w:highlight w:val="none"/>
                    </w:rPr>
                  </w:pPr>
                </w:p>
              </w:tc>
              <w:tc>
                <w:tcPr>
                  <w:tcW w:w="1264" w:type="dxa"/>
                  <w:tcBorders>
                    <w:top w:val="nil"/>
                    <w:left w:val="nil"/>
                    <w:bottom w:val="single" w:color="auto" w:sz="8" w:space="0"/>
                    <w:right w:val="single" w:color="auto" w:sz="8" w:space="0"/>
                  </w:tcBorders>
                  <w:vAlign w:val="center"/>
                </w:tcPr>
                <w:p w14:paraId="2D1B219A">
                  <w:pPr>
                    <w:pStyle w:val="209"/>
                    <w:rPr>
                      <w:rFonts w:ascii="仿宋" w:hAnsi="仿宋" w:eastAsia="仿宋" w:cs="仿宋"/>
                      <w:color w:val="auto"/>
                      <w:highlight w:val="none"/>
                    </w:rPr>
                  </w:pPr>
                  <w:r>
                    <w:rPr>
                      <w:rFonts w:hint="eastAsia" w:ascii="仿宋" w:hAnsi="仿宋" w:eastAsia="仿宋" w:cs="仿宋"/>
                      <w:color w:val="auto"/>
                      <w:highlight w:val="none"/>
                    </w:rPr>
                    <w:t>▲尺寸（高×宽×深）</w:t>
                  </w:r>
                </w:p>
              </w:tc>
              <w:tc>
                <w:tcPr>
                  <w:tcW w:w="4443" w:type="dxa"/>
                  <w:tcBorders>
                    <w:top w:val="single" w:color="auto" w:sz="8" w:space="0"/>
                    <w:left w:val="nil"/>
                    <w:bottom w:val="single" w:color="auto" w:sz="8" w:space="0"/>
                    <w:right w:val="single" w:color="auto" w:sz="8" w:space="0"/>
                  </w:tcBorders>
                  <w:vAlign w:val="center"/>
                </w:tcPr>
                <w:p w14:paraId="221349BA">
                  <w:pPr>
                    <w:pStyle w:val="209"/>
                    <w:rPr>
                      <w:rFonts w:ascii="仿宋" w:hAnsi="仿宋" w:eastAsia="仿宋" w:cs="仿宋"/>
                      <w:color w:val="auto"/>
                      <w:highlight w:val="none"/>
                    </w:rPr>
                  </w:pPr>
                  <w:r>
                    <w:rPr>
                      <w:rFonts w:hint="eastAsia" w:ascii="仿宋" w:hAnsi="仿宋" w:eastAsia="仿宋" w:cs="仿宋"/>
                      <w:color w:val="auto"/>
                      <w:highlight w:val="none"/>
                    </w:rPr>
                    <w:t>投标人应在投标时给出产品尺寸；</w:t>
                  </w:r>
                </w:p>
              </w:tc>
            </w:tr>
            <w:tr w14:paraId="3705C0B7">
              <w:tblPrEx>
                <w:tblCellMar>
                  <w:top w:w="0" w:type="dxa"/>
                  <w:left w:w="108" w:type="dxa"/>
                  <w:bottom w:w="0" w:type="dxa"/>
                  <w:right w:w="108" w:type="dxa"/>
                </w:tblCellMar>
              </w:tblPrEx>
              <w:trPr>
                <w:trHeight w:val="1572" w:hRule="atLeast"/>
                <w:jc w:val="center"/>
              </w:trPr>
              <w:tc>
                <w:tcPr>
                  <w:tcW w:w="865" w:type="dxa"/>
                  <w:tcBorders>
                    <w:top w:val="nil"/>
                    <w:left w:val="single" w:color="auto" w:sz="8" w:space="0"/>
                    <w:bottom w:val="single" w:color="auto" w:sz="8" w:space="0"/>
                    <w:right w:val="single" w:color="auto" w:sz="8" w:space="0"/>
                  </w:tcBorders>
                  <w:vAlign w:val="center"/>
                </w:tcPr>
                <w:p w14:paraId="23AFE611">
                  <w:pPr>
                    <w:pStyle w:val="209"/>
                    <w:rPr>
                      <w:rFonts w:ascii="仿宋" w:hAnsi="仿宋" w:eastAsia="仿宋" w:cs="仿宋"/>
                      <w:color w:val="auto"/>
                      <w:highlight w:val="none"/>
                    </w:rPr>
                  </w:pPr>
                  <w:r>
                    <w:rPr>
                      <w:rFonts w:hint="eastAsia" w:ascii="仿宋" w:hAnsi="仿宋" w:eastAsia="仿宋" w:cs="仿宋"/>
                      <w:color w:val="auto"/>
                      <w:highlight w:val="none"/>
                    </w:rPr>
                    <w:t>20</w:t>
                  </w:r>
                </w:p>
              </w:tc>
              <w:tc>
                <w:tcPr>
                  <w:tcW w:w="1247" w:type="dxa"/>
                  <w:vMerge w:val="continue"/>
                  <w:tcBorders>
                    <w:top w:val="nil"/>
                    <w:left w:val="single" w:color="auto" w:sz="8" w:space="0"/>
                    <w:bottom w:val="single" w:color="000000" w:sz="8" w:space="0"/>
                    <w:right w:val="single" w:color="auto" w:sz="8" w:space="0"/>
                  </w:tcBorders>
                  <w:vAlign w:val="center"/>
                </w:tcPr>
                <w:p w14:paraId="5A38332F">
                  <w:pPr>
                    <w:rPr>
                      <w:highlight w:val="none"/>
                    </w:rPr>
                  </w:pPr>
                </w:p>
              </w:tc>
              <w:tc>
                <w:tcPr>
                  <w:tcW w:w="1264" w:type="dxa"/>
                  <w:tcBorders>
                    <w:top w:val="nil"/>
                    <w:left w:val="nil"/>
                    <w:bottom w:val="single" w:color="auto" w:sz="8" w:space="0"/>
                    <w:right w:val="single" w:color="auto" w:sz="8" w:space="0"/>
                  </w:tcBorders>
                  <w:vAlign w:val="center"/>
                </w:tcPr>
                <w:p w14:paraId="75345E61">
                  <w:pPr>
                    <w:pStyle w:val="209"/>
                    <w:rPr>
                      <w:rFonts w:ascii="仿宋" w:hAnsi="仿宋" w:eastAsia="仿宋" w:cs="仿宋"/>
                      <w:color w:val="auto"/>
                      <w:highlight w:val="none"/>
                    </w:rPr>
                  </w:pPr>
                  <w:r>
                    <w:rPr>
                      <w:rFonts w:hint="eastAsia" w:ascii="仿宋" w:hAnsi="仿宋" w:eastAsia="仿宋" w:cs="仿宋"/>
                      <w:color w:val="auto"/>
                      <w:highlight w:val="none"/>
                    </w:rPr>
                    <w:t>▲环境适应性</w:t>
                  </w:r>
                </w:p>
              </w:tc>
              <w:tc>
                <w:tcPr>
                  <w:tcW w:w="4443" w:type="dxa"/>
                  <w:tcBorders>
                    <w:top w:val="nil"/>
                    <w:left w:val="nil"/>
                    <w:bottom w:val="single" w:color="auto" w:sz="8" w:space="0"/>
                    <w:right w:val="single" w:color="auto" w:sz="8" w:space="0"/>
                  </w:tcBorders>
                  <w:vAlign w:val="center"/>
                </w:tcPr>
                <w:p w14:paraId="4CFFBB2D">
                  <w:pPr>
                    <w:pStyle w:val="209"/>
                    <w:rPr>
                      <w:rFonts w:ascii="仿宋" w:hAnsi="仿宋" w:eastAsia="仿宋" w:cs="仿宋"/>
                      <w:color w:val="auto"/>
                      <w:highlight w:val="none"/>
                    </w:rPr>
                  </w:pPr>
                  <w:r>
                    <w:rPr>
                      <w:rFonts w:hint="eastAsia" w:ascii="仿宋" w:hAnsi="仿宋" w:eastAsia="仿宋" w:cs="仿宋"/>
                      <w:color w:val="auto"/>
                      <w:highlight w:val="none"/>
                    </w:rPr>
                    <w:t>气候环境适应性应符合 GB/T9813.3 的有关规定，工作温度 10～35℃，贮存运输温度-40～55℃；工作相对湿度 35%～80%，贮存运输相对湿度 20％～93%（40℃）；大气压86～106kPa</w:t>
                  </w:r>
                </w:p>
              </w:tc>
            </w:tr>
            <w:tr w14:paraId="240A2ECD">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1A81F5D6">
                  <w:pPr>
                    <w:pStyle w:val="209"/>
                    <w:rPr>
                      <w:rFonts w:ascii="仿宋" w:hAnsi="仿宋" w:eastAsia="仿宋" w:cs="仿宋"/>
                      <w:color w:val="auto"/>
                      <w:highlight w:val="none"/>
                    </w:rPr>
                  </w:pPr>
                  <w:r>
                    <w:rPr>
                      <w:rFonts w:hint="eastAsia" w:ascii="仿宋" w:hAnsi="仿宋" w:eastAsia="仿宋" w:cs="仿宋"/>
                      <w:color w:val="auto"/>
                      <w:highlight w:val="none"/>
                    </w:rPr>
                    <w:t>21</w:t>
                  </w:r>
                </w:p>
              </w:tc>
              <w:tc>
                <w:tcPr>
                  <w:tcW w:w="1247" w:type="dxa"/>
                  <w:vMerge w:val="continue"/>
                  <w:tcBorders>
                    <w:top w:val="nil"/>
                    <w:left w:val="single" w:color="auto" w:sz="8" w:space="0"/>
                    <w:bottom w:val="single" w:color="000000" w:sz="8" w:space="0"/>
                    <w:right w:val="single" w:color="auto" w:sz="8" w:space="0"/>
                  </w:tcBorders>
                  <w:vAlign w:val="center"/>
                </w:tcPr>
                <w:p w14:paraId="27142567">
                  <w:pPr>
                    <w:rPr>
                      <w:highlight w:val="none"/>
                    </w:rPr>
                  </w:pPr>
                </w:p>
              </w:tc>
              <w:tc>
                <w:tcPr>
                  <w:tcW w:w="1264" w:type="dxa"/>
                  <w:tcBorders>
                    <w:top w:val="nil"/>
                    <w:left w:val="nil"/>
                    <w:bottom w:val="single" w:color="auto" w:sz="8" w:space="0"/>
                    <w:right w:val="single" w:color="auto" w:sz="8" w:space="0"/>
                  </w:tcBorders>
                  <w:vAlign w:val="center"/>
                </w:tcPr>
                <w:p w14:paraId="69A45C61">
                  <w:pPr>
                    <w:pStyle w:val="209"/>
                    <w:rPr>
                      <w:rFonts w:ascii="仿宋" w:hAnsi="仿宋" w:eastAsia="仿宋" w:cs="仿宋"/>
                      <w:color w:val="auto"/>
                      <w:highlight w:val="none"/>
                    </w:rPr>
                  </w:pPr>
                  <w:r>
                    <w:rPr>
                      <w:rFonts w:hint="eastAsia" w:ascii="仿宋" w:hAnsi="仿宋" w:eastAsia="仿宋" w:cs="仿宋"/>
                      <w:color w:val="auto"/>
                      <w:highlight w:val="none"/>
                    </w:rPr>
                    <w:t>▲机械环境适应性</w:t>
                  </w:r>
                </w:p>
              </w:tc>
              <w:tc>
                <w:tcPr>
                  <w:tcW w:w="4443" w:type="dxa"/>
                  <w:tcBorders>
                    <w:top w:val="nil"/>
                    <w:left w:val="nil"/>
                    <w:bottom w:val="single" w:color="auto" w:sz="8" w:space="0"/>
                    <w:right w:val="single" w:color="auto" w:sz="8" w:space="0"/>
                  </w:tcBorders>
                  <w:vAlign w:val="center"/>
                </w:tcPr>
                <w:p w14:paraId="4AA2F777">
                  <w:pPr>
                    <w:pStyle w:val="209"/>
                    <w:rPr>
                      <w:rFonts w:ascii="仿宋" w:hAnsi="仿宋" w:eastAsia="仿宋" w:cs="仿宋"/>
                      <w:color w:val="auto"/>
                      <w:highlight w:val="none"/>
                    </w:rPr>
                  </w:pPr>
                  <w:r>
                    <w:rPr>
                      <w:rFonts w:hint="eastAsia" w:ascii="仿宋" w:hAnsi="仿宋" w:eastAsia="仿宋" w:cs="仿宋"/>
                      <w:color w:val="auto"/>
                      <w:highlight w:val="none"/>
                    </w:rPr>
                    <w:t>机械环境适应性应符合 GB/T9813.3 的有关规定</w:t>
                  </w:r>
                </w:p>
              </w:tc>
            </w:tr>
            <w:tr w14:paraId="1B5AD266">
              <w:tblPrEx>
                <w:tblCellMar>
                  <w:top w:w="0" w:type="dxa"/>
                  <w:left w:w="108" w:type="dxa"/>
                  <w:bottom w:w="0" w:type="dxa"/>
                  <w:right w:w="108" w:type="dxa"/>
                </w:tblCellMar>
              </w:tblPrEx>
              <w:trPr>
                <w:trHeight w:val="948" w:hRule="atLeast"/>
                <w:jc w:val="center"/>
              </w:trPr>
              <w:tc>
                <w:tcPr>
                  <w:tcW w:w="865" w:type="dxa"/>
                  <w:tcBorders>
                    <w:top w:val="nil"/>
                    <w:left w:val="single" w:color="auto" w:sz="8" w:space="0"/>
                    <w:bottom w:val="single" w:color="auto" w:sz="8" w:space="0"/>
                    <w:right w:val="single" w:color="auto" w:sz="8" w:space="0"/>
                  </w:tcBorders>
                  <w:vAlign w:val="center"/>
                </w:tcPr>
                <w:p w14:paraId="3C164EB2">
                  <w:pPr>
                    <w:pStyle w:val="209"/>
                    <w:rPr>
                      <w:rFonts w:ascii="仿宋" w:hAnsi="仿宋" w:eastAsia="仿宋" w:cs="仿宋"/>
                      <w:color w:val="auto"/>
                      <w:highlight w:val="none"/>
                    </w:rPr>
                  </w:pPr>
                  <w:r>
                    <w:rPr>
                      <w:rFonts w:hint="eastAsia" w:ascii="仿宋" w:hAnsi="仿宋" w:eastAsia="仿宋" w:cs="仿宋"/>
                      <w:color w:val="auto"/>
                      <w:highlight w:val="none"/>
                    </w:rPr>
                    <w:t>22</w:t>
                  </w:r>
                </w:p>
              </w:tc>
              <w:tc>
                <w:tcPr>
                  <w:tcW w:w="1247" w:type="dxa"/>
                  <w:vMerge w:val="continue"/>
                  <w:tcBorders>
                    <w:top w:val="nil"/>
                    <w:left w:val="single" w:color="auto" w:sz="8" w:space="0"/>
                    <w:bottom w:val="single" w:color="000000" w:sz="8" w:space="0"/>
                    <w:right w:val="single" w:color="auto" w:sz="8" w:space="0"/>
                  </w:tcBorders>
                  <w:vAlign w:val="center"/>
                </w:tcPr>
                <w:p w14:paraId="5F0E43B3">
                  <w:pPr>
                    <w:rPr>
                      <w:highlight w:val="none"/>
                    </w:rPr>
                  </w:pPr>
                </w:p>
              </w:tc>
              <w:tc>
                <w:tcPr>
                  <w:tcW w:w="1264" w:type="dxa"/>
                  <w:tcBorders>
                    <w:top w:val="nil"/>
                    <w:left w:val="nil"/>
                    <w:bottom w:val="single" w:color="auto" w:sz="8" w:space="0"/>
                    <w:right w:val="single" w:color="auto" w:sz="8" w:space="0"/>
                  </w:tcBorders>
                  <w:vAlign w:val="center"/>
                </w:tcPr>
                <w:p w14:paraId="554FAB4D">
                  <w:pPr>
                    <w:pStyle w:val="209"/>
                    <w:rPr>
                      <w:rFonts w:ascii="仿宋" w:hAnsi="仿宋" w:eastAsia="仿宋" w:cs="仿宋"/>
                      <w:color w:val="auto"/>
                      <w:highlight w:val="none"/>
                    </w:rPr>
                  </w:pPr>
                  <w:r>
                    <w:rPr>
                      <w:rFonts w:hint="eastAsia" w:ascii="仿宋" w:hAnsi="仿宋" w:eastAsia="仿宋" w:cs="仿宋"/>
                      <w:color w:val="auto"/>
                      <w:highlight w:val="none"/>
                    </w:rPr>
                    <w:t>▲噪声</w:t>
                  </w:r>
                </w:p>
              </w:tc>
              <w:tc>
                <w:tcPr>
                  <w:tcW w:w="4443" w:type="dxa"/>
                  <w:tcBorders>
                    <w:top w:val="nil"/>
                    <w:left w:val="nil"/>
                    <w:bottom w:val="single" w:color="auto" w:sz="8" w:space="0"/>
                    <w:right w:val="single" w:color="auto" w:sz="8" w:space="0"/>
                  </w:tcBorders>
                  <w:vAlign w:val="center"/>
                </w:tcPr>
                <w:p w14:paraId="602799DB">
                  <w:pPr>
                    <w:pStyle w:val="209"/>
                    <w:rPr>
                      <w:rFonts w:ascii="仿宋" w:hAnsi="仿宋" w:eastAsia="仿宋" w:cs="仿宋"/>
                      <w:color w:val="auto"/>
                      <w:highlight w:val="none"/>
                    </w:rPr>
                  </w:pPr>
                  <w:r>
                    <w:rPr>
                      <w:rFonts w:hint="eastAsia" w:ascii="仿宋" w:hAnsi="仿宋" w:eastAsia="仿宋" w:cs="仿宋"/>
                      <w:color w:val="auto"/>
                      <w:highlight w:val="none"/>
                    </w:rPr>
                    <w:t>符合 GB/T 9813.3 的有关规定，在产品说明中给出具体测试值塔式服务器噪声在空闲状态下不大于 50dB</w:t>
                  </w:r>
                </w:p>
              </w:tc>
            </w:tr>
            <w:tr w14:paraId="43BADD2A">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06532DC1">
                  <w:pPr>
                    <w:pStyle w:val="209"/>
                    <w:rPr>
                      <w:rFonts w:ascii="仿宋" w:hAnsi="仿宋" w:eastAsia="仿宋" w:cs="仿宋"/>
                      <w:color w:val="auto"/>
                      <w:highlight w:val="none"/>
                    </w:rPr>
                  </w:pPr>
                  <w:r>
                    <w:rPr>
                      <w:rFonts w:hint="eastAsia" w:ascii="仿宋" w:hAnsi="仿宋" w:eastAsia="仿宋" w:cs="仿宋"/>
                      <w:color w:val="auto"/>
                      <w:highlight w:val="none"/>
                    </w:rPr>
                    <w:t>23</w:t>
                  </w:r>
                </w:p>
              </w:tc>
              <w:tc>
                <w:tcPr>
                  <w:tcW w:w="1247" w:type="dxa"/>
                  <w:tcBorders>
                    <w:top w:val="nil"/>
                    <w:left w:val="nil"/>
                    <w:bottom w:val="single" w:color="auto" w:sz="8" w:space="0"/>
                    <w:right w:val="single" w:color="auto" w:sz="8" w:space="0"/>
                  </w:tcBorders>
                  <w:vAlign w:val="center"/>
                </w:tcPr>
                <w:p w14:paraId="3B7F5CD3">
                  <w:pPr>
                    <w:pStyle w:val="209"/>
                    <w:rPr>
                      <w:rFonts w:ascii="仿宋" w:hAnsi="仿宋" w:eastAsia="仿宋" w:cs="仿宋"/>
                      <w:color w:val="auto"/>
                      <w:highlight w:val="none"/>
                    </w:rPr>
                  </w:pPr>
                  <w:r>
                    <w:rPr>
                      <w:rFonts w:hint="eastAsia" w:ascii="仿宋" w:hAnsi="仿宋" w:eastAsia="仿宋" w:cs="仿宋"/>
                      <w:color w:val="auto"/>
                      <w:highlight w:val="none"/>
                    </w:rPr>
                    <w:t>机柜规格</w:t>
                  </w:r>
                </w:p>
              </w:tc>
              <w:tc>
                <w:tcPr>
                  <w:tcW w:w="1264" w:type="dxa"/>
                  <w:tcBorders>
                    <w:top w:val="nil"/>
                    <w:left w:val="nil"/>
                    <w:bottom w:val="single" w:color="auto" w:sz="8" w:space="0"/>
                    <w:right w:val="single" w:color="auto" w:sz="8" w:space="0"/>
                  </w:tcBorders>
                  <w:vAlign w:val="center"/>
                </w:tcPr>
                <w:p w14:paraId="3932FFAC">
                  <w:pPr>
                    <w:pStyle w:val="209"/>
                    <w:rPr>
                      <w:rFonts w:ascii="仿宋" w:hAnsi="仿宋" w:eastAsia="仿宋" w:cs="仿宋"/>
                      <w:color w:val="auto"/>
                      <w:highlight w:val="none"/>
                    </w:rPr>
                  </w:pPr>
                  <w:r>
                    <w:rPr>
                      <w:rFonts w:hint="eastAsia" w:ascii="仿宋" w:hAnsi="仿宋" w:eastAsia="仿宋" w:cs="仿宋"/>
                      <w:color w:val="auto"/>
                      <w:highlight w:val="none"/>
                    </w:rPr>
                    <w:t>▲机柜尺寸</w:t>
                  </w:r>
                </w:p>
              </w:tc>
              <w:tc>
                <w:tcPr>
                  <w:tcW w:w="4443" w:type="dxa"/>
                  <w:tcBorders>
                    <w:top w:val="nil"/>
                    <w:left w:val="nil"/>
                    <w:bottom w:val="single" w:color="auto" w:sz="8" w:space="0"/>
                    <w:right w:val="single" w:color="auto" w:sz="8" w:space="0"/>
                  </w:tcBorders>
                  <w:vAlign w:val="center"/>
                </w:tcPr>
                <w:p w14:paraId="44DAC991">
                  <w:pPr>
                    <w:pStyle w:val="209"/>
                    <w:rPr>
                      <w:rFonts w:ascii="仿宋" w:hAnsi="仿宋" w:eastAsia="仿宋" w:cs="仿宋"/>
                      <w:color w:val="auto"/>
                      <w:highlight w:val="none"/>
                    </w:rPr>
                  </w:pPr>
                  <w:r>
                    <w:rPr>
                      <w:rFonts w:hint="eastAsia" w:ascii="仿宋" w:hAnsi="仿宋" w:eastAsia="仿宋" w:cs="仿宋"/>
                      <w:color w:val="auto"/>
                      <w:highlight w:val="none"/>
                    </w:rPr>
                    <w:t>投标人在投标时给出长度、高度和深度；</w:t>
                  </w:r>
                </w:p>
              </w:tc>
            </w:tr>
            <w:tr w14:paraId="76CB7149">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2AA4077D">
                  <w:pPr>
                    <w:pStyle w:val="209"/>
                    <w:rPr>
                      <w:rFonts w:ascii="仿宋" w:hAnsi="仿宋" w:eastAsia="仿宋" w:cs="仿宋"/>
                      <w:color w:val="auto"/>
                      <w:highlight w:val="none"/>
                    </w:rPr>
                  </w:pPr>
                  <w:r>
                    <w:rPr>
                      <w:rFonts w:hint="eastAsia" w:ascii="仿宋" w:hAnsi="仿宋" w:eastAsia="仿宋" w:cs="仿宋"/>
                      <w:color w:val="auto"/>
                      <w:highlight w:val="none"/>
                    </w:rPr>
                    <w:t>24</w:t>
                  </w:r>
                </w:p>
              </w:tc>
              <w:tc>
                <w:tcPr>
                  <w:tcW w:w="1247" w:type="dxa"/>
                  <w:tcBorders>
                    <w:top w:val="nil"/>
                    <w:left w:val="nil"/>
                    <w:bottom w:val="single" w:color="auto" w:sz="8" w:space="0"/>
                    <w:right w:val="single" w:color="auto" w:sz="8" w:space="0"/>
                  </w:tcBorders>
                  <w:vAlign w:val="center"/>
                </w:tcPr>
                <w:p w14:paraId="011D20A5">
                  <w:pPr>
                    <w:pStyle w:val="209"/>
                    <w:rPr>
                      <w:rFonts w:ascii="仿宋" w:hAnsi="仿宋" w:eastAsia="仿宋" w:cs="仿宋"/>
                      <w:color w:val="auto"/>
                      <w:highlight w:val="none"/>
                    </w:rPr>
                  </w:pPr>
                  <w:r>
                    <w:rPr>
                      <w:rFonts w:hint="eastAsia" w:ascii="仿宋" w:hAnsi="仿宋" w:eastAsia="仿宋" w:cs="仿宋"/>
                      <w:color w:val="auto"/>
                      <w:highlight w:val="none"/>
                    </w:rPr>
                    <w:t>▲主板</w:t>
                  </w:r>
                </w:p>
              </w:tc>
              <w:tc>
                <w:tcPr>
                  <w:tcW w:w="1264" w:type="dxa"/>
                  <w:tcBorders>
                    <w:top w:val="nil"/>
                    <w:left w:val="nil"/>
                    <w:bottom w:val="single" w:color="auto" w:sz="8" w:space="0"/>
                    <w:right w:val="single" w:color="auto" w:sz="8" w:space="0"/>
                  </w:tcBorders>
                  <w:vAlign w:val="center"/>
                </w:tcPr>
                <w:p w14:paraId="3FB890FB">
                  <w:pPr>
                    <w:pStyle w:val="209"/>
                    <w:rPr>
                      <w:rFonts w:ascii="仿宋" w:hAnsi="仿宋" w:eastAsia="仿宋" w:cs="仿宋"/>
                      <w:color w:val="auto"/>
                      <w:highlight w:val="none"/>
                    </w:rPr>
                  </w:pPr>
                  <w:r>
                    <w:rPr>
                      <w:rFonts w:hint="eastAsia" w:ascii="仿宋" w:hAnsi="仿宋" w:eastAsia="仿宋" w:cs="仿宋"/>
                      <w:color w:val="auto"/>
                      <w:highlight w:val="none"/>
                    </w:rPr>
                    <w:t>▲主板外部接口种类</w:t>
                  </w:r>
                </w:p>
              </w:tc>
              <w:tc>
                <w:tcPr>
                  <w:tcW w:w="4443" w:type="dxa"/>
                  <w:tcBorders>
                    <w:top w:val="nil"/>
                    <w:left w:val="nil"/>
                    <w:bottom w:val="single" w:color="auto" w:sz="8" w:space="0"/>
                    <w:right w:val="single" w:color="auto" w:sz="8" w:space="0"/>
                  </w:tcBorders>
                  <w:vAlign w:val="center"/>
                </w:tcPr>
                <w:p w14:paraId="4CF49FE3">
                  <w:pPr>
                    <w:pStyle w:val="209"/>
                    <w:rPr>
                      <w:rFonts w:ascii="仿宋" w:hAnsi="仿宋" w:eastAsia="仿宋" w:cs="仿宋"/>
                      <w:color w:val="auto"/>
                      <w:highlight w:val="none"/>
                    </w:rPr>
                  </w:pPr>
                  <w:r>
                    <w:rPr>
                      <w:rFonts w:hint="eastAsia" w:ascii="仿宋" w:hAnsi="仿宋" w:eastAsia="仿宋" w:cs="仿宋"/>
                      <w:color w:val="auto"/>
                      <w:highlight w:val="none"/>
                    </w:rPr>
                    <w:t>支持 USB、显示、管理等接口</w:t>
                  </w:r>
                </w:p>
              </w:tc>
            </w:tr>
            <w:tr w14:paraId="64006BD6">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56B4F2FD">
                  <w:pPr>
                    <w:pStyle w:val="209"/>
                    <w:rPr>
                      <w:rFonts w:ascii="仿宋" w:hAnsi="仿宋" w:eastAsia="仿宋" w:cs="仿宋"/>
                      <w:color w:val="auto"/>
                      <w:highlight w:val="none"/>
                    </w:rPr>
                  </w:pPr>
                  <w:r>
                    <w:rPr>
                      <w:rFonts w:hint="eastAsia" w:ascii="仿宋" w:hAnsi="仿宋" w:eastAsia="仿宋" w:cs="仿宋"/>
                      <w:color w:val="auto"/>
                      <w:highlight w:val="none"/>
                    </w:rPr>
                    <w:t>25</w:t>
                  </w:r>
                </w:p>
              </w:tc>
              <w:tc>
                <w:tcPr>
                  <w:tcW w:w="1247" w:type="dxa"/>
                  <w:tcBorders>
                    <w:top w:val="nil"/>
                    <w:left w:val="nil"/>
                    <w:bottom w:val="single" w:color="auto" w:sz="8" w:space="0"/>
                    <w:right w:val="single" w:color="auto" w:sz="8" w:space="0"/>
                  </w:tcBorders>
                  <w:vAlign w:val="center"/>
                </w:tcPr>
                <w:p w14:paraId="4E1FDCA5">
                  <w:pPr>
                    <w:pStyle w:val="209"/>
                    <w:rPr>
                      <w:rFonts w:ascii="仿宋" w:hAnsi="仿宋" w:eastAsia="仿宋" w:cs="仿宋"/>
                      <w:color w:val="auto"/>
                      <w:highlight w:val="none"/>
                    </w:rPr>
                  </w:pPr>
                  <w:r>
                    <w:rPr>
                      <w:rFonts w:hint="eastAsia" w:ascii="仿宋" w:hAnsi="仿宋" w:eastAsia="仿宋" w:cs="仿宋"/>
                      <w:color w:val="auto"/>
                      <w:highlight w:val="none"/>
                    </w:rPr>
                    <w:t>▲网络功能</w:t>
                  </w:r>
                </w:p>
              </w:tc>
              <w:tc>
                <w:tcPr>
                  <w:tcW w:w="1264" w:type="dxa"/>
                  <w:tcBorders>
                    <w:top w:val="nil"/>
                    <w:left w:val="nil"/>
                    <w:bottom w:val="single" w:color="auto" w:sz="8" w:space="0"/>
                    <w:right w:val="single" w:color="auto" w:sz="8" w:space="0"/>
                  </w:tcBorders>
                  <w:vAlign w:val="center"/>
                </w:tcPr>
                <w:p w14:paraId="797CC70F">
                  <w:pPr>
                    <w:pStyle w:val="209"/>
                    <w:rPr>
                      <w:rFonts w:ascii="仿宋" w:hAnsi="仿宋" w:eastAsia="仿宋" w:cs="仿宋"/>
                      <w:color w:val="auto"/>
                      <w:highlight w:val="none"/>
                    </w:rPr>
                  </w:pPr>
                  <w:r>
                    <w:rPr>
                      <w:rFonts w:hint="eastAsia" w:ascii="仿宋" w:hAnsi="仿宋" w:eastAsia="仿宋" w:cs="仿宋"/>
                      <w:color w:val="auto"/>
                      <w:highlight w:val="none"/>
                    </w:rPr>
                    <w:t>▲网络功能</w:t>
                  </w:r>
                </w:p>
              </w:tc>
              <w:tc>
                <w:tcPr>
                  <w:tcW w:w="4443" w:type="dxa"/>
                  <w:tcBorders>
                    <w:top w:val="nil"/>
                    <w:left w:val="nil"/>
                    <w:bottom w:val="single" w:color="auto" w:sz="8" w:space="0"/>
                    <w:right w:val="single" w:color="auto" w:sz="8" w:space="0"/>
                  </w:tcBorders>
                  <w:vAlign w:val="center"/>
                </w:tcPr>
                <w:p w14:paraId="796CAA9F">
                  <w:pPr>
                    <w:pStyle w:val="209"/>
                    <w:rPr>
                      <w:rFonts w:ascii="仿宋" w:hAnsi="仿宋" w:eastAsia="仿宋" w:cs="仿宋"/>
                      <w:color w:val="auto"/>
                      <w:highlight w:val="none"/>
                    </w:rPr>
                  </w:pPr>
                  <w:r>
                    <w:rPr>
                      <w:rFonts w:hint="eastAsia" w:ascii="仿宋" w:hAnsi="仿宋" w:eastAsia="仿宋" w:cs="仿宋"/>
                      <w:color w:val="auto"/>
                      <w:highlight w:val="none"/>
                    </w:rPr>
                    <w:t>支持网络连接、网络访问、数据交换和网络管控功能</w:t>
                  </w:r>
                </w:p>
              </w:tc>
            </w:tr>
            <w:tr w14:paraId="40DE041C">
              <w:tblPrEx>
                <w:tblCellMar>
                  <w:top w:w="0" w:type="dxa"/>
                  <w:left w:w="108" w:type="dxa"/>
                  <w:bottom w:w="0" w:type="dxa"/>
                  <w:right w:w="108" w:type="dxa"/>
                </w:tblCellMar>
              </w:tblPrEx>
              <w:trPr>
                <w:trHeight w:val="1884" w:hRule="atLeast"/>
                <w:jc w:val="center"/>
              </w:trPr>
              <w:tc>
                <w:tcPr>
                  <w:tcW w:w="865" w:type="dxa"/>
                  <w:tcBorders>
                    <w:top w:val="nil"/>
                    <w:left w:val="single" w:color="auto" w:sz="8" w:space="0"/>
                    <w:bottom w:val="single" w:color="auto" w:sz="8" w:space="0"/>
                    <w:right w:val="single" w:color="auto" w:sz="8" w:space="0"/>
                  </w:tcBorders>
                  <w:vAlign w:val="center"/>
                </w:tcPr>
                <w:p w14:paraId="6CA1D6A6">
                  <w:pPr>
                    <w:pStyle w:val="209"/>
                    <w:rPr>
                      <w:rFonts w:ascii="仿宋" w:hAnsi="仿宋" w:eastAsia="仿宋" w:cs="仿宋"/>
                      <w:color w:val="auto"/>
                      <w:highlight w:val="none"/>
                    </w:rPr>
                  </w:pPr>
                  <w:r>
                    <w:rPr>
                      <w:rFonts w:hint="eastAsia" w:ascii="仿宋" w:hAnsi="仿宋" w:eastAsia="仿宋" w:cs="仿宋"/>
                      <w:color w:val="auto"/>
                      <w:highlight w:val="none"/>
                    </w:rPr>
                    <w:t>26</w:t>
                  </w:r>
                </w:p>
              </w:tc>
              <w:tc>
                <w:tcPr>
                  <w:tcW w:w="1247" w:type="dxa"/>
                  <w:vMerge w:val="restart"/>
                  <w:tcBorders>
                    <w:top w:val="nil"/>
                    <w:left w:val="single" w:color="auto" w:sz="8" w:space="0"/>
                    <w:bottom w:val="single" w:color="000000" w:sz="8" w:space="0"/>
                    <w:right w:val="single" w:color="auto" w:sz="8" w:space="0"/>
                  </w:tcBorders>
                  <w:vAlign w:val="center"/>
                </w:tcPr>
                <w:p w14:paraId="6985F411">
                  <w:pPr>
                    <w:pStyle w:val="209"/>
                    <w:rPr>
                      <w:rFonts w:ascii="仿宋" w:hAnsi="仿宋" w:eastAsia="仿宋" w:cs="仿宋"/>
                      <w:color w:val="auto"/>
                      <w:highlight w:val="none"/>
                    </w:rPr>
                  </w:pPr>
                  <w:r>
                    <w:rPr>
                      <w:rFonts w:hint="eastAsia" w:ascii="仿宋" w:hAnsi="仿宋" w:eastAsia="仿宋" w:cs="仿宋"/>
                      <w:color w:val="auto"/>
                      <w:highlight w:val="none"/>
                    </w:rPr>
                    <w:t>▲CPU功能</w:t>
                  </w:r>
                </w:p>
              </w:tc>
              <w:tc>
                <w:tcPr>
                  <w:tcW w:w="1264" w:type="dxa"/>
                  <w:tcBorders>
                    <w:top w:val="nil"/>
                    <w:left w:val="nil"/>
                    <w:bottom w:val="single" w:color="auto" w:sz="8" w:space="0"/>
                    <w:right w:val="single" w:color="auto" w:sz="8" w:space="0"/>
                  </w:tcBorders>
                  <w:vAlign w:val="center"/>
                </w:tcPr>
                <w:p w14:paraId="6AE9996D">
                  <w:pPr>
                    <w:pStyle w:val="209"/>
                    <w:rPr>
                      <w:rFonts w:ascii="仿宋" w:hAnsi="仿宋" w:eastAsia="仿宋" w:cs="仿宋"/>
                      <w:color w:val="auto"/>
                      <w:highlight w:val="none"/>
                    </w:rPr>
                  </w:pPr>
                  <w:r>
                    <w:rPr>
                      <w:rFonts w:hint="eastAsia" w:ascii="仿宋" w:hAnsi="仿宋" w:eastAsia="仿宋" w:cs="仿宋"/>
                      <w:color w:val="auto"/>
                      <w:highlight w:val="none"/>
                    </w:rPr>
                    <w:t>▲计算处理</w:t>
                  </w:r>
                </w:p>
              </w:tc>
              <w:tc>
                <w:tcPr>
                  <w:tcW w:w="4443" w:type="dxa"/>
                  <w:tcBorders>
                    <w:top w:val="nil"/>
                    <w:left w:val="nil"/>
                    <w:bottom w:val="single" w:color="auto" w:sz="8" w:space="0"/>
                    <w:right w:val="single" w:color="auto" w:sz="8" w:space="0"/>
                  </w:tcBorders>
                  <w:vAlign w:val="center"/>
                </w:tcPr>
                <w:p w14:paraId="75BDE33A">
                  <w:pPr>
                    <w:pStyle w:val="209"/>
                    <w:rPr>
                      <w:rFonts w:ascii="仿宋" w:hAnsi="仿宋" w:eastAsia="仿宋" w:cs="仿宋"/>
                      <w:color w:val="auto"/>
                      <w:highlight w:val="none"/>
                    </w:rPr>
                  </w:pPr>
                  <w:r>
                    <w:rPr>
                      <w:rFonts w:hint="eastAsia" w:ascii="仿宋" w:hAnsi="仿宋" w:eastAsia="仿宋" w:cs="仿宋"/>
                      <w:color w:val="auto"/>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243AC852">
              <w:tblPrEx>
                <w:tblCellMar>
                  <w:top w:w="0" w:type="dxa"/>
                  <w:left w:w="108" w:type="dxa"/>
                  <w:bottom w:w="0" w:type="dxa"/>
                  <w:right w:w="108" w:type="dxa"/>
                </w:tblCellMar>
              </w:tblPrEx>
              <w:trPr>
                <w:trHeight w:val="948" w:hRule="atLeast"/>
                <w:jc w:val="center"/>
              </w:trPr>
              <w:tc>
                <w:tcPr>
                  <w:tcW w:w="865" w:type="dxa"/>
                  <w:tcBorders>
                    <w:top w:val="nil"/>
                    <w:left w:val="single" w:color="auto" w:sz="8" w:space="0"/>
                    <w:bottom w:val="single" w:color="auto" w:sz="8" w:space="0"/>
                    <w:right w:val="single" w:color="auto" w:sz="8" w:space="0"/>
                  </w:tcBorders>
                  <w:vAlign w:val="center"/>
                </w:tcPr>
                <w:p w14:paraId="0AF9EC40">
                  <w:pPr>
                    <w:pStyle w:val="209"/>
                    <w:rPr>
                      <w:rFonts w:ascii="仿宋" w:hAnsi="仿宋" w:eastAsia="仿宋" w:cs="仿宋"/>
                      <w:color w:val="auto"/>
                      <w:highlight w:val="none"/>
                    </w:rPr>
                  </w:pPr>
                  <w:r>
                    <w:rPr>
                      <w:rFonts w:hint="eastAsia" w:ascii="仿宋" w:hAnsi="仿宋" w:eastAsia="仿宋" w:cs="仿宋"/>
                      <w:color w:val="auto"/>
                      <w:highlight w:val="none"/>
                    </w:rPr>
                    <w:t>27</w:t>
                  </w:r>
                </w:p>
              </w:tc>
              <w:tc>
                <w:tcPr>
                  <w:tcW w:w="1247" w:type="dxa"/>
                  <w:vMerge w:val="continue"/>
                  <w:tcBorders>
                    <w:top w:val="nil"/>
                    <w:left w:val="single" w:color="auto" w:sz="8" w:space="0"/>
                    <w:bottom w:val="single" w:color="000000" w:sz="8" w:space="0"/>
                    <w:right w:val="single" w:color="auto" w:sz="8" w:space="0"/>
                  </w:tcBorders>
                  <w:vAlign w:val="center"/>
                </w:tcPr>
                <w:p w14:paraId="4191F721">
                  <w:pPr>
                    <w:rPr>
                      <w:highlight w:val="none"/>
                    </w:rPr>
                  </w:pPr>
                </w:p>
              </w:tc>
              <w:tc>
                <w:tcPr>
                  <w:tcW w:w="1264" w:type="dxa"/>
                  <w:tcBorders>
                    <w:top w:val="nil"/>
                    <w:left w:val="nil"/>
                    <w:bottom w:val="single" w:color="auto" w:sz="8" w:space="0"/>
                    <w:right w:val="single" w:color="auto" w:sz="8" w:space="0"/>
                  </w:tcBorders>
                  <w:vAlign w:val="center"/>
                </w:tcPr>
                <w:p w14:paraId="4ACDBEA8">
                  <w:pPr>
                    <w:pStyle w:val="209"/>
                    <w:rPr>
                      <w:rFonts w:ascii="仿宋" w:hAnsi="仿宋" w:eastAsia="仿宋" w:cs="仿宋"/>
                      <w:color w:val="auto"/>
                      <w:highlight w:val="none"/>
                    </w:rPr>
                  </w:pPr>
                  <w:r>
                    <w:rPr>
                      <w:rFonts w:hint="eastAsia" w:ascii="仿宋" w:hAnsi="仿宋" w:eastAsia="仿宋" w:cs="仿宋"/>
                      <w:color w:val="auto"/>
                      <w:highlight w:val="none"/>
                    </w:rPr>
                    <w:t>▲密码算法实现</w:t>
                  </w:r>
                </w:p>
              </w:tc>
              <w:tc>
                <w:tcPr>
                  <w:tcW w:w="4443" w:type="dxa"/>
                  <w:tcBorders>
                    <w:top w:val="nil"/>
                    <w:left w:val="nil"/>
                    <w:bottom w:val="single" w:color="auto" w:sz="8" w:space="0"/>
                    <w:right w:val="single" w:color="auto" w:sz="8" w:space="0"/>
                  </w:tcBorders>
                  <w:vAlign w:val="center"/>
                </w:tcPr>
                <w:p w14:paraId="79825B24">
                  <w:pPr>
                    <w:pStyle w:val="209"/>
                    <w:rPr>
                      <w:rFonts w:ascii="仿宋" w:hAnsi="仿宋" w:eastAsia="仿宋" w:cs="仿宋"/>
                      <w:color w:val="auto"/>
                      <w:highlight w:val="none"/>
                    </w:rPr>
                  </w:pPr>
                  <w:r>
                    <w:rPr>
                      <w:rFonts w:hint="eastAsia" w:ascii="仿宋" w:hAnsi="仿宋" w:eastAsia="仿宋" w:cs="仿宋"/>
                      <w:color w:val="auto"/>
                      <w:highlight w:val="none"/>
                    </w:rPr>
                    <w:t>CPU 芯片应符合 GM/T 0008 的相关规定，或芯片密码模块应符合 GB/T37092 或 GM/T 0028 的相关规定</w:t>
                  </w:r>
                </w:p>
              </w:tc>
            </w:tr>
            <w:tr w14:paraId="1825096A">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41549673">
                  <w:pPr>
                    <w:pStyle w:val="209"/>
                    <w:rPr>
                      <w:rFonts w:ascii="仿宋" w:hAnsi="仿宋" w:eastAsia="仿宋" w:cs="仿宋"/>
                      <w:color w:val="auto"/>
                      <w:highlight w:val="none"/>
                    </w:rPr>
                  </w:pPr>
                  <w:r>
                    <w:rPr>
                      <w:rFonts w:hint="eastAsia" w:ascii="仿宋" w:hAnsi="仿宋" w:eastAsia="仿宋" w:cs="仿宋"/>
                      <w:color w:val="auto"/>
                      <w:highlight w:val="none"/>
                    </w:rPr>
                    <w:t>28</w:t>
                  </w:r>
                </w:p>
              </w:tc>
              <w:tc>
                <w:tcPr>
                  <w:tcW w:w="1247" w:type="dxa"/>
                  <w:vMerge w:val="restart"/>
                  <w:tcBorders>
                    <w:top w:val="nil"/>
                    <w:left w:val="single" w:color="auto" w:sz="8" w:space="0"/>
                    <w:bottom w:val="single" w:color="000000" w:sz="8" w:space="0"/>
                    <w:right w:val="single" w:color="auto" w:sz="8" w:space="0"/>
                  </w:tcBorders>
                  <w:vAlign w:val="center"/>
                </w:tcPr>
                <w:p w14:paraId="19E08D5C">
                  <w:pPr>
                    <w:pStyle w:val="209"/>
                    <w:rPr>
                      <w:rFonts w:ascii="仿宋" w:hAnsi="仿宋" w:eastAsia="仿宋" w:cs="仿宋"/>
                      <w:color w:val="auto"/>
                      <w:highlight w:val="none"/>
                    </w:rPr>
                  </w:pPr>
                  <w:r>
                    <w:rPr>
                      <w:rFonts w:hint="eastAsia" w:ascii="仿宋" w:hAnsi="仿宋" w:eastAsia="仿宋" w:cs="仿宋"/>
                      <w:color w:val="auto"/>
                      <w:highlight w:val="none"/>
                    </w:rPr>
                    <w:t>▲电源功能</w:t>
                  </w:r>
                </w:p>
              </w:tc>
              <w:tc>
                <w:tcPr>
                  <w:tcW w:w="1264" w:type="dxa"/>
                  <w:tcBorders>
                    <w:top w:val="nil"/>
                    <w:left w:val="nil"/>
                    <w:bottom w:val="single" w:color="auto" w:sz="8" w:space="0"/>
                    <w:right w:val="single" w:color="auto" w:sz="8" w:space="0"/>
                  </w:tcBorders>
                  <w:vAlign w:val="center"/>
                </w:tcPr>
                <w:p w14:paraId="2DB24BB0">
                  <w:pPr>
                    <w:pStyle w:val="209"/>
                    <w:rPr>
                      <w:rFonts w:ascii="仿宋" w:hAnsi="仿宋" w:eastAsia="仿宋" w:cs="仿宋"/>
                      <w:color w:val="auto"/>
                      <w:highlight w:val="none"/>
                    </w:rPr>
                  </w:pPr>
                  <w:r>
                    <w:rPr>
                      <w:rFonts w:hint="eastAsia" w:ascii="仿宋" w:hAnsi="仿宋" w:eastAsia="仿宋" w:cs="仿宋"/>
                      <w:color w:val="auto"/>
                      <w:highlight w:val="none"/>
                    </w:rPr>
                    <w:t>▲电源热插拔</w:t>
                  </w:r>
                </w:p>
              </w:tc>
              <w:tc>
                <w:tcPr>
                  <w:tcW w:w="4443" w:type="dxa"/>
                  <w:tcBorders>
                    <w:top w:val="nil"/>
                    <w:left w:val="nil"/>
                    <w:bottom w:val="single" w:color="auto" w:sz="8" w:space="0"/>
                    <w:right w:val="single" w:color="auto" w:sz="8" w:space="0"/>
                  </w:tcBorders>
                  <w:vAlign w:val="center"/>
                </w:tcPr>
                <w:p w14:paraId="34E56F45">
                  <w:pPr>
                    <w:pStyle w:val="209"/>
                    <w:rPr>
                      <w:rFonts w:ascii="仿宋" w:hAnsi="仿宋" w:eastAsia="仿宋" w:cs="仿宋"/>
                      <w:color w:val="auto"/>
                      <w:highlight w:val="none"/>
                    </w:rPr>
                  </w:pPr>
                  <w:r>
                    <w:rPr>
                      <w:rFonts w:hint="eastAsia" w:ascii="仿宋" w:hAnsi="仿宋" w:eastAsia="仿宋" w:cs="仿宋"/>
                      <w:color w:val="auto"/>
                      <w:highlight w:val="none"/>
                    </w:rPr>
                    <w:t>整机电源模块应具备热插拔功能</w:t>
                  </w:r>
                </w:p>
              </w:tc>
            </w:tr>
            <w:tr w14:paraId="6EC945D3">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71DBED19">
                  <w:pPr>
                    <w:pStyle w:val="209"/>
                    <w:rPr>
                      <w:rFonts w:ascii="仿宋" w:hAnsi="仿宋" w:eastAsia="仿宋" w:cs="仿宋"/>
                      <w:color w:val="auto"/>
                      <w:highlight w:val="none"/>
                    </w:rPr>
                  </w:pPr>
                  <w:r>
                    <w:rPr>
                      <w:rFonts w:hint="eastAsia" w:ascii="仿宋" w:hAnsi="仿宋" w:eastAsia="仿宋" w:cs="仿宋"/>
                      <w:color w:val="auto"/>
                      <w:highlight w:val="none"/>
                    </w:rPr>
                    <w:t>29</w:t>
                  </w:r>
                </w:p>
              </w:tc>
              <w:tc>
                <w:tcPr>
                  <w:tcW w:w="1247" w:type="dxa"/>
                  <w:vMerge w:val="continue"/>
                  <w:tcBorders>
                    <w:top w:val="nil"/>
                    <w:left w:val="single" w:color="auto" w:sz="8" w:space="0"/>
                    <w:bottom w:val="single" w:color="000000" w:sz="8" w:space="0"/>
                    <w:right w:val="single" w:color="auto" w:sz="8" w:space="0"/>
                  </w:tcBorders>
                  <w:vAlign w:val="center"/>
                </w:tcPr>
                <w:p w14:paraId="2C0F104A">
                  <w:pPr>
                    <w:rPr>
                      <w:highlight w:val="none"/>
                    </w:rPr>
                  </w:pPr>
                </w:p>
              </w:tc>
              <w:tc>
                <w:tcPr>
                  <w:tcW w:w="1264" w:type="dxa"/>
                  <w:tcBorders>
                    <w:top w:val="nil"/>
                    <w:left w:val="nil"/>
                    <w:bottom w:val="single" w:color="auto" w:sz="8" w:space="0"/>
                    <w:right w:val="single" w:color="auto" w:sz="8" w:space="0"/>
                  </w:tcBorders>
                  <w:vAlign w:val="center"/>
                </w:tcPr>
                <w:p w14:paraId="388D7700">
                  <w:pPr>
                    <w:pStyle w:val="209"/>
                    <w:rPr>
                      <w:rFonts w:ascii="仿宋" w:hAnsi="仿宋" w:eastAsia="仿宋" w:cs="仿宋"/>
                      <w:color w:val="auto"/>
                      <w:highlight w:val="none"/>
                    </w:rPr>
                  </w:pPr>
                  <w:r>
                    <w:rPr>
                      <w:rFonts w:hint="eastAsia" w:ascii="仿宋" w:hAnsi="仿宋" w:eastAsia="仿宋" w:cs="仿宋"/>
                      <w:color w:val="auto"/>
                      <w:highlight w:val="none"/>
                    </w:rPr>
                    <w:t>▲电源过流保护</w:t>
                  </w:r>
                </w:p>
              </w:tc>
              <w:tc>
                <w:tcPr>
                  <w:tcW w:w="4443" w:type="dxa"/>
                  <w:tcBorders>
                    <w:top w:val="nil"/>
                    <w:left w:val="nil"/>
                    <w:bottom w:val="single" w:color="auto" w:sz="8" w:space="0"/>
                    <w:right w:val="single" w:color="auto" w:sz="8" w:space="0"/>
                  </w:tcBorders>
                  <w:vAlign w:val="center"/>
                </w:tcPr>
                <w:p w14:paraId="2732B1B9">
                  <w:pPr>
                    <w:pStyle w:val="209"/>
                    <w:rPr>
                      <w:rFonts w:ascii="仿宋" w:hAnsi="仿宋" w:eastAsia="仿宋" w:cs="仿宋"/>
                      <w:color w:val="auto"/>
                      <w:highlight w:val="none"/>
                    </w:rPr>
                  </w:pPr>
                  <w:r>
                    <w:rPr>
                      <w:rFonts w:hint="eastAsia" w:ascii="仿宋" w:hAnsi="仿宋" w:eastAsia="仿宋" w:cs="仿宋"/>
                      <w:color w:val="auto"/>
                      <w:highlight w:val="none"/>
                    </w:rPr>
                    <w:t>支持过流及短路保护的功能</w:t>
                  </w:r>
                </w:p>
              </w:tc>
            </w:tr>
            <w:tr w14:paraId="4AC49330">
              <w:tblPrEx>
                <w:tblCellMar>
                  <w:top w:w="0" w:type="dxa"/>
                  <w:left w:w="108" w:type="dxa"/>
                  <w:bottom w:w="0" w:type="dxa"/>
                  <w:right w:w="108" w:type="dxa"/>
                </w:tblCellMar>
              </w:tblPrEx>
              <w:trPr>
                <w:trHeight w:val="324" w:hRule="atLeast"/>
                <w:jc w:val="center"/>
              </w:trPr>
              <w:tc>
                <w:tcPr>
                  <w:tcW w:w="865" w:type="dxa"/>
                  <w:tcBorders>
                    <w:top w:val="nil"/>
                    <w:left w:val="single" w:color="auto" w:sz="8" w:space="0"/>
                    <w:bottom w:val="single" w:color="auto" w:sz="8" w:space="0"/>
                    <w:right w:val="single" w:color="auto" w:sz="8" w:space="0"/>
                  </w:tcBorders>
                  <w:vAlign w:val="center"/>
                </w:tcPr>
                <w:p w14:paraId="50B64DD4">
                  <w:pPr>
                    <w:pStyle w:val="209"/>
                    <w:rPr>
                      <w:rFonts w:ascii="仿宋" w:hAnsi="仿宋" w:eastAsia="仿宋" w:cs="仿宋"/>
                      <w:color w:val="auto"/>
                      <w:highlight w:val="none"/>
                    </w:rPr>
                  </w:pPr>
                  <w:r>
                    <w:rPr>
                      <w:rFonts w:hint="eastAsia" w:ascii="仿宋" w:hAnsi="仿宋" w:eastAsia="仿宋" w:cs="仿宋"/>
                      <w:color w:val="auto"/>
                      <w:highlight w:val="none"/>
                    </w:rPr>
                    <w:t>30</w:t>
                  </w:r>
                </w:p>
              </w:tc>
              <w:tc>
                <w:tcPr>
                  <w:tcW w:w="1247" w:type="dxa"/>
                  <w:tcBorders>
                    <w:top w:val="nil"/>
                    <w:left w:val="nil"/>
                    <w:bottom w:val="single" w:color="auto" w:sz="8" w:space="0"/>
                    <w:right w:val="single" w:color="auto" w:sz="8" w:space="0"/>
                  </w:tcBorders>
                  <w:vAlign w:val="center"/>
                </w:tcPr>
                <w:p w14:paraId="729104EB">
                  <w:pPr>
                    <w:pStyle w:val="209"/>
                    <w:rPr>
                      <w:rFonts w:ascii="仿宋" w:hAnsi="仿宋" w:eastAsia="仿宋" w:cs="仿宋"/>
                      <w:color w:val="auto"/>
                      <w:highlight w:val="none"/>
                    </w:rPr>
                  </w:pPr>
                  <w:r>
                    <w:rPr>
                      <w:rFonts w:hint="eastAsia" w:ascii="仿宋" w:hAnsi="仿宋" w:eastAsia="仿宋" w:cs="仿宋"/>
                      <w:color w:val="auto"/>
                      <w:highlight w:val="none"/>
                    </w:rPr>
                    <w:t>▲整机功能</w:t>
                  </w:r>
                </w:p>
              </w:tc>
              <w:tc>
                <w:tcPr>
                  <w:tcW w:w="1264" w:type="dxa"/>
                  <w:tcBorders>
                    <w:top w:val="nil"/>
                    <w:left w:val="nil"/>
                    <w:bottom w:val="single" w:color="auto" w:sz="8" w:space="0"/>
                    <w:right w:val="single" w:color="auto" w:sz="8" w:space="0"/>
                  </w:tcBorders>
                  <w:vAlign w:val="center"/>
                </w:tcPr>
                <w:p w14:paraId="55059FA7">
                  <w:pPr>
                    <w:pStyle w:val="209"/>
                    <w:rPr>
                      <w:rFonts w:ascii="仿宋" w:hAnsi="仿宋" w:eastAsia="仿宋" w:cs="仿宋"/>
                      <w:color w:val="auto"/>
                      <w:highlight w:val="none"/>
                    </w:rPr>
                  </w:pPr>
                  <w:r>
                    <w:rPr>
                      <w:rFonts w:hint="eastAsia" w:ascii="仿宋" w:hAnsi="仿宋" w:eastAsia="仿宋" w:cs="仿宋"/>
                      <w:color w:val="auto"/>
                      <w:highlight w:val="none"/>
                    </w:rPr>
                    <w:t>▲散热方式</w:t>
                  </w:r>
                </w:p>
              </w:tc>
              <w:tc>
                <w:tcPr>
                  <w:tcW w:w="4443" w:type="dxa"/>
                  <w:tcBorders>
                    <w:top w:val="nil"/>
                    <w:left w:val="nil"/>
                    <w:bottom w:val="single" w:color="auto" w:sz="8" w:space="0"/>
                    <w:right w:val="single" w:color="auto" w:sz="8" w:space="0"/>
                  </w:tcBorders>
                  <w:vAlign w:val="center"/>
                </w:tcPr>
                <w:p w14:paraId="6EC8D0E4">
                  <w:pPr>
                    <w:pStyle w:val="209"/>
                    <w:rPr>
                      <w:rFonts w:ascii="仿宋" w:hAnsi="仿宋" w:eastAsia="仿宋" w:cs="仿宋"/>
                      <w:color w:val="auto"/>
                      <w:highlight w:val="none"/>
                    </w:rPr>
                  </w:pPr>
                  <w:r>
                    <w:rPr>
                      <w:rFonts w:hint="eastAsia" w:ascii="仿宋" w:hAnsi="仿宋" w:eastAsia="仿宋" w:cs="仿宋"/>
                      <w:color w:val="auto"/>
                      <w:highlight w:val="none"/>
                    </w:rPr>
                    <w:t>支持风冷或液冷等散热方式</w:t>
                  </w:r>
                </w:p>
              </w:tc>
            </w:tr>
            <w:tr w14:paraId="1E1FA16A">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0DFA7729">
                  <w:pPr>
                    <w:pStyle w:val="209"/>
                    <w:rPr>
                      <w:rFonts w:ascii="仿宋" w:hAnsi="仿宋" w:eastAsia="仿宋" w:cs="仿宋"/>
                      <w:color w:val="auto"/>
                      <w:highlight w:val="none"/>
                    </w:rPr>
                  </w:pPr>
                  <w:r>
                    <w:rPr>
                      <w:rFonts w:hint="eastAsia" w:ascii="仿宋" w:hAnsi="仿宋" w:eastAsia="仿宋" w:cs="仿宋"/>
                      <w:color w:val="auto"/>
                      <w:highlight w:val="none"/>
                    </w:rPr>
                    <w:t>31</w:t>
                  </w:r>
                </w:p>
              </w:tc>
              <w:tc>
                <w:tcPr>
                  <w:tcW w:w="1247" w:type="dxa"/>
                  <w:vMerge w:val="restart"/>
                  <w:tcBorders>
                    <w:top w:val="nil"/>
                    <w:left w:val="single" w:color="auto" w:sz="8" w:space="0"/>
                    <w:bottom w:val="single" w:color="000000" w:sz="8" w:space="0"/>
                    <w:right w:val="single" w:color="auto" w:sz="8" w:space="0"/>
                  </w:tcBorders>
                  <w:vAlign w:val="center"/>
                </w:tcPr>
                <w:p w14:paraId="7308B932">
                  <w:pPr>
                    <w:pStyle w:val="209"/>
                    <w:rPr>
                      <w:rFonts w:ascii="仿宋" w:hAnsi="仿宋" w:eastAsia="仿宋" w:cs="仿宋"/>
                      <w:color w:val="auto"/>
                      <w:highlight w:val="none"/>
                    </w:rPr>
                  </w:pPr>
                  <w:r>
                    <w:rPr>
                      <w:rFonts w:hint="eastAsia" w:ascii="仿宋" w:hAnsi="仿宋" w:eastAsia="仿宋" w:cs="仿宋"/>
                      <w:color w:val="auto"/>
                      <w:highlight w:val="none"/>
                    </w:rPr>
                    <w:t>▲管理系统功能</w:t>
                  </w:r>
                </w:p>
              </w:tc>
              <w:tc>
                <w:tcPr>
                  <w:tcW w:w="1264" w:type="dxa"/>
                  <w:tcBorders>
                    <w:top w:val="nil"/>
                    <w:left w:val="nil"/>
                    <w:bottom w:val="single" w:color="auto" w:sz="8" w:space="0"/>
                    <w:right w:val="single" w:color="auto" w:sz="8" w:space="0"/>
                  </w:tcBorders>
                  <w:vAlign w:val="center"/>
                </w:tcPr>
                <w:p w14:paraId="2AC8DF3A">
                  <w:pPr>
                    <w:pStyle w:val="209"/>
                    <w:rPr>
                      <w:rFonts w:ascii="仿宋" w:hAnsi="仿宋" w:eastAsia="仿宋" w:cs="仿宋"/>
                      <w:color w:val="auto"/>
                      <w:highlight w:val="none"/>
                    </w:rPr>
                  </w:pPr>
                  <w:r>
                    <w:rPr>
                      <w:rFonts w:hint="eastAsia" w:ascii="仿宋" w:hAnsi="仿宋" w:eastAsia="仿宋" w:cs="仿宋"/>
                      <w:color w:val="auto"/>
                      <w:highlight w:val="none"/>
                    </w:rPr>
                    <w:t>▲BMC 固件基础功能</w:t>
                  </w:r>
                </w:p>
              </w:tc>
              <w:tc>
                <w:tcPr>
                  <w:tcW w:w="4443" w:type="dxa"/>
                  <w:tcBorders>
                    <w:top w:val="nil"/>
                    <w:left w:val="nil"/>
                    <w:bottom w:val="single" w:color="auto" w:sz="8" w:space="0"/>
                    <w:right w:val="single" w:color="auto" w:sz="8" w:space="0"/>
                  </w:tcBorders>
                  <w:vAlign w:val="center"/>
                </w:tcPr>
                <w:p w14:paraId="0AA25A88">
                  <w:pPr>
                    <w:pStyle w:val="209"/>
                    <w:rPr>
                      <w:rFonts w:ascii="仿宋" w:hAnsi="仿宋" w:eastAsia="仿宋" w:cs="仿宋"/>
                      <w:color w:val="auto"/>
                      <w:highlight w:val="none"/>
                    </w:rPr>
                  </w:pPr>
                  <w:r>
                    <w:rPr>
                      <w:rFonts w:hint="eastAsia" w:ascii="仿宋" w:hAnsi="仿宋" w:eastAsia="仿宋" w:cs="仿宋"/>
                      <w:color w:val="auto"/>
                      <w:highlight w:val="none"/>
                    </w:rPr>
                    <w:t>1) 支持 DHCP 设置网络功能；</w:t>
                  </w:r>
                </w:p>
                <w:p w14:paraId="2C981F3A">
                  <w:pPr>
                    <w:pStyle w:val="209"/>
                    <w:rPr>
                      <w:rFonts w:ascii="仿宋" w:hAnsi="仿宋" w:eastAsia="仿宋" w:cs="仿宋"/>
                      <w:color w:val="auto"/>
                      <w:highlight w:val="none"/>
                    </w:rPr>
                  </w:pPr>
                  <w:r>
                    <w:rPr>
                      <w:rFonts w:hint="eastAsia" w:ascii="仿宋" w:hAnsi="仿宋" w:eastAsia="仿宋" w:cs="仿宋"/>
                      <w:color w:val="auto"/>
                      <w:highlight w:val="none"/>
                    </w:rPr>
                    <w:t>2)支持静态 IP 设置网络功能；</w:t>
                  </w:r>
                </w:p>
                <w:p w14:paraId="7691012A">
                  <w:pPr>
                    <w:pStyle w:val="209"/>
                    <w:rPr>
                      <w:rFonts w:ascii="仿宋" w:hAnsi="仿宋" w:eastAsia="仿宋" w:cs="仿宋"/>
                      <w:color w:val="auto"/>
                      <w:highlight w:val="none"/>
                    </w:rPr>
                  </w:pPr>
                  <w:r>
                    <w:rPr>
                      <w:rFonts w:hint="eastAsia" w:ascii="仿宋" w:hAnsi="仿宋" w:eastAsia="仿宋" w:cs="仿宋"/>
                      <w:color w:val="auto"/>
                      <w:highlight w:val="none"/>
                    </w:rPr>
                    <w:t>3)支持设备日志记录，包括但不限于登录日志、操作日志和报警日志等功能；</w:t>
                  </w:r>
                </w:p>
                <w:p w14:paraId="14B399BA">
                  <w:pPr>
                    <w:pStyle w:val="209"/>
                    <w:rPr>
                      <w:rFonts w:ascii="仿宋" w:hAnsi="仿宋" w:eastAsia="仿宋" w:cs="仿宋"/>
                      <w:color w:val="auto"/>
                      <w:highlight w:val="none"/>
                    </w:rPr>
                  </w:pPr>
                  <w:r>
                    <w:rPr>
                      <w:rFonts w:hint="eastAsia" w:ascii="仿宋" w:hAnsi="仿宋" w:eastAsia="仿宋" w:cs="仿宋"/>
                      <w:color w:val="auto"/>
                      <w:highlight w:val="none"/>
                    </w:rPr>
                    <w:t>4)支持日志信息导出和记录删除功能；</w:t>
                  </w:r>
                </w:p>
                <w:p w14:paraId="362BF4E0">
                  <w:pPr>
                    <w:pStyle w:val="209"/>
                    <w:rPr>
                      <w:rFonts w:ascii="仿宋" w:hAnsi="仿宋" w:eastAsia="仿宋" w:cs="仿宋"/>
                      <w:color w:val="auto"/>
                      <w:highlight w:val="none"/>
                    </w:rPr>
                  </w:pPr>
                  <w:r>
                    <w:rPr>
                      <w:rFonts w:hint="eastAsia" w:ascii="仿宋" w:hAnsi="仿宋" w:eastAsia="仿宋" w:cs="仿宋"/>
                      <w:color w:val="auto"/>
                      <w:highlight w:val="none"/>
                    </w:rPr>
                    <w:t>5)支持通过管理接口向外输出准确的报警信息功能；</w:t>
                  </w:r>
                </w:p>
                <w:p w14:paraId="24C3B2D6">
                  <w:pPr>
                    <w:pStyle w:val="209"/>
                    <w:rPr>
                      <w:rFonts w:ascii="仿宋" w:hAnsi="仿宋" w:eastAsia="仿宋" w:cs="仿宋"/>
                      <w:color w:val="auto"/>
                      <w:highlight w:val="none"/>
                    </w:rPr>
                  </w:pPr>
                  <w:r>
                    <w:rPr>
                      <w:rFonts w:hint="eastAsia" w:ascii="仿宋" w:hAnsi="仿宋" w:eastAsia="仿宋" w:cs="仿宋"/>
                      <w:color w:val="auto"/>
                      <w:highlight w:val="none"/>
                    </w:rPr>
                    <w:t>6)设备的 BMC 管理软件应能够按报警的严重程度进行区分；</w:t>
                  </w:r>
                </w:p>
                <w:p w14:paraId="7265DDCD">
                  <w:pPr>
                    <w:pStyle w:val="209"/>
                    <w:rPr>
                      <w:rFonts w:ascii="仿宋" w:hAnsi="仿宋" w:eastAsia="仿宋" w:cs="仿宋"/>
                      <w:color w:val="auto"/>
                      <w:highlight w:val="none"/>
                    </w:rPr>
                  </w:pPr>
                  <w:r>
                    <w:rPr>
                      <w:rFonts w:hint="eastAsia" w:ascii="仿宋" w:hAnsi="仿宋" w:eastAsia="仿宋" w:cs="仿宋"/>
                      <w:color w:val="auto"/>
                      <w:highlight w:val="none"/>
                    </w:rPr>
                    <w:t>7)支持 IPMI2.0、SNMP 或 Redfish等接口功能；</w:t>
                  </w:r>
                </w:p>
                <w:p w14:paraId="28479D79">
                  <w:pPr>
                    <w:pStyle w:val="209"/>
                    <w:rPr>
                      <w:rFonts w:ascii="仿宋" w:hAnsi="仿宋" w:eastAsia="仿宋" w:cs="仿宋"/>
                      <w:color w:val="auto"/>
                      <w:highlight w:val="none"/>
                    </w:rPr>
                  </w:pPr>
                  <w:r>
                    <w:rPr>
                      <w:rFonts w:hint="eastAsia" w:ascii="仿宋" w:hAnsi="仿宋" w:eastAsia="仿宋" w:cs="仿宋"/>
                      <w:color w:val="auto"/>
                      <w:highlight w:val="none"/>
                    </w:rPr>
                    <w:t>8)支持键盘、鼠标和视频的重定向、文本控制台的重定向、远程虚拟媒体、高可靠的硬件监控和管理功能；</w:t>
                  </w:r>
                </w:p>
                <w:p w14:paraId="16B4CF64">
                  <w:pPr>
                    <w:pStyle w:val="209"/>
                    <w:rPr>
                      <w:rFonts w:ascii="仿宋" w:hAnsi="仿宋" w:eastAsia="仿宋" w:cs="仿宋"/>
                      <w:color w:val="auto"/>
                      <w:highlight w:val="none"/>
                    </w:rPr>
                  </w:pPr>
                  <w:r>
                    <w:rPr>
                      <w:rFonts w:hint="eastAsia" w:ascii="仿宋" w:hAnsi="仿宋" w:eastAsia="仿宋" w:cs="仿宋"/>
                      <w:color w:val="auto"/>
                      <w:highlight w:val="none"/>
                    </w:rPr>
                    <w:t>9)支持基于网络开启、关闭和重启设备的功能，并查询当前设备开机运行状态；</w:t>
                  </w:r>
                </w:p>
                <w:p w14:paraId="35770DA1">
                  <w:pPr>
                    <w:pStyle w:val="209"/>
                    <w:rPr>
                      <w:rFonts w:ascii="仿宋" w:hAnsi="仿宋" w:eastAsia="仿宋" w:cs="仿宋"/>
                      <w:color w:val="auto"/>
                      <w:highlight w:val="none"/>
                    </w:rPr>
                  </w:pPr>
                  <w:r>
                    <w:rPr>
                      <w:rFonts w:hint="eastAsia" w:ascii="仿宋" w:hAnsi="仿宋" w:eastAsia="仿宋" w:cs="仿宋"/>
                      <w:color w:val="auto"/>
                      <w:highlight w:val="none"/>
                    </w:rPr>
                    <w:t>10)支持故障提示功能，并可通过接口读取服务器故障信息；</w:t>
                  </w:r>
                </w:p>
                <w:p w14:paraId="3E371C22">
                  <w:pPr>
                    <w:pStyle w:val="209"/>
                    <w:rPr>
                      <w:rFonts w:ascii="仿宋" w:hAnsi="仿宋" w:eastAsia="仿宋" w:cs="仿宋"/>
                      <w:color w:val="auto"/>
                      <w:highlight w:val="none"/>
                    </w:rPr>
                  </w:pPr>
                  <w:r>
                    <w:rPr>
                      <w:rFonts w:hint="eastAsia" w:ascii="仿宋" w:hAnsi="仿宋" w:eastAsia="仿宋" w:cs="仿宋"/>
                      <w:color w:val="auto"/>
                      <w:highlight w:val="none"/>
                    </w:rPr>
                    <w:t>11)支持基于网络的固件更新功能，包括 BMC 和 BIOS 等；</w:t>
                  </w:r>
                </w:p>
                <w:p w14:paraId="045F868A">
                  <w:pPr>
                    <w:pStyle w:val="209"/>
                    <w:rPr>
                      <w:rFonts w:ascii="仿宋" w:hAnsi="仿宋" w:eastAsia="仿宋" w:cs="仿宋"/>
                      <w:color w:val="auto"/>
                      <w:highlight w:val="none"/>
                    </w:rPr>
                  </w:pPr>
                  <w:r>
                    <w:rPr>
                      <w:rFonts w:hint="eastAsia" w:ascii="仿宋" w:hAnsi="仿宋" w:eastAsia="仿宋" w:cs="仿宋"/>
                      <w:color w:val="auto"/>
                      <w:highlight w:val="none"/>
                    </w:rPr>
                    <w:t>12)支持基于网络安装操作系统的功能，并可通过网络控制台访问设备；</w:t>
                  </w:r>
                </w:p>
                <w:p w14:paraId="30FEBA9A">
                  <w:pPr>
                    <w:pStyle w:val="209"/>
                    <w:rPr>
                      <w:rFonts w:ascii="仿宋" w:hAnsi="仿宋" w:eastAsia="仿宋" w:cs="仿宋"/>
                      <w:color w:val="auto"/>
                      <w:highlight w:val="none"/>
                    </w:rPr>
                  </w:pPr>
                  <w:r>
                    <w:rPr>
                      <w:rFonts w:hint="eastAsia" w:ascii="仿宋" w:hAnsi="仿宋" w:eastAsia="仿宋" w:cs="仿宋"/>
                      <w:color w:val="auto"/>
                      <w:highlight w:val="none"/>
                    </w:rPr>
                    <w:t>13)支持通过本地的硬盘或光驱等存储设备，基于网络完成设备的操作系统安装功能；</w:t>
                  </w:r>
                </w:p>
                <w:p w14:paraId="5641682A">
                  <w:pPr>
                    <w:pStyle w:val="209"/>
                    <w:rPr>
                      <w:rFonts w:ascii="仿宋" w:hAnsi="仿宋" w:eastAsia="仿宋" w:cs="仿宋"/>
                      <w:color w:val="auto"/>
                      <w:highlight w:val="none"/>
                    </w:rPr>
                  </w:pPr>
                  <w:r>
                    <w:rPr>
                      <w:rFonts w:hint="eastAsia" w:ascii="仿宋" w:hAnsi="仿宋" w:eastAsia="仿宋" w:cs="仿宋"/>
                      <w:color w:val="auto"/>
                      <w:highlight w:val="none"/>
                    </w:rPr>
                    <w:t>14)支持通过浏览器打开管理界面并登录功能；</w:t>
                  </w:r>
                </w:p>
                <w:p w14:paraId="27D843E1">
                  <w:pPr>
                    <w:pStyle w:val="209"/>
                    <w:rPr>
                      <w:rFonts w:ascii="仿宋" w:hAnsi="仿宋" w:eastAsia="仿宋" w:cs="仿宋"/>
                      <w:color w:val="auto"/>
                      <w:highlight w:val="none"/>
                    </w:rPr>
                  </w:pPr>
                  <w:r>
                    <w:rPr>
                      <w:rFonts w:hint="eastAsia" w:ascii="仿宋" w:hAnsi="仿宋" w:eastAsia="仿宋" w:cs="仿宋"/>
                      <w:color w:val="auto"/>
                      <w:highlight w:val="none"/>
                    </w:rPr>
                    <w:t>15)支持设置口令策略功能；</w:t>
                  </w:r>
                </w:p>
                <w:p w14:paraId="57A509C7">
                  <w:pPr>
                    <w:pStyle w:val="209"/>
                    <w:rPr>
                      <w:rFonts w:ascii="仿宋" w:hAnsi="仿宋" w:eastAsia="仿宋" w:cs="仿宋"/>
                      <w:color w:val="auto"/>
                      <w:highlight w:val="none"/>
                    </w:rPr>
                  </w:pPr>
                  <w:r>
                    <w:rPr>
                      <w:rFonts w:hint="eastAsia" w:ascii="仿宋" w:hAnsi="仿宋" w:eastAsia="仿宋" w:cs="仿宋"/>
                      <w:color w:val="auto"/>
                      <w:highlight w:val="none"/>
                    </w:rPr>
                    <w:t>16)支持访问权限设置功能，并通过日志记录访问事件；</w:t>
                  </w:r>
                </w:p>
                <w:p w14:paraId="4A9C9044">
                  <w:pPr>
                    <w:pStyle w:val="209"/>
                    <w:rPr>
                      <w:rFonts w:ascii="仿宋" w:hAnsi="仿宋" w:eastAsia="仿宋" w:cs="仿宋"/>
                      <w:color w:val="auto"/>
                      <w:highlight w:val="none"/>
                    </w:rPr>
                  </w:pPr>
                  <w:r>
                    <w:rPr>
                      <w:rFonts w:hint="eastAsia" w:ascii="仿宋" w:hAnsi="仿宋" w:eastAsia="仿宋" w:cs="仿宋"/>
                      <w:color w:val="auto"/>
                      <w:highlight w:val="none"/>
                    </w:rPr>
                    <w:t>17)支持对出厂默认的用户名及口令进行安全保护功能，并提供默认口令修改提示；</w:t>
                  </w:r>
                </w:p>
                <w:p w14:paraId="420F4A20">
                  <w:pPr>
                    <w:pStyle w:val="209"/>
                    <w:rPr>
                      <w:rFonts w:ascii="仿宋" w:hAnsi="仿宋" w:eastAsia="仿宋" w:cs="仿宋"/>
                      <w:color w:val="auto"/>
                      <w:highlight w:val="none"/>
                    </w:rPr>
                  </w:pPr>
                  <w:r>
                    <w:rPr>
                      <w:rFonts w:hint="eastAsia" w:ascii="仿宋" w:hAnsi="仿宋" w:eastAsia="仿宋" w:cs="仿宋"/>
                      <w:color w:val="auto"/>
                      <w:highlight w:val="none"/>
                    </w:rPr>
                    <w:t>18)支持读取设备主板的工作环境温度功能；</w:t>
                  </w:r>
                </w:p>
                <w:p w14:paraId="5377CD49">
                  <w:pPr>
                    <w:pStyle w:val="209"/>
                    <w:rPr>
                      <w:rFonts w:ascii="仿宋" w:hAnsi="仿宋" w:eastAsia="仿宋" w:cs="仿宋"/>
                      <w:color w:val="auto"/>
                      <w:highlight w:val="none"/>
                    </w:rPr>
                  </w:pPr>
                  <w:r>
                    <w:rPr>
                      <w:rFonts w:hint="eastAsia" w:ascii="仿宋" w:hAnsi="仿宋" w:eastAsia="仿宋" w:cs="仿宋"/>
                      <w:color w:val="auto"/>
                      <w:highlight w:val="none"/>
                    </w:rPr>
                    <w:t>19)支持读取服务器 CPU 等核心器件的温度功能；</w:t>
                  </w:r>
                </w:p>
                <w:p w14:paraId="209366B1">
                  <w:pPr>
                    <w:pStyle w:val="209"/>
                    <w:rPr>
                      <w:rFonts w:ascii="仿宋" w:hAnsi="仿宋" w:eastAsia="仿宋" w:cs="仿宋"/>
                      <w:color w:val="auto"/>
                      <w:highlight w:val="none"/>
                    </w:rPr>
                  </w:pPr>
                  <w:r>
                    <w:rPr>
                      <w:rFonts w:hint="eastAsia" w:ascii="仿宋" w:hAnsi="仿宋" w:eastAsia="仿宋" w:cs="仿宋"/>
                      <w:color w:val="auto"/>
                      <w:highlight w:val="none"/>
                    </w:rPr>
                    <w:t>20)支持通过外部管理工具进行 BMC参数设置的功能，并可基于网络通过外部管理工具对 BMC 进行管理；</w:t>
                  </w:r>
                </w:p>
                <w:p w14:paraId="5C2ADA00">
                  <w:pPr>
                    <w:pStyle w:val="209"/>
                    <w:rPr>
                      <w:rFonts w:ascii="仿宋" w:hAnsi="仿宋" w:eastAsia="仿宋" w:cs="仿宋"/>
                      <w:color w:val="auto"/>
                      <w:highlight w:val="none"/>
                    </w:rPr>
                  </w:pPr>
                  <w:r>
                    <w:rPr>
                      <w:rFonts w:hint="eastAsia" w:ascii="仿宋" w:hAnsi="仿宋" w:eastAsia="仿宋" w:cs="仿宋"/>
                      <w:color w:val="auto"/>
                      <w:highlight w:val="none"/>
                    </w:rPr>
                    <w:t>21)应支持固件版本查询、固件升级</w:t>
                  </w:r>
                </w:p>
                <w:p w14:paraId="28E509FD">
                  <w:pPr>
                    <w:pStyle w:val="209"/>
                    <w:rPr>
                      <w:rFonts w:ascii="仿宋" w:hAnsi="仿宋" w:eastAsia="仿宋" w:cs="仿宋"/>
                      <w:color w:val="auto"/>
                      <w:highlight w:val="none"/>
                    </w:rPr>
                  </w:pPr>
                  <w:r>
                    <w:rPr>
                      <w:rFonts w:hint="eastAsia" w:ascii="仿宋" w:hAnsi="仿宋" w:eastAsia="仿宋" w:cs="仿宋"/>
                      <w:color w:val="auto"/>
                      <w:highlight w:val="none"/>
                    </w:rPr>
                    <w:t>22)支持基于网络实现开关机和复</w:t>
                  </w:r>
                </w:p>
                <w:p w14:paraId="0BF4EC3C">
                  <w:pPr>
                    <w:pStyle w:val="209"/>
                    <w:rPr>
                      <w:rFonts w:ascii="仿宋" w:hAnsi="仿宋" w:eastAsia="仿宋" w:cs="仿宋"/>
                      <w:color w:val="auto"/>
                      <w:highlight w:val="none"/>
                    </w:rPr>
                  </w:pPr>
                  <w:r>
                    <w:rPr>
                      <w:rFonts w:hint="eastAsia" w:ascii="仿宋" w:hAnsi="仿宋" w:eastAsia="仿宋" w:cs="仿宋"/>
                      <w:color w:val="auto"/>
                      <w:highlight w:val="none"/>
                    </w:rPr>
                    <w:t>位控制的功能；</w:t>
                  </w:r>
                </w:p>
                <w:p w14:paraId="1F7F7C8A">
                  <w:pPr>
                    <w:pStyle w:val="209"/>
                    <w:rPr>
                      <w:rFonts w:ascii="仿宋" w:hAnsi="仿宋" w:eastAsia="仿宋" w:cs="仿宋"/>
                      <w:color w:val="auto"/>
                      <w:highlight w:val="none"/>
                    </w:rPr>
                  </w:pPr>
                  <w:r>
                    <w:rPr>
                      <w:rFonts w:hint="eastAsia" w:ascii="仿宋" w:hAnsi="仿宋" w:eastAsia="仿宋" w:cs="仿宋"/>
                      <w:color w:val="auto"/>
                      <w:highlight w:val="none"/>
                    </w:rPr>
                    <w:t>23)BMC 启动时间应不超过 180s，实现功能包括网络、IPMI、散热、传感器服务可用；</w:t>
                  </w:r>
                </w:p>
                <w:p w14:paraId="5763CC39">
                  <w:pPr>
                    <w:pStyle w:val="209"/>
                    <w:rPr>
                      <w:rFonts w:ascii="仿宋" w:hAnsi="仿宋" w:eastAsia="仿宋" w:cs="仿宋"/>
                      <w:color w:val="auto"/>
                      <w:highlight w:val="none"/>
                    </w:rPr>
                  </w:pPr>
                  <w:r>
                    <w:rPr>
                      <w:rFonts w:hint="eastAsia" w:ascii="仿宋" w:hAnsi="仿宋" w:eastAsia="仿宋" w:cs="仿宋"/>
                      <w:color w:val="auto"/>
                      <w:highlight w:val="none"/>
                    </w:rPr>
                    <w:t>24)支持 BMC 固件设置的恢复出厂功能</w:t>
                  </w:r>
                </w:p>
              </w:tc>
            </w:tr>
            <w:tr w14:paraId="22984894">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748F3E94">
                  <w:pPr>
                    <w:pStyle w:val="209"/>
                    <w:rPr>
                      <w:rFonts w:ascii="仿宋" w:hAnsi="仿宋" w:eastAsia="仿宋" w:cs="仿宋"/>
                      <w:color w:val="auto"/>
                      <w:highlight w:val="none"/>
                    </w:rPr>
                  </w:pPr>
                  <w:r>
                    <w:rPr>
                      <w:rFonts w:hint="eastAsia" w:ascii="仿宋" w:hAnsi="仿宋" w:eastAsia="仿宋" w:cs="仿宋"/>
                      <w:color w:val="auto"/>
                      <w:highlight w:val="none"/>
                    </w:rPr>
                    <w:t>32</w:t>
                  </w:r>
                </w:p>
              </w:tc>
              <w:tc>
                <w:tcPr>
                  <w:tcW w:w="1247" w:type="dxa"/>
                  <w:vMerge w:val="continue"/>
                  <w:tcBorders>
                    <w:top w:val="nil"/>
                    <w:left w:val="single" w:color="auto" w:sz="8" w:space="0"/>
                    <w:bottom w:val="single" w:color="000000" w:sz="8" w:space="0"/>
                    <w:right w:val="single" w:color="auto" w:sz="8" w:space="0"/>
                  </w:tcBorders>
                  <w:vAlign w:val="center"/>
                </w:tcPr>
                <w:p w14:paraId="19BE0D39">
                  <w:pPr>
                    <w:rPr>
                      <w:highlight w:val="none"/>
                    </w:rPr>
                  </w:pPr>
                </w:p>
              </w:tc>
              <w:tc>
                <w:tcPr>
                  <w:tcW w:w="1264" w:type="dxa"/>
                  <w:tcBorders>
                    <w:top w:val="nil"/>
                    <w:left w:val="nil"/>
                    <w:bottom w:val="single" w:color="auto" w:sz="8" w:space="0"/>
                    <w:right w:val="single" w:color="auto" w:sz="8" w:space="0"/>
                  </w:tcBorders>
                  <w:vAlign w:val="center"/>
                </w:tcPr>
                <w:p w14:paraId="7C5D1766">
                  <w:pPr>
                    <w:pStyle w:val="209"/>
                    <w:rPr>
                      <w:rFonts w:ascii="仿宋" w:hAnsi="仿宋" w:eastAsia="仿宋" w:cs="仿宋"/>
                      <w:color w:val="auto"/>
                      <w:highlight w:val="none"/>
                    </w:rPr>
                  </w:pPr>
                  <w:r>
                    <w:rPr>
                      <w:rFonts w:hint="eastAsia" w:ascii="仿宋" w:hAnsi="仿宋" w:eastAsia="仿宋" w:cs="仿宋"/>
                      <w:color w:val="auto"/>
                      <w:highlight w:val="none"/>
                    </w:rPr>
                    <w:t>▲BIOS 固件基础功能</w:t>
                  </w:r>
                </w:p>
              </w:tc>
              <w:tc>
                <w:tcPr>
                  <w:tcW w:w="4443" w:type="dxa"/>
                  <w:tcBorders>
                    <w:top w:val="nil"/>
                    <w:left w:val="nil"/>
                    <w:bottom w:val="single" w:color="auto" w:sz="8" w:space="0"/>
                    <w:right w:val="single" w:color="auto" w:sz="8" w:space="0"/>
                  </w:tcBorders>
                  <w:vAlign w:val="center"/>
                </w:tcPr>
                <w:p w14:paraId="0A4D87DB">
                  <w:pPr>
                    <w:pStyle w:val="209"/>
                    <w:rPr>
                      <w:rFonts w:ascii="仿宋" w:hAnsi="仿宋" w:eastAsia="仿宋" w:cs="仿宋"/>
                      <w:color w:val="auto"/>
                      <w:highlight w:val="none"/>
                    </w:rPr>
                  </w:pPr>
                  <w:r>
                    <w:rPr>
                      <w:rFonts w:hint="eastAsia" w:ascii="仿宋" w:hAnsi="仿宋" w:eastAsia="仿宋" w:cs="仿宋"/>
                      <w:color w:val="auto"/>
                      <w:highlight w:val="none"/>
                    </w:rPr>
                    <w:t>a）支持查看固件版本、内存信息、主板信息、处理器信息和系统时间信息功能；</w:t>
                  </w:r>
                </w:p>
                <w:p w14:paraId="53B6FDF7">
                  <w:pPr>
                    <w:pStyle w:val="209"/>
                    <w:rPr>
                      <w:rFonts w:ascii="仿宋" w:hAnsi="仿宋" w:eastAsia="仿宋" w:cs="仿宋"/>
                      <w:color w:val="auto"/>
                      <w:highlight w:val="none"/>
                    </w:rPr>
                  </w:pPr>
                  <w:r>
                    <w:rPr>
                      <w:rFonts w:hint="eastAsia" w:ascii="仿宋" w:hAnsi="仿宋" w:eastAsia="仿宋" w:cs="仿宋"/>
                      <w:color w:val="auto"/>
                      <w:highlight w:val="none"/>
                    </w:rPr>
                    <w:t>b）支持上电初始化界面显示 CPU 信息、内存信息、固件版本和部分快捷键信息功能；</w:t>
                  </w:r>
                </w:p>
                <w:p w14:paraId="02A12FD5">
                  <w:pPr>
                    <w:pStyle w:val="209"/>
                    <w:rPr>
                      <w:rFonts w:ascii="仿宋" w:hAnsi="仿宋" w:eastAsia="仿宋" w:cs="仿宋"/>
                      <w:color w:val="auto"/>
                      <w:highlight w:val="none"/>
                    </w:rPr>
                  </w:pPr>
                  <w:r>
                    <w:rPr>
                      <w:rFonts w:hint="eastAsia" w:ascii="仿宋" w:hAnsi="仿宋" w:eastAsia="仿宋" w:cs="仿宋"/>
                      <w:color w:val="auto"/>
                      <w:highlight w:val="none"/>
                    </w:rPr>
                    <w:t>c）支持设置界面中英文显示切换功能；</w:t>
                  </w:r>
                </w:p>
                <w:p w14:paraId="05641054">
                  <w:pPr>
                    <w:pStyle w:val="209"/>
                    <w:rPr>
                      <w:rFonts w:ascii="仿宋" w:hAnsi="仿宋" w:eastAsia="仿宋" w:cs="仿宋"/>
                      <w:color w:val="auto"/>
                      <w:highlight w:val="none"/>
                    </w:rPr>
                  </w:pPr>
                  <w:r>
                    <w:rPr>
                      <w:rFonts w:hint="eastAsia" w:ascii="仿宋" w:hAnsi="仿宋" w:eastAsia="仿宋" w:cs="仿宋"/>
                      <w:color w:val="auto"/>
                      <w:highlight w:val="none"/>
                    </w:rPr>
                    <w:t>d）支持查看 PCIe 设备信息，SATA</w:t>
                  </w:r>
                </w:p>
                <w:p w14:paraId="4984F9E5">
                  <w:pPr>
                    <w:pStyle w:val="209"/>
                    <w:rPr>
                      <w:rFonts w:ascii="仿宋" w:hAnsi="仿宋" w:eastAsia="仿宋" w:cs="仿宋"/>
                      <w:color w:val="auto"/>
                      <w:highlight w:val="none"/>
                    </w:rPr>
                  </w:pPr>
                  <w:r>
                    <w:rPr>
                      <w:rFonts w:hint="eastAsia" w:ascii="仿宋" w:hAnsi="仿宋" w:eastAsia="仿宋" w:cs="仿宋"/>
                      <w:color w:val="auto"/>
                      <w:highlight w:val="none"/>
                    </w:rPr>
                    <w:t>设备信息功能；</w:t>
                  </w:r>
                </w:p>
                <w:p w14:paraId="7319AADC">
                  <w:pPr>
                    <w:pStyle w:val="209"/>
                    <w:rPr>
                      <w:rFonts w:ascii="仿宋" w:hAnsi="仿宋" w:eastAsia="仿宋" w:cs="仿宋"/>
                      <w:color w:val="auto"/>
                      <w:highlight w:val="none"/>
                    </w:rPr>
                  </w:pPr>
                  <w:r>
                    <w:rPr>
                      <w:rFonts w:hint="eastAsia" w:ascii="仿宋" w:hAnsi="仿宋" w:eastAsia="仿宋" w:cs="仿宋"/>
                      <w:color w:val="auto"/>
                      <w:highlight w:val="none"/>
                    </w:rPr>
                    <w:t>e）支持操作系统安装和引导功能，应并向操作系统提供计算机主板信息和服务接口；</w:t>
                  </w:r>
                </w:p>
                <w:p w14:paraId="398D4381">
                  <w:pPr>
                    <w:pStyle w:val="209"/>
                    <w:rPr>
                      <w:rFonts w:ascii="仿宋" w:hAnsi="仿宋" w:eastAsia="仿宋" w:cs="仿宋"/>
                      <w:color w:val="auto"/>
                      <w:highlight w:val="none"/>
                    </w:rPr>
                  </w:pPr>
                  <w:r>
                    <w:rPr>
                      <w:rFonts w:hint="eastAsia" w:ascii="仿宋" w:hAnsi="仿宋" w:eastAsia="仿宋" w:cs="仿宋"/>
                      <w:color w:val="auto"/>
                      <w:highlight w:val="none"/>
                    </w:rPr>
                    <w:t>f）支持设置启动顺序，并按照设置的启动顺序启动功能；</w:t>
                  </w:r>
                </w:p>
                <w:p w14:paraId="3FF9FF50">
                  <w:pPr>
                    <w:pStyle w:val="209"/>
                    <w:rPr>
                      <w:rFonts w:ascii="仿宋" w:hAnsi="仿宋" w:eastAsia="仿宋" w:cs="仿宋"/>
                      <w:color w:val="auto"/>
                      <w:highlight w:val="none"/>
                    </w:rPr>
                  </w:pPr>
                  <w:r>
                    <w:rPr>
                      <w:rFonts w:hint="eastAsia" w:ascii="仿宋" w:hAnsi="仿宋" w:eastAsia="仿宋" w:cs="仿宋"/>
                      <w:color w:val="auto"/>
                      <w:highlight w:val="none"/>
                    </w:rPr>
                    <w:t>g）支持安全启动功能；</w:t>
                  </w:r>
                </w:p>
                <w:p w14:paraId="310B575F">
                  <w:pPr>
                    <w:pStyle w:val="209"/>
                    <w:rPr>
                      <w:rFonts w:ascii="仿宋" w:hAnsi="仿宋" w:eastAsia="仿宋" w:cs="仿宋"/>
                      <w:color w:val="auto"/>
                      <w:highlight w:val="none"/>
                    </w:rPr>
                  </w:pPr>
                  <w:r>
                    <w:rPr>
                      <w:rFonts w:hint="eastAsia" w:ascii="仿宋" w:hAnsi="仿宋" w:eastAsia="仿宋" w:cs="仿宋"/>
                      <w:color w:val="auto"/>
                      <w:highlight w:val="none"/>
                    </w:rPr>
                    <w:t>h）支持设置口令、修改口令、验证口令功能；</w:t>
                  </w:r>
                </w:p>
                <w:p w14:paraId="64C54C11">
                  <w:pPr>
                    <w:pStyle w:val="209"/>
                    <w:rPr>
                      <w:rFonts w:ascii="仿宋" w:hAnsi="仿宋" w:eastAsia="仿宋" w:cs="仿宋"/>
                      <w:color w:val="auto"/>
                      <w:highlight w:val="none"/>
                    </w:rPr>
                  </w:pPr>
                  <w:r>
                    <w:rPr>
                      <w:rFonts w:hint="eastAsia" w:ascii="仿宋" w:hAnsi="仿宋" w:eastAsia="仿宋" w:cs="仿宋"/>
                      <w:color w:val="auto"/>
                      <w:highlight w:val="none"/>
                    </w:rPr>
                    <w:t>i）支持板载显示控制或独立显卡的显示控制功能；</w:t>
                  </w:r>
                </w:p>
                <w:p w14:paraId="3C8AF425">
                  <w:pPr>
                    <w:pStyle w:val="209"/>
                    <w:rPr>
                      <w:rFonts w:ascii="仿宋" w:hAnsi="仿宋" w:eastAsia="仿宋" w:cs="仿宋"/>
                      <w:color w:val="auto"/>
                      <w:highlight w:val="none"/>
                    </w:rPr>
                  </w:pPr>
                  <w:r>
                    <w:rPr>
                      <w:rFonts w:hint="eastAsia" w:ascii="仿宋" w:hAnsi="仿宋" w:eastAsia="仿宋" w:cs="仿宋"/>
                      <w:color w:val="auto"/>
                      <w:highlight w:val="none"/>
                    </w:rPr>
                    <w:t>j）支持 RAID 识别和启动功能；k）支持串口重定向功能；</w:t>
                  </w:r>
                </w:p>
                <w:p w14:paraId="2A868321">
                  <w:pPr>
                    <w:pStyle w:val="209"/>
                    <w:rPr>
                      <w:rFonts w:ascii="仿宋" w:hAnsi="仿宋" w:eastAsia="仿宋" w:cs="仿宋"/>
                      <w:color w:val="auto"/>
                      <w:highlight w:val="none"/>
                    </w:rPr>
                  </w:pPr>
                  <w:r>
                    <w:rPr>
                      <w:rFonts w:hint="eastAsia" w:ascii="仿宋" w:hAnsi="仿宋" w:eastAsia="仿宋" w:cs="仿宋"/>
                      <w:color w:val="auto"/>
                      <w:highlight w:val="none"/>
                    </w:rPr>
                    <w:t>l）支持固件更新功能；</w:t>
                  </w:r>
                </w:p>
                <w:p w14:paraId="6C721A7D">
                  <w:pPr>
                    <w:pStyle w:val="209"/>
                    <w:rPr>
                      <w:rFonts w:ascii="仿宋" w:hAnsi="仿宋" w:eastAsia="仿宋" w:cs="仿宋"/>
                      <w:color w:val="auto"/>
                      <w:highlight w:val="none"/>
                    </w:rPr>
                  </w:pPr>
                  <w:r>
                    <w:rPr>
                      <w:rFonts w:hint="eastAsia" w:ascii="仿宋" w:hAnsi="仿宋" w:eastAsia="仿宋" w:cs="仿宋"/>
                      <w:color w:val="auto"/>
                      <w:highlight w:val="none"/>
                    </w:rPr>
                    <w:t>m）支持 BIOS 固件设置的恢复出厂功能；</w:t>
                  </w:r>
                </w:p>
                <w:p w14:paraId="7F93EBF9">
                  <w:pPr>
                    <w:pStyle w:val="209"/>
                    <w:rPr>
                      <w:rFonts w:ascii="仿宋" w:hAnsi="仿宋" w:eastAsia="仿宋" w:cs="仿宋"/>
                      <w:color w:val="auto"/>
                      <w:highlight w:val="none"/>
                    </w:rPr>
                  </w:pPr>
                  <w:r>
                    <w:rPr>
                      <w:rFonts w:hint="eastAsia" w:ascii="仿宋" w:hAnsi="仿宋" w:eastAsia="仿宋" w:cs="仿宋"/>
                      <w:color w:val="auto"/>
                      <w:highlight w:val="none"/>
                    </w:rPr>
                    <w:t>n）支持网络引导启用和关闭功能</w:t>
                  </w:r>
                </w:p>
              </w:tc>
            </w:tr>
            <w:tr w14:paraId="265D8352">
              <w:tblPrEx>
                <w:tblCellMar>
                  <w:top w:w="0" w:type="dxa"/>
                  <w:left w:w="108" w:type="dxa"/>
                  <w:bottom w:w="0" w:type="dxa"/>
                  <w:right w:w="108" w:type="dxa"/>
                </w:tblCellMar>
              </w:tblPrEx>
              <w:trPr>
                <w:trHeight w:val="324" w:hRule="atLeast"/>
                <w:jc w:val="center"/>
              </w:trPr>
              <w:tc>
                <w:tcPr>
                  <w:tcW w:w="865" w:type="dxa"/>
                  <w:tcBorders>
                    <w:top w:val="nil"/>
                    <w:left w:val="single" w:color="auto" w:sz="8" w:space="0"/>
                    <w:bottom w:val="single" w:color="auto" w:sz="8" w:space="0"/>
                    <w:right w:val="single" w:color="auto" w:sz="8" w:space="0"/>
                  </w:tcBorders>
                  <w:vAlign w:val="center"/>
                </w:tcPr>
                <w:p w14:paraId="2CAAA100">
                  <w:pPr>
                    <w:pStyle w:val="209"/>
                    <w:rPr>
                      <w:rFonts w:ascii="仿宋" w:hAnsi="仿宋" w:eastAsia="仿宋" w:cs="仿宋"/>
                      <w:color w:val="auto"/>
                      <w:highlight w:val="none"/>
                    </w:rPr>
                  </w:pPr>
                  <w:r>
                    <w:rPr>
                      <w:rFonts w:hint="eastAsia" w:ascii="仿宋" w:hAnsi="仿宋" w:eastAsia="仿宋" w:cs="仿宋"/>
                      <w:color w:val="auto"/>
                      <w:highlight w:val="none"/>
                    </w:rPr>
                    <w:t>33</w:t>
                  </w:r>
                </w:p>
              </w:tc>
              <w:tc>
                <w:tcPr>
                  <w:tcW w:w="1247" w:type="dxa"/>
                  <w:vMerge w:val="continue"/>
                  <w:tcBorders>
                    <w:top w:val="nil"/>
                    <w:left w:val="single" w:color="auto" w:sz="8" w:space="0"/>
                    <w:bottom w:val="single" w:color="000000" w:sz="8" w:space="0"/>
                    <w:right w:val="single" w:color="auto" w:sz="8" w:space="0"/>
                  </w:tcBorders>
                  <w:vAlign w:val="center"/>
                </w:tcPr>
                <w:p w14:paraId="48D5C7DA">
                  <w:pPr>
                    <w:rPr>
                      <w:highlight w:val="none"/>
                    </w:rPr>
                  </w:pPr>
                </w:p>
              </w:tc>
              <w:tc>
                <w:tcPr>
                  <w:tcW w:w="1264" w:type="dxa"/>
                  <w:tcBorders>
                    <w:top w:val="nil"/>
                    <w:left w:val="nil"/>
                    <w:bottom w:val="single" w:color="auto" w:sz="8" w:space="0"/>
                    <w:right w:val="single" w:color="auto" w:sz="8" w:space="0"/>
                  </w:tcBorders>
                  <w:vAlign w:val="center"/>
                </w:tcPr>
                <w:p w14:paraId="067B1F9B">
                  <w:pPr>
                    <w:pStyle w:val="209"/>
                    <w:rPr>
                      <w:rFonts w:ascii="仿宋" w:hAnsi="仿宋" w:eastAsia="仿宋" w:cs="仿宋"/>
                      <w:color w:val="auto"/>
                      <w:highlight w:val="none"/>
                    </w:rPr>
                  </w:pPr>
                  <w:r>
                    <w:rPr>
                      <w:rFonts w:hint="eastAsia" w:ascii="仿宋" w:hAnsi="仿宋" w:eastAsia="仿宋" w:cs="仿宋"/>
                      <w:color w:val="auto"/>
                      <w:highlight w:val="none"/>
                    </w:rPr>
                    <w:t>▲远程控制</w:t>
                  </w:r>
                </w:p>
              </w:tc>
              <w:tc>
                <w:tcPr>
                  <w:tcW w:w="4443" w:type="dxa"/>
                  <w:tcBorders>
                    <w:top w:val="nil"/>
                    <w:left w:val="nil"/>
                    <w:bottom w:val="single" w:color="auto" w:sz="8" w:space="0"/>
                    <w:right w:val="single" w:color="auto" w:sz="8" w:space="0"/>
                  </w:tcBorders>
                  <w:vAlign w:val="center"/>
                </w:tcPr>
                <w:p w14:paraId="2573DE2B">
                  <w:pPr>
                    <w:pStyle w:val="209"/>
                    <w:rPr>
                      <w:rFonts w:ascii="仿宋" w:hAnsi="仿宋" w:eastAsia="仿宋" w:cs="仿宋"/>
                      <w:color w:val="auto"/>
                      <w:highlight w:val="none"/>
                    </w:rPr>
                  </w:pPr>
                  <w:r>
                    <w:rPr>
                      <w:rFonts w:hint="eastAsia" w:ascii="仿宋" w:hAnsi="仿宋" w:eastAsia="仿宋" w:cs="仿宋"/>
                      <w:color w:val="auto"/>
                      <w:highlight w:val="none"/>
                    </w:rPr>
                    <w:t>支持远程关机和重新启动功能</w:t>
                  </w:r>
                </w:p>
              </w:tc>
            </w:tr>
            <w:tr w14:paraId="7D27C2A5">
              <w:tblPrEx>
                <w:tblCellMar>
                  <w:top w:w="0" w:type="dxa"/>
                  <w:left w:w="108" w:type="dxa"/>
                  <w:bottom w:w="0" w:type="dxa"/>
                  <w:right w:w="108" w:type="dxa"/>
                </w:tblCellMar>
              </w:tblPrEx>
              <w:trPr>
                <w:trHeight w:val="948" w:hRule="atLeast"/>
                <w:jc w:val="center"/>
              </w:trPr>
              <w:tc>
                <w:tcPr>
                  <w:tcW w:w="865" w:type="dxa"/>
                  <w:tcBorders>
                    <w:top w:val="nil"/>
                    <w:left w:val="single" w:color="auto" w:sz="8" w:space="0"/>
                    <w:bottom w:val="single" w:color="auto" w:sz="8" w:space="0"/>
                    <w:right w:val="single" w:color="auto" w:sz="8" w:space="0"/>
                  </w:tcBorders>
                  <w:vAlign w:val="center"/>
                </w:tcPr>
                <w:p w14:paraId="0224A291">
                  <w:pPr>
                    <w:pStyle w:val="209"/>
                    <w:rPr>
                      <w:rFonts w:ascii="仿宋" w:hAnsi="仿宋" w:eastAsia="仿宋" w:cs="仿宋"/>
                      <w:color w:val="auto"/>
                      <w:highlight w:val="none"/>
                    </w:rPr>
                  </w:pPr>
                  <w:r>
                    <w:rPr>
                      <w:rFonts w:hint="eastAsia" w:ascii="仿宋" w:hAnsi="仿宋" w:eastAsia="仿宋" w:cs="仿宋"/>
                      <w:color w:val="auto"/>
                      <w:highlight w:val="none"/>
                    </w:rPr>
                    <w:t>34</w:t>
                  </w:r>
                </w:p>
              </w:tc>
              <w:tc>
                <w:tcPr>
                  <w:tcW w:w="1247" w:type="dxa"/>
                  <w:vMerge w:val="restart"/>
                  <w:tcBorders>
                    <w:top w:val="nil"/>
                    <w:left w:val="single" w:color="auto" w:sz="8" w:space="0"/>
                    <w:bottom w:val="single" w:color="000000" w:sz="8" w:space="0"/>
                    <w:right w:val="single" w:color="auto" w:sz="8" w:space="0"/>
                  </w:tcBorders>
                  <w:vAlign w:val="center"/>
                </w:tcPr>
                <w:p w14:paraId="5D4B9050">
                  <w:pPr>
                    <w:pStyle w:val="209"/>
                    <w:rPr>
                      <w:rFonts w:ascii="仿宋" w:hAnsi="仿宋" w:eastAsia="仿宋" w:cs="仿宋"/>
                      <w:color w:val="auto"/>
                      <w:highlight w:val="none"/>
                    </w:rPr>
                  </w:pPr>
                  <w:r>
                    <w:rPr>
                      <w:rFonts w:hint="eastAsia" w:ascii="仿宋" w:hAnsi="仿宋" w:eastAsia="仿宋" w:cs="仿宋"/>
                      <w:color w:val="auto"/>
                      <w:highlight w:val="none"/>
                    </w:rPr>
                    <w:t>▲操作系统及驱动功能</w:t>
                  </w:r>
                </w:p>
              </w:tc>
              <w:tc>
                <w:tcPr>
                  <w:tcW w:w="1264" w:type="dxa"/>
                  <w:tcBorders>
                    <w:top w:val="nil"/>
                    <w:left w:val="nil"/>
                    <w:bottom w:val="single" w:color="auto" w:sz="8" w:space="0"/>
                    <w:right w:val="single" w:color="auto" w:sz="8" w:space="0"/>
                  </w:tcBorders>
                  <w:vAlign w:val="center"/>
                </w:tcPr>
                <w:p w14:paraId="720E2710">
                  <w:pPr>
                    <w:pStyle w:val="209"/>
                    <w:rPr>
                      <w:rFonts w:ascii="仿宋" w:hAnsi="仿宋" w:eastAsia="仿宋" w:cs="仿宋"/>
                      <w:color w:val="auto"/>
                      <w:highlight w:val="none"/>
                    </w:rPr>
                  </w:pPr>
                  <w:r>
                    <w:rPr>
                      <w:rFonts w:hint="eastAsia" w:ascii="仿宋" w:hAnsi="仿宋" w:eastAsia="仿宋" w:cs="仿宋"/>
                      <w:color w:val="auto"/>
                      <w:highlight w:val="none"/>
                    </w:rPr>
                    <w:t>▲操作系统及驱动的升级</w:t>
                  </w:r>
                </w:p>
              </w:tc>
              <w:tc>
                <w:tcPr>
                  <w:tcW w:w="4443" w:type="dxa"/>
                  <w:tcBorders>
                    <w:top w:val="nil"/>
                    <w:left w:val="nil"/>
                    <w:bottom w:val="single" w:color="auto" w:sz="8" w:space="0"/>
                    <w:right w:val="single" w:color="auto" w:sz="8" w:space="0"/>
                  </w:tcBorders>
                  <w:vAlign w:val="center"/>
                </w:tcPr>
                <w:p w14:paraId="3B583C51">
                  <w:pPr>
                    <w:pStyle w:val="209"/>
                    <w:rPr>
                      <w:rFonts w:ascii="仿宋" w:hAnsi="仿宋" w:eastAsia="仿宋" w:cs="仿宋"/>
                      <w:color w:val="auto"/>
                      <w:highlight w:val="none"/>
                    </w:rPr>
                  </w:pPr>
                  <w:r>
                    <w:rPr>
                      <w:rFonts w:hint="eastAsia" w:ascii="仿宋" w:hAnsi="仿宋" w:eastAsia="仿宋" w:cs="仿宋"/>
                      <w:color w:val="auto"/>
                      <w:highlight w:val="none"/>
                    </w:rPr>
                    <w:t>支持通过网络、闪存盘对操作系统、驱动进行升级</w:t>
                  </w:r>
                </w:p>
              </w:tc>
            </w:tr>
            <w:tr w14:paraId="5D558217">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7D42FD40">
                  <w:pPr>
                    <w:pStyle w:val="209"/>
                    <w:rPr>
                      <w:rFonts w:ascii="仿宋" w:hAnsi="仿宋" w:eastAsia="仿宋" w:cs="仿宋"/>
                      <w:color w:val="auto"/>
                      <w:highlight w:val="none"/>
                    </w:rPr>
                  </w:pPr>
                  <w:r>
                    <w:rPr>
                      <w:rFonts w:hint="eastAsia" w:ascii="仿宋" w:hAnsi="仿宋" w:eastAsia="仿宋" w:cs="仿宋"/>
                      <w:color w:val="auto"/>
                      <w:highlight w:val="none"/>
                    </w:rPr>
                    <w:t>35</w:t>
                  </w:r>
                </w:p>
              </w:tc>
              <w:tc>
                <w:tcPr>
                  <w:tcW w:w="1247" w:type="dxa"/>
                  <w:vMerge w:val="continue"/>
                  <w:tcBorders>
                    <w:top w:val="nil"/>
                    <w:left w:val="single" w:color="auto" w:sz="8" w:space="0"/>
                    <w:bottom w:val="single" w:color="000000" w:sz="8" w:space="0"/>
                    <w:right w:val="single" w:color="auto" w:sz="8" w:space="0"/>
                  </w:tcBorders>
                  <w:vAlign w:val="center"/>
                </w:tcPr>
                <w:p w14:paraId="512D05B2">
                  <w:pPr>
                    <w:rPr>
                      <w:highlight w:val="none"/>
                    </w:rPr>
                  </w:pPr>
                </w:p>
              </w:tc>
              <w:tc>
                <w:tcPr>
                  <w:tcW w:w="1264" w:type="dxa"/>
                  <w:tcBorders>
                    <w:top w:val="nil"/>
                    <w:left w:val="nil"/>
                    <w:bottom w:val="single" w:color="auto" w:sz="8" w:space="0"/>
                    <w:right w:val="single" w:color="auto" w:sz="8" w:space="0"/>
                  </w:tcBorders>
                  <w:vAlign w:val="center"/>
                </w:tcPr>
                <w:p w14:paraId="1FFDC28C">
                  <w:pPr>
                    <w:pStyle w:val="209"/>
                    <w:rPr>
                      <w:rFonts w:ascii="仿宋" w:hAnsi="仿宋" w:eastAsia="仿宋" w:cs="仿宋"/>
                      <w:color w:val="auto"/>
                      <w:highlight w:val="none"/>
                    </w:rPr>
                  </w:pPr>
                  <w:r>
                    <w:rPr>
                      <w:rFonts w:hint="eastAsia" w:ascii="仿宋" w:hAnsi="仿宋" w:eastAsia="仿宋" w:cs="仿宋"/>
                      <w:color w:val="auto"/>
                      <w:highlight w:val="none"/>
                    </w:rPr>
                    <w:t>▲操作系统功能</w:t>
                  </w:r>
                </w:p>
              </w:tc>
              <w:tc>
                <w:tcPr>
                  <w:tcW w:w="4443" w:type="dxa"/>
                  <w:tcBorders>
                    <w:top w:val="nil"/>
                    <w:left w:val="nil"/>
                    <w:bottom w:val="single" w:color="auto" w:sz="8" w:space="0"/>
                    <w:right w:val="single" w:color="auto" w:sz="8" w:space="0"/>
                  </w:tcBorders>
                  <w:vAlign w:val="center"/>
                </w:tcPr>
                <w:p w14:paraId="7D5C0DF1">
                  <w:pPr>
                    <w:pStyle w:val="209"/>
                    <w:rPr>
                      <w:rFonts w:ascii="仿宋" w:hAnsi="仿宋" w:eastAsia="仿宋" w:cs="仿宋"/>
                      <w:color w:val="auto"/>
                      <w:highlight w:val="none"/>
                    </w:rPr>
                  </w:pPr>
                  <w:r>
                    <w:rPr>
                      <w:rFonts w:hint="eastAsia" w:ascii="仿宋" w:hAnsi="仿宋" w:eastAsia="仿宋" w:cs="仿宋"/>
                      <w:color w:val="auto"/>
                      <w:highlight w:val="none"/>
                    </w:rPr>
                    <w:t>支持访问控制、安全审计、网络接入鉴别等功能；</w:t>
                  </w:r>
                </w:p>
              </w:tc>
            </w:tr>
            <w:tr w14:paraId="43743445">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77B4165B">
                  <w:pPr>
                    <w:pStyle w:val="209"/>
                    <w:rPr>
                      <w:rFonts w:ascii="仿宋" w:hAnsi="仿宋" w:eastAsia="仿宋" w:cs="仿宋"/>
                      <w:color w:val="auto"/>
                      <w:highlight w:val="none"/>
                    </w:rPr>
                  </w:pPr>
                  <w:r>
                    <w:rPr>
                      <w:rFonts w:hint="eastAsia" w:ascii="仿宋" w:hAnsi="仿宋" w:eastAsia="仿宋" w:cs="仿宋"/>
                      <w:color w:val="auto"/>
                      <w:highlight w:val="none"/>
                    </w:rPr>
                    <w:t>36</w:t>
                  </w:r>
                </w:p>
              </w:tc>
              <w:tc>
                <w:tcPr>
                  <w:tcW w:w="1247" w:type="dxa"/>
                  <w:tcBorders>
                    <w:top w:val="nil"/>
                    <w:left w:val="nil"/>
                    <w:bottom w:val="single" w:color="auto" w:sz="8" w:space="0"/>
                    <w:right w:val="single" w:color="auto" w:sz="8" w:space="0"/>
                  </w:tcBorders>
                  <w:vAlign w:val="center"/>
                </w:tcPr>
                <w:p w14:paraId="1F16CA74">
                  <w:pPr>
                    <w:pStyle w:val="209"/>
                    <w:rPr>
                      <w:rFonts w:ascii="仿宋" w:hAnsi="仿宋" w:eastAsia="仿宋" w:cs="仿宋"/>
                      <w:color w:val="auto"/>
                      <w:highlight w:val="none"/>
                    </w:rPr>
                  </w:pPr>
                  <w:r>
                    <w:rPr>
                      <w:rFonts w:hint="eastAsia" w:ascii="仿宋" w:hAnsi="仿宋" w:eastAsia="仿宋" w:cs="仿宋"/>
                      <w:color w:val="auto"/>
                      <w:highlight w:val="none"/>
                    </w:rPr>
                    <w:t>▲中文信息处理功能</w:t>
                  </w:r>
                </w:p>
              </w:tc>
              <w:tc>
                <w:tcPr>
                  <w:tcW w:w="1264" w:type="dxa"/>
                  <w:tcBorders>
                    <w:top w:val="nil"/>
                    <w:left w:val="nil"/>
                    <w:bottom w:val="single" w:color="auto" w:sz="8" w:space="0"/>
                    <w:right w:val="single" w:color="auto" w:sz="8" w:space="0"/>
                  </w:tcBorders>
                  <w:vAlign w:val="center"/>
                </w:tcPr>
                <w:p w14:paraId="619082D5">
                  <w:pPr>
                    <w:pStyle w:val="209"/>
                    <w:rPr>
                      <w:rFonts w:ascii="仿宋" w:hAnsi="仿宋" w:eastAsia="仿宋" w:cs="仿宋"/>
                      <w:color w:val="auto"/>
                      <w:highlight w:val="none"/>
                    </w:rPr>
                  </w:pPr>
                  <w:r>
                    <w:rPr>
                      <w:rFonts w:hint="eastAsia" w:ascii="仿宋" w:hAnsi="仿宋" w:eastAsia="仿宋" w:cs="仿宋"/>
                      <w:color w:val="auto"/>
                      <w:highlight w:val="none"/>
                    </w:rPr>
                    <w:t>▲中文信息处理</w:t>
                  </w:r>
                </w:p>
              </w:tc>
              <w:tc>
                <w:tcPr>
                  <w:tcW w:w="4443" w:type="dxa"/>
                  <w:tcBorders>
                    <w:top w:val="nil"/>
                    <w:left w:val="nil"/>
                    <w:bottom w:val="single" w:color="auto" w:sz="8" w:space="0"/>
                    <w:right w:val="single" w:color="auto" w:sz="8" w:space="0"/>
                  </w:tcBorders>
                  <w:vAlign w:val="center"/>
                </w:tcPr>
                <w:p w14:paraId="18D85C8E">
                  <w:pPr>
                    <w:pStyle w:val="209"/>
                    <w:rPr>
                      <w:rFonts w:ascii="仿宋" w:hAnsi="仿宋" w:eastAsia="仿宋" w:cs="仿宋"/>
                      <w:color w:val="auto"/>
                      <w:highlight w:val="none"/>
                    </w:rPr>
                  </w:pPr>
                  <w:r>
                    <w:rPr>
                      <w:rFonts w:hint="eastAsia" w:ascii="仿宋" w:hAnsi="仿宋" w:eastAsia="仿宋" w:cs="仿宋"/>
                      <w:color w:val="auto"/>
                      <w:highlight w:val="none"/>
                    </w:rPr>
                    <w:t>符合 GB 18030 的有关规定</w:t>
                  </w:r>
                </w:p>
              </w:tc>
            </w:tr>
            <w:tr w14:paraId="7B1E6CE4">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3B88CF05">
                  <w:pPr>
                    <w:pStyle w:val="209"/>
                    <w:rPr>
                      <w:rFonts w:ascii="仿宋" w:hAnsi="仿宋" w:eastAsia="仿宋" w:cs="仿宋"/>
                      <w:color w:val="auto"/>
                      <w:highlight w:val="none"/>
                    </w:rPr>
                  </w:pPr>
                  <w:r>
                    <w:rPr>
                      <w:rFonts w:hint="eastAsia" w:ascii="仿宋" w:hAnsi="仿宋" w:eastAsia="仿宋" w:cs="仿宋"/>
                      <w:color w:val="auto"/>
                      <w:highlight w:val="none"/>
                    </w:rPr>
                    <w:t>37</w:t>
                  </w:r>
                </w:p>
              </w:tc>
              <w:tc>
                <w:tcPr>
                  <w:tcW w:w="1247" w:type="dxa"/>
                  <w:tcBorders>
                    <w:top w:val="nil"/>
                    <w:left w:val="nil"/>
                    <w:bottom w:val="single" w:color="auto" w:sz="8" w:space="0"/>
                    <w:right w:val="single" w:color="auto" w:sz="8" w:space="0"/>
                  </w:tcBorders>
                  <w:vAlign w:val="center"/>
                </w:tcPr>
                <w:p w14:paraId="5D2D5814">
                  <w:pPr>
                    <w:pStyle w:val="209"/>
                    <w:rPr>
                      <w:rFonts w:ascii="仿宋" w:hAnsi="仿宋" w:eastAsia="仿宋" w:cs="仿宋"/>
                      <w:color w:val="auto"/>
                      <w:highlight w:val="none"/>
                    </w:rPr>
                  </w:pPr>
                  <w:r>
                    <w:rPr>
                      <w:rFonts w:hint="eastAsia" w:ascii="仿宋" w:hAnsi="仿宋" w:eastAsia="仿宋" w:cs="仿宋"/>
                      <w:color w:val="auto"/>
                      <w:highlight w:val="none"/>
                    </w:rPr>
                    <w:t>▲关键部件安全要求</w:t>
                  </w:r>
                </w:p>
              </w:tc>
              <w:tc>
                <w:tcPr>
                  <w:tcW w:w="1264" w:type="dxa"/>
                  <w:tcBorders>
                    <w:top w:val="nil"/>
                    <w:left w:val="nil"/>
                    <w:bottom w:val="single" w:color="auto" w:sz="8" w:space="0"/>
                    <w:right w:val="single" w:color="auto" w:sz="8" w:space="0"/>
                  </w:tcBorders>
                  <w:vAlign w:val="center"/>
                </w:tcPr>
                <w:p w14:paraId="5C86161F">
                  <w:pPr>
                    <w:pStyle w:val="209"/>
                    <w:rPr>
                      <w:rFonts w:ascii="仿宋" w:hAnsi="仿宋" w:eastAsia="仿宋" w:cs="仿宋"/>
                      <w:color w:val="auto"/>
                      <w:highlight w:val="none"/>
                    </w:rPr>
                  </w:pPr>
                  <w:r>
                    <w:rPr>
                      <w:rFonts w:hint="eastAsia" w:ascii="仿宋" w:hAnsi="仿宋" w:eastAsia="仿宋" w:cs="仿宋"/>
                      <w:color w:val="auto"/>
                      <w:highlight w:val="none"/>
                    </w:rPr>
                    <w:t>▲关键部件安全要求</w:t>
                  </w:r>
                </w:p>
              </w:tc>
              <w:tc>
                <w:tcPr>
                  <w:tcW w:w="4443" w:type="dxa"/>
                  <w:tcBorders>
                    <w:top w:val="nil"/>
                    <w:left w:val="nil"/>
                    <w:bottom w:val="single" w:color="auto" w:sz="8" w:space="0"/>
                    <w:right w:val="single" w:color="auto" w:sz="8" w:space="0"/>
                  </w:tcBorders>
                  <w:vAlign w:val="center"/>
                </w:tcPr>
                <w:p w14:paraId="1885EBB0">
                  <w:pPr>
                    <w:pStyle w:val="209"/>
                    <w:rPr>
                      <w:rFonts w:ascii="仿宋" w:hAnsi="仿宋" w:eastAsia="仿宋" w:cs="仿宋"/>
                      <w:color w:val="auto"/>
                      <w:highlight w:val="none"/>
                    </w:rPr>
                  </w:pPr>
                  <w:r>
                    <w:rPr>
                      <w:rFonts w:hint="eastAsia" w:ascii="仿宋" w:hAnsi="仿宋" w:eastAsia="仿宋" w:cs="仿宋"/>
                      <w:color w:val="auto"/>
                      <w:highlight w:val="none"/>
                    </w:rPr>
                    <w:t>CPU 和操作系统等关键部件应当符合安全可靠测评要求</w:t>
                  </w:r>
                </w:p>
              </w:tc>
            </w:tr>
            <w:tr w14:paraId="62ECE4B6">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35D53C19">
                  <w:pPr>
                    <w:pStyle w:val="209"/>
                    <w:rPr>
                      <w:rFonts w:ascii="仿宋" w:hAnsi="仿宋" w:eastAsia="仿宋" w:cs="仿宋"/>
                      <w:color w:val="auto"/>
                      <w:highlight w:val="none"/>
                    </w:rPr>
                  </w:pPr>
                  <w:r>
                    <w:rPr>
                      <w:rFonts w:hint="eastAsia" w:ascii="仿宋" w:hAnsi="仿宋" w:eastAsia="仿宋" w:cs="仿宋"/>
                      <w:color w:val="auto"/>
                      <w:highlight w:val="none"/>
                    </w:rPr>
                    <w:t>38</w:t>
                  </w:r>
                </w:p>
              </w:tc>
              <w:tc>
                <w:tcPr>
                  <w:tcW w:w="1247" w:type="dxa"/>
                  <w:tcBorders>
                    <w:top w:val="nil"/>
                    <w:left w:val="nil"/>
                    <w:bottom w:val="single" w:color="auto" w:sz="8" w:space="0"/>
                    <w:right w:val="single" w:color="auto" w:sz="8" w:space="0"/>
                  </w:tcBorders>
                  <w:vAlign w:val="center"/>
                </w:tcPr>
                <w:p w14:paraId="7D887287">
                  <w:pPr>
                    <w:pStyle w:val="209"/>
                    <w:rPr>
                      <w:rFonts w:ascii="仿宋" w:hAnsi="仿宋" w:eastAsia="仿宋" w:cs="仿宋"/>
                      <w:color w:val="auto"/>
                      <w:highlight w:val="none"/>
                    </w:rPr>
                  </w:pPr>
                  <w:r>
                    <w:rPr>
                      <w:rFonts w:hint="eastAsia" w:ascii="仿宋" w:hAnsi="仿宋" w:eastAsia="仿宋" w:cs="仿宋"/>
                      <w:color w:val="auto"/>
                      <w:highlight w:val="none"/>
                    </w:rPr>
                    <w:t>▲固件安全要求</w:t>
                  </w:r>
                </w:p>
              </w:tc>
              <w:tc>
                <w:tcPr>
                  <w:tcW w:w="1264" w:type="dxa"/>
                  <w:tcBorders>
                    <w:top w:val="nil"/>
                    <w:left w:val="nil"/>
                    <w:bottom w:val="single" w:color="auto" w:sz="8" w:space="0"/>
                    <w:right w:val="single" w:color="auto" w:sz="8" w:space="0"/>
                  </w:tcBorders>
                  <w:vAlign w:val="center"/>
                </w:tcPr>
                <w:p w14:paraId="7F1C8376">
                  <w:pPr>
                    <w:pStyle w:val="209"/>
                    <w:rPr>
                      <w:rFonts w:ascii="仿宋" w:hAnsi="仿宋" w:eastAsia="仿宋" w:cs="仿宋"/>
                      <w:color w:val="auto"/>
                      <w:highlight w:val="none"/>
                    </w:rPr>
                  </w:pPr>
                  <w:r>
                    <w:rPr>
                      <w:rFonts w:hint="eastAsia" w:ascii="仿宋" w:hAnsi="仿宋" w:eastAsia="仿宋" w:cs="仿宋"/>
                      <w:color w:val="auto"/>
                      <w:highlight w:val="none"/>
                    </w:rPr>
                    <w:t>▲故障检测</w:t>
                  </w:r>
                </w:p>
              </w:tc>
              <w:tc>
                <w:tcPr>
                  <w:tcW w:w="4443" w:type="dxa"/>
                  <w:tcBorders>
                    <w:top w:val="nil"/>
                    <w:left w:val="nil"/>
                    <w:bottom w:val="single" w:color="auto" w:sz="8" w:space="0"/>
                    <w:right w:val="single" w:color="auto" w:sz="8" w:space="0"/>
                  </w:tcBorders>
                  <w:vAlign w:val="center"/>
                </w:tcPr>
                <w:p w14:paraId="50D6DC2B">
                  <w:pPr>
                    <w:pStyle w:val="209"/>
                    <w:rPr>
                      <w:rFonts w:ascii="仿宋" w:hAnsi="仿宋" w:eastAsia="仿宋" w:cs="仿宋"/>
                      <w:color w:val="auto"/>
                      <w:highlight w:val="none"/>
                    </w:rPr>
                  </w:pPr>
                  <w:r>
                    <w:rPr>
                      <w:rFonts w:hint="eastAsia" w:ascii="仿宋" w:hAnsi="仿宋" w:eastAsia="仿宋" w:cs="仿宋"/>
                      <w:color w:val="auto"/>
                      <w:highlight w:val="none"/>
                    </w:rPr>
                    <w:t>支持故障检测功能，可以检测到具体的 FRU（内存、硬盘等）的故障并发出告警</w:t>
                  </w:r>
                </w:p>
              </w:tc>
            </w:tr>
            <w:tr w14:paraId="20F49C3C">
              <w:tblPrEx>
                <w:tblCellMar>
                  <w:top w:w="0" w:type="dxa"/>
                  <w:left w:w="108" w:type="dxa"/>
                  <w:bottom w:w="0" w:type="dxa"/>
                  <w:right w:w="108" w:type="dxa"/>
                </w:tblCellMar>
              </w:tblPrEx>
              <w:trPr>
                <w:trHeight w:val="948" w:hRule="atLeast"/>
                <w:jc w:val="center"/>
              </w:trPr>
              <w:tc>
                <w:tcPr>
                  <w:tcW w:w="865" w:type="dxa"/>
                  <w:tcBorders>
                    <w:top w:val="nil"/>
                    <w:left w:val="single" w:color="auto" w:sz="8" w:space="0"/>
                    <w:bottom w:val="single" w:color="auto" w:sz="8" w:space="0"/>
                    <w:right w:val="single" w:color="auto" w:sz="8" w:space="0"/>
                  </w:tcBorders>
                  <w:vAlign w:val="center"/>
                </w:tcPr>
                <w:p w14:paraId="56E9C455">
                  <w:pPr>
                    <w:pStyle w:val="209"/>
                    <w:rPr>
                      <w:rFonts w:ascii="仿宋" w:hAnsi="仿宋" w:eastAsia="仿宋" w:cs="仿宋"/>
                      <w:color w:val="auto"/>
                      <w:highlight w:val="none"/>
                    </w:rPr>
                  </w:pPr>
                  <w:r>
                    <w:rPr>
                      <w:rFonts w:hint="eastAsia" w:ascii="仿宋" w:hAnsi="仿宋" w:eastAsia="仿宋" w:cs="仿宋"/>
                      <w:color w:val="auto"/>
                      <w:highlight w:val="none"/>
                    </w:rPr>
                    <w:t>39</w:t>
                  </w:r>
                </w:p>
              </w:tc>
              <w:tc>
                <w:tcPr>
                  <w:tcW w:w="1247" w:type="dxa"/>
                  <w:vMerge w:val="restart"/>
                  <w:tcBorders>
                    <w:top w:val="nil"/>
                    <w:left w:val="single" w:color="auto" w:sz="8" w:space="0"/>
                    <w:bottom w:val="single" w:color="000000" w:sz="8" w:space="0"/>
                    <w:right w:val="single" w:color="auto" w:sz="8" w:space="0"/>
                  </w:tcBorders>
                  <w:vAlign w:val="center"/>
                </w:tcPr>
                <w:p w14:paraId="769DD889">
                  <w:pPr>
                    <w:pStyle w:val="209"/>
                    <w:rPr>
                      <w:rFonts w:ascii="仿宋" w:hAnsi="仿宋" w:eastAsia="仿宋" w:cs="仿宋"/>
                      <w:color w:val="auto"/>
                      <w:highlight w:val="none"/>
                    </w:rPr>
                  </w:pPr>
                  <w:r>
                    <w:rPr>
                      <w:rFonts w:hint="eastAsia" w:ascii="仿宋" w:hAnsi="仿宋" w:eastAsia="仿宋" w:cs="仿宋"/>
                      <w:color w:val="auto"/>
                      <w:highlight w:val="none"/>
                    </w:rPr>
                    <w:t>▲系统安全要求</w:t>
                  </w:r>
                </w:p>
              </w:tc>
              <w:tc>
                <w:tcPr>
                  <w:tcW w:w="1264" w:type="dxa"/>
                  <w:tcBorders>
                    <w:top w:val="nil"/>
                    <w:left w:val="nil"/>
                    <w:bottom w:val="single" w:color="auto" w:sz="8" w:space="0"/>
                    <w:right w:val="single" w:color="auto" w:sz="8" w:space="0"/>
                  </w:tcBorders>
                  <w:vAlign w:val="center"/>
                </w:tcPr>
                <w:p w14:paraId="67D35F84">
                  <w:pPr>
                    <w:pStyle w:val="209"/>
                    <w:rPr>
                      <w:rFonts w:ascii="仿宋" w:hAnsi="仿宋" w:eastAsia="仿宋" w:cs="仿宋"/>
                      <w:color w:val="auto"/>
                      <w:highlight w:val="none"/>
                    </w:rPr>
                  </w:pPr>
                  <w:r>
                    <w:rPr>
                      <w:rFonts w:hint="eastAsia" w:ascii="仿宋" w:hAnsi="仿宋" w:eastAsia="仿宋" w:cs="仿宋"/>
                      <w:color w:val="auto"/>
                      <w:highlight w:val="none"/>
                    </w:rPr>
                    <w:t>▲弱口令字典检查</w:t>
                  </w:r>
                </w:p>
              </w:tc>
              <w:tc>
                <w:tcPr>
                  <w:tcW w:w="4443" w:type="dxa"/>
                  <w:tcBorders>
                    <w:top w:val="nil"/>
                    <w:left w:val="nil"/>
                    <w:bottom w:val="single" w:color="auto" w:sz="8" w:space="0"/>
                    <w:right w:val="single" w:color="auto" w:sz="8" w:space="0"/>
                  </w:tcBorders>
                  <w:vAlign w:val="center"/>
                </w:tcPr>
                <w:p w14:paraId="4D060306">
                  <w:pPr>
                    <w:pStyle w:val="209"/>
                    <w:rPr>
                      <w:rFonts w:ascii="仿宋" w:hAnsi="仿宋" w:eastAsia="仿宋" w:cs="仿宋"/>
                      <w:color w:val="auto"/>
                      <w:highlight w:val="none"/>
                    </w:rPr>
                  </w:pPr>
                  <w:r>
                    <w:rPr>
                      <w:rFonts w:hint="eastAsia" w:ascii="仿宋" w:hAnsi="仿宋" w:eastAsia="仿宋" w:cs="仿宋"/>
                      <w:color w:val="auto"/>
                      <w:highlight w:val="none"/>
                    </w:rPr>
                    <w:t>支持弱口令字典检查功能，出现在弱口令字典中的字符串不能被设置为用户口令</w:t>
                  </w:r>
                </w:p>
              </w:tc>
            </w:tr>
            <w:tr w14:paraId="0361B118">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211C6853">
                  <w:pPr>
                    <w:pStyle w:val="209"/>
                    <w:rPr>
                      <w:rFonts w:ascii="仿宋" w:hAnsi="仿宋" w:eastAsia="仿宋" w:cs="仿宋"/>
                      <w:color w:val="auto"/>
                      <w:highlight w:val="none"/>
                    </w:rPr>
                  </w:pPr>
                  <w:r>
                    <w:rPr>
                      <w:rFonts w:hint="eastAsia" w:ascii="仿宋" w:hAnsi="仿宋" w:eastAsia="仿宋" w:cs="仿宋"/>
                      <w:color w:val="auto"/>
                      <w:highlight w:val="none"/>
                    </w:rPr>
                    <w:t>40</w:t>
                  </w:r>
                </w:p>
              </w:tc>
              <w:tc>
                <w:tcPr>
                  <w:tcW w:w="1247" w:type="dxa"/>
                  <w:vMerge w:val="continue"/>
                  <w:tcBorders>
                    <w:top w:val="nil"/>
                    <w:left w:val="single" w:color="auto" w:sz="8" w:space="0"/>
                    <w:bottom w:val="single" w:color="000000" w:sz="8" w:space="0"/>
                    <w:right w:val="single" w:color="auto" w:sz="8" w:space="0"/>
                  </w:tcBorders>
                  <w:vAlign w:val="center"/>
                </w:tcPr>
                <w:p w14:paraId="2ED5B9A1">
                  <w:pPr>
                    <w:rPr>
                      <w:highlight w:val="none"/>
                    </w:rPr>
                  </w:pPr>
                </w:p>
              </w:tc>
              <w:tc>
                <w:tcPr>
                  <w:tcW w:w="1264" w:type="dxa"/>
                  <w:tcBorders>
                    <w:top w:val="nil"/>
                    <w:left w:val="nil"/>
                    <w:bottom w:val="single" w:color="auto" w:sz="8" w:space="0"/>
                    <w:right w:val="single" w:color="auto" w:sz="8" w:space="0"/>
                  </w:tcBorders>
                  <w:vAlign w:val="center"/>
                </w:tcPr>
                <w:p w14:paraId="7C7C4574">
                  <w:pPr>
                    <w:pStyle w:val="209"/>
                    <w:rPr>
                      <w:rFonts w:ascii="仿宋" w:hAnsi="仿宋" w:eastAsia="仿宋" w:cs="仿宋"/>
                      <w:color w:val="auto"/>
                      <w:highlight w:val="none"/>
                    </w:rPr>
                  </w:pPr>
                  <w:r>
                    <w:rPr>
                      <w:rFonts w:hint="eastAsia" w:ascii="仿宋" w:hAnsi="仿宋" w:eastAsia="仿宋" w:cs="仿宋"/>
                      <w:color w:val="auto"/>
                      <w:highlight w:val="none"/>
                    </w:rPr>
                    <w:t>▲白名单访问控制</w:t>
                  </w:r>
                </w:p>
              </w:tc>
              <w:tc>
                <w:tcPr>
                  <w:tcW w:w="4443" w:type="dxa"/>
                  <w:tcBorders>
                    <w:top w:val="nil"/>
                    <w:left w:val="nil"/>
                    <w:bottom w:val="single" w:color="auto" w:sz="8" w:space="0"/>
                    <w:right w:val="single" w:color="auto" w:sz="8" w:space="0"/>
                  </w:tcBorders>
                  <w:vAlign w:val="center"/>
                </w:tcPr>
                <w:p w14:paraId="6A97C404">
                  <w:pPr>
                    <w:pStyle w:val="209"/>
                    <w:rPr>
                      <w:rFonts w:ascii="仿宋" w:hAnsi="仿宋" w:eastAsia="仿宋" w:cs="仿宋"/>
                      <w:color w:val="auto"/>
                      <w:highlight w:val="none"/>
                    </w:rPr>
                  </w:pPr>
                  <w:r>
                    <w:rPr>
                      <w:rFonts w:hint="eastAsia" w:ascii="仿宋" w:hAnsi="仿宋" w:eastAsia="仿宋" w:cs="仿宋"/>
                      <w:color w:val="auto"/>
                      <w:highlight w:val="none"/>
                    </w:rPr>
                    <w:t>支持基于时间、IP 或 MAC 白名单访问控制</w:t>
                  </w:r>
                </w:p>
              </w:tc>
            </w:tr>
            <w:tr w14:paraId="5772EE16">
              <w:tblPrEx>
                <w:tblCellMar>
                  <w:top w:w="0" w:type="dxa"/>
                  <w:left w:w="108" w:type="dxa"/>
                  <w:bottom w:w="0" w:type="dxa"/>
                  <w:right w:w="108" w:type="dxa"/>
                </w:tblCellMar>
              </w:tblPrEx>
              <w:trPr>
                <w:trHeight w:val="1260" w:hRule="atLeast"/>
                <w:jc w:val="center"/>
              </w:trPr>
              <w:tc>
                <w:tcPr>
                  <w:tcW w:w="865" w:type="dxa"/>
                  <w:tcBorders>
                    <w:top w:val="nil"/>
                    <w:left w:val="single" w:color="auto" w:sz="8" w:space="0"/>
                    <w:bottom w:val="single" w:color="auto" w:sz="8" w:space="0"/>
                    <w:right w:val="single" w:color="auto" w:sz="8" w:space="0"/>
                  </w:tcBorders>
                  <w:vAlign w:val="center"/>
                </w:tcPr>
                <w:p w14:paraId="6BED9ECE">
                  <w:pPr>
                    <w:pStyle w:val="209"/>
                    <w:rPr>
                      <w:rFonts w:ascii="仿宋" w:hAnsi="仿宋" w:eastAsia="仿宋" w:cs="仿宋"/>
                      <w:color w:val="auto"/>
                      <w:highlight w:val="none"/>
                    </w:rPr>
                  </w:pPr>
                  <w:r>
                    <w:rPr>
                      <w:rFonts w:hint="eastAsia" w:ascii="仿宋" w:hAnsi="仿宋" w:eastAsia="仿宋" w:cs="仿宋"/>
                      <w:color w:val="auto"/>
                      <w:highlight w:val="none"/>
                    </w:rPr>
                    <w:t>41</w:t>
                  </w:r>
                </w:p>
              </w:tc>
              <w:tc>
                <w:tcPr>
                  <w:tcW w:w="1247" w:type="dxa"/>
                  <w:vMerge w:val="continue"/>
                  <w:tcBorders>
                    <w:top w:val="nil"/>
                    <w:left w:val="single" w:color="auto" w:sz="8" w:space="0"/>
                    <w:bottom w:val="single" w:color="000000" w:sz="8" w:space="0"/>
                    <w:right w:val="single" w:color="auto" w:sz="8" w:space="0"/>
                  </w:tcBorders>
                  <w:vAlign w:val="center"/>
                </w:tcPr>
                <w:p w14:paraId="09AD3207">
                  <w:pPr>
                    <w:rPr>
                      <w:highlight w:val="none"/>
                    </w:rPr>
                  </w:pPr>
                </w:p>
              </w:tc>
              <w:tc>
                <w:tcPr>
                  <w:tcW w:w="1264" w:type="dxa"/>
                  <w:tcBorders>
                    <w:top w:val="nil"/>
                    <w:left w:val="nil"/>
                    <w:bottom w:val="single" w:color="auto" w:sz="8" w:space="0"/>
                    <w:right w:val="single" w:color="auto" w:sz="8" w:space="0"/>
                  </w:tcBorders>
                  <w:vAlign w:val="center"/>
                </w:tcPr>
                <w:p w14:paraId="2E58B870">
                  <w:pPr>
                    <w:pStyle w:val="209"/>
                    <w:rPr>
                      <w:rFonts w:ascii="仿宋" w:hAnsi="仿宋" w:eastAsia="仿宋" w:cs="仿宋"/>
                      <w:color w:val="auto"/>
                      <w:highlight w:val="none"/>
                    </w:rPr>
                  </w:pPr>
                  <w:r>
                    <w:rPr>
                      <w:rFonts w:hint="eastAsia" w:ascii="仿宋" w:hAnsi="仿宋" w:eastAsia="仿宋" w:cs="仿宋"/>
                      <w:color w:val="auto"/>
                      <w:highlight w:val="none"/>
                    </w:rPr>
                    <w:t>▲二次鉴别</w:t>
                  </w:r>
                </w:p>
              </w:tc>
              <w:tc>
                <w:tcPr>
                  <w:tcW w:w="4443" w:type="dxa"/>
                  <w:tcBorders>
                    <w:top w:val="nil"/>
                    <w:left w:val="nil"/>
                    <w:bottom w:val="single" w:color="auto" w:sz="8" w:space="0"/>
                    <w:right w:val="single" w:color="auto" w:sz="8" w:space="0"/>
                  </w:tcBorders>
                  <w:vAlign w:val="center"/>
                </w:tcPr>
                <w:p w14:paraId="3E51C6C0">
                  <w:pPr>
                    <w:pStyle w:val="209"/>
                    <w:rPr>
                      <w:rFonts w:ascii="仿宋" w:hAnsi="仿宋" w:eastAsia="仿宋" w:cs="仿宋"/>
                      <w:color w:val="auto"/>
                      <w:highlight w:val="none"/>
                    </w:rPr>
                  </w:pPr>
                  <w:r>
                    <w:rPr>
                      <w:rFonts w:hint="eastAsia" w:ascii="仿宋" w:hAnsi="仿宋" w:eastAsia="仿宋" w:cs="仿宋"/>
                      <w:color w:val="auto"/>
                      <w:highlight w:val="none"/>
                    </w:rPr>
                    <w:t>支持二次鉴别功能。对于用户配置、权限配置、公钥导入等重要的管理操作，已登录用户应通过二次鉴别后，才能执行操作</w:t>
                  </w:r>
                </w:p>
              </w:tc>
            </w:tr>
            <w:tr w14:paraId="6D3C136C">
              <w:tblPrEx>
                <w:tblCellMar>
                  <w:top w:w="0" w:type="dxa"/>
                  <w:left w:w="108" w:type="dxa"/>
                  <w:bottom w:w="0" w:type="dxa"/>
                  <w:right w:w="108" w:type="dxa"/>
                </w:tblCellMar>
              </w:tblPrEx>
              <w:trPr>
                <w:trHeight w:val="948" w:hRule="atLeast"/>
                <w:jc w:val="center"/>
              </w:trPr>
              <w:tc>
                <w:tcPr>
                  <w:tcW w:w="865" w:type="dxa"/>
                  <w:tcBorders>
                    <w:top w:val="nil"/>
                    <w:left w:val="single" w:color="auto" w:sz="8" w:space="0"/>
                    <w:bottom w:val="single" w:color="auto" w:sz="8" w:space="0"/>
                    <w:right w:val="single" w:color="auto" w:sz="8" w:space="0"/>
                  </w:tcBorders>
                  <w:vAlign w:val="center"/>
                </w:tcPr>
                <w:p w14:paraId="10520BC6">
                  <w:pPr>
                    <w:pStyle w:val="209"/>
                    <w:rPr>
                      <w:rFonts w:ascii="仿宋" w:hAnsi="仿宋" w:eastAsia="仿宋" w:cs="仿宋"/>
                      <w:color w:val="auto"/>
                      <w:highlight w:val="none"/>
                    </w:rPr>
                  </w:pPr>
                  <w:r>
                    <w:rPr>
                      <w:rFonts w:hint="eastAsia" w:ascii="仿宋" w:hAnsi="仿宋" w:eastAsia="仿宋" w:cs="仿宋"/>
                      <w:color w:val="auto"/>
                      <w:highlight w:val="none"/>
                    </w:rPr>
                    <w:t>42</w:t>
                  </w:r>
                </w:p>
              </w:tc>
              <w:tc>
                <w:tcPr>
                  <w:tcW w:w="1247" w:type="dxa"/>
                  <w:vMerge w:val="continue"/>
                  <w:tcBorders>
                    <w:top w:val="nil"/>
                    <w:left w:val="single" w:color="auto" w:sz="8" w:space="0"/>
                    <w:bottom w:val="single" w:color="000000" w:sz="8" w:space="0"/>
                    <w:right w:val="single" w:color="auto" w:sz="8" w:space="0"/>
                  </w:tcBorders>
                  <w:vAlign w:val="center"/>
                </w:tcPr>
                <w:p w14:paraId="11F8411B">
                  <w:pPr>
                    <w:rPr>
                      <w:highlight w:val="none"/>
                    </w:rPr>
                  </w:pPr>
                </w:p>
              </w:tc>
              <w:tc>
                <w:tcPr>
                  <w:tcW w:w="1264" w:type="dxa"/>
                  <w:tcBorders>
                    <w:top w:val="nil"/>
                    <w:left w:val="nil"/>
                    <w:bottom w:val="single" w:color="auto" w:sz="8" w:space="0"/>
                    <w:right w:val="single" w:color="auto" w:sz="8" w:space="0"/>
                  </w:tcBorders>
                  <w:vAlign w:val="center"/>
                </w:tcPr>
                <w:p w14:paraId="13E9E2FB">
                  <w:pPr>
                    <w:pStyle w:val="209"/>
                    <w:rPr>
                      <w:rFonts w:ascii="仿宋" w:hAnsi="仿宋" w:eastAsia="仿宋" w:cs="仿宋"/>
                      <w:color w:val="auto"/>
                      <w:highlight w:val="none"/>
                    </w:rPr>
                  </w:pPr>
                  <w:r>
                    <w:rPr>
                      <w:rFonts w:hint="eastAsia" w:ascii="仿宋" w:hAnsi="仿宋" w:eastAsia="仿宋" w:cs="仿宋"/>
                      <w:color w:val="auto"/>
                      <w:highlight w:val="none"/>
                    </w:rPr>
                    <w:t>▲密码证书安全加密存储</w:t>
                  </w:r>
                </w:p>
              </w:tc>
              <w:tc>
                <w:tcPr>
                  <w:tcW w:w="4443" w:type="dxa"/>
                  <w:tcBorders>
                    <w:top w:val="nil"/>
                    <w:left w:val="nil"/>
                    <w:bottom w:val="single" w:color="auto" w:sz="8" w:space="0"/>
                    <w:right w:val="single" w:color="auto" w:sz="8" w:space="0"/>
                  </w:tcBorders>
                  <w:vAlign w:val="center"/>
                </w:tcPr>
                <w:p w14:paraId="7A614956">
                  <w:pPr>
                    <w:pStyle w:val="209"/>
                    <w:rPr>
                      <w:rFonts w:ascii="仿宋" w:hAnsi="仿宋" w:eastAsia="仿宋" w:cs="仿宋"/>
                      <w:color w:val="auto"/>
                      <w:highlight w:val="none"/>
                    </w:rPr>
                  </w:pPr>
                  <w:r>
                    <w:rPr>
                      <w:rFonts w:hint="eastAsia" w:ascii="仿宋" w:hAnsi="仿宋" w:eastAsia="仿宋" w:cs="仿宋"/>
                      <w:color w:val="auto"/>
                      <w:highlight w:val="none"/>
                    </w:rPr>
                    <w:t>支持对带外管理系统中的用户口令和证书等敏感信息进行加密存储，禁止使用私有的和业界已知不安全的密码算法</w:t>
                  </w:r>
                </w:p>
              </w:tc>
            </w:tr>
            <w:tr w14:paraId="64B868F5">
              <w:tblPrEx>
                <w:tblCellMar>
                  <w:top w:w="0" w:type="dxa"/>
                  <w:left w:w="108" w:type="dxa"/>
                  <w:bottom w:w="0" w:type="dxa"/>
                  <w:right w:w="108" w:type="dxa"/>
                </w:tblCellMar>
              </w:tblPrEx>
              <w:trPr>
                <w:trHeight w:val="948" w:hRule="atLeast"/>
                <w:jc w:val="center"/>
              </w:trPr>
              <w:tc>
                <w:tcPr>
                  <w:tcW w:w="865" w:type="dxa"/>
                  <w:tcBorders>
                    <w:top w:val="nil"/>
                    <w:left w:val="single" w:color="auto" w:sz="8" w:space="0"/>
                    <w:bottom w:val="single" w:color="auto" w:sz="8" w:space="0"/>
                    <w:right w:val="single" w:color="auto" w:sz="8" w:space="0"/>
                  </w:tcBorders>
                  <w:vAlign w:val="center"/>
                </w:tcPr>
                <w:p w14:paraId="4563B2FC">
                  <w:pPr>
                    <w:pStyle w:val="209"/>
                    <w:rPr>
                      <w:rFonts w:ascii="仿宋" w:hAnsi="仿宋" w:eastAsia="仿宋" w:cs="仿宋"/>
                      <w:color w:val="auto"/>
                      <w:highlight w:val="none"/>
                    </w:rPr>
                  </w:pPr>
                  <w:r>
                    <w:rPr>
                      <w:rFonts w:hint="eastAsia" w:ascii="仿宋" w:hAnsi="仿宋" w:eastAsia="仿宋" w:cs="仿宋"/>
                      <w:color w:val="auto"/>
                      <w:highlight w:val="none"/>
                    </w:rPr>
                    <w:t>43</w:t>
                  </w:r>
                </w:p>
              </w:tc>
              <w:tc>
                <w:tcPr>
                  <w:tcW w:w="1247" w:type="dxa"/>
                  <w:vMerge w:val="continue"/>
                  <w:tcBorders>
                    <w:top w:val="nil"/>
                    <w:left w:val="single" w:color="auto" w:sz="8" w:space="0"/>
                    <w:bottom w:val="single" w:color="000000" w:sz="8" w:space="0"/>
                    <w:right w:val="single" w:color="auto" w:sz="8" w:space="0"/>
                  </w:tcBorders>
                  <w:vAlign w:val="center"/>
                </w:tcPr>
                <w:p w14:paraId="10D69B5D">
                  <w:pPr>
                    <w:rPr>
                      <w:highlight w:val="none"/>
                    </w:rPr>
                  </w:pPr>
                </w:p>
              </w:tc>
              <w:tc>
                <w:tcPr>
                  <w:tcW w:w="1264" w:type="dxa"/>
                  <w:tcBorders>
                    <w:top w:val="nil"/>
                    <w:left w:val="nil"/>
                    <w:bottom w:val="single" w:color="auto" w:sz="8" w:space="0"/>
                    <w:right w:val="single" w:color="auto" w:sz="8" w:space="0"/>
                  </w:tcBorders>
                  <w:vAlign w:val="center"/>
                </w:tcPr>
                <w:p w14:paraId="52755AA9">
                  <w:pPr>
                    <w:pStyle w:val="209"/>
                    <w:rPr>
                      <w:rFonts w:ascii="仿宋" w:hAnsi="仿宋" w:eastAsia="仿宋" w:cs="仿宋"/>
                      <w:color w:val="auto"/>
                      <w:highlight w:val="none"/>
                    </w:rPr>
                  </w:pPr>
                  <w:r>
                    <w:rPr>
                      <w:rFonts w:hint="eastAsia" w:ascii="仿宋" w:hAnsi="仿宋" w:eastAsia="仿宋" w:cs="仿宋"/>
                      <w:color w:val="auto"/>
                      <w:highlight w:val="none"/>
                    </w:rPr>
                    <w:t>▲敏感信息安全加密传输</w:t>
                  </w:r>
                </w:p>
              </w:tc>
              <w:tc>
                <w:tcPr>
                  <w:tcW w:w="4443" w:type="dxa"/>
                  <w:tcBorders>
                    <w:top w:val="nil"/>
                    <w:left w:val="nil"/>
                    <w:bottom w:val="single" w:color="auto" w:sz="8" w:space="0"/>
                    <w:right w:val="single" w:color="auto" w:sz="8" w:space="0"/>
                  </w:tcBorders>
                  <w:vAlign w:val="center"/>
                </w:tcPr>
                <w:p w14:paraId="6D92ECBE">
                  <w:pPr>
                    <w:pStyle w:val="209"/>
                    <w:rPr>
                      <w:rFonts w:ascii="仿宋" w:hAnsi="仿宋" w:eastAsia="仿宋" w:cs="仿宋"/>
                      <w:color w:val="auto"/>
                      <w:highlight w:val="none"/>
                    </w:rPr>
                  </w:pPr>
                  <w:r>
                    <w:rPr>
                      <w:rFonts w:hint="eastAsia" w:ascii="仿宋" w:hAnsi="仿宋" w:eastAsia="仿宋" w:cs="仿宋"/>
                      <w:color w:val="auto"/>
                      <w:highlight w:val="none"/>
                    </w:rPr>
                    <w:t>支持使用安全的传输加密协议（如SSH 或 HTTPS 等）传输用户的敏感信息</w:t>
                  </w:r>
                </w:p>
              </w:tc>
            </w:tr>
            <w:tr w14:paraId="73191215">
              <w:tblPrEx>
                <w:tblCellMar>
                  <w:top w:w="0" w:type="dxa"/>
                  <w:left w:w="108" w:type="dxa"/>
                  <w:bottom w:w="0" w:type="dxa"/>
                  <w:right w:w="108" w:type="dxa"/>
                </w:tblCellMar>
              </w:tblPrEx>
              <w:trPr>
                <w:trHeight w:val="1680" w:hRule="atLeast"/>
                <w:jc w:val="center"/>
              </w:trPr>
              <w:tc>
                <w:tcPr>
                  <w:tcW w:w="865" w:type="dxa"/>
                  <w:tcBorders>
                    <w:top w:val="nil"/>
                    <w:left w:val="single" w:color="auto" w:sz="8" w:space="0"/>
                    <w:bottom w:val="single" w:color="000000" w:sz="8" w:space="0"/>
                    <w:right w:val="single" w:color="auto" w:sz="8" w:space="0"/>
                  </w:tcBorders>
                  <w:vAlign w:val="center"/>
                </w:tcPr>
                <w:p w14:paraId="2AD2ADFD">
                  <w:pPr>
                    <w:pStyle w:val="209"/>
                    <w:rPr>
                      <w:rFonts w:ascii="仿宋" w:hAnsi="仿宋" w:eastAsia="仿宋" w:cs="仿宋"/>
                      <w:color w:val="auto"/>
                      <w:highlight w:val="none"/>
                    </w:rPr>
                  </w:pPr>
                  <w:r>
                    <w:rPr>
                      <w:rFonts w:hint="eastAsia" w:ascii="仿宋" w:hAnsi="仿宋" w:eastAsia="仿宋" w:cs="仿宋"/>
                      <w:color w:val="auto"/>
                      <w:highlight w:val="none"/>
                    </w:rPr>
                    <w:t>44</w:t>
                  </w:r>
                </w:p>
              </w:tc>
              <w:tc>
                <w:tcPr>
                  <w:tcW w:w="1247" w:type="dxa"/>
                  <w:tcBorders>
                    <w:top w:val="nil"/>
                    <w:left w:val="single" w:color="auto" w:sz="8" w:space="0"/>
                    <w:bottom w:val="single" w:color="000000" w:sz="8" w:space="0"/>
                    <w:right w:val="single" w:color="auto" w:sz="8" w:space="0"/>
                  </w:tcBorders>
                  <w:vAlign w:val="center"/>
                </w:tcPr>
                <w:p w14:paraId="3977A891">
                  <w:pPr>
                    <w:pStyle w:val="209"/>
                    <w:rPr>
                      <w:rFonts w:ascii="仿宋" w:hAnsi="仿宋" w:eastAsia="仿宋" w:cs="仿宋"/>
                      <w:color w:val="auto"/>
                      <w:highlight w:val="none"/>
                    </w:rPr>
                  </w:pPr>
                  <w:r>
                    <w:rPr>
                      <w:rFonts w:hint="eastAsia" w:ascii="仿宋" w:hAnsi="仿宋" w:eastAsia="仿宋" w:cs="仿宋"/>
                      <w:color w:val="auto"/>
                      <w:highlight w:val="none"/>
                    </w:rPr>
                    <w:t>▲信息安全要求</w:t>
                  </w:r>
                </w:p>
              </w:tc>
              <w:tc>
                <w:tcPr>
                  <w:tcW w:w="1264" w:type="dxa"/>
                  <w:tcBorders>
                    <w:top w:val="nil"/>
                    <w:left w:val="single" w:color="auto" w:sz="8" w:space="0"/>
                    <w:bottom w:val="single" w:color="000000" w:sz="8" w:space="0"/>
                    <w:right w:val="single" w:color="auto" w:sz="8" w:space="0"/>
                  </w:tcBorders>
                  <w:vAlign w:val="center"/>
                </w:tcPr>
                <w:p w14:paraId="2BBA360C">
                  <w:pPr>
                    <w:pStyle w:val="209"/>
                    <w:rPr>
                      <w:rFonts w:ascii="仿宋" w:hAnsi="仿宋" w:eastAsia="仿宋" w:cs="仿宋"/>
                      <w:color w:val="auto"/>
                      <w:highlight w:val="none"/>
                    </w:rPr>
                  </w:pPr>
                  <w:r>
                    <w:rPr>
                      <w:rFonts w:hint="eastAsia" w:ascii="仿宋" w:hAnsi="仿宋" w:eastAsia="仿宋" w:cs="仿宋"/>
                      <w:color w:val="auto"/>
                      <w:highlight w:val="none"/>
                    </w:rPr>
                    <w:t>▲研发过程安全</w:t>
                  </w:r>
                </w:p>
              </w:tc>
              <w:tc>
                <w:tcPr>
                  <w:tcW w:w="4443" w:type="dxa"/>
                  <w:tcBorders>
                    <w:top w:val="nil"/>
                    <w:left w:val="nil"/>
                    <w:bottom w:val="single" w:color="auto" w:sz="8" w:space="0"/>
                    <w:right w:val="single" w:color="auto" w:sz="8" w:space="0"/>
                  </w:tcBorders>
                  <w:vAlign w:val="center"/>
                </w:tcPr>
                <w:p w14:paraId="05831264">
                  <w:pPr>
                    <w:pStyle w:val="209"/>
                    <w:rPr>
                      <w:rFonts w:ascii="仿宋" w:hAnsi="仿宋" w:eastAsia="仿宋" w:cs="仿宋"/>
                      <w:color w:val="auto"/>
                      <w:highlight w:val="none"/>
                    </w:rPr>
                  </w:pPr>
                  <w:r>
                    <w:rPr>
                      <w:rFonts w:hint="eastAsia" w:ascii="仿宋" w:hAnsi="仿宋" w:eastAsia="仿宋" w:cs="仿宋"/>
                      <w:color w:val="auto"/>
                      <w:highlight w:val="none"/>
                    </w:rPr>
                    <w:t>投标人承诺，生产商已建立从需求、设计、开发、测试、维护端到端的开发流程管理机制，输出和保存开发流程中每个阶段的产品需求清单、设计文档、开发文档、测试记录等材料，保证各个流程可追溯；</w:t>
                  </w:r>
                </w:p>
              </w:tc>
            </w:tr>
            <w:tr w14:paraId="42BB5E63">
              <w:tblPrEx>
                <w:tblCellMar>
                  <w:top w:w="0" w:type="dxa"/>
                  <w:left w:w="108" w:type="dxa"/>
                  <w:bottom w:w="0" w:type="dxa"/>
                  <w:right w:w="108" w:type="dxa"/>
                </w:tblCellMar>
              </w:tblPrEx>
              <w:trPr>
                <w:trHeight w:val="324" w:hRule="atLeast"/>
                <w:jc w:val="center"/>
              </w:trPr>
              <w:tc>
                <w:tcPr>
                  <w:tcW w:w="865" w:type="dxa"/>
                  <w:tcBorders>
                    <w:top w:val="nil"/>
                    <w:left w:val="single" w:color="auto" w:sz="8" w:space="0"/>
                    <w:bottom w:val="single" w:color="auto" w:sz="8" w:space="0"/>
                    <w:right w:val="single" w:color="auto" w:sz="8" w:space="0"/>
                  </w:tcBorders>
                  <w:vAlign w:val="center"/>
                </w:tcPr>
                <w:p w14:paraId="6D3B4E2A">
                  <w:pPr>
                    <w:pStyle w:val="209"/>
                    <w:rPr>
                      <w:rFonts w:ascii="仿宋" w:hAnsi="仿宋" w:eastAsia="仿宋" w:cs="仿宋"/>
                      <w:color w:val="auto"/>
                      <w:highlight w:val="none"/>
                    </w:rPr>
                  </w:pPr>
                  <w:r>
                    <w:rPr>
                      <w:rFonts w:hint="eastAsia" w:ascii="仿宋" w:hAnsi="仿宋" w:eastAsia="仿宋" w:cs="仿宋"/>
                      <w:color w:val="auto"/>
                      <w:highlight w:val="none"/>
                    </w:rPr>
                    <w:t>45</w:t>
                  </w:r>
                </w:p>
              </w:tc>
              <w:tc>
                <w:tcPr>
                  <w:tcW w:w="1247" w:type="dxa"/>
                  <w:tcBorders>
                    <w:top w:val="nil"/>
                    <w:left w:val="nil"/>
                    <w:bottom w:val="single" w:color="auto" w:sz="8" w:space="0"/>
                    <w:right w:val="single" w:color="auto" w:sz="8" w:space="0"/>
                  </w:tcBorders>
                  <w:vAlign w:val="center"/>
                </w:tcPr>
                <w:p w14:paraId="1A3D4F3E">
                  <w:pPr>
                    <w:pStyle w:val="209"/>
                    <w:rPr>
                      <w:rFonts w:ascii="仿宋" w:hAnsi="仿宋" w:eastAsia="仿宋" w:cs="仿宋"/>
                      <w:color w:val="auto"/>
                      <w:highlight w:val="none"/>
                    </w:rPr>
                  </w:pPr>
                  <w:r>
                    <w:rPr>
                      <w:rFonts w:hint="eastAsia" w:ascii="仿宋" w:hAnsi="仿宋" w:eastAsia="仿宋" w:cs="仿宋"/>
                      <w:color w:val="auto"/>
                      <w:highlight w:val="none"/>
                    </w:rPr>
                    <w:t>▲物理安全</w:t>
                  </w:r>
                </w:p>
              </w:tc>
              <w:tc>
                <w:tcPr>
                  <w:tcW w:w="1264" w:type="dxa"/>
                  <w:tcBorders>
                    <w:top w:val="nil"/>
                    <w:left w:val="nil"/>
                    <w:bottom w:val="single" w:color="auto" w:sz="8" w:space="0"/>
                    <w:right w:val="single" w:color="auto" w:sz="8" w:space="0"/>
                  </w:tcBorders>
                  <w:vAlign w:val="center"/>
                </w:tcPr>
                <w:p w14:paraId="2EAEB37B">
                  <w:pPr>
                    <w:pStyle w:val="209"/>
                    <w:rPr>
                      <w:rFonts w:ascii="仿宋" w:hAnsi="仿宋" w:eastAsia="仿宋" w:cs="仿宋"/>
                      <w:color w:val="auto"/>
                      <w:highlight w:val="none"/>
                    </w:rPr>
                  </w:pPr>
                  <w:r>
                    <w:rPr>
                      <w:rFonts w:hint="eastAsia" w:ascii="仿宋" w:hAnsi="仿宋" w:eastAsia="仿宋" w:cs="仿宋"/>
                      <w:color w:val="auto"/>
                      <w:highlight w:val="none"/>
                    </w:rPr>
                    <w:t>▲物理安全</w:t>
                  </w:r>
                </w:p>
              </w:tc>
              <w:tc>
                <w:tcPr>
                  <w:tcW w:w="4443" w:type="dxa"/>
                  <w:tcBorders>
                    <w:top w:val="nil"/>
                    <w:left w:val="nil"/>
                    <w:bottom w:val="single" w:color="auto" w:sz="8" w:space="0"/>
                    <w:right w:val="single" w:color="auto" w:sz="8" w:space="0"/>
                  </w:tcBorders>
                  <w:vAlign w:val="center"/>
                </w:tcPr>
                <w:p w14:paraId="125F3076">
                  <w:pPr>
                    <w:pStyle w:val="209"/>
                    <w:rPr>
                      <w:rFonts w:ascii="仿宋" w:hAnsi="仿宋" w:eastAsia="仿宋" w:cs="仿宋"/>
                      <w:color w:val="auto"/>
                      <w:highlight w:val="none"/>
                    </w:rPr>
                  </w:pPr>
                  <w:r>
                    <w:rPr>
                      <w:rFonts w:hint="eastAsia" w:ascii="仿宋" w:hAnsi="仿宋" w:eastAsia="仿宋" w:cs="仿宋"/>
                      <w:color w:val="auto"/>
                      <w:highlight w:val="none"/>
                    </w:rPr>
                    <w:t>安全要求应符合 GB 4943.1 的规定</w:t>
                  </w:r>
                </w:p>
              </w:tc>
            </w:tr>
            <w:tr w14:paraId="371C8E21">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5807B86E">
                  <w:pPr>
                    <w:pStyle w:val="209"/>
                    <w:rPr>
                      <w:rFonts w:ascii="仿宋" w:hAnsi="仿宋" w:eastAsia="仿宋" w:cs="仿宋"/>
                      <w:color w:val="auto"/>
                      <w:highlight w:val="none"/>
                    </w:rPr>
                  </w:pPr>
                  <w:r>
                    <w:rPr>
                      <w:rFonts w:hint="eastAsia" w:ascii="仿宋" w:hAnsi="仿宋" w:eastAsia="仿宋" w:cs="仿宋"/>
                      <w:color w:val="auto"/>
                      <w:highlight w:val="none"/>
                    </w:rPr>
                    <w:t>46</w:t>
                  </w:r>
                </w:p>
              </w:tc>
              <w:tc>
                <w:tcPr>
                  <w:tcW w:w="1247" w:type="dxa"/>
                  <w:tcBorders>
                    <w:top w:val="nil"/>
                    <w:left w:val="nil"/>
                    <w:bottom w:val="single" w:color="auto" w:sz="8" w:space="0"/>
                    <w:right w:val="single" w:color="auto" w:sz="8" w:space="0"/>
                  </w:tcBorders>
                  <w:vAlign w:val="center"/>
                </w:tcPr>
                <w:p w14:paraId="49C2BD99">
                  <w:pPr>
                    <w:pStyle w:val="209"/>
                    <w:rPr>
                      <w:rFonts w:ascii="仿宋" w:hAnsi="仿宋" w:eastAsia="仿宋" w:cs="仿宋"/>
                      <w:color w:val="auto"/>
                      <w:highlight w:val="none"/>
                    </w:rPr>
                  </w:pPr>
                  <w:r>
                    <w:rPr>
                      <w:rFonts w:hint="eastAsia" w:ascii="仿宋" w:hAnsi="仿宋" w:eastAsia="仿宋" w:cs="仿宋"/>
                      <w:color w:val="auto"/>
                      <w:highlight w:val="none"/>
                    </w:rPr>
                    <w:t>▲限用物质的限量要求</w:t>
                  </w:r>
                </w:p>
              </w:tc>
              <w:tc>
                <w:tcPr>
                  <w:tcW w:w="1264" w:type="dxa"/>
                  <w:tcBorders>
                    <w:top w:val="nil"/>
                    <w:left w:val="nil"/>
                    <w:bottom w:val="single" w:color="auto" w:sz="8" w:space="0"/>
                    <w:right w:val="single" w:color="auto" w:sz="8" w:space="0"/>
                  </w:tcBorders>
                  <w:vAlign w:val="center"/>
                </w:tcPr>
                <w:p w14:paraId="571F7BD3">
                  <w:pPr>
                    <w:pStyle w:val="209"/>
                    <w:rPr>
                      <w:rFonts w:ascii="仿宋" w:hAnsi="仿宋" w:eastAsia="仿宋" w:cs="仿宋"/>
                      <w:color w:val="auto"/>
                      <w:highlight w:val="none"/>
                    </w:rPr>
                  </w:pPr>
                  <w:r>
                    <w:rPr>
                      <w:rFonts w:hint="eastAsia" w:ascii="仿宋" w:hAnsi="仿宋" w:eastAsia="仿宋" w:cs="仿宋"/>
                      <w:color w:val="auto"/>
                      <w:highlight w:val="none"/>
                    </w:rPr>
                    <w:t>▲限用物质的限量要求</w:t>
                  </w:r>
                </w:p>
              </w:tc>
              <w:tc>
                <w:tcPr>
                  <w:tcW w:w="4443" w:type="dxa"/>
                  <w:tcBorders>
                    <w:top w:val="nil"/>
                    <w:left w:val="nil"/>
                    <w:bottom w:val="single" w:color="auto" w:sz="8" w:space="0"/>
                    <w:right w:val="single" w:color="auto" w:sz="8" w:space="0"/>
                  </w:tcBorders>
                  <w:vAlign w:val="center"/>
                </w:tcPr>
                <w:p w14:paraId="7CC92589">
                  <w:pPr>
                    <w:pStyle w:val="209"/>
                    <w:rPr>
                      <w:rFonts w:ascii="仿宋" w:hAnsi="仿宋" w:eastAsia="仿宋" w:cs="仿宋"/>
                      <w:color w:val="auto"/>
                      <w:highlight w:val="none"/>
                    </w:rPr>
                  </w:pPr>
                  <w:r>
                    <w:rPr>
                      <w:rFonts w:hint="eastAsia" w:ascii="仿宋" w:hAnsi="仿宋" w:eastAsia="仿宋" w:cs="仿宋"/>
                      <w:color w:val="auto"/>
                      <w:highlight w:val="none"/>
                    </w:rPr>
                    <w:t>限用物质的限量应符合 GB/T 26572的要求</w:t>
                  </w:r>
                </w:p>
              </w:tc>
            </w:tr>
            <w:tr w14:paraId="2B1542C1">
              <w:tblPrEx>
                <w:tblCellMar>
                  <w:top w:w="0" w:type="dxa"/>
                  <w:left w:w="108" w:type="dxa"/>
                  <w:bottom w:w="0" w:type="dxa"/>
                  <w:right w:w="108" w:type="dxa"/>
                </w:tblCellMar>
              </w:tblPrEx>
              <w:trPr>
                <w:trHeight w:val="324" w:hRule="atLeast"/>
                <w:jc w:val="center"/>
              </w:trPr>
              <w:tc>
                <w:tcPr>
                  <w:tcW w:w="865" w:type="dxa"/>
                  <w:tcBorders>
                    <w:top w:val="nil"/>
                    <w:left w:val="single" w:color="auto" w:sz="8" w:space="0"/>
                    <w:bottom w:val="single" w:color="auto" w:sz="8" w:space="0"/>
                    <w:right w:val="single" w:color="auto" w:sz="8" w:space="0"/>
                  </w:tcBorders>
                  <w:vAlign w:val="center"/>
                </w:tcPr>
                <w:p w14:paraId="103ABBE4">
                  <w:pPr>
                    <w:pStyle w:val="209"/>
                    <w:rPr>
                      <w:rFonts w:ascii="仿宋" w:hAnsi="仿宋" w:eastAsia="仿宋" w:cs="仿宋"/>
                      <w:color w:val="auto"/>
                      <w:highlight w:val="none"/>
                    </w:rPr>
                  </w:pPr>
                  <w:r>
                    <w:rPr>
                      <w:rFonts w:hint="eastAsia" w:ascii="仿宋" w:hAnsi="仿宋" w:eastAsia="仿宋" w:cs="仿宋"/>
                      <w:color w:val="auto"/>
                      <w:highlight w:val="none"/>
                    </w:rPr>
                    <w:t>47</w:t>
                  </w:r>
                </w:p>
              </w:tc>
              <w:tc>
                <w:tcPr>
                  <w:tcW w:w="1247" w:type="dxa"/>
                  <w:vMerge w:val="restart"/>
                  <w:tcBorders>
                    <w:top w:val="nil"/>
                    <w:left w:val="single" w:color="auto" w:sz="8" w:space="0"/>
                    <w:bottom w:val="single" w:color="000000" w:sz="8" w:space="0"/>
                    <w:right w:val="single" w:color="auto" w:sz="8" w:space="0"/>
                  </w:tcBorders>
                  <w:vAlign w:val="center"/>
                </w:tcPr>
                <w:p w14:paraId="55194AB0">
                  <w:pPr>
                    <w:pStyle w:val="209"/>
                    <w:rPr>
                      <w:rFonts w:ascii="仿宋" w:hAnsi="仿宋" w:eastAsia="仿宋" w:cs="仿宋"/>
                      <w:color w:val="auto"/>
                      <w:highlight w:val="none"/>
                    </w:rPr>
                  </w:pPr>
                  <w:r>
                    <w:rPr>
                      <w:rFonts w:hint="eastAsia" w:ascii="仿宋" w:hAnsi="仿宋" w:eastAsia="仿宋" w:cs="仿宋"/>
                      <w:color w:val="auto"/>
                      <w:highlight w:val="none"/>
                    </w:rPr>
                    <w:t>▲CPU性能</w:t>
                  </w:r>
                </w:p>
              </w:tc>
              <w:tc>
                <w:tcPr>
                  <w:tcW w:w="1264" w:type="dxa"/>
                  <w:tcBorders>
                    <w:top w:val="nil"/>
                    <w:left w:val="nil"/>
                    <w:bottom w:val="single" w:color="auto" w:sz="8" w:space="0"/>
                    <w:right w:val="single" w:color="auto" w:sz="8" w:space="0"/>
                  </w:tcBorders>
                  <w:vAlign w:val="center"/>
                </w:tcPr>
                <w:p w14:paraId="60D3EB3B">
                  <w:pPr>
                    <w:pStyle w:val="209"/>
                    <w:rPr>
                      <w:rFonts w:ascii="仿宋" w:hAnsi="仿宋" w:eastAsia="仿宋" w:cs="仿宋"/>
                      <w:color w:val="auto"/>
                      <w:highlight w:val="none"/>
                    </w:rPr>
                  </w:pPr>
                  <w:r>
                    <w:rPr>
                      <w:rFonts w:hint="eastAsia" w:ascii="仿宋" w:hAnsi="仿宋" w:eastAsia="仿宋" w:cs="仿宋"/>
                      <w:color w:val="auto"/>
                      <w:highlight w:val="none"/>
                    </w:rPr>
                    <w:t>▲CPU 主频</w:t>
                  </w:r>
                </w:p>
              </w:tc>
              <w:tc>
                <w:tcPr>
                  <w:tcW w:w="4443" w:type="dxa"/>
                  <w:tcBorders>
                    <w:top w:val="nil"/>
                    <w:left w:val="nil"/>
                    <w:bottom w:val="single" w:color="auto" w:sz="8" w:space="0"/>
                    <w:right w:val="single" w:color="auto" w:sz="8" w:space="0"/>
                  </w:tcBorders>
                  <w:vAlign w:val="center"/>
                </w:tcPr>
                <w:p w14:paraId="58D62E5B">
                  <w:pPr>
                    <w:pStyle w:val="209"/>
                    <w:rPr>
                      <w:rFonts w:ascii="仿宋" w:hAnsi="仿宋" w:eastAsia="仿宋" w:cs="仿宋"/>
                      <w:color w:val="auto"/>
                      <w:highlight w:val="none"/>
                    </w:rPr>
                  </w:pPr>
                  <w:r>
                    <w:rPr>
                      <w:rFonts w:hint="eastAsia" w:ascii="仿宋" w:hAnsi="仿宋" w:eastAsia="仿宋" w:cs="仿宋"/>
                      <w:color w:val="auto"/>
                      <w:highlight w:val="none"/>
                    </w:rPr>
                    <w:t>≥2.5GHz</w:t>
                  </w:r>
                </w:p>
              </w:tc>
            </w:tr>
            <w:tr w14:paraId="0284177B">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340A7970">
                  <w:pPr>
                    <w:pStyle w:val="209"/>
                    <w:rPr>
                      <w:rFonts w:ascii="仿宋" w:hAnsi="仿宋" w:eastAsia="仿宋" w:cs="仿宋"/>
                      <w:color w:val="auto"/>
                      <w:highlight w:val="none"/>
                    </w:rPr>
                  </w:pPr>
                  <w:r>
                    <w:rPr>
                      <w:rFonts w:hint="eastAsia" w:ascii="仿宋" w:hAnsi="仿宋" w:eastAsia="仿宋" w:cs="仿宋"/>
                      <w:color w:val="auto"/>
                      <w:highlight w:val="none"/>
                    </w:rPr>
                    <w:t>48</w:t>
                  </w:r>
                </w:p>
              </w:tc>
              <w:tc>
                <w:tcPr>
                  <w:tcW w:w="1247" w:type="dxa"/>
                  <w:vMerge w:val="continue"/>
                  <w:tcBorders>
                    <w:top w:val="nil"/>
                    <w:left w:val="single" w:color="auto" w:sz="8" w:space="0"/>
                    <w:bottom w:val="single" w:color="000000" w:sz="8" w:space="0"/>
                    <w:right w:val="single" w:color="auto" w:sz="8" w:space="0"/>
                  </w:tcBorders>
                  <w:vAlign w:val="center"/>
                </w:tcPr>
                <w:p w14:paraId="62A36C47">
                  <w:pPr>
                    <w:rPr>
                      <w:highlight w:val="none"/>
                    </w:rPr>
                  </w:pPr>
                </w:p>
              </w:tc>
              <w:tc>
                <w:tcPr>
                  <w:tcW w:w="1264" w:type="dxa"/>
                  <w:tcBorders>
                    <w:top w:val="nil"/>
                    <w:left w:val="nil"/>
                    <w:bottom w:val="single" w:color="auto" w:sz="8" w:space="0"/>
                    <w:right w:val="single" w:color="auto" w:sz="8" w:space="0"/>
                  </w:tcBorders>
                  <w:vAlign w:val="center"/>
                </w:tcPr>
                <w:p w14:paraId="5AF383B8">
                  <w:pPr>
                    <w:pStyle w:val="209"/>
                    <w:rPr>
                      <w:rFonts w:ascii="仿宋" w:hAnsi="仿宋" w:eastAsia="仿宋" w:cs="仿宋"/>
                      <w:color w:val="auto"/>
                      <w:highlight w:val="none"/>
                    </w:rPr>
                  </w:pPr>
                  <w:r>
                    <w:rPr>
                      <w:rFonts w:hint="eastAsia" w:ascii="仿宋" w:hAnsi="仿宋" w:eastAsia="仿宋" w:cs="仿宋"/>
                      <w:color w:val="auto"/>
                      <w:highlight w:val="none"/>
                    </w:rPr>
                    <w:t>▲单 CPU 核数</w:t>
                  </w:r>
                </w:p>
              </w:tc>
              <w:tc>
                <w:tcPr>
                  <w:tcW w:w="4443" w:type="dxa"/>
                  <w:tcBorders>
                    <w:top w:val="nil"/>
                    <w:left w:val="nil"/>
                    <w:bottom w:val="single" w:color="auto" w:sz="8" w:space="0"/>
                    <w:right w:val="single" w:color="auto" w:sz="8" w:space="0"/>
                  </w:tcBorders>
                  <w:vAlign w:val="center"/>
                </w:tcPr>
                <w:p w14:paraId="44541478">
                  <w:pPr>
                    <w:pStyle w:val="209"/>
                    <w:rPr>
                      <w:rFonts w:ascii="仿宋" w:hAnsi="仿宋" w:eastAsia="仿宋" w:cs="仿宋"/>
                      <w:color w:val="auto"/>
                      <w:highlight w:val="none"/>
                    </w:rPr>
                  </w:pPr>
                  <w:r>
                    <w:rPr>
                      <w:rFonts w:hint="eastAsia" w:ascii="仿宋" w:hAnsi="仿宋" w:eastAsia="仿宋" w:cs="仿宋"/>
                      <w:color w:val="auto"/>
                      <w:highlight w:val="none"/>
                    </w:rPr>
                    <w:t>≥24</w:t>
                  </w:r>
                </w:p>
              </w:tc>
            </w:tr>
            <w:tr w14:paraId="33E5B877">
              <w:tblPrEx>
                <w:tblCellMar>
                  <w:top w:w="0" w:type="dxa"/>
                  <w:left w:w="108" w:type="dxa"/>
                  <w:bottom w:w="0" w:type="dxa"/>
                  <w:right w:w="108" w:type="dxa"/>
                </w:tblCellMar>
              </w:tblPrEx>
              <w:trPr>
                <w:trHeight w:val="948" w:hRule="atLeast"/>
                <w:jc w:val="center"/>
              </w:trPr>
              <w:tc>
                <w:tcPr>
                  <w:tcW w:w="865" w:type="dxa"/>
                  <w:tcBorders>
                    <w:top w:val="nil"/>
                    <w:left w:val="single" w:color="auto" w:sz="8" w:space="0"/>
                    <w:bottom w:val="single" w:color="auto" w:sz="8" w:space="0"/>
                    <w:right w:val="single" w:color="auto" w:sz="8" w:space="0"/>
                  </w:tcBorders>
                  <w:vAlign w:val="center"/>
                </w:tcPr>
                <w:p w14:paraId="7550B0A1">
                  <w:pPr>
                    <w:pStyle w:val="209"/>
                    <w:rPr>
                      <w:rFonts w:ascii="仿宋" w:hAnsi="仿宋" w:eastAsia="仿宋" w:cs="仿宋"/>
                      <w:color w:val="auto"/>
                      <w:highlight w:val="none"/>
                    </w:rPr>
                  </w:pPr>
                  <w:r>
                    <w:rPr>
                      <w:rFonts w:hint="eastAsia" w:ascii="仿宋" w:hAnsi="仿宋" w:eastAsia="仿宋" w:cs="仿宋"/>
                      <w:color w:val="auto"/>
                      <w:highlight w:val="none"/>
                    </w:rPr>
                    <w:t>49</w:t>
                  </w:r>
                </w:p>
              </w:tc>
              <w:tc>
                <w:tcPr>
                  <w:tcW w:w="1247" w:type="dxa"/>
                  <w:vMerge w:val="continue"/>
                  <w:tcBorders>
                    <w:top w:val="nil"/>
                    <w:left w:val="single" w:color="auto" w:sz="8" w:space="0"/>
                    <w:bottom w:val="single" w:color="000000" w:sz="8" w:space="0"/>
                    <w:right w:val="single" w:color="auto" w:sz="8" w:space="0"/>
                  </w:tcBorders>
                  <w:vAlign w:val="center"/>
                </w:tcPr>
                <w:p w14:paraId="65ADCA33">
                  <w:pPr>
                    <w:rPr>
                      <w:highlight w:val="none"/>
                    </w:rPr>
                  </w:pPr>
                </w:p>
              </w:tc>
              <w:tc>
                <w:tcPr>
                  <w:tcW w:w="1264" w:type="dxa"/>
                  <w:tcBorders>
                    <w:top w:val="nil"/>
                    <w:left w:val="nil"/>
                    <w:bottom w:val="single" w:color="auto" w:sz="8" w:space="0"/>
                    <w:right w:val="single" w:color="auto" w:sz="8" w:space="0"/>
                  </w:tcBorders>
                  <w:vAlign w:val="center"/>
                </w:tcPr>
                <w:p w14:paraId="4EBB9D35">
                  <w:pPr>
                    <w:pStyle w:val="209"/>
                    <w:rPr>
                      <w:rFonts w:ascii="仿宋" w:hAnsi="仿宋" w:eastAsia="仿宋" w:cs="仿宋"/>
                      <w:color w:val="auto"/>
                      <w:highlight w:val="none"/>
                    </w:rPr>
                  </w:pPr>
                  <w:r>
                    <w:rPr>
                      <w:rFonts w:hint="eastAsia" w:ascii="仿宋" w:hAnsi="仿宋" w:eastAsia="仿宋" w:cs="仿宋"/>
                      <w:color w:val="auto"/>
                      <w:highlight w:val="none"/>
                    </w:rPr>
                    <w:t>▲单 CPU 末级缓存容量</w:t>
                  </w:r>
                </w:p>
              </w:tc>
              <w:tc>
                <w:tcPr>
                  <w:tcW w:w="4443" w:type="dxa"/>
                  <w:tcBorders>
                    <w:top w:val="nil"/>
                    <w:left w:val="nil"/>
                    <w:bottom w:val="single" w:color="auto" w:sz="8" w:space="0"/>
                    <w:right w:val="single" w:color="auto" w:sz="8" w:space="0"/>
                  </w:tcBorders>
                  <w:vAlign w:val="center"/>
                </w:tcPr>
                <w:p w14:paraId="6E6B8965">
                  <w:pPr>
                    <w:pStyle w:val="209"/>
                    <w:rPr>
                      <w:rFonts w:ascii="仿宋" w:hAnsi="仿宋" w:eastAsia="仿宋" w:cs="仿宋"/>
                      <w:color w:val="auto"/>
                      <w:highlight w:val="none"/>
                    </w:rPr>
                  </w:pPr>
                  <w:r>
                    <w:rPr>
                      <w:rFonts w:hint="eastAsia" w:ascii="仿宋" w:hAnsi="仿宋" w:eastAsia="仿宋" w:cs="仿宋"/>
                      <w:color w:val="auto"/>
                      <w:highlight w:val="none"/>
                    </w:rPr>
                    <w:t>≥24MB</w:t>
                  </w:r>
                </w:p>
              </w:tc>
            </w:tr>
            <w:tr w14:paraId="4DD32BBB">
              <w:tblPrEx>
                <w:tblCellMar>
                  <w:top w:w="0" w:type="dxa"/>
                  <w:left w:w="108" w:type="dxa"/>
                  <w:bottom w:w="0" w:type="dxa"/>
                  <w:right w:w="108" w:type="dxa"/>
                </w:tblCellMar>
              </w:tblPrEx>
              <w:trPr>
                <w:trHeight w:val="324" w:hRule="atLeast"/>
                <w:jc w:val="center"/>
              </w:trPr>
              <w:tc>
                <w:tcPr>
                  <w:tcW w:w="865" w:type="dxa"/>
                  <w:tcBorders>
                    <w:top w:val="nil"/>
                    <w:left w:val="single" w:color="auto" w:sz="8" w:space="0"/>
                    <w:bottom w:val="single" w:color="auto" w:sz="8" w:space="0"/>
                    <w:right w:val="single" w:color="auto" w:sz="8" w:space="0"/>
                  </w:tcBorders>
                  <w:vAlign w:val="center"/>
                </w:tcPr>
                <w:p w14:paraId="68EAE24B">
                  <w:pPr>
                    <w:pStyle w:val="209"/>
                    <w:rPr>
                      <w:rFonts w:ascii="仿宋" w:hAnsi="仿宋" w:eastAsia="仿宋" w:cs="仿宋"/>
                      <w:color w:val="auto"/>
                      <w:highlight w:val="none"/>
                    </w:rPr>
                  </w:pPr>
                  <w:r>
                    <w:rPr>
                      <w:rFonts w:hint="eastAsia" w:ascii="仿宋" w:hAnsi="仿宋" w:eastAsia="仿宋" w:cs="仿宋"/>
                      <w:color w:val="auto"/>
                      <w:highlight w:val="none"/>
                    </w:rPr>
                    <w:t>50</w:t>
                  </w:r>
                </w:p>
              </w:tc>
              <w:tc>
                <w:tcPr>
                  <w:tcW w:w="1247" w:type="dxa"/>
                  <w:tcBorders>
                    <w:top w:val="nil"/>
                    <w:left w:val="nil"/>
                    <w:bottom w:val="single" w:color="auto" w:sz="8" w:space="0"/>
                    <w:right w:val="single" w:color="auto" w:sz="8" w:space="0"/>
                  </w:tcBorders>
                  <w:vAlign w:val="center"/>
                </w:tcPr>
                <w:p w14:paraId="2E09E9DD">
                  <w:pPr>
                    <w:pStyle w:val="209"/>
                    <w:rPr>
                      <w:rFonts w:ascii="仿宋" w:hAnsi="仿宋" w:eastAsia="仿宋" w:cs="仿宋"/>
                      <w:color w:val="auto"/>
                      <w:highlight w:val="none"/>
                    </w:rPr>
                  </w:pPr>
                  <w:r>
                    <w:rPr>
                      <w:rFonts w:hint="eastAsia" w:ascii="仿宋" w:hAnsi="仿宋" w:eastAsia="仿宋" w:cs="仿宋"/>
                      <w:color w:val="auto"/>
                      <w:highlight w:val="none"/>
                    </w:rPr>
                    <w:t>▲内存性能</w:t>
                  </w:r>
                </w:p>
              </w:tc>
              <w:tc>
                <w:tcPr>
                  <w:tcW w:w="1264" w:type="dxa"/>
                  <w:tcBorders>
                    <w:top w:val="nil"/>
                    <w:left w:val="nil"/>
                    <w:bottom w:val="single" w:color="auto" w:sz="8" w:space="0"/>
                    <w:right w:val="single" w:color="auto" w:sz="8" w:space="0"/>
                  </w:tcBorders>
                  <w:vAlign w:val="center"/>
                </w:tcPr>
                <w:p w14:paraId="5A3F1973">
                  <w:pPr>
                    <w:pStyle w:val="209"/>
                    <w:rPr>
                      <w:rFonts w:ascii="仿宋" w:hAnsi="仿宋" w:eastAsia="仿宋" w:cs="仿宋"/>
                      <w:color w:val="auto"/>
                      <w:highlight w:val="none"/>
                    </w:rPr>
                  </w:pPr>
                  <w:r>
                    <w:rPr>
                      <w:rFonts w:hint="eastAsia" w:ascii="仿宋" w:hAnsi="仿宋" w:eastAsia="仿宋" w:cs="仿宋"/>
                      <w:color w:val="auto"/>
                      <w:highlight w:val="none"/>
                    </w:rPr>
                    <w:t>▲内存速率</w:t>
                  </w:r>
                </w:p>
              </w:tc>
              <w:tc>
                <w:tcPr>
                  <w:tcW w:w="4443" w:type="dxa"/>
                  <w:tcBorders>
                    <w:top w:val="nil"/>
                    <w:left w:val="nil"/>
                    <w:bottom w:val="single" w:color="auto" w:sz="8" w:space="0"/>
                    <w:right w:val="single" w:color="auto" w:sz="8" w:space="0"/>
                  </w:tcBorders>
                  <w:vAlign w:val="center"/>
                </w:tcPr>
                <w:p w14:paraId="45A9DF3B">
                  <w:pPr>
                    <w:pStyle w:val="209"/>
                    <w:rPr>
                      <w:rFonts w:ascii="仿宋" w:hAnsi="仿宋" w:eastAsia="仿宋" w:cs="仿宋"/>
                      <w:color w:val="auto"/>
                      <w:highlight w:val="none"/>
                    </w:rPr>
                  </w:pPr>
                  <w:r>
                    <w:rPr>
                      <w:rFonts w:hint="eastAsia" w:ascii="仿宋" w:hAnsi="仿宋" w:eastAsia="仿宋" w:cs="仿宋"/>
                      <w:color w:val="auto"/>
                      <w:highlight w:val="none"/>
                    </w:rPr>
                    <w:t>≥2933MT/s</w:t>
                  </w:r>
                </w:p>
              </w:tc>
            </w:tr>
            <w:tr w14:paraId="0BAAB61E">
              <w:tblPrEx>
                <w:tblCellMar>
                  <w:top w:w="0" w:type="dxa"/>
                  <w:left w:w="108" w:type="dxa"/>
                  <w:bottom w:w="0" w:type="dxa"/>
                  <w:right w:w="108" w:type="dxa"/>
                </w:tblCellMar>
              </w:tblPrEx>
              <w:trPr>
                <w:trHeight w:val="324" w:hRule="atLeast"/>
                <w:jc w:val="center"/>
              </w:trPr>
              <w:tc>
                <w:tcPr>
                  <w:tcW w:w="865" w:type="dxa"/>
                  <w:tcBorders>
                    <w:top w:val="nil"/>
                    <w:left w:val="single" w:color="auto" w:sz="8" w:space="0"/>
                    <w:bottom w:val="single" w:color="auto" w:sz="8" w:space="0"/>
                    <w:right w:val="single" w:color="auto" w:sz="8" w:space="0"/>
                  </w:tcBorders>
                  <w:vAlign w:val="center"/>
                </w:tcPr>
                <w:p w14:paraId="06B8903B">
                  <w:pPr>
                    <w:pStyle w:val="209"/>
                    <w:rPr>
                      <w:rFonts w:ascii="仿宋" w:hAnsi="仿宋" w:eastAsia="仿宋" w:cs="仿宋"/>
                      <w:color w:val="auto"/>
                      <w:highlight w:val="none"/>
                    </w:rPr>
                  </w:pPr>
                  <w:r>
                    <w:rPr>
                      <w:rFonts w:hint="eastAsia" w:ascii="仿宋" w:hAnsi="仿宋" w:eastAsia="仿宋" w:cs="仿宋"/>
                      <w:color w:val="auto"/>
                      <w:highlight w:val="none"/>
                    </w:rPr>
                    <w:t>51</w:t>
                  </w:r>
                </w:p>
              </w:tc>
              <w:tc>
                <w:tcPr>
                  <w:tcW w:w="1247" w:type="dxa"/>
                  <w:tcBorders>
                    <w:top w:val="nil"/>
                    <w:left w:val="nil"/>
                    <w:bottom w:val="single" w:color="auto" w:sz="8" w:space="0"/>
                    <w:right w:val="single" w:color="auto" w:sz="8" w:space="0"/>
                  </w:tcBorders>
                  <w:vAlign w:val="center"/>
                </w:tcPr>
                <w:p w14:paraId="07DB6476">
                  <w:pPr>
                    <w:pStyle w:val="209"/>
                    <w:rPr>
                      <w:rFonts w:ascii="仿宋" w:hAnsi="仿宋" w:eastAsia="仿宋" w:cs="仿宋"/>
                      <w:color w:val="auto"/>
                      <w:highlight w:val="none"/>
                    </w:rPr>
                  </w:pPr>
                  <w:r>
                    <w:rPr>
                      <w:rFonts w:hint="eastAsia" w:ascii="仿宋" w:hAnsi="仿宋" w:eastAsia="仿宋" w:cs="仿宋"/>
                      <w:color w:val="auto"/>
                      <w:highlight w:val="none"/>
                    </w:rPr>
                    <w:t>▲电源能耗</w:t>
                  </w:r>
                </w:p>
              </w:tc>
              <w:tc>
                <w:tcPr>
                  <w:tcW w:w="1264" w:type="dxa"/>
                  <w:tcBorders>
                    <w:top w:val="nil"/>
                    <w:left w:val="nil"/>
                    <w:bottom w:val="single" w:color="auto" w:sz="8" w:space="0"/>
                    <w:right w:val="single" w:color="auto" w:sz="8" w:space="0"/>
                  </w:tcBorders>
                  <w:vAlign w:val="center"/>
                </w:tcPr>
                <w:p w14:paraId="0BAB1A18">
                  <w:pPr>
                    <w:pStyle w:val="209"/>
                    <w:rPr>
                      <w:rFonts w:ascii="仿宋" w:hAnsi="仿宋" w:eastAsia="仿宋" w:cs="仿宋"/>
                      <w:color w:val="auto"/>
                      <w:highlight w:val="none"/>
                    </w:rPr>
                  </w:pPr>
                  <w:r>
                    <w:rPr>
                      <w:rFonts w:hint="eastAsia" w:ascii="仿宋" w:hAnsi="仿宋" w:eastAsia="仿宋" w:cs="仿宋"/>
                      <w:color w:val="auto"/>
                      <w:highlight w:val="none"/>
                    </w:rPr>
                    <w:t>▲电源能耗</w:t>
                  </w:r>
                </w:p>
              </w:tc>
              <w:tc>
                <w:tcPr>
                  <w:tcW w:w="4443" w:type="dxa"/>
                  <w:tcBorders>
                    <w:top w:val="nil"/>
                    <w:left w:val="nil"/>
                    <w:bottom w:val="single" w:color="auto" w:sz="8" w:space="0"/>
                    <w:right w:val="single" w:color="auto" w:sz="8" w:space="0"/>
                  </w:tcBorders>
                  <w:vAlign w:val="center"/>
                </w:tcPr>
                <w:p w14:paraId="7C2F769A">
                  <w:pPr>
                    <w:pStyle w:val="209"/>
                    <w:rPr>
                      <w:rFonts w:ascii="仿宋" w:hAnsi="仿宋" w:eastAsia="仿宋" w:cs="仿宋"/>
                      <w:color w:val="auto"/>
                      <w:highlight w:val="none"/>
                    </w:rPr>
                  </w:pPr>
                  <w:r>
                    <w:rPr>
                      <w:rFonts w:hint="eastAsia" w:ascii="仿宋" w:hAnsi="仿宋" w:eastAsia="仿宋" w:cs="仿宋"/>
                      <w:color w:val="auto"/>
                      <w:highlight w:val="none"/>
                    </w:rPr>
                    <w:t>符合 GB/T 9813.3 的有关规定</w:t>
                  </w:r>
                </w:p>
              </w:tc>
            </w:tr>
            <w:tr w14:paraId="70CE9BCC">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3ACF6D1A">
                  <w:pPr>
                    <w:pStyle w:val="209"/>
                    <w:rPr>
                      <w:rFonts w:ascii="仿宋" w:hAnsi="仿宋" w:eastAsia="仿宋" w:cs="仿宋"/>
                      <w:color w:val="auto"/>
                      <w:highlight w:val="none"/>
                    </w:rPr>
                  </w:pPr>
                  <w:r>
                    <w:rPr>
                      <w:rFonts w:hint="eastAsia" w:ascii="仿宋" w:hAnsi="仿宋" w:eastAsia="仿宋" w:cs="仿宋"/>
                      <w:color w:val="auto"/>
                      <w:highlight w:val="none"/>
                    </w:rPr>
                    <w:t>52</w:t>
                  </w:r>
                </w:p>
              </w:tc>
              <w:tc>
                <w:tcPr>
                  <w:tcW w:w="1247" w:type="dxa"/>
                  <w:vMerge w:val="restart"/>
                  <w:tcBorders>
                    <w:top w:val="nil"/>
                    <w:left w:val="single" w:color="auto" w:sz="8" w:space="0"/>
                    <w:bottom w:val="single" w:color="000000" w:sz="8" w:space="0"/>
                    <w:right w:val="single" w:color="auto" w:sz="8" w:space="0"/>
                  </w:tcBorders>
                  <w:vAlign w:val="center"/>
                </w:tcPr>
                <w:p w14:paraId="28FA60CF">
                  <w:pPr>
                    <w:pStyle w:val="209"/>
                    <w:rPr>
                      <w:rFonts w:ascii="仿宋" w:hAnsi="仿宋" w:eastAsia="仿宋" w:cs="仿宋"/>
                      <w:color w:val="auto"/>
                      <w:highlight w:val="none"/>
                    </w:rPr>
                  </w:pPr>
                  <w:r>
                    <w:rPr>
                      <w:rFonts w:hint="eastAsia" w:ascii="仿宋" w:hAnsi="仿宋" w:eastAsia="仿宋" w:cs="仿宋"/>
                      <w:color w:val="auto"/>
                      <w:highlight w:val="none"/>
                    </w:rPr>
                    <w:t>▲部件兼容性要求</w:t>
                  </w:r>
                </w:p>
              </w:tc>
              <w:tc>
                <w:tcPr>
                  <w:tcW w:w="1264" w:type="dxa"/>
                  <w:tcBorders>
                    <w:top w:val="nil"/>
                    <w:left w:val="nil"/>
                    <w:bottom w:val="single" w:color="auto" w:sz="8" w:space="0"/>
                    <w:right w:val="single" w:color="auto" w:sz="8" w:space="0"/>
                  </w:tcBorders>
                  <w:vAlign w:val="center"/>
                </w:tcPr>
                <w:p w14:paraId="0582D501">
                  <w:pPr>
                    <w:pStyle w:val="209"/>
                    <w:rPr>
                      <w:rFonts w:ascii="仿宋" w:hAnsi="仿宋" w:eastAsia="仿宋" w:cs="仿宋"/>
                      <w:color w:val="auto"/>
                      <w:highlight w:val="none"/>
                    </w:rPr>
                  </w:pPr>
                  <w:r>
                    <w:rPr>
                      <w:rFonts w:hint="eastAsia" w:ascii="仿宋" w:hAnsi="仿宋" w:eastAsia="仿宋" w:cs="仿宋"/>
                      <w:color w:val="auto"/>
                      <w:highlight w:val="none"/>
                    </w:rPr>
                    <w:t>▲内存兼容性</w:t>
                  </w:r>
                </w:p>
              </w:tc>
              <w:tc>
                <w:tcPr>
                  <w:tcW w:w="4443" w:type="dxa"/>
                  <w:tcBorders>
                    <w:top w:val="nil"/>
                    <w:left w:val="nil"/>
                    <w:bottom w:val="single" w:color="auto" w:sz="8" w:space="0"/>
                    <w:right w:val="single" w:color="auto" w:sz="8" w:space="0"/>
                  </w:tcBorders>
                  <w:vAlign w:val="center"/>
                </w:tcPr>
                <w:p w14:paraId="44CA125F">
                  <w:pPr>
                    <w:pStyle w:val="209"/>
                    <w:rPr>
                      <w:rFonts w:ascii="仿宋" w:hAnsi="仿宋" w:eastAsia="仿宋" w:cs="仿宋"/>
                      <w:color w:val="auto"/>
                      <w:highlight w:val="none"/>
                    </w:rPr>
                  </w:pPr>
                  <w:r>
                    <w:rPr>
                      <w:rFonts w:hint="eastAsia" w:ascii="仿宋" w:hAnsi="仿宋" w:eastAsia="仿宋" w:cs="仿宋"/>
                      <w:color w:val="auto"/>
                      <w:highlight w:val="none"/>
                    </w:rPr>
                    <w:t>适配 3 种及以上厂商的内存产品，且均不低于产品支持的内存规格</w:t>
                  </w:r>
                </w:p>
              </w:tc>
            </w:tr>
            <w:tr w14:paraId="4F4F97DD">
              <w:tblPrEx>
                <w:tblCellMar>
                  <w:top w:w="0" w:type="dxa"/>
                  <w:left w:w="108" w:type="dxa"/>
                  <w:bottom w:w="0" w:type="dxa"/>
                  <w:right w:w="108" w:type="dxa"/>
                </w:tblCellMar>
              </w:tblPrEx>
              <w:trPr>
                <w:trHeight w:val="948" w:hRule="atLeast"/>
                <w:jc w:val="center"/>
              </w:trPr>
              <w:tc>
                <w:tcPr>
                  <w:tcW w:w="865" w:type="dxa"/>
                  <w:tcBorders>
                    <w:top w:val="nil"/>
                    <w:left w:val="single" w:color="auto" w:sz="8" w:space="0"/>
                    <w:bottom w:val="single" w:color="auto" w:sz="8" w:space="0"/>
                    <w:right w:val="single" w:color="auto" w:sz="8" w:space="0"/>
                  </w:tcBorders>
                  <w:vAlign w:val="center"/>
                </w:tcPr>
                <w:p w14:paraId="091ACCB1">
                  <w:pPr>
                    <w:pStyle w:val="209"/>
                    <w:rPr>
                      <w:rFonts w:ascii="仿宋" w:hAnsi="仿宋" w:eastAsia="仿宋" w:cs="仿宋"/>
                      <w:color w:val="auto"/>
                      <w:highlight w:val="none"/>
                    </w:rPr>
                  </w:pPr>
                  <w:r>
                    <w:rPr>
                      <w:rFonts w:hint="eastAsia" w:ascii="仿宋" w:hAnsi="仿宋" w:eastAsia="仿宋" w:cs="仿宋"/>
                      <w:color w:val="auto"/>
                      <w:highlight w:val="none"/>
                    </w:rPr>
                    <w:t>53</w:t>
                  </w:r>
                </w:p>
              </w:tc>
              <w:tc>
                <w:tcPr>
                  <w:tcW w:w="1247" w:type="dxa"/>
                  <w:vMerge w:val="continue"/>
                  <w:tcBorders>
                    <w:top w:val="nil"/>
                    <w:left w:val="single" w:color="auto" w:sz="8" w:space="0"/>
                    <w:bottom w:val="single" w:color="000000" w:sz="8" w:space="0"/>
                    <w:right w:val="single" w:color="auto" w:sz="8" w:space="0"/>
                  </w:tcBorders>
                  <w:vAlign w:val="center"/>
                </w:tcPr>
                <w:p w14:paraId="746E53D6">
                  <w:pPr>
                    <w:rPr>
                      <w:highlight w:val="none"/>
                    </w:rPr>
                  </w:pPr>
                </w:p>
              </w:tc>
              <w:tc>
                <w:tcPr>
                  <w:tcW w:w="1264" w:type="dxa"/>
                  <w:tcBorders>
                    <w:top w:val="nil"/>
                    <w:left w:val="nil"/>
                    <w:bottom w:val="single" w:color="auto" w:sz="8" w:space="0"/>
                    <w:right w:val="single" w:color="auto" w:sz="8" w:space="0"/>
                  </w:tcBorders>
                  <w:vAlign w:val="center"/>
                </w:tcPr>
                <w:p w14:paraId="4C27E09F">
                  <w:pPr>
                    <w:pStyle w:val="209"/>
                    <w:rPr>
                      <w:rFonts w:ascii="仿宋" w:hAnsi="仿宋" w:eastAsia="仿宋" w:cs="仿宋"/>
                      <w:color w:val="auto"/>
                      <w:highlight w:val="none"/>
                    </w:rPr>
                  </w:pPr>
                  <w:r>
                    <w:rPr>
                      <w:rFonts w:hint="eastAsia" w:ascii="仿宋" w:hAnsi="仿宋" w:eastAsia="仿宋" w:cs="仿宋"/>
                      <w:color w:val="auto"/>
                      <w:highlight w:val="none"/>
                    </w:rPr>
                    <w:t>▲固态存储兼容性</w:t>
                  </w:r>
                </w:p>
              </w:tc>
              <w:tc>
                <w:tcPr>
                  <w:tcW w:w="4443" w:type="dxa"/>
                  <w:tcBorders>
                    <w:top w:val="nil"/>
                    <w:left w:val="nil"/>
                    <w:bottom w:val="single" w:color="auto" w:sz="8" w:space="0"/>
                    <w:right w:val="single" w:color="auto" w:sz="8" w:space="0"/>
                  </w:tcBorders>
                  <w:vAlign w:val="center"/>
                </w:tcPr>
                <w:p w14:paraId="40BC06DB">
                  <w:pPr>
                    <w:pStyle w:val="209"/>
                    <w:rPr>
                      <w:rFonts w:ascii="仿宋" w:hAnsi="仿宋" w:eastAsia="仿宋" w:cs="仿宋"/>
                      <w:color w:val="auto"/>
                      <w:highlight w:val="none"/>
                    </w:rPr>
                  </w:pPr>
                  <w:r>
                    <w:rPr>
                      <w:rFonts w:hint="eastAsia" w:ascii="仿宋" w:hAnsi="仿宋" w:eastAsia="仿宋" w:cs="仿宋"/>
                      <w:color w:val="auto"/>
                      <w:highlight w:val="none"/>
                    </w:rPr>
                    <w:t>适配 3 种或以上厂商的固态存储产品，且均不低于产品支持的固态存储设备规格</w:t>
                  </w:r>
                </w:p>
              </w:tc>
            </w:tr>
            <w:tr w14:paraId="52224508">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1B8F0D29">
                  <w:pPr>
                    <w:pStyle w:val="209"/>
                    <w:rPr>
                      <w:rFonts w:ascii="仿宋" w:hAnsi="仿宋" w:eastAsia="仿宋" w:cs="仿宋"/>
                      <w:color w:val="auto"/>
                      <w:highlight w:val="none"/>
                    </w:rPr>
                  </w:pPr>
                  <w:r>
                    <w:rPr>
                      <w:rFonts w:hint="eastAsia" w:ascii="仿宋" w:hAnsi="仿宋" w:eastAsia="仿宋" w:cs="仿宋"/>
                      <w:color w:val="auto"/>
                      <w:highlight w:val="none"/>
                    </w:rPr>
                    <w:t>54</w:t>
                  </w:r>
                </w:p>
              </w:tc>
              <w:tc>
                <w:tcPr>
                  <w:tcW w:w="1247" w:type="dxa"/>
                  <w:vMerge w:val="continue"/>
                  <w:tcBorders>
                    <w:top w:val="nil"/>
                    <w:left w:val="single" w:color="auto" w:sz="8" w:space="0"/>
                    <w:bottom w:val="single" w:color="000000" w:sz="8" w:space="0"/>
                    <w:right w:val="single" w:color="auto" w:sz="8" w:space="0"/>
                  </w:tcBorders>
                  <w:vAlign w:val="center"/>
                </w:tcPr>
                <w:p w14:paraId="08CC39DF">
                  <w:pPr>
                    <w:rPr>
                      <w:highlight w:val="none"/>
                    </w:rPr>
                  </w:pPr>
                </w:p>
              </w:tc>
              <w:tc>
                <w:tcPr>
                  <w:tcW w:w="1264" w:type="dxa"/>
                  <w:tcBorders>
                    <w:top w:val="nil"/>
                    <w:left w:val="nil"/>
                    <w:bottom w:val="single" w:color="auto" w:sz="8" w:space="0"/>
                    <w:right w:val="single" w:color="auto" w:sz="8" w:space="0"/>
                  </w:tcBorders>
                  <w:vAlign w:val="center"/>
                </w:tcPr>
                <w:p w14:paraId="4E1B3002">
                  <w:pPr>
                    <w:pStyle w:val="209"/>
                    <w:rPr>
                      <w:rFonts w:ascii="仿宋" w:hAnsi="仿宋" w:eastAsia="仿宋" w:cs="仿宋"/>
                      <w:color w:val="auto"/>
                      <w:highlight w:val="none"/>
                    </w:rPr>
                  </w:pPr>
                  <w:r>
                    <w:rPr>
                      <w:rFonts w:hint="eastAsia" w:ascii="仿宋" w:hAnsi="仿宋" w:eastAsia="仿宋" w:cs="仿宋"/>
                      <w:color w:val="auto"/>
                      <w:highlight w:val="none"/>
                    </w:rPr>
                    <w:t>▲网卡兼容性</w:t>
                  </w:r>
                </w:p>
              </w:tc>
              <w:tc>
                <w:tcPr>
                  <w:tcW w:w="4443" w:type="dxa"/>
                  <w:tcBorders>
                    <w:top w:val="nil"/>
                    <w:left w:val="nil"/>
                    <w:bottom w:val="single" w:color="auto" w:sz="8" w:space="0"/>
                    <w:right w:val="single" w:color="auto" w:sz="8" w:space="0"/>
                  </w:tcBorders>
                  <w:vAlign w:val="center"/>
                </w:tcPr>
                <w:p w14:paraId="1A309B7F">
                  <w:pPr>
                    <w:pStyle w:val="209"/>
                    <w:rPr>
                      <w:rFonts w:ascii="仿宋" w:hAnsi="仿宋" w:eastAsia="仿宋" w:cs="仿宋"/>
                      <w:color w:val="auto"/>
                      <w:highlight w:val="none"/>
                    </w:rPr>
                  </w:pPr>
                  <w:r>
                    <w:rPr>
                      <w:rFonts w:hint="eastAsia" w:ascii="仿宋" w:hAnsi="仿宋" w:eastAsia="仿宋" w:cs="仿宋"/>
                      <w:color w:val="auto"/>
                      <w:highlight w:val="none"/>
                    </w:rPr>
                    <w:t>网卡应适配两种或以上厂商产品</w:t>
                  </w:r>
                </w:p>
              </w:tc>
            </w:tr>
            <w:tr w14:paraId="4F53589D">
              <w:tblPrEx>
                <w:tblCellMar>
                  <w:top w:w="0" w:type="dxa"/>
                  <w:left w:w="108" w:type="dxa"/>
                  <w:bottom w:w="0" w:type="dxa"/>
                  <w:right w:w="108" w:type="dxa"/>
                </w:tblCellMar>
              </w:tblPrEx>
              <w:trPr>
                <w:trHeight w:val="948" w:hRule="atLeast"/>
                <w:jc w:val="center"/>
              </w:trPr>
              <w:tc>
                <w:tcPr>
                  <w:tcW w:w="865" w:type="dxa"/>
                  <w:tcBorders>
                    <w:top w:val="nil"/>
                    <w:left w:val="single" w:color="auto" w:sz="8" w:space="0"/>
                    <w:bottom w:val="single" w:color="auto" w:sz="8" w:space="0"/>
                    <w:right w:val="single" w:color="auto" w:sz="8" w:space="0"/>
                  </w:tcBorders>
                  <w:vAlign w:val="center"/>
                </w:tcPr>
                <w:p w14:paraId="6E9E504F">
                  <w:pPr>
                    <w:pStyle w:val="209"/>
                    <w:rPr>
                      <w:rFonts w:ascii="仿宋" w:hAnsi="仿宋" w:eastAsia="仿宋" w:cs="仿宋"/>
                      <w:color w:val="auto"/>
                      <w:highlight w:val="none"/>
                    </w:rPr>
                  </w:pPr>
                  <w:r>
                    <w:rPr>
                      <w:rFonts w:hint="eastAsia" w:ascii="仿宋" w:hAnsi="仿宋" w:eastAsia="仿宋" w:cs="仿宋"/>
                      <w:color w:val="auto"/>
                      <w:highlight w:val="none"/>
                    </w:rPr>
                    <w:t>55</w:t>
                  </w:r>
                </w:p>
              </w:tc>
              <w:tc>
                <w:tcPr>
                  <w:tcW w:w="1247" w:type="dxa"/>
                  <w:vMerge w:val="continue"/>
                  <w:tcBorders>
                    <w:top w:val="nil"/>
                    <w:left w:val="single" w:color="auto" w:sz="8" w:space="0"/>
                    <w:bottom w:val="single" w:color="000000" w:sz="8" w:space="0"/>
                    <w:right w:val="single" w:color="auto" w:sz="8" w:space="0"/>
                  </w:tcBorders>
                  <w:vAlign w:val="center"/>
                </w:tcPr>
                <w:p w14:paraId="3B40F072">
                  <w:pPr>
                    <w:rPr>
                      <w:highlight w:val="none"/>
                    </w:rPr>
                  </w:pPr>
                </w:p>
              </w:tc>
              <w:tc>
                <w:tcPr>
                  <w:tcW w:w="1264" w:type="dxa"/>
                  <w:tcBorders>
                    <w:top w:val="nil"/>
                    <w:left w:val="nil"/>
                    <w:bottom w:val="single" w:color="auto" w:sz="8" w:space="0"/>
                    <w:right w:val="single" w:color="auto" w:sz="8" w:space="0"/>
                  </w:tcBorders>
                  <w:vAlign w:val="center"/>
                </w:tcPr>
                <w:p w14:paraId="67DE78CB">
                  <w:pPr>
                    <w:pStyle w:val="209"/>
                    <w:rPr>
                      <w:rFonts w:ascii="仿宋" w:hAnsi="仿宋" w:eastAsia="仿宋" w:cs="仿宋"/>
                      <w:color w:val="auto"/>
                      <w:highlight w:val="none"/>
                    </w:rPr>
                  </w:pPr>
                  <w:r>
                    <w:rPr>
                      <w:rFonts w:hint="eastAsia" w:ascii="仿宋" w:hAnsi="仿宋" w:eastAsia="仿宋" w:cs="仿宋"/>
                      <w:color w:val="auto"/>
                      <w:highlight w:val="none"/>
                    </w:rPr>
                    <w:t>▲功能卡兼容性</w:t>
                  </w:r>
                </w:p>
              </w:tc>
              <w:tc>
                <w:tcPr>
                  <w:tcW w:w="4443" w:type="dxa"/>
                  <w:tcBorders>
                    <w:top w:val="nil"/>
                    <w:left w:val="nil"/>
                    <w:bottom w:val="single" w:color="auto" w:sz="8" w:space="0"/>
                    <w:right w:val="single" w:color="auto" w:sz="8" w:space="0"/>
                  </w:tcBorders>
                  <w:vAlign w:val="center"/>
                </w:tcPr>
                <w:p w14:paraId="450B52CA">
                  <w:pPr>
                    <w:pStyle w:val="209"/>
                    <w:rPr>
                      <w:rFonts w:ascii="仿宋" w:hAnsi="仿宋" w:eastAsia="仿宋" w:cs="仿宋"/>
                      <w:color w:val="auto"/>
                      <w:highlight w:val="none"/>
                    </w:rPr>
                  </w:pPr>
                  <w:r>
                    <w:rPr>
                      <w:rFonts w:hint="eastAsia" w:ascii="仿宋" w:hAnsi="仿宋" w:eastAsia="仿宋" w:cs="仿宋"/>
                      <w:color w:val="auto"/>
                      <w:highlight w:val="none"/>
                    </w:rPr>
                    <w:t>内置或适配符合 PCIe 的功能卡，如：网络功能卡、存储功能卡及图形显示功能卡</w:t>
                  </w:r>
                </w:p>
              </w:tc>
            </w:tr>
            <w:tr w14:paraId="3F452782">
              <w:tblPrEx>
                <w:tblCellMar>
                  <w:top w:w="0" w:type="dxa"/>
                  <w:left w:w="108" w:type="dxa"/>
                  <w:bottom w:w="0" w:type="dxa"/>
                  <w:right w:w="108" w:type="dxa"/>
                </w:tblCellMar>
              </w:tblPrEx>
              <w:trPr>
                <w:trHeight w:val="1572" w:hRule="atLeast"/>
                <w:jc w:val="center"/>
              </w:trPr>
              <w:tc>
                <w:tcPr>
                  <w:tcW w:w="865" w:type="dxa"/>
                  <w:tcBorders>
                    <w:top w:val="nil"/>
                    <w:left w:val="single" w:color="auto" w:sz="8" w:space="0"/>
                    <w:bottom w:val="single" w:color="auto" w:sz="8" w:space="0"/>
                    <w:right w:val="single" w:color="auto" w:sz="8" w:space="0"/>
                  </w:tcBorders>
                  <w:vAlign w:val="center"/>
                </w:tcPr>
                <w:p w14:paraId="77535D04">
                  <w:pPr>
                    <w:pStyle w:val="209"/>
                    <w:rPr>
                      <w:rFonts w:ascii="仿宋" w:hAnsi="仿宋" w:eastAsia="仿宋" w:cs="仿宋"/>
                      <w:color w:val="auto"/>
                      <w:highlight w:val="none"/>
                    </w:rPr>
                  </w:pPr>
                  <w:r>
                    <w:rPr>
                      <w:rFonts w:hint="eastAsia" w:ascii="仿宋" w:hAnsi="仿宋" w:eastAsia="仿宋" w:cs="仿宋"/>
                      <w:color w:val="auto"/>
                      <w:highlight w:val="none"/>
                    </w:rPr>
                    <w:t>56</w:t>
                  </w:r>
                </w:p>
              </w:tc>
              <w:tc>
                <w:tcPr>
                  <w:tcW w:w="1247" w:type="dxa"/>
                  <w:tcBorders>
                    <w:top w:val="nil"/>
                    <w:left w:val="nil"/>
                    <w:bottom w:val="single" w:color="auto" w:sz="8" w:space="0"/>
                    <w:right w:val="single" w:color="auto" w:sz="8" w:space="0"/>
                  </w:tcBorders>
                  <w:vAlign w:val="center"/>
                </w:tcPr>
                <w:p w14:paraId="71D1F9F2">
                  <w:pPr>
                    <w:pStyle w:val="209"/>
                    <w:rPr>
                      <w:rFonts w:ascii="仿宋" w:hAnsi="仿宋" w:eastAsia="仿宋" w:cs="仿宋"/>
                      <w:color w:val="auto"/>
                      <w:highlight w:val="none"/>
                    </w:rPr>
                  </w:pPr>
                  <w:r>
                    <w:rPr>
                      <w:rFonts w:hint="eastAsia" w:ascii="仿宋" w:hAnsi="仿宋" w:eastAsia="仿宋" w:cs="仿宋"/>
                      <w:color w:val="auto"/>
                      <w:highlight w:val="none"/>
                    </w:rPr>
                    <w:t>▲外设兼容性</w:t>
                  </w:r>
                </w:p>
              </w:tc>
              <w:tc>
                <w:tcPr>
                  <w:tcW w:w="1264" w:type="dxa"/>
                  <w:tcBorders>
                    <w:top w:val="nil"/>
                    <w:left w:val="nil"/>
                    <w:bottom w:val="single" w:color="auto" w:sz="8" w:space="0"/>
                    <w:right w:val="single" w:color="auto" w:sz="8" w:space="0"/>
                  </w:tcBorders>
                  <w:vAlign w:val="center"/>
                </w:tcPr>
                <w:p w14:paraId="4F79CCB0">
                  <w:pPr>
                    <w:pStyle w:val="209"/>
                    <w:rPr>
                      <w:rFonts w:ascii="仿宋" w:hAnsi="仿宋" w:eastAsia="仿宋" w:cs="仿宋"/>
                      <w:color w:val="auto"/>
                      <w:highlight w:val="none"/>
                    </w:rPr>
                  </w:pPr>
                  <w:r>
                    <w:rPr>
                      <w:rFonts w:hint="eastAsia" w:ascii="仿宋" w:hAnsi="仿宋" w:eastAsia="仿宋" w:cs="仿宋"/>
                      <w:color w:val="auto"/>
                      <w:highlight w:val="none"/>
                    </w:rPr>
                    <w:t>▲外设兼容性</w:t>
                  </w:r>
                </w:p>
              </w:tc>
              <w:tc>
                <w:tcPr>
                  <w:tcW w:w="4443" w:type="dxa"/>
                  <w:tcBorders>
                    <w:top w:val="nil"/>
                    <w:left w:val="nil"/>
                    <w:bottom w:val="single" w:color="auto" w:sz="8" w:space="0"/>
                    <w:right w:val="single" w:color="auto" w:sz="8" w:space="0"/>
                  </w:tcBorders>
                  <w:vAlign w:val="center"/>
                </w:tcPr>
                <w:p w14:paraId="69E8B30C">
                  <w:pPr>
                    <w:pStyle w:val="209"/>
                    <w:rPr>
                      <w:rFonts w:ascii="仿宋" w:hAnsi="仿宋" w:eastAsia="仿宋" w:cs="仿宋"/>
                      <w:color w:val="auto"/>
                      <w:highlight w:val="none"/>
                    </w:rPr>
                  </w:pPr>
                  <w:r>
                    <w:rPr>
                      <w:rFonts w:hint="eastAsia" w:ascii="仿宋" w:hAnsi="仿宋" w:eastAsia="仿宋" w:cs="仿宋"/>
                      <w:color w:val="auto"/>
                      <w:highlight w:val="none"/>
                    </w:rPr>
                    <w:t>兼容多种主流生产商的外部设备，包括显示器、键盘、鼠标、闪存盘、移动硬盘、USB 光驱及 KVM 等，要求使用不同厂商的外部设备时，系统均能正常识别和安装驱动</w:t>
                  </w:r>
                </w:p>
              </w:tc>
            </w:tr>
            <w:tr w14:paraId="6E761F41">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2CC2542F">
                  <w:pPr>
                    <w:pStyle w:val="209"/>
                    <w:rPr>
                      <w:rFonts w:ascii="仿宋" w:hAnsi="仿宋" w:eastAsia="仿宋" w:cs="仿宋"/>
                      <w:color w:val="auto"/>
                      <w:highlight w:val="none"/>
                    </w:rPr>
                  </w:pPr>
                  <w:r>
                    <w:rPr>
                      <w:rFonts w:hint="eastAsia" w:ascii="仿宋" w:hAnsi="仿宋" w:eastAsia="仿宋" w:cs="仿宋"/>
                      <w:color w:val="auto"/>
                      <w:highlight w:val="none"/>
                    </w:rPr>
                    <w:t>57</w:t>
                  </w:r>
                </w:p>
              </w:tc>
              <w:tc>
                <w:tcPr>
                  <w:tcW w:w="1247" w:type="dxa"/>
                  <w:vMerge w:val="restart"/>
                  <w:tcBorders>
                    <w:top w:val="nil"/>
                    <w:left w:val="single" w:color="auto" w:sz="8" w:space="0"/>
                    <w:bottom w:val="single" w:color="000000" w:sz="8" w:space="0"/>
                    <w:right w:val="single" w:color="auto" w:sz="8" w:space="0"/>
                  </w:tcBorders>
                  <w:vAlign w:val="center"/>
                </w:tcPr>
                <w:p w14:paraId="3E8AD727">
                  <w:pPr>
                    <w:pStyle w:val="209"/>
                    <w:rPr>
                      <w:rFonts w:ascii="仿宋" w:hAnsi="仿宋" w:eastAsia="仿宋" w:cs="仿宋"/>
                      <w:color w:val="auto"/>
                      <w:highlight w:val="none"/>
                    </w:rPr>
                  </w:pPr>
                  <w:r>
                    <w:rPr>
                      <w:rFonts w:hint="eastAsia" w:ascii="仿宋" w:hAnsi="仿宋" w:eastAsia="仿宋" w:cs="仿宋"/>
                      <w:color w:val="auto"/>
                      <w:highlight w:val="none"/>
                    </w:rPr>
                    <w:t>▲软件兼容性</w:t>
                  </w:r>
                </w:p>
              </w:tc>
              <w:tc>
                <w:tcPr>
                  <w:tcW w:w="1264" w:type="dxa"/>
                  <w:tcBorders>
                    <w:top w:val="nil"/>
                    <w:left w:val="nil"/>
                    <w:bottom w:val="single" w:color="auto" w:sz="8" w:space="0"/>
                    <w:right w:val="single" w:color="auto" w:sz="8" w:space="0"/>
                  </w:tcBorders>
                  <w:vAlign w:val="center"/>
                </w:tcPr>
                <w:p w14:paraId="2E45E182">
                  <w:pPr>
                    <w:pStyle w:val="209"/>
                    <w:rPr>
                      <w:rFonts w:ascii="仿宋" w:hAnsi="仿宋" w:eastAsia="仿宋" w:cs="仿宋"/>
                      <w:color w:val="auto"/>
                      <w:highlight w:val="none"/>
                    </w:rPr>
                  </w:pPr>
                  <w:r>
                    <w:rPr>
                      <w:rFonts w:hint="eastAsia" w:ascii="仿宋" w:hAnsi="仿宋" w:eastAsia="仿宋" w:cs="仿宋"/>
                      <w:color w:val="auto"/>
                      <w:highlight w:val="none"/>
                    </w:rPr>
                    <w:t>▲数据库兼容</w:t>
                  </w:r>
                </w:p>
              </w:tc>
              <w:tc>
                <w:tcPr>
                  <w:tcW w:w="4443" w:type="dxa"/>
                  <w:tcBorders>
                    <w:top w:val="nil"/>
                    <w:left w:val="nil"/>
                    <w:bottom w:val="single" w:color="auto" w:sz="8" w:space="0"/>
                    <w:right w:val="single" w:color="auto" w:sz="8" w:space="0"/>
                  </w:tcBorders>
                  <w:vAlign w:val="center"/>
                </w:tcPr>
                <w:p w14:paraId="2E1E2081">
                  <w:pPr>
                    <w:pStyle w:val="209"/>
                    <w:rPr>
                      <w:rFonts w:ascii="仿宋" w:hAnsi="仿宋" w:eastAsia="仿宋" w:cs="仿宋"/>
                      <w:color w:val="auto"/>
                      <w:highlight w:val="none"/>
                    </w:rPr>
                  </w:pPr>
                  <w:r>
                    <w:rPr>
                      <w:rFonts w:hint="eastAsia" w:ascii="仿宋" w:hAnsi="仿宋" w:eastAsia="仿宋" w:cs="仿宋"/>
                      <w:color w:val="auto"/>
                      <w:highlight w:val="none"/>
                    </w:rPr>
                    <w:t>兼容3个及以上厂商的数据库产品；</w:t>
                  </w:r>
                </w:p>
              </w:tc>
            </w:tr>
            <w:tr w14:paraId="51D5E476">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0CB266F8">
                  <w:pPr>
                    <w:pStyle w:val="209"/>
                    <w:rPr>
                      <w:rFonts w:ascii="仿宋" w:hAnsi="仿宋" w:eastAsia="仿宋" w:cs="仿宋"/>
                      <w:color w:val="auto"/>
                      <w:highlight w:val="none"/>
                    </w:rPr>
                  </w:pPr>
                  <w:r>
                    <w:rPr>
                      <w:rFonts w:hint="eastAsia" w:ascii="仿宋" w:hAnsi="仿宋" w:eastAsia="仿宋" w:cs="仿宋"/>
                      <w:color w:val="auto"/>
                      <w:highlight w:val="none"/>
                    </w:rPr>
                    <w:t>58</w:t>
                  </w:r>
                </w:p>
              </w:tc>
              <w:tc>
                <w:tcPr>
                  <w:tcW w:w="1247" w:type="dxa"/>
                  <w:vMerge w:val="continue"/>
                  <w:tcBorders>
                    <w:top w:val="nil"/>
                    <w:left w:val="single" w:color="auto" w:sz="8" w:space="0"/>
                    <w:bottom w:val="single" w:color="000000" w:sz="8" w:space="0"/>
                    <w:right w:val="single" w:color="auto" w:sz="8" w:space="0"/>
                  </w:tcBorders>
                  <w:vAlign w:val="center"/>
                </w:tcPr>
                <w:p w14:paraId="4D359D55">
                  <w:pPr>
                    <w:rPr>
                      <w:highlight w:val="none"/>
                    </w:rPr>
                  </w:pPr>
                </w:p>
              </w:tc>
              <w:tc>
                <w:tcPr>
                  <w:tcW w:w="1264" w:type="dxa"/>
                  <w:tcBorders>
                    <w:top w:val="nil"/>
                    <w:left w:val="nil"/>
                    <w:bottom w:val="single" w:color="auto" w:sz="8" w:space="0"/>
                    <w:right w:val="single" w:color="auto" w:sz="8" w:space="0"/>
                  </w:tcBorders>
                  <w:vAlign w:val="center"/>
                </w:tcPr>
                <w:p w14:paraId="04CFBCE0">
                  <w:pPr>
                    <w:pStyle w:val="209"/>
                    <w:rPr>
                      <w:rFonts w:ascii="仿宋" w:hAnsi="仿宋" w:eastAsia="仿宋" w:cs="仿宋"/>
                      <w:color w:val="auto"/>
                      <w:highlight w:val="none"/>
                    </w:rPr>
                  </w:pPr>
                  <w:r>
                    <w:rPr>
                      <w:rFonts w:hint="eastAsia" w:ascii="仿宋" w:hAnsi="仿宋" w:eastAsia="仿宋" w:cs="仿宋"/>
                      <w:color w:val="auto"/>
                      <w:highlight w:val="none"/>
                    </w:rPr>
                    <w:t>▲中间件兼容</w:t>
                  </w:r>
                </w:p>
              </w:tc>
              <w:tc>
                <w:tcPr>
                  <w:tcW w:w="4443" w:type="dxa"/>
                  <w:tcBorders>
                    <w:top w:val="nil"/>
                    <w:left w:val="nil"/>
                    <w:bottom w:val="single" w:color="auto" w:sz="8" w:space="0"/>
                    <w:right w:val="single" w:color="auto" w:sz="8" w:space="0"/>
                  </w:tcBorders>
                  <w:vAlign w:val="center"/>
                </w:tcPr>
                <w:p w14:paraId="7A45193F">
                  <w:pPr>
                    <w:pStyle w:val="209"/>
                    <w:rPr>
                      <w:rFonts w:ascii="仿宋" w:hAnsi="仿宋" w:eastAsia="仿宋" w:cs="仿宋"/>
                      <w:color w:val="auto"/>
                      <w:highlight w:val="none"/>
                    </w:rPr>
                  </w:pPr>
                  <w:r>
                    <w:rPr>
                      <w:rFonts w:hint="eastAsia" w:ascii="仿宋" w:hAnsi="仿宋" w:eastAsia="仿宋" w:cs="仿宋"/>
                      <w:color w:val="auto"/>
                      <w:highlight w:val="none"/>
                    </w:rPr>
                    <w:t>兼容3个及以上厂商的中间件产品；</w:t>
                  </w:r>
                </w:p>
              </w:tc>
            </w:tr>
            <w:tr w14:paraId="400D8D2F">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4D60E3EC">
                  <w:pPr>
                    <w:pStyle w:val="209"/>
                    <w:rPr>
                      <w:rFonts w:ascii="仿宋" w:hAnsi="仿宋" w:eastAsia="仿宋" w:cs="仿宋"/>
                      <w:color w:val="auto"/>
                      <w:highlight w:val="none"/>
                    </w:rPr>
                  </w:pPr>
                  <w:r>
                    <w:rPr>
                      <w:rFonts w:hint="eastAsia" w:ascii="仿宋" w:hAnsi="仿宋" w:eastAsia="仿宋" w:cs="仿宋"/>
                      <w:color w:val="auto"/>
                      <w:highlight w:val="none"/>
                    </w:rPr>
                    <w:t>59</w:t>
                  </w:r>
                </w:p>
              </w:tc>
              <w:tc>
                <w:tcPr>
                  <w:tcW w:w="1247" w:type="dxa"/>
                  <w:vMerge w:val="continue"/>
                  <w:tcBorders>
                    <w:top w:val="nil"/>
                    <w:left w:val="single" w:color="auto" w:sz="8" w:space="0"/>
                    <w:bottom w:val="single" w:color="000000" w:sz="8" w:space="0"/>
                    <w:right w:val="single" w:color="auto" w:sz="8" w:space="0"/>
                  </w:tcBorders>
                  <w:vAlign w:val="center"/>
                </w:tcPr>
                <w:p w14:paraId="27F297B3">
                  <w:pPr>
                    <w:rPr>
                      <w:highlight w:val="none"/>
                    </w:rPr>
                  </w:pPr>
                </w:p>
              </w:tc>
              <w:tc>
                <w:tcPr>
                  <w:tcW w:w="1264" w:type="dxa"/>
                  <w:tcBorders>
                    <w:top w:val="nil"/>
                    <w:left w:val="nil"/>
                    <w:bottom w:val="single" w:color="auto" w:sz="8" w:space="0"/>
                    <w:right w:val="single" w:color="auto" w:sz="8" w:space="0"/>
                  </w:tcBorders>
                  <w:vAlign w:val="center"/>
                </w:tcPr>
                <w:p w14:paraId="612F7EF3">
                  <w:pPr>
                    <w:pStyle w:val="209"/>
                    <w:rPr>
                      <w:rFonts w:ascii="仿宋" w:hAnsi="仿宋" w:eastAsia="仿宋" w:cs="仿宋"/>
                      <w:color w:val="auto"/>
                      <w:highlight w:val="none"/>
                    </w:rPr>
                  </w:pPr>
                  <w:r>
                    <w:rPr>
                      <w:rFonts w:hint="eastAsia" w:ascii="仿宋" w:hAnsi="仿宋" w:eastAsia="仿宋" w:cs="仿宋"/>
                      <w:color w:val="auto"/>
                      <w:highlight w:val="none"/>
                    </w:rPr>
                    <w:t>▲平台软件兼容</w:t>
                  </w:r>
                </w:p>
              </w:tc>
              <w:tc>
                <w:tcPr>
                  <w:tcW w:w="4443" w:type="dxa"/>
                  <w:tcBorders>
                    <w:top w:val="nil"/>
                    <w:left w:val="nil"/>
                    <w:bottom w:val="single" w:color="auto" w:sz="8" w:space="0"/>
                    <w:right w:val="single" w:color="auto" w:sz="8" w:space="0"/>
                  </w:tcBorders>
                  <w:vAlign w:val="center"/>
                </w:tcPr>
                <w:p w14:paraId="567F39D0">
                  <w:pPr>
                    <w:pStyle w:val="209"/>
                    <w:rPr>
                      <w:rFonts w:ascii="仿宋" w:hAnsi="仿宋" w:eastAsia="仿宋" w:cs="仿宋"/>
                      <w:color w:val="auto"/>
                      <w:highlight w:val="none"/>
                    </w:rPr>
                  </w:pPr>
                  <w:r>
                    <w:rPr>
                      <w:rFonts w:hint="eastAsia" w:ascii="仿宋" w:hAnsi="仿宋" w:eastAsia="仿宋" w:cs="仿宋"/>
                      <w:color w:val="auto"/>
                      <w:highlight w:val="none"/>
                    </w:rPr>
                    <w:t>兼容3个及以上厂商的大数据平台；</w:t>
                  </w:r>
                </w:p>
              </w:tc>
            </w:tr>
            <w:tr w14:paraId="2D182E55">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3AD50479">
                  <w:pPr>
                    <w:pStyle w:val="209"/>
                    <w:rPr>
                      <w:rFonts w:ascii="仿宋" w:hAnsi="仿宋" w:eastAsia="仿宋" w:cs="仿宋"/>
                      <w:color w:val="auto"/>
                      <w:highlight w:val="none"/>
                    </w:rPr>
                  </w:pPr>
                  <w:r>
                    <w:rPr>
                      <w:rFonts w:hint="eastAsia" w:ascii="仿宋" w:hAnsi="仿宋" w:eastAsia="仿宋" w:cs="仿宋"/>
                      <w:color w:val="auto"/>
                      <w:highlight w:val="none"/>
                    </w:rPr>
                    <w:t>60</w:t>
                  </w:r>
                </w:p>
              </w:tc>
              <w:tc>
                <w:tcPr>
                  <w:tcW w:w="1247" w:type="dxa"/>
                  <w:vMerge w:val="restart"/>
                  <w:tcBorders>
                    <w:top w:val="nil"/>
                    <w:left w:val="single" w:color="auto" w:sz="8" w:space="0"/>
                    <w:bottom w:val="single" w:color="000000" w:sz="8" w:space="0"/>
                    <w:right w:val="single" w:color="auto" w:sz="8" w:space="0"/>
                  </w:tcBorders>
                  <w:vAlign w:val="center"/>
                </w:tcPr>
                <w:p w14:paraId="36985FDC">
                  <w:pPr>
                    <w:pStyle w:val="209"/>
                    <w:rPr>
                      <w:rFonts w:ascii="仿宋" w:hAnsi="仿宋" w:eastAsia="仿宋" w:cs="仿宋"/>
                      <w:color w:val="auto"/>
                      <w:highlight w:val="none"/>
                    </w:rPr>
                  </w:pPr>
                  <w:r>
                    <w:rPr>
                      <w:rFonts w:hint="eastAsia" w:ascii="仿宋" w:hAnsi="仿宋" w:eastAsia="仿宋" w:cs="仿宋"/>
                      <w:color w:val="auto"/>
                      <w:highlight w:val="none"/>
                    </w:rPr>
                    <w:t>▲整机可靠性要求</w:t>
                  </w:r>
                </w:p>
              </w:tc>
              <w:tc>
                <w:tcPr>
                  <w:tcW w:w="1264" w:type="dxa"/>
                  <w:tcBorders>
                    <w:top w:val="nil"/>
                    <w:left w:val="nil"/>
                    <w:bottom w:val="single" w:color="auto" w:sz="8" w:space="0"/>
                    <w:right w:val="single" w:color="auto" w:sz="8" w:space="0"/>
                  </w:tcBorders>
                  <w:vAlign w:val="center"/>
                </w:tcPr>
                <w:p w14:paraId="1E4BF56B">
                  <w:pPr>
                    <w:pStyle w:val="209"/>
                    <w:rPr>
                      <w:rFonts w:ascii="仿宋" w:hAnsi="仿宋" w:eastAsia="仿宋" w:cs="仿宋"/>
                      <w:color w:val="auto"/>
                      <w:highlight w:val="none"/>
                    </w:rPr>
                  </w:pPr>
                  <w:r>
                    <w:rPr>
                      <w:rFonts w:hint="eastAsia" w:ascii="仿宋" w:hAnsi="仿宋" w:eastAsia="仿宋" w:cs="仿宋"/>
                      <w:color w:val="auto"/>
                      <w:highlight w:val="none"/>
                    </w:rPr>
                    <w:t>▲整机可靠性</w:t>
                  </w:r>
                </w:p>
              </w:tc>
              <w:tc>
                <w:tcPr>
                  <w:tcW w:w="4443" w:type="dxa"/>
                  <w:tcBorders>
                    <w:top w:val="nil"/>
                    <w:left w:val="nil"/>
                    <w:bottom w:val="single" w:color="auto" w:sz="8" w:space="0"/>
                    <w:right w:val="single" w:color="auto" w:sz="8" w:space="0"/>
                  </w:tcBorders>
                  <w:vAlign w:val="center"/>
                </w:tcPr>
                <w:p w14:paraId="06D4727E">
                  <w:pPr>
                    <w:pStyle w:val="209"/>
                    <w:rPr>
                      <w:rFonts w:ascii="仿宋" w:hAnsi="仿宋" w:eastAsia="仿宋" w:cs="仿宋"/>
                      <w:color w:val="auto"/>
                      <w:highlight w:val="none"/>
                    </w:rPr>
                  </w:pPr>
                  <w:r>
                    <w:rPr>
                      <w:rFonts w:hint="eastAsia" w:ascii="仿宋" w:hAnsi="仿宋" w:eastAsia="仿宋" w:cs="仿宋"/>
                      <w:color w:val="auto"/>
                      <w:highlight w:val="none"/>
                    </w:rPr>
                    <w:t>m1 值（MTBF 的不可接受值）≥100000h；</w:t>
                  </w:r>
                </w:p>
              </w:tc>
            </w:tr>
            <w:tr w14:paraId="576AAFCC">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5A50A9F4">
                  <w:pPr>
                    <w:pStyle w:val="209"/>
                    <w:rPr>
                      <w:rFonts w:ascii="仿宋" w:hAnsi="仿宋" w:eastAsia="仿宋" w:cs="仿宋"/>
                      <w:color w:val="auto"/>
                      <w:highlight w:val="none"/>
                    </w:rPr>
                  </w:pPr>
                  <w:r>
                    <w:rPr>
                      <w:rFonts w:hint="eastAsia" w:ascii="仿宋" w:hAnsi="仿宋" w:eastAsia="仿宋" w:cs="仿宋"/>
                      <w:color w:val="auto"/>
                      <w:highlight w:val="none"/>
                    </w:rPr>
                    <w:t>61</w:t>
                  </w:r>
                </w:p>
              </w:tc>
              <w:tc>
                <w:tcPr>
                  <w:tcW w:w="1247" w:type="dxa"/>
                  <w:vMerge w:val="continue"/>
                  <w:tcBorders>
                    <w:top w:val="nil"/>
                    <w:left w:val="single" w:color="auto" w:sz="8" w:space="0"/>
                    <w:bottom w:val="single" w:color="000000" w:sz="8" w:space="0"/>
                    <w:right w:val="single" w:color="auto" w:sz="8" w:space="0"/>
                  </w:tcBorders>
                  <w:vAlign w:val="center"/>
                </w:tcPr>
                <w:p w14:paraId="6582940D">
                  <w:pPr>
                    <w:rPr>
                      <w:highlight w:val="none"/>
                    </w:rPr>
                  </w:pPr>
                </w:p>
              </w:tc>
              <w:tc>
                <w:tcPr>
                  <w:tcW w:w="1264" w:type="dxa"/>
                  <w:tcBorders>
                    <w:top w:val="nil"/>
                    <w:left w:val="nil"/>
                    <w:bottom w:val="single" w:color="auto" w:sz="8" w:space="0"/>
                    <w:right w:val="single" w:color="auto" w:sz="8" w:space="0"/>
                  </w:tcBorders>
                  <w:vAlign w:val="center"/>
                </w:tcPr>
                <w:p w14:paraId="2663DE20">
                  <w:pPr>
                    <w:pStyle w:val="209"/>
                    <w:rPr>
                      <w:rFonts w:ascii="仿宋" w:hAnsi="仿宋" w:eastAsia="仿宋" w:cs="仿宋"/>
                      <w:color w:val="auto"/>
                      <w:highlight w:val="none"/>
                    </w:rPr>
                  </w:pPr>
                  <w:r>
                    <w:rPr>
                      <w:rFonts w:hint="eastAsia" w:ascii="仿宋" w:hAnsi="仿宋" w:eastAsia="仿宋" w:cs="仿宋"/>
                      <w:color w:val="auto"/>
                      <w:highlight w:val="none"/>
                    </w:rPr>
                    <w:t>▲风扇可靠性</w:t>
                  </w:r>
                </w:p>
              </w:tc>
              <w:tc>
                <w:tcPr>
                  <w:tcW w:w="4443" w:type="dxa"/>
                  <w:tcBorders>
                    <w:top w:val="nil"/>
                    <w:left w:val="nil"/>
                    <w:bottom w:val="single" w:color="auto" w:sz="8" w:space="0"/>
                    <w:right w:val="single" w:color="auto" w:sz="8" w:space="0"/>
                  </w:tcBorders>
                  <w:vAlign w:val="center"/>
                </w:tcPr>
                <w:p w14:paraId="6C45BD59">
                  <w:pPr>
                    <w:pStyle w:val="209"/>
                    <w:rPr>
                      <w:rFonts w:ascii="仿宋" w:hAnsi="仿宋" w:eastAsia="仿宋" w:cs="仿宋"/>
                      <w:color w:val="auto"/>
                      <w:highlight w:val="none"/>
                    </w:rPr>
                  </w:pPr>
                  <w:r>
                    <w:rPr>
                      <w:rFonts w:hint="eastAsia" w:ascii="仿宋" w:hAnsi="仿宋" w:eastAsia="仿宋" w:cs="仿宋"/>
                      <w:color w:val="auto"/>
                      <w:highlight w:val="none"/>
                    </w:rPr>
                    <w:t>风扇寿命≥ 40000h</w:t>
                  </w:r>
                </w:p>
              </w:tc>
            </w:tr>
            <w:tr w14:paraId="79705A1B">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09444D6F">
                  <w:pPr>
                    <w:pStyle w:val="209"/>
                    <w:rPr>
                      <w:rFonts w:ascii="仿宋" w:hAnsi="仿宋" w:eastAsia="仿宋" w:cs="仿宋"/>
                      <w:color w:val="auto"/>
                      <w:highlight w:val="none"/>
                    </w:rPr>
                  </w:pPr>
                  <w:r>
                    <w:rPr>
                      <w:rFonts w:hint="eastAsia" w:ascii="仿宋" w:hAnsi="仿宋" w:eastAsia="仿宋" w:cs="仿宋"/>
                      <w:color w:val="auto"/>
                      <w:highlight w:val="none"/>
                    </w:rPr>
                    <w:t>62</w:t>
                  </w:r>
                </w:p>
              </w:tc>
              <w:tc>
                <w:tcPr>
                  <w:tcW w:w="1247" w:type="dxa"/>
                  <w:vMerge w:val="continue"/>
                  <w:tcBorders>
                    <w:top w:val="nil"/>
                    <w:left w:val="single" w:color="auto" w:sz="8" w:space="0"/>
                    <w:bottom w:val="single" w:color="000000" w:sz="8" w:space="0"/>
                    <w:right w:val="single" w:color="auto" w:sz="8" w:space="0"/>
                  </w:tcBorders>
                  <w:vAlign w:val="center"/>
                </w:tcPr>
                <w:p w14:paraId="66424591">
                  <w:pPr>
                    <w:rPr>
                      <w:highlight w:val="none"/>
                    </w:rPr>
                  </w:pPr>
                </w:p>
              </w:tc>
              <w:tc>
                <w:tcPr>
                  <w:tcW w:w="1264" w:type="dxa"/>
                  <w:tcBorders>
                    <w:top w:val="nil"/>
                    <w:left w:val="nil"/>
                    <w:bottom w:val="single" w:color="auto" w:sz="8" w:space="0"/>
                    <w:right w:val="single" w:color="auto" w:sz="8" w:space="0"/>
                  </w:tcBorders>
                  <w:vAlign w:val="center"/>
                </w:tcPr>
                <w:p w14:paraId="5A0B62DB">
                  <w:pPr>
                    <w:pStyle w:val="209"/>
                    <w:rPr>
                      <w:rFonts w:ascii="仿宋" w:hAnsi="仿宋" w:eastAsia="仿宋" w:cs="仿宋"/>
                      <w:color w:val="auto"/>
                      <w:highlight w:val="none"/>
                    </w:rPr>
                  </w:pPr>
                  <w:r>
                    <w:rPr>
                      <w:rFonts w:hint="eastAsia" w:ascii="仿宋" w:hAnsi="仿宋" w:eastAsia="仿宋" w:cs="仿宋"/>
                      <w:color w:val="auto"/>
                      <w:highlight w:val="none"/>
                    </w:rPr>
                    <w:t>▲部件可靠性</w:t>
                  </w:r>
                </w:p>
              </w:tc>
              <w:tc>
                <w:tcPr>
                  <w:tcW w:w="4443" w:type="dxa"/>
                  <w:tcBorders>
                    <w:top w:val="nil"/>
                    <w:left w:val="nil"/>
                    <w:bottom w:val="single" w:color="auto" w:sz="8" w:space="0"/>
                    <w:right w:val="single" w:color="auto" w:sz="8" w:space="0"/>
                  </w:tcBorders>
                  <w:vAlign w:val="center"/>
                </w:tcPr>
                <w:p w14:paraId="47CA071A">
                  <w:pPr>
                    <w:pStyle w:val="209"/>
                    <w:rPr>
                      <w:rFonts w:ascii="仿宋" w:hAnsi="仿宋" w:eastAsia="仿宋" w:cs="仿宋"/>
                      <w:color w:val="auto"/>
                      <w:highlight w:val="none"/>
                    </w:rPr>
                  </w:pPr>
                  <w:r>
                    <w:rPr>
                      <w:rFonts w:hint="eastAsia" w:ascii="仿宋" w:hAnsi="仿宋" w:eastAsia="仿宋" w:cs="仿宋"/>
                      <w:color w:val="auto"/>
                      <w:highlight w:val="none"/>
                    </w:rPr>
                    <w:t>支持硬盘、电源、风扇热插拔(内置风扇除外)</w:t>
                  </w:r>
                </w:p>
              </w:tc>
            </w:tr>
            <w:tr w14:paraId="4A4A34CC">
              <w:tblPrEx>
                <w:tblCellMar>
                  <w:top w:w="0" w:type="dxa"/>
                  <w:left w:w="108" w:type="dxa"/>
                  <w:bottom w:w="0" w:type="dxa"/>
                  <w:right w:w="108" w:type="dxa"/>
                </w:tblCellMar>
              </w:tblPrEx>
              <w:trPr>
                <w:trHeight w:val="948" w:hRule="atLeast"/>
                <w:jc w:val="center"/>
              </w:trPr>
              <w:tc>
                <w:tcPr>
                  <w:tcW w:w="865" w:type="dxa"/>
                  <w:tcBorders>
                    <w:top w:val="nil"/>
                    <w:left w:val="single" w:color="auto" w:sz="8" w:space="0"/>
                    <w:bottom w:val="single" w:color="auto" w:sz="8" w:space="0"/>
                    <w:right w:val="single" w:color="auto" w:sz="8" w:space="0"/>
                  </w:tcBorders>
                  <w:vAlign w:val="center"/>
                </w:tcPr>
                <w:p w14:paraId="46652F70">
                  <w:pPr>
                    <w:pStyle w:val="209"/>
                    <w:rPr>
                      <w:rFonts w:ascii="仿宋" w:hAnsi="仿宋" w:eastAsia="仿宋" w:cs="仿宋"/>
                      <w:color w:val="auto"/>
                      <w:highlight w:val="none"/>
                    </w:rPr>
                  </w:pPr>
                  <w:r>
                    <w:rPr>
                      <w:rFonts w:hint="eastAsia" w:ascii="仿宋" w:hAnsi="仿宋" w:eastAsia="仿宋" w:cs="仿宋"/>
                      <w:color w:val="auto"/>
                      <w:highlight w:val="none"/>
                    </w:rPr>
                    <w:t>63</w:t>
                  </w:r>
                </w:p>
              </w:tc>
              <w:tc>
                <w:tcPr>
                  <w:tcW w:w="1247" w:type="dxa"/>
                  <w:tcBorders>
                    <w:top w:val="nil"/>
                    <w:left w:val="nil"/>
                    <w:bottom w:val="single" w:color="auto" w:sz="8" w:space="0"/>
                    <w:right w:val="single" w:color="auto" w:sz="8" w:space="0"/>
                  </w:tcBorders>
                  <w:vAlign w:val="center"/>
                </w:tcPr>
                <w:p w14:paraId="53F6859C">
                  <w:pPr>
                    <w:pStyle w:val="209"/>
                    <w:rPr>
                      <w:rFonts w:ascii="仿宋" w:hAnsi="仿宋" w:eastAsia="仿宋" w:cs="仿宋"/>
                      <w:color w:val="auto"/>
                      <w:highlight w:val="none"/>
                    </w:rPr>
                  </w:pPr>
                  <w:r>
                    <w:rPr>
                      <w:rFonts w:hint="eastAsia" w:ascii="仿宋" w:hAnsi="仿宋" w:eastAsia="仿宋" w:cs="仿宋"/>
                      <w:color w:val="auto"/>
                      <w:highlight w:val="none"/>
                    </w:rPr>
                    <w:t>▲包装及运输要求</w:t>
                  </w:r>
                </w:p>
              </w:tc>
              <w:tc>
                <w:tcPr>
                  <w:tcW w:w="1264" w:type="dxa"/>
                  <w:tcBorders>
                    <w:top w:val="nil"/>
                    <w:left w:val="nil"/>
                    <w:bottom w:val="single" w:color="auto" w:sz="8" w:space="0"/>
                    <w:right w:val="single" w:color="auto" w:sz="8" w:space="0"/>
                  </w:tcBorders>
                  <w:vAlign w:val="center"/>
                </w:tcPr>
                <w:p w14:paraId="6F34891C">
                  <w:pPr>
                    <w:pStyle w:val="209"/>
                    <w:rPr>
                      <w:rFonts w:ascii="仿宋" w:hAnsi="仿宋" w:eastAsia="仿宋" w:cs="仿宋"/>
                      <w:color w:val="auto"/>
                      <w:highlight w:val="none"/>
                    </w:rPr>
                  </w:pPr>
                  <w:r>
                    <w:rPr>
                      <w:rFonts w:hint="eastAsia" w:ascii="仿宋" w:hAnsi="仿宋" w:eastAsia="仿宋" w:cs="仿宋"/>
                      <w:color w:val="auto"/>
                      <w:highlight w:val="none"/>
                    </w:rPr>
                    <w:t>▲标志、包装、运输和贮存</w:t>
                  </w:r>
                </w:p>
              </w:tc>
              <w:tc>
                <w:tcPr>
                  <w:tcW w:w="4443" w:type="dxa"/>
                  <w:tcBorders>
                    <w:top w:val="nil"/>
                    <w:left w:val="nil"/>
                    <w:bottom w:val="single" w:color="auto" w:sz="8" w:space="0"/>
                    <w:right w:val="single" w:color="auto" w:sz="8" w:space="0"/>
                  </w:tcBorders>
                  <w:vAlign w:val="center"/>
                </w:tcPr>
                <w:p w14:paraId="5501B980">
                  <w:pPr>
                    <w:pStyle w:val="209"/>
                    <w:rPr>
                      <w:rFonts w:ascii="仿宋" w:hAnsi="仿宋" w:eastAsia="仿宋" w:cs="仿宋"/>
                      <w:color w:val="auto"/>
                      <w:highlight w:val="none"/>
                    </w:rPr>
                  </w:pPr>
                  <w:r>
                    <w:rPr>
                      <w:rFonts w:hint="eastAsia" w:ascii="仿宋" w:hAnsi="仿宋" w:eastAsia="仿宋" w:cs="仿宋"/>
                      <w:color w:val="auto"/>
                      <w:highlight w:val="none"/>
                    </w:rPr>
                    <w:t>符合 GB/T 9813.3 和商品包装政府采购需求标准的相关规定</w:t>
                  </w:r>
                </w:p>
              </w:tc>
            </w:tr>
            <w:tr w14:paraId="14AE05ED">
              <w:tblPrEx>
                <w:tblCellMar>
                  <w:top w:w="0" w:type="dxa"/>
                  <w:left w:w="108" w:type="dxa"/>
                  <w:bottom w:w="0" w:type="dxa"/>
                  <w:right w:w="108" w:type="dxa"/>
                </w:tblCellMar>
              </w:tblPrEx>
              <w:trPr>
                <w:trHeight w:val="2820" w:hRule="atLeast"/>
                <w:jc w:val="center"/>
              </w:trPr>
              <w:tc>
                <w:tcPr>
                  <w:tcW w:w="865" w:type="dxa"/>
                  <w:tcBorders>
                    <w:top w:val="nil"/>
                    <w:left w:val="single" w:color="auto" w:sz="8" w:space="0"/>
                    <w:bottom w:val="single" w:color="auto" w:sz="8" w:space="0"/>
                    <w:right w:val="single" w:color="auto" w:sz="8" w:space="0"/>
                  </w:tcBorders>
                  <w:vAlign w:val="center"/>
                </w:tcPr>
                <w:p w14:paraId="7F9B79FE">
                  <w:pPr>
                    <w:pStyle w:val="209"/>
                    <w:rPr>
                      <w:rFonts w:ascii="仿宋" w:hAnsi="仿宋" w:eastAsia="仿宋" w:cs="仿宋"/>
                      <w:color w:val="auto"/>
                      <w:highlight w:val="none"/>
                    </w:rPr>
                  </w:pPr>
                  <w:r>
                    <w:rPr>
                      <w:rFonts w:hint="eastAsia" w:ascii="仿宋" w:hAnsi="仿宋" w:eastAsia="仿宋" w:cs="仿宋"/>
                      <w:color w:val="auto"/>
                      <w:highlight w:val="none"/>
                    </w:rPr>
                    <w:t>64</w:t>
                  </w:r>
                </w:p>
              </w:tc>
              <w:tc>
                <w:tcPr>
                  <w:tcW w:w="1247" w:type="dxa"/>
                  <w:vMerge w:val="restart"/>
                  <w:tcBorders>
                    <w:top w:val="nil"/>
                    <w:left w:val="single" w:color="auto" w:sz="8" w:space="0"/>
                    <w:bottom w:val="single" w:color="000000" w:sz="8" w:space="0"/>
                    <w:right w:val="single" w:color="auto" w:sz="8" w:space="0"/>
                  </w:tcBorders>
                  <w:vAlign w:val="center"/>
                </w:tcPr>
                <w:p w14:paraId="37C1BE22">
                  <w:pPr>
                    <w:pStyle w:val="209"/>
                    <w:rPr>
                      <w:rFonts w:ascii="仿宋" w:hAnsi="仿宋" w:eastAsia="仿宋" w:cs="仿宋"/>
                      <w:color w:val="auto"/>
                      <w:highlight w:val="none"/>
                    </w:rPr>
                  </w:pPr>
                  <w:r>
                    <w:rPr>
                      <w:rFonts w:hint="eastAsia" w:ascii="仿宋" w:hAnsi="仿宋" w:eastAsia="仿宋" w:cs="仿宋"/>
                      <w:color w:val="auto"/>
                      <w:highlight w:val="none"/>
                    </w:rPr>
                    <w:t>▲服务响应</w:t>
                  </w:r>
                </w:p>
              </w:tc>
              <w:tc>
                <w:tcPr>
                  <w:tcW w:w="1264" w:type="dxa"/>
                  <w:tcBorders>
                    <w:top w:val="nil"/>
                    <w:left w:val="nil"/>
                    <w:bottom w:val="single" w:color="auto" w:sz="8" w:space="0"/>
                    <w:right w:val="single" w:color="auto" w:sz="8" w:space="0"/>
                  </w:tcBorders>
                  <w:vAlign w:val="center"/>
                </w:tcPr>
                <w:p w14:paraId="19021B75">
                  <w:pPr>
                    <w:pStyle w:val="209"/>
                    <w:rPr>
                      <w:rFonts w:ascii="仿宋" w:hAnsi="仿宋" w:eastAsia="仿宋" w:cs="仿宋"/>
                      <w:color w:val="auto"/>
                      <w:highlight w:val="none"/>
                    </w:rPr>
                  </w:pPr>
                  <w:r>
                    <w:rPr>
                      <w:rFonts w:hint="eastAsia" w:ascii="仿宋" w:hAnsi="仿宋" w:eastAsia="仿宋" w:cs="仿宋"/>
                      <w:color w:val="auto"/>
                      <w:highlight w:val="none"/>
                    </w:rPr>
                    <w:t>▲服务响应</w:t>
                  </w:r>
                </w:p>
              </w:tc>
              <w:tc>
                <w:tcPr>
                  <w:tcW w:w="4443" w:type="dxa"/>
                  <w:tcBorders>
                    <w:top w:val="nil"/>
                    <w:left w:val="nil"/>
                    <w:bottom w:val="single" w:color="auto" w:sz="8" w:space="0"/>
                    <w:right w:val="single" w:color="auto" w:sz="8" w:space="0"/>
                  </w:tcBorders>
                  <w:vAlign w:val="center"/>
                </w:tcPr>
                <w:p w14:paraId="1C2E600C">
                  <w:pPr>
                    <w:pStyle w:val="209"/>
                    <w:rPr>
                      <w:rFonts w:ascii="仿宋" w:hAnsi="仿宋" w:eastAsia="仿宋" w:cs="仿宋"/>
                      <w:color w:val="auto"/>
                      <w:highlight w:val="none"/>
                    </w:rPr>
                  </w:pPr>
                  <w:r>
                    <w:rPr>
                      <w:rFonts w:hint="eastAsia" w:ascii="仿宋" w:hAnsi="仿宋" w:eastAsia="仿宋" w:cs="仿宋"/>
                      <w:color w:val="auto"/>
                      <w:highlight w:val="none"/>
                    </w:rPr>
                    <w:t>a) 提供电话、电子邮件、远程连接等多种形式服务；b) 提供同城 4h、异地 12h 技术响应服务，2 个工作日解决问题，对于未能解决的问题和故障应提供可行的升级方案，并提供周转设备；c) 建立全国技术服务体系和服务团体，符合专业服务体系标准要求，提供原厂中文服务；d) 服务周期内提供产品的维修、换件和升级服务</w:t>
                  </w:r>
                </w:p>
              </w:tc>
            </w:tr>
            <w:tr w14:paraId="09BA1806">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7E643796">
                  <w:pPr>
                    <w:pStyle w:val="209"/>
                    <w:rPr>
                      <w:rFonts w:ascii="仿宋" w:hAnsi="仿宋" w:eastAsia="仿宋" w:cs="仿宋"/>
                      <w:color w:val="auto"/>
                      <w:highlight w:val="none"/>
                    </w:rPr>
                  </w:pPr>
                  <w:r>
                    <w:rPr>
                      <w:rFonts w:hint="eastAsia" w:ascii="仿宋" w:hAnsi="仿宋" w:eastAsia="仿宋" w:cs="仿宋"/>
                      <w:color w:val="auto"/>
                      <w:highlight w:val="none"/>
                    </w:rPr>
                    <w:t>65</w:t>
                  </w:r>
                </w:p>
              </w:tc>
              <w:tc>
                <w:tcPr>
                  <w:tcW w:w="1247" w:type="dxa"/>
                  <w:vMerge w:val="continue"/>
                  <w:tcBorders>
                    <w:top w:val="nil"/>
                    <w:left w:val="single" w:color="auto" w:sz="8" w:space="0"/>
                    <w:bottom w:val="single" w:color="000000" w:sz="8" w:space="0"/>
                    <w:right w:val="single" w:color="auto" w:sz="8" w:space="0"/>
                  </w:tcBorders>
                  <w:vAlign w:val="center"/>
                </w:tcPr>
                <w:p w14:paraId="43C3B287">
                  <w:pPr>
                    <w:rPr>
                      <w:highlight w:val="none"/>
                    </w:rPr>
                  </w:pPr>
                </w:p>
              </w:tc>
              <w:tc>
                <w:tcPr>
                  <w:tcW w:w="1264" w:type="dxa"/>
                  <w:tcBorders>
                    <w:top w:val="nil"/>
                    <w:left w:val="nil"/>
                    <w:bottom w:val="single" w:color="auto" w:sz="8" w:space="0"/>
                    <w:right w:val="single" w:color="auto" w:sz="8" w:space="0"/>
                  </w:tcBorders>
                  <w:vAlign w:val="center"/>
                </w:tcPr>
                <w:p w14:paraId="61393C06">
                  <w:pPr>
                    <w:pStyle w:val="209"/>
                    <w:rPr>
                      <w:rFonts w:ascii="仿宋" w:hAnsi="仿宋" w:eastAsia="仿宋" w:cs="仿宋"/>
                      <w:color w:val="auto"/>
                      <w:highlight w:val="none"/>
                    </w:rPr>
                  </w:pPr>
                  <w:r>
                    <w:rPr>
                      <w:rFonts w:hint="eastAsia" w:ascii="仿宋" w:hAnsi="仿宋" w:eastAsia="仿宋" w:cs="仿宋"/>
                      <w:color w:val="auto"/>
                      <w:highlight w:val="none"/>
                    </w:rPr>
                    <w:t>▲培训服务</w:t>
                  </w:r>
                </w:p>
              </w:tc>
              <w:tc>
                <w:tcPr>
                  <w:tcW w:w="4443" w:type="dxa"/>
                  <w:tcBorders>
                    <w:top w:val="nil"/>
                    <w:left w:val="nil"/>
                    <w:bottom w:val="nil"/>
                    <w:right w:val="single" w:color="auto" w:sz="8" w:space="0"/>
                  </w:tcBorders>
                  <w:vAlign w:val="center"/>
                </w:tcPr>
                <w:p w14:paraId="0D50575F">
                  <w:pPr>
                    <w:pStyle w:val="209"/>
                    <w:rPr>
                      <w:rFonts w:ascii="仿宋" w:hAnsi="仿宋" w:eastAsia="仿宋" w:cs="仿宋"/>
                      <w:color w:val="auto"/>
                      <w:highlight w:val="none"/>
                    </w:rPr>
                  </w:pPr>
                  <w:r>
                    <w:rPr>
                      <w:rFonts w:hint="eastAsia" w:ascii="仿宋" w:hAnsi="仿宋" w:eastAsia="仿宋" w:cs="仿宋"/>
                      <w:color w:val="auto"/>
                      <w:highlight w:val="none"/>
                    </w:rPr>
                    <w:t>投标人提供培训材料、产品手册、培训视频等培训相关内容</w:t>
                  </w:r>
                </w:p>
              </w:tc>
            </w:tr>
            <w:tr w14:paraId="19354A09">
              <w:tblPrEx>
                <w:tblCellMar>
                  <w:top w:w="0" w:type="dxa"/>
                  <w:left w:w="108" w:type="dxa"/>
                  <w:bottom w:w="0" w:type="dxa"/>
                  <w:right w:w="108" w:type="dxa"/>
                </w:tblCellMar>
              </w:tblPrEx>
              <w:trPr>
                <w:trHeight w:val="624" w:hRule="atLeast"/>
                <w:jc w:val="center"/>
              </w:trPr>
              <w:tc>
                <w:tcPr>
                  <w:tcW w:w="865" w:type="dxa"/>
                  <w:vMerge w:val="restart"/>
                  <w:tcBorders>
                    <w:top w:val="nil"/>
                    <w:left w:val="single" w:color="auto" w:sz="8" w:space="0"/>
                    <w:bottom w:val="single" w:color="000000" w:sz="8" w:space="0"/>
                    <w:right w:val="single" w:color="auto" w:sz="8" w:space="0"/>
                  </w:tcBorders>
                  <w:vAlign w:val="center"/>
                </w:tcPr>
                <w:p w14:paraId="634E124D">
                  <w:pPr>
                    <w:pStyle w:val="209"/>
                    <w:rPr>
                      <w:rFonts w:ascii="仿宋" w:hAnsi="仿宋" w:eastAsia="仿宋" w:cs="仿宋"/>
                      <w:color w:val="auto"/>
                      <w:highlight w:val="none"/>
                    </w:rPr>
                  </w:pPr>
                  <w:r>
                    <w:rPr>
                      <w:rFonts w:hint="eastAsia" w:ascii="仿宋" w:hAnsi="仿宋" w:eastAsia="仿宋" w:cs="仿宋"/>
                      <w:color w:val="auto"/>
                      <w:highlight w:val="none"/>
                    </w:rPr>
                    <w:t>66</w:t>
                  </w:r>
                </w:p>
              </w:tc>
              <w:tc>
                <w:tcPr>
                  <w:tcW w:w="1247" w:type="dxa"/>
                  <w:vMerge w:val="restart"/>
                  <w:tcBorders>
                    <w:top w:val="nil"/>
                    <w:left w:val="single" w:color="auto" w:sz="8" w:space="0"/>
                    <w:bottom w:val="single" w:color="000000" w:sz="8" w:space="0"/>
                    <w:right w:val="single" w:color="auto" w:sz="8" w:space="0"/>
                  </w:tcBorders>
                  <w:vAlign w:val="center"/>
                </w:tcPr>
                <w:p w14:paraId="3E901FC5">
                  <w:pPr>
                    <w:pStyle w:val="209"/>
                    <w:rPr>
                      <w:rFonts w:ascii="仿宋" w:hAnsi="仿宋" w:eastAsia="仿宋" w:cs="仿宋"/>
                      <w:color w:val="auto"/>
                      <w:highlight w:val="none"/>
                    </w:rPr>
                  </w:pPr>
                  <w:r>
                    <w:rPr>
                      <w:rFonts w:hint="eastAsia" w:ascii="仿宋" w:hAnsi="仿宋" w:eastAsia="仿宋" w:cs="仿宋"/>
                      <w:color w:val="auto"/>
                      <w:highlight w:val="none"/>
                    </w:rPr>
                    <w:t>▲服务周期</w:t>
                  </w:r>
                </w:p>
              </w:tc>
              <w:tc>
                <w:tcPr>
                  <w:tcW w:w="1264" w:type="dxa"/>
                  <w:vMerge w:val="restart"/>
                  <w:tcBorders>
                    <w:top w:val="nil"/>
                    <w:left w:val="single" w:color="auto" w:sz="8" w:space="0"/>
                    <w:bottom w:val="single" w:color="000000" w:sz="8" w:space="0"/>
                    <w:right w:val="nil"/>
                  </w:tcBorders>
                  <w:vAlign w:val="center"/>
                </w:tcPr>
                <w:p w14:paraId="71F91A03">
                  <w:pPr>
                    <w:pStyle w:val="209"/>
                    <w:rPr>
                      <w:rFonts w:ascii="仿宋" w:hAnsi="仿宋" w:eastAsia="仿宋" w:cs="仿宋"/>
                      <w:color w:val="auto"/>
                      <w:highlight w:val="none"/>
                    </w:rPr>
                  </w:pPr>
                  <w:r>
                    <w:rPr>
                      <w:rFonts w:hint="eastAsia" w:ascii="仿宋" w:hAnsi="仿宋" w:eastAsia="仿宋" w:cs="仿宋"/>
                      <w:color w:val="auto"/>
                      <w:highlight w:val="none"/>
                    </w:rPr>
                    <w:t>▲服务周期</w:t>
                  </w:r>
                </w:p>
              </w:tc>
              <w:tc>
                <w:tcPr>
                  <w:tcW w:w="4443" w:type="dxa"/>
                  <w:tcBorders>
                    <w:top w:val="single" w:color="auto" w:sz="8" w:space="0"/>
                    <w:left w:val="single" w:color="auto" w:sz="8" w:space="0"/>
                    <w:bottom w:val="single" w:color="auto" w:sz="4" w:space="0"/>
                    <w:right w:val="single" w:color="auto" w:sz="8" w:space="0"/>
                  </w:tcBorders>
                  <w:vAlign w:val="center"/>
                </w:tcPr>
                <w:p w14:paraId="70D68F8F">
                  <w:pPr>
                    <w:pStyle w:val="209"/>
                    <w:rPr>
                      <w:rFonts w:ascii="仿宋" w:hAnsi="仿宋" w:eastAsia="仿宋" w:cs="仿宋"/>
                      <w:color w:val="auto"/>
                      <w:highlight w:val="none"/>
                    </w:rPr>
                  </w:pPr>
                  <w:r>
                    <w:rPr>
                      <w:rFonts w:hint="eastAsia" w:ascii="仿宋" w:hAnsi="仿宋" w:eastAsia="仿宋" w:cs="仿宋"/>
                      <w:color w:val="auto"/>
                      <w:highlight w:val="none"/>
                    </w:rPr>
                    <w:t>（1）服务期内，提供服务（含换件和维修）；</w:t>
                  </w:r>
                </w:p>
              </w:tc>
            </w:tr>
            <w:tr w14:paraId="311986BA">
              <w:tblPrEx>
                <w:tblCellMar>
                  <w:top w:w="0" w:type="dxa"/>
                  <w:left w:w="108" w:type="dxa"/>
                  <w:bottom w:w="0" w:type="dxa"/>
                  <w:right w:w="108" w:type="dxa"/>
                </w:tblCellMar>
              </w:tblPrEx>
              <w:trPr>
                <w:trHeight w:val="936" w:hRule="atLeast"/>
                <w:jc w:val="center"/>
              </w:trPr>
              <w:tc>
                <w:tcPr>
                  <w:tcW w:w="865" w:type="dxa"/>
                  <w:vMerge w:val="continue"/>
                  <w:tcBorders>
                    <w:top w:val="nil"/>
                    <w:left w:val="single" w:color="auto" w:sz="8" w:space="0"/>
                    <w:bottom w:val="single" w:color="000000" w:sz="8" w:space="0"/>
                    <w:right w:val="single" w:color="auto" w:sz="8" w:space="0"/>
                  </w:tcBorders>
                  <w:vAlign w:val="center"/>
                </w:tcPr>
                <w:p w14:paraId="450BD2B4">
                  <w:pPr>
                    <w:rPr>
                      <w:highlight w:val="none"/>
                    </w:rPr>
                  </w:pPr>
                </w:p>
              </w:tc>
              <w:tc>
                <w:tcPr>
                  <w:tcW w:w="1247" w:type="dxa"/>
                  <w:vMerge w:val="continue"/>
                  <w:tcBorders>
                    <w:top w:val="nil"/>
                    <w:left w:val="single" w:color="auto" w:sz="8" w:space="0"/>
                    <w:bottom w:val="single" w:color="000000" w:sz="8" w:space="0"/>
                    <w:right w:val="single" w:color="auto" w:sz="8" w:space="0"/>
                  </w:tcBorders>
                  <w:vAlign w:val="center"/>
                </w:tcPr>
                <w:p w14:paraId="7770A3B7">
                  <w:pPr>
                    <w:rPr>
                      <w:highlight w:val="none"/>
                    </w:rPr>
                  </w:pPr>
                </w:p>
              </w:tc>
              <w:tc>
                <w:tcPr>
                  <w:tcW w:w="1264" w:type="dxa"/>
                  <w:vMerge w:val="continue"/>
                  <w:tcBorders>
                    <w:top w:val="nil"/>
                    <w:left w:val="single" w:color="auto" w:sz="8" w:space="0"/>
                    <w:bottom w:val="single" w:color="000000" w:sz="8" w:space="0"/>
                    <w:right w:val="nil"/>
                  </w:tcBorders>
                  <w:vAlign w:val="center"/>
                </w:tcPr>
                <w:p w14:paraId="5D67E180">
                  <w:pPr>
                    <w:rPr>
                      <w:highlight w:val="none"/>
                    </w:rPr>
                  </w:pPr>
                </w:p>
              </w:tc>
              <w:tc>
                <w:tcPr>
                  <w:tcW w:w="4443" w:type="dxa"/>
                  <w:tcBorders>
                    <w:top w:val="nil"/>
                    <w:left w:val="single" w:color="auto" w:sz="8" w:space="0"/>
                    <w:bottom w:val="single" w:color="auto" w:sz="4" w:space="0"/>
                    <w:right w:val="single" w:color="auto" w:sz="8" w:space="0"/>
                  </w:tcBorders>
                  <w:vAlign w:val="center"/>
                </w:tcPr>
                <w:p w14:paraId="294FF849">
                  <w:pPr>
                    <w:pStyle w:val="209"/>
                    <w:rPr>
                      <w:rFonts w:ascii="仿宋" w:hAnsi="仿宋" w:eastAsia="仿宋" w:cs="仿宋"/>
                      <w:color w:val="auto"/>
                      <w:highlight w:val="none"/>
                    </w:rPr>
                  </w:pPr>
                  <w:r>
                    <w:rPr>
                      <w:rFonts w:hint="eastAsia" w:ascii="仿宋" w:hAnsi="仿宋" w:eastAsia="仿宋" w:cs="仿宋"/>
                      <w:color w:val="auto"/>
                      <w:highlight w:val="none"/>
                    </w:rPr>
                    <w:t>（2）设备停产后继续提供质量保障服务（含备品备件），服务终止时间与最后一批设备交付时间间隔≥6年；</w:t>
                  </w:r>
                </w:p>
              </w:tc>
            </w:tr>
            <w:tr w14:paraId="1B2A3D30">
              <w:tblPrEx>
                <w:tblCellMar>
                  <w:top w:w="0" w:type="dxa"/>
                  <w:left w:w="108" w:type="dxa"/>
                  <w:bottom w:w="0" w:type="dxa"/>
                  <w:right w:w="108" w:type="dxa"/>
                </w:tblCellMar>
              </w:tblPrEx>
              <w:trPr>
                <w:trHeight w:val="624" w:hRule="atLeast"/>
                <w:jc w:val="center"/>
              </w:trPr>
              <w:tc>
                <w:tcPr>
                  <w:tcW w:w="865" w:type="dxa"/>
                  <w:vMerge w:val="continue"/>
                  <w:tcBorders>
                    <w:top w:val="nil"/>
                    <w:left w:val="single" w:color="auto" w:sz="8" w:space="0"/>
                    <w:bottom w:val="single" w:color="000000" w:sz="8" w:space="0"/>
                    <w:right w:val="single" w:color="auto" w:sz="8" w:space="0"/>
                  </w:tcBorders>
                  <w:vAlign w:val="center"/>
                </w:tcPr>
                <w:p w14:paraId="4E43C567">
                  <w:pPr>
                    <w:rPr>
                      <w:highlight w:val="none"/>
                    </w:rPr>
                  </w:pPr>
                </w:p>
              </w:tc>
              <w:tc>
                <w:tcPr>
                  <w:tcW w:w="1247" w:type="dxa"/>
                  <w:vMerge w:val="continue"/>
                  <w:tcBorders>
                    <w:top w:val="nil"/>
                    <w:left w:val="single" w:color="auto" w:sz="8" w:space="0"/>
                    <w:bottom w:val="single" w:color="000000" w:sz="8" w:space="0"/>
                    <w:right w:val="single" w:color="auto" w:sz="8" w:space="0"/>
                  </w:tcBorders>
                  <w:vAlign w:val="center"/>
                </w:tcPr>
                <w:p w14:paraId="34FA5EA5">
                  <w:pPr>
                    <w:rPr>
                      <w:highlight w:val="none"/>
                    </w:rPr>
                  </w:pPr>
                </w:p>
              </w:tc>
              <w:tc>
                <w:tcPr>
                  <w:tcW w:w="1264" w:type="dxa"/>
                  <w:vMerge w:val="continue"/>
                  <w:tcBorders>
                    <w:top w:val="nil"/>
                    <w:left w:val="single" w:color="auto" w:sz="8" w:space="0"/>
                    <w:bottom w:val="single" w:color="000000" w:sz="8" w:space="0"/>
                    <w:right w:val="nil"/>
                  </w:tcBorders>
                  <w:vAlign w:val="center"/>
                </w:tcPr>
                <w:p w14:paraId="0C308737">
                  <w:pPr>
                    <w:rPr>
                      <w:highlight w:val="none"/>
                    </w:rPr>
                  </w:pPr>
                </w:p>
              </w:tc>
              <w:tc>
                <w:tcPr>
                  <w:tcW w:w="4443" w:type="dxa"/>
                  <w:tcBorders>
                    <w:top w:val="nil"/>
                    <w:left w:val="single" w:color="auto" w:sz="8" w:space="0"/>
                    <w:bottom w:val="single" w:color="auto" w:sz="4" w:space="0"/>
                    <w:right w:val="single" w:color="auto" w:sz="8" w:space="0"/>
                  </w:tcBorders>
                  <w:vAlign w:val="center"/>
                </w:tcPr>
                <w:p w14:paraId="4FD767C9">
                  <w:pPr>
                    <w:pStyle w:val="209"/>
                    <w:rPr>
                      <w:rFonts w:ascii="仿宋" w:hAnsi="仿宋" w:eastAsia="仿宋" w:cs="仿宋"/>
                      <w:color w:val="auto"/>
                      <w:highlight w:val="none"/>
                    </w:rPr>
                  </w:pPr>
                  <w:r>
                    <w:rPr>
                      <w:rFonts w:hint="eastAsia" w:ascii="仿宋" w:hAnsi="仿宋" w:eastAsia="仿宋" w:cs="仿宋"/>
                      <w:color w:val="auto"/>
                      <w:highlight w:val="none"/>
                    </w:rPr>
                    <w:t>（3）产品停止服务时间应提前1年告知客户；</w:t>
                  </w:r>
                </w:p>
              </w:tc>
            </w:tr>
            <w:tr w14:paraId="0D653D04">
              <w:tblPrEx>
                <w:tblCellMar>
                  <w:top w:w="0" w:type="dxa"/>
                  <w:left w:w="108" w:type="dxa"/>
                  <w:bottom w:w="0" w:type="dxa"/>
                  <w:right w:w="108" w:type="dxa"/>
                </w:tblCellMar>
              </w:tblPrEx>
              <w:trPr>
                <w:trHeight w:val="90" w:hRule="atLeast"/>
                <w:jc w:val="center"/>
              </w:trPr>
              <w:tc>
                <w:tcPr>
                  <w:tcW w:w="865" w:type="dxa"/>
                  <w:vMerge w:val="continue"/>
                  <w:tcBorders>
                    <w:top w:val="nil"/>
                    <w:left w:val="single" w:color="auto" w:sz="8" w:space="0"/>
                    <w:bottom w:val="single" w:color="000000" w:sz="8" w:space="0"/>
                    <w:right w:val="single" w:color="auto" w:sz="8" w:space="0"/>
                  </w:tcBorders>
                  <w:vAlign w:val="center"/>
                </w:tcPr>
                <w:p w14:paraId="0C5EB374">
                  <w:pPr>
                    <w:rPr>
                      <w:highlight w:val="none"/>
                    </w:rPr>
                  </w:pPr>
                </w:p>
              </w:tc>
              <w:tc>
                <w:tcPr>
                  <w:tcW w:w="1247" w:type="dxa"/>
                  <w:vMerge w:val="continue"/>
                  <w:tcBorders>
                    <w:top w:val="nil"/>
                    <w:left w:val="single" w:color="auto" w:sz="8" w:space="0"/>
                    <w:bottom w:val="single" w:color="000000" w:sz="8" w:space="0"/>
                    <w:right w:val="single" w:color="auto" w:sz="8" w:space="0"/>
                  </w:tcBorders>
                  <w:vAlign w:val="center"/>
                </w:tcPr>
                <w:p w14:paraId="3DC1ADB3">
                  <w:pPr>
                    <w:rPr>
                      <w:highlight w:val="none"/>
                    </w:rPr>
                  </w:pPr>
                </w:p>
              </w:tc>
              <w:tc>
                <w:tcPr>
                  <w:tcW w:w="1264" w:type="dxa"/>
                  <w:vMerge w:val="continue"/>
                  <w:tcBorders>
                    <w:top w:val="nil"/>
                    <w:left w:val="single" w:color="auto" w:sz="8" w:space="0"/>
                    <w:bottom w:val="single" w:color="000000" w:sz="8" w:space="0"/>
                    <w:right w:val="nil"/>
                  </w:tcBorders>
                  <w:vAlign w:val="center"/>
                </w:tcPr>
                <w:p w14:paraId="12F789D8">
                  <w:pPr>
                    <w:rPr>
                      <w:highlight w:val="none"/>
                    </w:rPr>
                  </w:pPr>
                </w:p>
              </w:tc>
              <w:tc>
                <w:tcPr>
                  <w:tcW w:w="4443" w:type="dxa"/>
                  <w:tcBorders>
                    <w:top w:val="nil"/>
                    <w:left w:val="single" w:color="auto" w:sz="8" w:space="0"/>
                    <w:bottom w:val="single" w:color="auto" w:sz="8" w:space="0"/>
                    <w:right w:val="single" w:color="auto" w:sz="8" w:space="0"/>
                  </w:tcBorders>
                  <w:vAlign w:val="center"/>
                </w:tcPr>
                <w:p w14:paraId="672C668B">
                  <w:pPr>
                    <w:pStyle w:val="209"/>
                    <w:rPr>
                      <w:rFonts w:ascii="仿宋" w:hAnsi="仿宋" w:eastAsia="仿宋" w:cs="仿宋"/>
                      <w:color w:val="auto"/>
                      <w:highlight w:val="none"/>
                    </w:rPr>
                  </w:pPr>
                  <w:r>
                    <w:rPr>
                      <w:rFonts w:hint="eastAsia" w:ascii="仿宋" w:hAnsi="仿宋" w:eastAsia="仿宋" w:cs="仿宋"/>
                      <w:color w:val="auto"/>
                      <w:highlight w:val="none"/>
                    </w:rPr>
                    <w:t>（4）产品发布日期需在随机文件中明确。</w:t>
                  </w:r>
                </w:p>
              </w:tc>
            </w:tr>
            <w:tr w14:paraId="122301BD">
              <w:tblPrEx>
                <w:tblCellMar>
                  <w:top w:w="0" w:type="dxa"/>
                  <w:left w:w="108" w:type="dxa"/>
                  <w:bottom w:w="0" w:type="dxa"/>
                  <w:right w:w="108" w:type="dxa"/>
                </w:tblCellMar>
              </w:tblPrEx>
              <w:trPr>
                <w:trHeight w:val="948" w:hRule="atLeast"/>
                <w:jc w:val="center"/>
              </w:trPr>
              <w:tc>
                <w:tcPr>
                  <w:tcW w:w="865" w:type="dxa"/>
                  <w:tcBorders>
                    <w:top w:val="nil"/>
                    <w:left w:val="single" w:color="auto" w:sz="8" w:space="0"/>
                    <w:bottom w:val="single" w:color="auto" w:sz="8" w:space="0"/>
                    <w:right w:val="single" w:color="auto" w:sz="8" w:space="0"/>
                  </w:tcBorders>
                  <w:vAlign w:val="center"/>
                </w:tcPr>
                <w:p w14:paraId="0B86AB6F">
                  <w:pPr>
                    <w:pStyle w:val="209"/>
                    <w:rPr>
                      <w:rFonts w:ascii="仿宋" w:hAnsi="仿宋" w:eastAsia="仿宋" w:cs="仿宋"/>
                      <w:color w:val="auto"/>
                      <w:highlight w:val="none"/>
                    </w:rPr>
                  </w:pPr>
                  <w:r>
                    <w:rPr>
                      <w:rFonts w:hint="eastAsia" w:ascii="仿宋" w:hAnsi="仿宋" w:eastAsia="仿宋" w:cs="仿宋"/>
                      <w:color w:val="auto"/>
                      <w:highlight w:val="none"/>
                    </w:rPr>
                    <w:t>67</w:t>
                  </w:r>
                </w:p>
              </w:tc>
              <w:tc>
                <w:tcPr>
                  <w:tcW w:w="1247" w:type="dxa"/>
                  <w:vMerge w:val="restart"/>
                  <w:tcBorders>
                    <w:top w:val="nil"/>
                    <w:left w:val="single" w:color="auto" w:sz="8" w:space="0"/>
                    <w:bottom w:val="single" w:color="000000" w:sz="8" w:space="0"/>
                    <w:right w:val="single" w:color="auto" w:sz="8" w:space="0"/>
                  </w:tcBorders>
                  <w:vAlign w:val="center"/>
                </w:tcPr>
                <w:p w14:paraId="24A5AFD5">
                  <w:pPr>
                    <w:pStyle w:val="209"/>
                    <w:rPr>
                      <w:rFonts w:ascii="仿宋" w:hAnsi="仿宋" w:eastAsia="仿宋" w:cs="仿宋"/>
                      <w:color w:val="auto"/>
                      <w:highlight w:val="none"/>
                    </w:rPr>
                  </w:pPr>
                  <w:r>
                    <w:rPr>
                      <w:rFonts w:hint="eastAsia" w:ascii="仿宋" w:hAnsi="仿宋" w:eastAsia="仿宋" w:cs="仿宋"/>
                      <w:color w:val="auto"/>
                      <w:highlight w:val="none"/>
                    </w:rPr>
                    <w:t>▲服务工具要求</w:t>
                  </w:r>
                </w:p>
              </w:tc>
              <w:tc>
                <w:tcPr>
                  <w:tcW w:w="1264" w:type="dxa"/>
                  <w:tcBorders>
                    <w:top w:val="nil"/>
                    <w:left w:val="nil"/>
                    <w:bottom w:val="single" w:color="auto" w:sz="8" w:space="0"/>
                    <w:right w:val="single" w:color="auto" w:sz="8" w:space="0"/>
                  </w:tcBorders>
                  <w:vAlign w:val="center"/>
                </w:tcPr>
                <w:p w14:paraId="56F57A27">
                  <w:pPr>
                    <w:pStyle w:val="209"/>
                    <w:rPr>
                      <w:rFonts w:ascii="仿宋" w:hAnsi="仿宋" w:eastAsia="仿宋" w:cs="仿宋"/>
                      <w:color w:val="auto"/>
                      <w:highlight w:val="none"/>
                    </w:rPr>
                  </w:pPr>
                  <w:r>
                    <w:rPr>
                      <w:rFonts w:hint="eastAsia" w:ascii="仿宋" w:hAnsi="仿宋" w:eastAsia="仿宋" w:cs="仿宋"/>
                      <w:color w:val="auto"/>
                      <w:highlight w:val="none"/>
                    </w:rPr>
                    <w:t>▲工具要求</w:t>
                  </w:r>
                </w:p>
              </w:tc>
              <w:tc>
                <w:tcPr>
                  <w:tcW w:w="4443" w:type="dxa"/>
                  <w:tcBorders>
                    <w:top w:val="nil"/>
                    <w:left w:val="nil"/>
                    <w:bottom w:val="single" w:color="auto" w:sz="8" w:space="0"/>
                    <w:right w:val="single" w:color="auto" w:sz="8" w:space="0"/>
                  </w:tcBorders>
                  <w:vAlign w:val="center"/>
                </w:tcPr>
                <w:p w14:paraId="4389E9EC">
                  <w:pPr>
                    <w:pStyle w:val="209"/>
                    <w:rPr>
                      <w:rFonts w:ascii="仿宋" w:hAnsi="仿宋" w:eastAsia="仿宋" w:cs="仿宋"/>
                      <w:color w:val="auto"/>
                      <w:highlight w:val="none"/>
                    </w:rPr>
                  </w:pPr>
                  <w:r>
                    <w:rPr>
                      <w:rFonts w:hint="eastAsia" w:ascii="仿宋" w:hAnsi="仿宋" w:eastAsia="仿宋" w:cs="仿宋"/>
                      <w:color w:val="auto"/>
                      <w:highlight w:val="none"/>
                    </w:rPr>
                    <w:t>提供设置服务器硬件、辅助操作系统安装等功能的辅助工具和管理软件。且随附软件应具有合法授权或版权</w:t>
                  </w:r>
                </w:p>
              </w:tc>
            </w:tr>
            <w:tr w14:paraId="1ECABF84">
              <w:tblPrEx>
                <w:tblCellMar>
                  <w:top w:w="0" w:type="dxa"/>
                  <w:left w:w="108" w:type="dxa"/>
                  <w:bottom w:w="0" w:type="dxa"/>
                  <w:right w:w="108" w:type="dxa"/>
                </w:tblCellMar>
              </w:tblPrEx>
              <w:trPr>
                <w:trHeight w:val="948" w:hRule="atLeast"/>
                <w:jc w:val="center"/>
              </w:trPr>
              <w:tc>
                <w:tcPr>
                  <w:tcW w:w="865" w:type="dxa"/>
                  <w:tcBorders>
                    <w:top w:val="nil"/>
                    <w:left w:val="single" w:color="auto" w:sz="8" w:space="0"/>
                    <w:bottom w:val="single" w:color="auto" w:sz="8" w:space="0"/>
                    <w:right w:val="single" w:color="auto" w:sz="8" w:space="0"/>
                  </w:tcBorders>
                  <w:vAlign w:val="center"/>
                </w:tcPr>
                <w:p w14:paraId="1A25D667">
                  <w:pPr>
                    <w:pStyle w:val="209"/>
                    <w:rPr>
                      <w:rFonts w:ascii="仿宋" w:hAnsi="仿宋" w:eastAsia="仿宋" w:cs="仿宋"/>
                      <w:color w:val="auto"/>
                      <w:highlight w:val="none"/>
                    </w:rPr>
                  </w:pPr>
                  <w:r>
                    <w:rPr>
                      <w:rFonts w:hint="eastAsia" w:ascii="仿宋" w:hAnsi="仿宋" w:eastAsia="仿宋" w:cs="仿宋"/>
                      <w:color w:val="auto"/>
                      <w:highlight w:val="none"/>
                    </w:rPr>
                    <w:t>68</w:t>
                  </w:r>
                </w:p>
              </w:tc>
              <w:tc>
                <w:tcPr>
                  <w:tcW w:w="1247" w:type="dxa"/>
                  <w:vMerge w:val="continue"/>
                  <w:tcBorders>
                    <w:top w:val="nil"/>
                    <w:left w:val="single" w:color="auto" w:sz="8" w:space="0"/>
                    <w:bottom w:val="single" w:color="000000" w:sz="8" w:space="0"/>
                    <w:right w:val="single" w:color="auto" w:sz="8" w:space="0"/>
                  </w:tcBorders>
                  <w:vAlign w:val="center"/>
                </w:tcPr>
                <w:p w14:paraId="49C9825A">
                  <w:pPr>
                    <w:rPr>
                      <w:highlight w:val="none"/>
                    </w:rPr>
                  </w:pPr>
                </w:p>
              </w:tc>
              <w:tc>
                <w:tcPr>
                  <w:tcW w:w="1264" w:type="dxa"/>
                  <w:tcBorders>
                    <w:top w:val="nil"/>
                    <w:left w:val="nil"/>
                    <w:bottom w:val="single" w:color="auto" w:sz="8" w:space="0"/>
                    <w:right w:val="single" w:color="auto" w:sz="8" w:space="0"/>
                  </w:tcBorders>
                  <w:vAlign w:val="center"/>
                </w:tcPr>
                <w:p w14:paraId="1FE1E7FD">
                  <w:pPr>
                    <w:pStyle w:val="209"/>
                    <w:rPr>
                      <w:rFonts w:ascii="仿宋" w:hAnsi="仿宋" w:eastAsia="仿宋" w:cs="仿宋"/>
                      <w:color w:val="auto"/>
                      <w:highlight w:val="none"/>
                    </w:rPr>
                  </w:pPr>
                  <w:r>
                    <w:rPr>
                      <w:rFonts w:hint="eastAsia" w:ascii="仿宋" w:hAnsi="仿宋" w:eastAsia="仿宋" w:cs="仿宋"/>
                      <w:color w:val="auto"/>
                      <w:highlight w:val="none"/>
                    </w:rPr>
                    <w:t>▲驱动安装升级指引</w:t>
                  </w:r>
                </w:p>
              </w:tc>
              <w:tc>
                <w:tcPr>
                  <w:tcW w:w="4443" w:type="dxa"/>
                  <w:tcBorders>
                    <w:top w:val="nil"/>
                    <w:left w:val="nil"/>
                    <w:bottom w:val="single" w:color="auto" w:sz="8" w:space="0"/>
                    <w:right w:val="single" w:color="auto" w:sz="8" w:space="0"/>
                  </w:tcBorders>
                  <w:vAlign w:val="center"/>
                </w:tcPr>
                <w:p w14:paraId="13B56840">
                  <w:pPr>
                    <w:pStyle w:val="209"/>
                    <w:rPr>
                      <w:rFonts w:ascii="仿宋" w:hAnsi="仿宋" w:eastAsia="仿宋" w:cs="仿宋"/>
                      <w:color w:val="auto"/>
                      <w:highlight w:val="none"/>
                    </w:rPr>
                  </w:pPr>
                  <w:r>
                    <w:rPr>
                      <w:rFonts w:hint="eastAsia" w:ascii="仿宋" w:hAnsi="仿宋" w:eastAsia="仿宋" w:cs="仿宋"/>
                      <w:color w:val="auto"/>
                      <w:highlight w:val="none"/>
                    </w:rPr>
                    <w:t>提供出厂安装的配件所需的驱动程序，形式包括但不限于驱动光盘、驱动下载链接等。其他配件应提供指引</w:t>
                  </w:r>
                </w:p>
              </w:tc>
            </w:tr>
            <w:tr w14:paraId="4BF618E6">
              <w:tblPrEx>
                <w:tblCellMar>
                  <w:top w:w="0" w:type="dxa"/>
                  <w:left w:w="108" w:type="dxa"/>
                  <w:bottom w:w="0" w:type="dxa"/>
                  <w:right w:w="108" w:type="dxa"/>
                </w:tblCellMar>
              </w:tblPrEx>
              <w:trPr>
                <w:trHeight w:val="948" w:hRule="atLeast"/>
                <w:jc w:val="center"/>
              </w:trPr>
              <w:tc>
                <w:tcPr>
                  <w:tcW w:w="865" w:type="dxa"/>
                  <w:tcBorders>
                    <w:top w:val="nil"/>
                    <w:left w:val="single" w:color="auto" w:sz="8" w:space="0"/>
                    <w:bottom w:val="single" w:color="auto" w:sz="8" w:space="0"/>
                    <w:right w:val="single" w:color="auto" w:sz="8" w:space="0"/>
                  </w:tcBorders>
                  <w:vAlign w:val="center"/>
                </w:tcPr>
                <w:p w14:paraId="749BCAE8">
                  <w:pPr>
                    <w:pStyle w:val="209"/>
                    <w:rPr>
                      <w:rFonts w:ascii="仿宋" w:hAnsi="仿宋" w:eastAsia="仿宋" w:cs="仿宋"/>
                      <w:color w:val="auto"/>
                      <w:highlight w:val="none"/>
                    </w:rPr>
                  </w:pPr>
                  <w:r>
                    <w:rPr>
                      <w:rFonts w:hint="eastAsia" w:ascii="仿宋" w:hAnsi="仿宋" w:eastAsia="仿宋" w:cs="仿宋"/>
                      <w:color w:val="auto"/>
                      <w:highlight w:val="none"/>
                    </w:rPr>
                    <w:t>69</w:t>
                  </w:r>
                </w:p>
              </w:tc>
              <w:tc>
                <w:tcPr>
                  <w:tcW w:w="1247" w:type="dxa"/>
                  <w:vMerge w:val="continue"/>
                  <w:tcBorders>
                    <w:top w:val="nil"/>
                    <w:left w:val="single" w:color="auto" w:sz="8" w:space="0"/>
                    <w:bottom w:val="single" w:color="000000" w:sz="8" w:space="0"/>
                    <w:right w:val="single" w:color="auto" w:sz="8" w:space="0"/>
                  </w:tcBorders>
                  <w:vAlign w:val="center"/>
                </w:tcPr>
                <w:p w14:paraId="3598598F">
                  <w:pPr>
                    <w:rPr>
                      <w:highlight w:val="none"/>
                    </w:rPr>
                  </w:pPr>
                </w:p>
              </w:tc>
              <w:tc>
                <w:tcPr>
                  <w:tcW w:w="1264" w:type="dxa"/>
                  <w:tcBorders>
                    <w:top w:val="nil"/>
                    <w:left w:val="nil"/>
                    <w:bottom w:val="single" w:color="auto" w:sz="8" w:space="0"/>
                    <w:right w:val="single" w:color="auto" w:sz="8" w:space="0"/>
                  </w:tcBorders>
                  <w:vAlign w:val="center"/>
                </w:tcPr>
                <w:p w14:paraId="5C72F6EB">
                  <w:pPr>
                    <w:pStyle w:val="209"/>
                    <w:rPr>
                      <w:rFonts w:ascii="仿宋" w:hAnsi="仿宋" w:eastAsia="仿宋" w:cs="仿宋"/>
                      <w:color w:val="auto"/>
                      <w:highlight w:val="none"/>
                    </w:rPr>
                  </w:pPr>
                  <w:r>
                    <w:rPr>
                      <w:rFonts w:hint="eastAsia" w:ascii="仿宋" w:hAnsi="仿宋" w:eastAsia="仿宋" w:cs="仿宋"/>
                      <w:color w:val="auto"/>
                      <w:highlight w:val="none"/>
                    </w:rPr>
                    <w:t>▲管理软件</w:t>
                  </w:r>
                </w:p>
              </w:tc>
              <w:tc>
                <w:tcPr>
                  <w:tcW w:w="4443" w:type="dxa"/>
                  <w:tcBorders>
                    <w:top w:val="nil"/>
                    <w:left w:val="nil"/>
                    <w:bottom w:val="single" w:color="auto" w:sz="8" w:space="0"/>
                    <w:right w:val="single" w:color="auto" w:sz="8" w:space="0"/>
                  </w:tcBorders>
                  <w:vAlign w:val="center"/>
                </w:tcPr>
                <w:p w14:paraId="288CE0BA">
                  <w:pPr>
                    <w:pStyle w:val="209"/>
                    <w:rPr>
                      <w:rFonts w:ascii="仿宋" w:hAnsi="仿宋" w:eastAsia="仿宋" w:cs="仿宋"/>
                      <w:color w:val="auto"/>
                      <w:highlight w:val="none"/>
                    </w:rPr>
                  </w:pPr>
                  <w:r>
                    <w:rPr>
                      <w:rFonts w:hint="eastAsia" w:ascii="仿宋" w:hAnsi="仿宋" w:eastAsia="仿宋" w:cs="仿宋"/>
                      <w:color w:val="auto"/>
                      <w:highlight w:val="none"/>
                    </w:rPr>
                    <w:t>具备资源管理、系统管理、性能监控、健康监控、基于网络控制、报警设置功能</w:t>
                  </w:r>
                </w:p>
              </w:tc>
            </w:tr>
            <w:tr w14:paraId="252CD4B5">
              <w:tblPrEx>
                <w:tblCellMar>
                  <w:top w:w="0" w:type="dxa"/>
                  <w:left w:w="108" w:type="dxa"/>
                  <w:bottom w:w="0" w:type="dxa"/>
                  <w:right w:w="108" w:type="dxa"/>
                </w:tblCellMar>
              </w:tblPrEx>
              <w:trPr>
                <w:trHeight w:val="948" w:hRule="atLeast"/>
                <w:jc w:val="center"/>
              </w:trPr>
              <w:tc>
                <w:tcPr>
                  <w:tcW w:w="865" w:type="dxa"/>
                  <w:tcBorders>
                    <w:top w:val="nil"/>
                    <w:left w:val="single" w:color="auto" w:sz="8" w:space="0"/>
                    <w:bottom w:val="single" w:color="auto" w:sz="8" w:space="0"/>
                    <w:right w:val="single" w:color="auto" w:sz="8" w:space="0"/>
                  </w:tcBorders>
                  <w:vAlign w:val="center"/>
                </w:tcPr>
                <w:p w14:paraId="436F2A69">
                  <w:pPr>
                    <w:pStyle w:val="209"/>
                    <w:rPr>
                      <w:rFonts w:ascii="仿宋" w:hAnsi="仿宋" w:eastAsia="仿宋" w:cs="仿宋"/>
                      <w:color w:val="auto"/>
                      <w:highlight w:val="none"/>
                    </w:rPr>
                  </w:pPr>
                  <w:r>
                    <w:rPr>
                      <w:rFonts w:hint="eastAsia" w:ascii="仿宋" w:hAnsi="仿宋" w:eastAsia="仿宋" w:cs="仿宋"/>
                      <w:color w:val="auto"/>
                      <w:highlight w:val="none"/>
                    </w:rPr>
                    <w:t>70</w:t>
                  </w:r>
                </w:p>
              </w:tc>
              <w:tc>
                <w:tcPr>
                  <w:tcW w:w="1247" w:type="dxa"/>
                  <w:vMerge w:val="restart"/>
                  <w:tcBorders>
                    <w:top w:val="nil"/>
                    <w:left w:val="single" w:color="auto" w:sz="8" w:space="0"/>
                    <w:bottom w:val="single" w:color="000000" w:sz="8" w:space="0"/>
                    <w:right w:val="single" w:color="auto" w:sz="8" w:space="0"/>
                  </w:tcBorders>
                  <w:vAlign w:val="center"/>
                </w:tcPr>
                <w:p w14:paraId="66AD2879">
                  <w:pPr>
                    <w:pStyle w:val="209"/>
                    <w:rPr>
                      <w:rFonts w:ascii="仿宋" w:hAnsi="仿宋" w:eastAsia="仿宋" w:cs="仿宋"/>
                      <w:color w:val="auto"/>
                      <w:highlight w:val="none"/>
                    </w:rPr>
                  </w:pPr>
                  <w:r>
                    <w:rPr>
                      <w:rFonts w:hint="eastAsia" w:ascii="仿宋" w:hAnsi="仿宋" w:eastAsia="仿宋" w:cs="仿宋"/>
                      <w:color w:val="auto"/>
                      <w:highlight w:val="none"/>
                    </w:rPr>
                    <w:t>▲增值服务</w:t>
                  </w:r>
                </w:p>
              </w:tc>
              <w:tc>
                <w:tcPr>
                  <w:tcW w:w="1264" w:type="dxa"/>
                  <w:tcBorders>
                    <w:top w:val="nil"/>
                    <w:left w:val="nil"/>
                    <w:bottom w:val="single" w:color="auto" w:sz="8" w:space="0"/>
                    <w:right w:val="single" w:color="auto" w:sz="8" w:space="0"/>
                  </w:tcBorders>
                  <w:vAlign w:val="center"/>
                </w:tcPr>
                <w:p w14:paraId="72BDD06A">
                  <w:pPr>
                    <w:pStyle w:val="209"/>
                    <w:rPr>
                      <w:rFonts w:ascii="仿宋" w:hAnsi="仿宋" w:eastAsia="仿宋" w:cs="仿宋"/>
                      <w:color w:val="auto"/>
                      <w:highlight w:val="none"/>
                    </w:rPr>
                  </w:pPr>
                  <w:r>
                    <w:rPr>
                      <w:rFonts w:hint="eastAsia" w:ascii="仿宋" w:hAnsi="仿宋" w:eastAsia="仿宋" w:cs="仿宋"/>
                      <w:color w:val="auto"/>
                      <w:highlight w:val="none"/>
                    </w:rPr>
                    <w:t>▲厂家升级产品软件与扩容服务</w:t>
                  </w:r>
                </w:p>
              </w:tc>
              <w:tc>
                <w:tcPr>
                  <w:tcW w:w="4443" w:type="dxa"/>
                  <w:tcBorders>
                    <w:top w:val="nil"/>
                    <w:left w:val="nil"/>
                    <w:bottom w:val="single" w:color="auto" w:sz="8" w:space="0"/>
                    <w:right w:val="single" w:color="auto" w:sz="8" w:space="0"/>
                  </w:tcBorders>
                  <w:vAlign w:val="center"/>
                </w:tcPr>
                <w:p w14:paraId="535CE2ED">
                  <w:pPr>
                    <w:pStyle w:val="209"/>
                    <w:rPr>
                      <w:rFonts w:ascii="仿宋" w:hAnsi="仿宋" w:eastAsia="仿宋" w:cs="仿宋"/>
                      <w:color w:val="auto"/>
                      <w:highlight w:val="none"/>
                    </w:rPr>
                  </w:pPr>
                  <w:r>
                    <w:rPr>
                      <w:rFonts w:hint="eastAsia" w:ascii="仿宋" w:hAnsi="仿宋" w:eastAsia="仿宋" w:cs="仿宋"/>
                      <w:color w:val="auto"/>
                      <w:highlight w:val="none"/>
                    </w:rPr>
                    <w:t>提供原厂级的部件/软件产品升级和扩容能力</w:t>
                  </w:r>
                </w:p>
              </w:tc>
            </w:tr>
            <w:tr w14:paraId="4CDAE743">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4967050A">
                  <w:pPr>
                    <w:pStyle w:val="209"/>
                    <w:rPr>
                      <w:rFonts w:ascii="仿宋" w:hAnsi="仿宋" w:eastAsia="仿宋" w:cs="仿宋"/>
                      <w:color w:val="auto"/>
                      <w:highlight w:val="none"/>
                    </w:rPr>
                  </w:pPr>
                  <w:r>
                    <w:rPr>
                      <w:rFonts w:hint="eastAsia" w:ascii="仿宋" w:hAnsi="仿宋" w:eastAsia="仿宋" w:cs="仿宋"/>
                      <w:color w:val="auto"/>
                      <w:highlight w:val="none"/>
                    </w:rPr>
                    <w:t>71</w:t>
                  </w:r>
                </w:p>
              </w:tc>
              <w:tc>
                <w:tcPr>
                  <w:tcW w:w="1247" w:type="dxa"/>
                  <w:vMerge w:val="continue"/>
                  <w:tcBorders>
                    <w:top w:val="nil"/>
                    <w:left w:val="single" w:color="auto" w:sz="8" w:space="0"/>
                    <w:bottom w:val="single" w:color="000000" w:sz="8" w:space="0"/>
                    <w:right w:val="single" w:color="auto" w:sz="8" w:space="0"/>
                  </w:tcBorders>
                  <w:vAlign w:val="center"/>
                </w:tcPr>
                <w:p w14:paraId="73290F82">
                  <w:pPr>
                    <w:rPr>
                      <w:highlight w:val="none"/>
                    </w:rPr>
                  </w:pPr>
                </w:p>
              </w:tc>
              <w:tc>
                <w:tcPr>
                  <w:tcW w:w="1264" w:type="dxa"/>
                  <w:tcBorders>
                    <w:top w:val="nil"/>
                    <w:left w:val="nil"/>
                    <w:bottom w:val="single" w:color="auto" w:sz="8" w:space="0"/>
                    <w:right w:val="single" w:color="auto" w:sz="8" w:space="0"/>
                  </w:tcBorders>
                  <w:vAlign w:val="center"/>
                </w:tcPr>
                <w:p w14:paraId="269D1147">
                  <w:pPr>
                    <w:pStyle w:val="209"/>
                    <w:rPr>
                      <w:rFonts w:ascii="仿宋" w:hAnsi="仿宋" w:eastAsia="仿宋" w:cs="仿宋"/>
                      <w:color w:val="auto"/>
                      <w:highlight w:val="none"/>
                    </w:rPr>
                  </w:pPr>
                  <w:r>
                    <w:rPr>
                      <w:rFonts w:hint="eastAsia" w:ascii="仿宋" w:hAnsi="仿宋" w:eastAsia="仿宋" w:cs="仿宋"/>
                      <w:color w:val="auto"/>
                      <w:highlight w:val="none"/>
                    </w:rPr>
                    <w:t>▲提供上门服务</w:t>
                  </w:r>
                </w:p>
              </w:tc>
              <w:tc>
                <w:tcPr>
                  <w:tcW w:w="4443" w:type="dxa"/>
                  <w:tcBorders>
                    <w:top w:val="nil"/>
                    <w:left w:val="nil"/>
                    <w:bottom w:val="single" w:color="auto" w:sz="8" w:space="0"/>
                    <w:right w:val="single" w:color="auto" w:sz="8" w:space="0"/>
                  </w:tcBorders>
                  <w:vAlign w:val="center"/>
                </w:tcPr>
                <w:p w14:paraId="2B83FC56">
                  <w:pPr>
                    <w:pStyle w:val="209"/>
                    <w:rPr>
                      <w:rFonts w:ascii="仿宋" w:hAnsi="仿宋" w:eastAsia="仿宋" w:cs="仿宋"/>
                      <w:color w:val="auto"/>
                      <w:highlight w:val="none"/>
                    </w:rPr>
                  </w:pPr>
                  <w:r>
                    <w:rPr>
                      <w:rFonts w:hint="eastAsia" w:ascii="仿宋" w:hAnsi="仿宋" w:eastAsia="仿宋" w:cs="仿宋"/>
                      <w:color w:val="auto"/>
                      <w:highlight w:val="none"/>
                    </w:rPr>
                    <w:t>投标人具备提供上门服务的能力(可收费)</w:t>
                  </w:r>
                </w:p>
              </w:tc>
            </w:tr>
            <w:tr w14:paraId="4071E39C">
              <w:tblPrEx>
                <w:tblCellMar>
                  <w:top w:w="0" w:type="dxa"/>
                  <w:left w:w="108" w:type="dxa"/>
                  <w:bottom w:w="0" w:type="dxa"/>
                  <w:right w:w="108" w:type="dxa"/>
                </w:tblCellMar>
              </w:tblPrEx>
              <w:trPr>
                <w:trHeight w:val="1260" w:hRule="atLeast"/>
                <w:jc w:val="center"/>
              </w:trPr>
              <w:tc>
                <w:tcPr>
                  <w:tcW w:w="865" w:type="dxa"/>
                  <w:tcBorders>
                    <w:top w:val="nil"/>
                    <w:left w:val="single" w:color="auto" w:sz="8" w:space="0"/>
                    <w:bottom w:val="single" w:color="auto" w:sz="8" w:space="0"/>
                    <w:right w:val="single" w:color="auto" w:sz="8" w:space="0"/>
                  </w:tcBorders>
                  <w:vAlign w:val="center"/>
                </w:tcPr>
                <w:p w14:paraId="090F2972">
                  <w:pPr>
                    <w:pStyle w:val="209"/>
                    <w:rPr>
                      <w:rFonts w:ascii="仿宋" w:hAnsi="仿宋" w:eastAsia="仿宋" w:cs="仿宋"/>
                      <w:color w:val="auto"/>
                      <w:highlight w:val="none"/>
                    </w:rPr>
                  </w:pPr>
                  <w:r>
                    <w:rPr>
                      <w:rFonts w:hint="eastAsia" w:ascii="仿宋" w:hAnsi="仿宋" w:eastAsia="仿宋" w:cs="仿宋"/>
                      <w:color w:val="auto"/>
                      <w:highlight w:val="none"/>
                    </w:rPr>
                    <w:t>72</w:t>
                  </w:r>
                </w:p>
              </w:tc>
              <w:tc>
                <w:tcPr>
                  <w:tcW w:w="1247" w:type="dxa"/>
                  <w:vMerge w:val="restart"/>
                  <w:tcBorders>
                    <w:top w:val="nil"/>
                    <w:left w:val="single" w:color="auto" w:sz="8" w:space="0"/>
                    <w:bottom w:val="single" w:color="000000" w:sz="8" w:space="0"/>
                    <w:right w:val="single" w:color="auto" w:sz="8" w:space="0"/>
                  </w:tcBorders>
                  <w:vAlign w:val="center"/>
                </w:tcPr>
                <w:p w14:paraId="592B4CE4">
                  <w:pPr>
                    <w:pStyle w:val="209"/>
                    <w:rPr>
                      <w:rFonts w:ascii="仿宋" w:hAnsi="仿宋" w:eastAsia="仿宋" w:cs="仿宋"/>
                      <w:color w:val="auto"/>
                      <w:highlight w:val="none"/>
                    </w:rPr>
                  </w:pPr>
                  <w:r>
                    <w:rPr>
                      <w:rFonts w:hint="eastAsia" w:ascii="仿宋" w:hAnsi="仿宋" w:eastAsia="仿宋" w:cs="仿宋"/>
                      <w:color w:val="auto"/>
                      <w:highlight w:val="none"/>
                    </w:rPr>
                    <w:t>▲供应链质量</w:t>
                  </w:r>
                </w:p>
              </w:tc>
              <w:tc>
                <w:tcPr>
                  <w:tcW w:w="1264" w:type="dxa"/>
                  <w:tcBorders>
                    <w:top w:val="nil"/>
                    <w:left w:val="nil"/>
                    <w:bottom w:val="single" w:color="auto" w:sz="8" w:space="0"/>
                    <w:right w:val="single" w:color="auto" w:sz="8" w:space="0"/>
                  </w:tcBorders>
                  <w:vAlign w:val="center"/>
                </w:tcPr>
                <w:p w14:paraId="509116F3">
                  <w:pPr>
                    <w:pStyle w:val="209"/>
                    <w:rPr>
                      <w:rFonts w:ascii="仿宋" w:hAnsi="仿宋" w:eastAsia="仿宋" w:cs="仿宋"/>
                      <w:color w:val="auto"/>
                      <w:highlight w:val="none"/>
                    </w:rPr>
                  </w:pPr>
                  <w:r>
                    <w:rPr>
                      <w:rFonts w:hint="eastAsia" w:ascii="仿宋" w:hAnsi="仿宋" w:eastAsia="仿宋" w:cs="仿宋"/>
                      <w:color w:val="auto"/>
                      <w:highlight w:val="none"/>
                    </w:rPr>
                    <w:t>▲抗干扰性</w:t>
                  </w:r>
                </w:p>
              </w:tc>
              <w:tc>
                <w:tcPr>
                  <w:tcW w:w="4443" w:type="dxa"/>
                  <w:tcBorders>
                    <w:top w:val="nil"/>
                    <w:left w:val="nil"/>
                    <w:bottom w:val="single" w:color="auto" w:sz="8" w:space="0"/>
                    <w:right w:val="single" w:color="auto" w:sz="8" w:space="0"/>
                  </w:tcBorders>
                  <w:vAlign w:val="center"/>
                </w:tcPr>
                <w:p w14:paraId="766512DD">
                  <w:pPr>
                    <w:pStyle w:val="209"/>
                    <w:rPr>
                      <w:rFonts w:ascii="仿宋" w:hAnsi="仿宋" w:eastAsia="仿宋" w:cs="仿宋"/>
                      <w:color w:val="auto"/>
                      <w:highlight w:val="none"/>
                    </w:rPr>
                  </w:pPr>
                  <w:r>
                    <w:rPr>
                      <w:rFonts w:hint="eastAsia" w:ascii="仿宋" w:hAnsi="仿宋" w:eastAsia="仿宋" w:cs="仿宋"/>
                      <w:color w:val="auto"/>
                      <w:highlight w:val="none"/>
                    </w:rPr>
                    <w:t>当产品部件出现供应风险时，应通知客户并提供风险应对方案确保产品的服务保障，必要时应停止相关受影响产品的销售</w:t>
                  </w:r>
                </w:p>
              </w:tc>
            </w:tr>
            <w:tr w14:paraId="4833D7D3">
              <w:tblPrEx>
                <w:tblCellMar>
                  <w:top w:w="0" w:type="dxa"/>
                  <w:left w:w="108" w:type="dxa"/>
                  <w:bottom w:w="0" w:type="dxa"/>
                  <w:right w:w="108" w:type="dxa"/>
                </w:tblCellMar>
              </w:tblPrEx>
              <w:trPr>
                <w:trHeight w:val="636" w:hRule="atLeast"/>
                <w:jc w:val="center"/>
              </w:trPr>
              <w:tc>
                <w:tcPr>
                  <w:tcW w:w="865" w:type="dxa"/>
                  <w:tcBorders>
                    <w:top w:val="nil"/>
                    <w:left w:val="single" w:color="auto" w:sz="8" w:space="0"/>
                    <w:bottom w:val="single" w:color="auto" w:sz="8" w:space="0"/>
                    <w:right w:val="single" w:color="auto" w:sz="8" w:space="0"/>
                  </w:tcBorders>
                  <w:vAlign w:val="center"/>
                </w:tcPr>
                <w:p w14:paraId="6C8454DA">
                  <w:pPr>
                    <w:pStyle w:val="209"/>
                    <w:rPr>
                      <w:rFonts w:ascii="仿宋" w:hAnsi="仿宋" w:eastAsia="仿宋" w:cs="仿宋"/>
                      <w:color w:val="auto"/>
                      <w:highlight w:val="none"/>
                    </w:rPr>
                  </w:pPr>
                  <w:r>
                    <w:rPr>
                      <w:rFonts w:hint="eastAsia" w:ascii="仿宋" w:hAnsi="仿宋" w:eastAsia="仿宋" w:cs="仿宋"/>
                      <w:color w:val="auto"/>
                      <w:highlight w:val="none"/>
                    </w:rPr>
                    <w:t>73</w:t>
                  </w:r>
                </w:p>
              </w:tc>
              <w:tc>
                <w:tcPr>
                  <w:tcW w:w="1247" w:type="dxa"/>
                  <w:vMerge w:val="continue"/>
                  <w:tcBorders>
                    <w:top w:val="nil"/>
                    <w:left w:val="single" w:color="auto" w:sz="8" w:space="0"/>
                    <w:bottom w:val="single" w:color="000000" w:sz="8" w:space="0"/>
                    <w:right w:val="single" w:color="auto" w:sz="8" w:space="0"/>
                  </w:tcBorders>
                  <w:vAlign w:val="center"/>
                </w:tcPr>
                <w:p w14:paraId="2452754A">
                  <w:pPr>
                    <w:rPr>
                      <w:highlight w:val="none"/>
                    </w:rPr>
                  </w:pPr>
                </w:p>
              </w:tc>
              <w:tc>
                <w:tcPr>
                  <w:tcW w:w="1264" w:type="dxa"/>
                  <w:tcBorders>
                    <w:top w:val="nil"/>
                    <w:left w:val="nil"/>
                    <w:bottom w:val="single" w:color="auto" w:sz="8" w:space="0"/>
                    <w:right w:val="single" w:color="auto" w:sz="8" w:space="0"/>
                  </w:tcBorders>
                  <w:vAlign w:val="center"/>
                </w:tcPr>
                <w:p w14:paraId="77BCA146">
                  <w:pPr>
                    <w:pStyle w:val="209"/>
                    <w:rPr>
                      <w:rFonts w:ascii="仿宋" w:hAnsi="仿宋" w:eastAsia="仿宋" w:cs="仿宋"/>
                      <w:color w:val="auto"/>
                      <w:highlight w:val="none"/>
                    </w:rPr>
                  </w:pPr>
                  <w:r>
                    <w:rPr>
                      <w:rFonts w:hint="eastAsia" w:ascii="仿宋" w:hAnsi="仿宋" w:eastAsia="仿宋" w:cs="仿宋"/>
                      <w:color w:val="auto"/>
                      <w:highlight w:val="none"/>
                    </w:rPr>
                    <w:t>▲供应能力证明</w:t>
                  </w:r>
                </w:p>
              </w:tc>
              <w:tc>
                <w:tcPr>
                  <w:tcW w:w="4443" w:type="dxa"/>
                  <w:tcBorders>
                    <w:top w:val="nil"/>
                    <w:left w:val="nil"/>
                    <w:bottom w:val="single" w:color="auto" w:sz="8" w:space="0"/>
                    <w:right w:val="single" w:color="auto" w:sz="8" w:space="0"/>
                  </w:tcBorders>
                  <w:vAlign w:val="center"/>
                </w:tcPr>
                <w:p w14:paraId="3AA128B3">
                  <w:pPr>
                    <w:pStyle w:val="209"/>
                    <w:rPr>
                      <w:rFonts w:ascii="仿宋" w:hAnsi="仿宋" w:eastAsia="仿宋" w:cs="仿宋"/>
                      <w:color w:val="auto"/>
                      <w:highlight w:val="none"/>
                    </w:rPr>
                  </w:pPr>
                  <w:r>
                    <w:rPr>
                      <w:rFonts w:hint="eastAsia" w:ascii="仿宋" w:hAnsi="仿宋" w:eastAsia="仿宋" w:cs="仿宋"/>
                      <w:color w:val="auto"/>
                      <w:highlight w:val="none"/>
                    </w:rPr>
                    <w:t>投标人需出具承诺书，承诺供应链稳定，确保产品的部件在项目租赁期内稳定供货</w:t>
                  </w:r>
                </w:p>
              </w:tc>
            </w:tr>
          </w:tbl>
          <w:p w14:paraId="614DF613">
            <w:pPr>
              <w:spacing w:line="360" w:lineRule="auto"/>
              <w:ind w:firstLine="241" w:firstLineChars="100"/>
              <w:rPr>
                <w:rFonts w:ascii="仿宋" w:hAnsi="仿宋" w:eastAsia="仿宋" w:cs="仿宋"/>
                <w:b/>
                <w:kern w:val="0"/>
                <w:sz w:val="24"/>
                <w:highlight w:val="none"/>
                <w:lang w:bidi="zh-CN"/>
              </w:rPr>
            </w:pPr>
            <w:r>
              <w:rPr>
                <w:rFonts w:hint="eastAsia" w:ascii="仿宋" w:hAnsi="仿宋" w:eastAsia="仿宋" w:cs="仿宋"/>
                <w:b/>
                <w:kern w:val="0"/>
                <w:sz w:val="24"/>
                <w:highlight w:val="none"/>
                <w:lang w:bidi="zh-CN"/>
              </w:rPr>
              <w:t>三、安全要求</w:t>
            </w:r>
          </w:p>
          <w:p w14:paraId="1972F00C">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项目系统需通过第三方测评（软件部分）；通过网络安全等级保护三级；根据商用密码应用安全管理要求，完成测评。投标人需做好相关检测和测评的配合工作，如因投标人原因未符合要求的，需负责整改到位。</w:t>
            </w:r>
          </w:p>
          <w:p w14:paraId="5059FDE7">
            <w:pPr>
              <w:spacing w:line="360" w:lineRule="auto"/>
              <w:ind w:firstLine="480" w:firstLineChars="200"/>
              <w:jc w:val="left"/>
              <w:rPr>
                <w:rFonts w:ascii="仿宋" w:hAnsi="仿宋" w:eastAsia="仿宋" w:cs="仿宋"/>
                <w:b/>
                <w:kern w:val="0"/>
                <w:sz w:val="24"/>
                <w:highlight w:val="none"/>
                <w:lang w:bidi="zh-CN"/>
              </w:rPr>
            </w:pPr>
            <w:bookmarkStart w:id="29" w:name="_Hlk169083966"/>
            <w:r>
              <w:rPr>
                <w:rFonts w:hint="eastAsia" w:ascii="仿宋" w:hAnsi="仿宋" w:eastAsia="仿宋" w:cs="仿宋"/>
                <w:sz w:val="24"/>
                <w:highlight w:val="none"/>
              </w:rPr>
              <w:t>对于本项目中的“便携式视音频证据管理系统”，需根据信创要求，完成信创测评，如因投标人原因未符合要求的，需负责整改到位。</w:t>
            </w:r>
            <w:bookmarkEnd w:id="29"/>
          </w:p>
          <w:p w14:paraId="2C9B0658">
            <w:pPr>
              <w:spacing w:line="360" w:lineRule="auto"/>
              <w:ind w:firstLine="480" w:firstLineChars="200"/>
              <w:jc w:val="left"/>
              <w:rPr>
                <w:rFonts w:ascii="仿宋" w:hAnsi="仿宋" w:eastAsia="仿宋" w:cs="仿宋"/>
                <w:b w:val="0"/>
                <w:kern w:val="2"/>
                <w:sz w:val="24"/>
                <w:highlight w:val="none"/>
                <w:lang w:bidi="zh-CN"/>
              </w:rPr>
            </w:pPr>
            <w:r>
              <w:rPr>
                <w:rFonts w:hint="eastAsia" w:ascii="仿宋" w:hAnsi="仿宋" w:eastAsia="仿宋" w:cs="仿宋"/>
                <w:sz w:val="24"/>
                <w:highlight w:val="none"/>
              </w:rPr>
              <w:t>投标人需在项目服务期结束前完成第三方测评、网络安全等级保护三级、密码测评、信创测评的工作。</w:t>
            </w:r>
          </w:p>
          <w:p w14:paraId="7926BD15">
            <w:pPr>
              <w:spacing w:line="360" w:lineRule="auto"/>
              <w:ind w:firstLine="241" w:firstLineChars="100"/>
              <w:rPr>
                <w:rFonts w:ascii="仿宋" w:hAnsi="仿宋" w:eastAsia="仿宋" w:cs="仿宋"/>
                <w:b/>
                <w:kern w:val="0"/>
                <w:sz w:val="24"/>
                <w:highlight w:val="none"/>
                <w:lang w:bidi="zh-CN"/>
              </w:rPr>
            </w:pPr>
            <w:r>
              <w:rPr>
                <w:rFonts w:hint="eastAsia" w:ascii="仿宋" w:hAnsi="仿宋" w:eastAsia="仿宋" w:cs="仿宋"/>
                <w:b/>
                <w:kern w:val="0"/>
                <w:sz w:val="24"/>
                <w:highlight w:val="none"/>
                <w:lang w:bidi="zh-CN"/>
              </w:rPr>
              <w:t>四、</w:t>
            </w:r>
            <w:r>
              <w:rPr>
                <w:rFonts w:hint="eastAsia" w:ascii="仿宋" w:hAnsi="仿宋" w:eastAsia="仿宋" w:cs="仿宋"/>
                <w:b/>
                <w:bCs/>
                <w:kern w:val="0"/>
                <w:sz w:val="24"/>
                <w:highlight w:val="none"/>
                <w:lang w:bidi="zh-CN"/>
              </w:rPr>
              <w:t>服务要求</w:t>
            </w:r>
          </w:p>
          <w:p w14:paraId="484AE2C7">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1、人员要求</w:t>
            </w:r>
          </w:p>
          <w:p w14:paraId="7C967C25">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（1）配备数量</w:t>
            </w:r>
          </w:p>
          <w:p w14:paraId="62B4361C">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按照实际工作需要，配备1名项目负责人以及1名驻点人员，为本项目提供技术支持及服务。</w:t>
            </w:r>
          </w:p>
          <w:p w14:paraId="1AED6186">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（2）人员配备标准及要求</w:t>
            </w:r>
          </w:p>
          <w:p w14:paraId="6D2B0909">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1）项目负责人及驻点人员配备标准：年龄55周岁（含）以下，且均具有大专及以上学历(提供学历证书)，并具有类似项目工作经验（提供业绩合同，若业绩合同无法体现姓名，须提供业主证明），须提供项目负责人及驻点人员的社保缴纳记录。</w:t>
            </w:r>
          </w:p>
          <w:p w14:paraId="070449B8">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（2）服务时间：</w:t>
            </w:r>
            <w:r>
              <w:rPr>
                <w:rFonts w:hint="eastAsia" w:ascii="仿宋" w:hAnsi="仿宋" w:eastAsia="仿宋" w:cs="仿宋"/>
                <w:sz w:val="24"/>
                <w:highlight w:val="none"/>
              </w:rPr>
              <w:t>项目负责人服务时间：项目服务期内提供7*24小时协调服务。</w:t>
            </w:r>
            <w:r>
              <w:rPr>
                <w:rFonts w:hint="eastAsia" w:ascii="仿宋" w:hAnsi="仿宋" w:eastAsia="仿宋" w:cs="仿宋"/>
                <w:kern w:val="0"/>
                <w:sz w:val="24"/>
                <w:highlight w:val="none"/>
                <w:lang w:bidi="zh-CN"/>
              </w:rPr>
              <w:t>驻点人员工作时间为工作日：5*8小时，（上午9：00-12：00；下午12：30-17：30）（除法定节假日）驻点服务（具体时间根据采购人工作要求安排）。</w:t>
            </w:r>
          </w:p>
          <w:p w14:paraId="71CD5463">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（3）工作要求：项目负责人负责与采购人对接工作，安排驻点人员实施便携式视音频设备的搬运交付、安装调试、维护修理工作。</w:t>
            </w:r>
          </w:p>
          <w:p w14:paraId="57BCF989">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驻点人员主要工作内容为服从项目负责人及采购人的工作安排，完成便携式视音频设备的搬运交付、安装调试、以及负责便携式视音频设备、采集站及系统的维护及巡检工作。</w:t>
            </w:r>
          </w:p>
          <w:p w14:paraId="7C8BFD17">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（4）人员如需发生变更，投标人应提前1个月通知采购人，经采购人书面同意后方可更换，更换人员资历不得低于投标时人员资历，且确保任何时候无人员缺位现象发生。</w:t>
            </w:r>
          </w:p>
          <w:p w14:paraId="41D3354D">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2、日常服务要求</w:t>
            </w:r>
          </w:p>
          <w:p w14:paraId="0CF5AEE2">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（1）日常服务主要内容</w:t>
            </w:r>
          </w:p>
          <w:p w14:paraId="1C19FBC8">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1）负责对设备信息传输、在线定位等功能展示情况开展在线监测，保障平台接入、传输等工作正常，并提供实施方案。</w:t>
            </w:r>
          </w:p>
          <w:p w14:paraId="50995C3A">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2）帮助采购人对现有采集站进行软件维护和升级、以及硬件的扩容，并提供实施方案。</w:t>
            </w:r>
          </w:p>
          <w:p w14:paraId="7E1B0C2D">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3）配合采购人开展设备管理日清工作，对日常勤务工作中发现的设备及传输等方面问题形成表单，并落实解决。</w:t>
            </w:r>
          </w:p>
          <w:p w14:paraId="290EF41F">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4）开展每月巡检（设备使用情况、正常损坏情况、设备保养情况），对设备运行情况进行总结并书面反馈。</w:t>
            </w:r>
          </w:p>
          <w:p w14:paraId="07A4710B">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（2）服务响应时间：</w:t>
            </w:r>
            <w:r>
              <w:rPr>
                <w:rFonts w:hint="eastAsia" w:ascii="仿宋" w:hAnsi="仿宋" w:eastAsia="仿宋" w:cs="仿宋"/>
                <w:sz w:val="24"/>
                <w:highlight w:val="none"/>
              </w:rPr>
              <w:t>承诺实行7*24小时电话服务，并保证电话畅通，服务期内</w:t>
            </w:r>
            <w:r>
              <w:rPr>
                <w:rFonts w:hint="eastAsia" w:ascii="仿宋" w:hAnsi="仿宋" w:eastAsia="仿宋" w:cs="仿宋"/>
                <w:kern w:val="0"/>
                <w:sz w:val="24"/>
                <w:highlight w:val="none"/>
                <w:lang w:bidi="zh-CN"/>
              </w:rPr>
              <w:t>投标人</w:t>
            </w:r>
            <w:r>
              <w:rPr>
                <w:rFonts w:hint="eastAsia" w:ascii="仿宋" w:hAnsi="仿宋" w:eastAsia="仿宋" w:cs="仿宋"/>
                <w:sz w:val="24"/>
                <w:highlight w:val="none"/>
              </w:rPr>
              <w:t>必须确保设备的稳定运行，提供完善的运行维保服务。出现故障时，</w:t>
            </w:r>
            <w:r>
              <w:rPr>
                <w:rFonts w:hint="eastAsia" w:ascii="仿宋" w:hAnsi="仿宋" w:eastAsia="仿宋" w:cs="仿宋"/>
                <w:kern w:val="0"/>
                <w:sz w:val="24"/>
                <w:highlight w:val="none"/>
                <w:lang w:bidi="zh-CN"/>
              </w:rPr>
              <w:t>投标人</w:t>
            </w:r>
            <w:r>
              <w:rPr>
                <w:rFonts w:hint="eastAsia" w:ascii="仿宋" w:hAnsi="仿宋" w:eastAsia="仿宋" w:cs="仿宋"/>
                <w:sz w:val="24"/>
                <w:highlight w:val="none"/>
              </w:rPr>
              <w:t>在接到故障申告后4小时以内派技术人员现场检修，并在48小时内修复故障。</w:t>
            </w:r>
          </w:p>
          <w:p w14:paraId="0AC6A848">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（3）配合项目对采购人开展业务培训</w:t>
            </w:r>
          </w:p>
          <w:p w14:paraId="1E566451">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培训对象：应包括技术人员（系统管理工作者）以及普通用户（系统使用操作者），如系统使用业务科室人员及技术人员等。培训人数根据采购人要求确定（不少于一人）。</w:t>
            </w:r>
          </w:p>
          <w:p w14:paraId="4C05C6CD">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培训方式：应为集中授课和现场操作应用指导培训，不少于一次的培训。</w:t>
            </w:r>
          </w:p>
          <w:p w14:paraId="6F85A2F8">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培训地点：应由投标人与采购人共同协商确定。</w:t>
            </w:r>
          </w:p>
          <w:p w14:paraId="7CA02EBA">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培训内容：应包括系统管理员培训和系统操作员培训。所有培训以中文进行，具体以采购人要求为准。</w:t>
            </w:r>
          </w:p>
          <w:p w14:paraId="53F63AB5">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培训师资：</w:t>
            </w:r>
            <w:r>
              <w:rPr>
                <w:rFonts w:hint="eastAsia" w:ascii="仿宋" w:hAnsi="仿宋" w:eastAsia="仿宋" w:cs="仿宋"/>
                <w:sz w:val="24"/>
                <w:highlight w:val="none"/>
              </w:rPr>
              <w:t>由专业工程师提供培训服务。</w:t>
            </w:r>
          </w:p>
          <w:p w14:paraId="60E8D774">
            <w:pPr>
              <w:spacing w:line="360" w:lineRule="auto"/>
              <w:ind w:firstLine="240" w:firstLineChars="100"/>
              <w:rPr>
                <w:rFonts w:ascii="仿宋" w:hAnsi="仿宋" w:eastAsia="仿宋" w:cs="仿宋"/>
                <w:bCs/>
                <w:kern w:val="0"/>
                <w:sz w:val="24"/>
                <w:highlight w:val="none"/>
                <w:lang w:bidi="zh-CN"/>
              </w:rPr>
            </w:pPr>
            <w:r>
              <w:rPr>
                <w:rFonts w:hint="eastAsia" w:ascii="仿宋" w:hAnsi="仿宋" w:eastAsia="仿宋" w:cs="仿宋"/>
                <w:bCs/>
                <w:kern w:val="0"/>
                <w:sz w:val="24"/>
                <w:highlight w:val="none"/>
                <w:lang w:bidi="zh-CN"/>
              </w:rPr>
              <w:t>（4）投标人网络安全责任和义务：</w:t>
            </w:r>
          </w:p>
          <w:p w14:paraId="51ACE40E">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①明确投标人法定代表人为合作事项网络安全第一责任人，具体承担合作事项的部门主要负责人为直接责任人。</w:t>
            </w:r>
          </w:p>
          <w:p w14:paraId="2544958C">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②未经允许不得分包，不得转包合同任务。</w:t>
            </w:r>
          </w:p>
          <w:p w14:paraId="1088CF6C">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③投标人应制订与合作事项相关的网络安全保障方案和网络安全事件应急预案。</w:t>
            </w:r>
          </w:p>
          <w:p w14:paraId="6F39E4AD">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④投标人发现网络安全漏洞、缺陷或者其他严重网络安全风险，应及时向采购人报告。</w:t>
            </w:r>
          </w:p>
          <w:p w14:paraId="11EE79B1">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⑤处理合作事项的信息平台应当优先采用符合安全可靠测评要求的硬件和软件产品。</w:t>
            </w:r>
          </w:p>
          <w:p w14:paraId="18D6D85A">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⑥发生可能影响合作事项的网络安全重大事项，包括负责人及重要工作人员变更、业务转型、合并重组和投资并购等，投标人应提前向采购人报告。</w:t>
            </w:r>
          </w:p>
          <w:p w14:paraId="0A9C2422">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⑦采用社会公共网络平台实施合作事项时，严禁涉及国家秘密和警务工作秘密。</w:t>
            </w:r>
          </w:p>
          <w:p w14:paraId="0B718B7E">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⑧投标人应在2026年8月1日前向采购人提交网络安全报告。</w:t>
            </w:r>
          </w:p>
          <w:p w14:paraId="235753EF">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⑨其他应当落实的网络安全责任和义务。</w:t>
            </w:r>
          </w:p>
          <w:p w14:paraId="02E5D34F">
            <w:pPr>
              <w:spacing w:line="360" w:lineRule="auto"/>
              <w:ind w:firstLine="240" w:firstLineChars="100"/>
              <w:rPr>
                <w:rFonts w:ascii="仿宋" w:hAnsi="仿宋" w:eastAsia="仿宋" w:cs="仿宋"/>
                <w:bCs/>
                <w:kern w:val="0"/>
                <w:sz w:val="24"/>
                <w:highlight w:val="none"/>
                <w:lang w:bidi="zh-CN"/>
              </w:rPr>
            </w:pPr>
            <w:r>
              <w:rPr>
                <w:rFonts w:hint="eastAsia" w:ascii="仿宋" w:hAnsi="仿宋" w:eastAsia="仿宋" w:cs="仿宋"/>
                <w:bCs/>
                <w:kern w:val="0"/>
                <w:sz w:val="24"/>
                <w:highlight w:val="none"/>
                <w:lang w:bidi="zh-CN"/>
              </w:rPr>
              <w:t>（5）保密</w:t>
            </w:r>
          </w:p>
          <w:p w14:paraId="5CF347AB">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采购人对投标人及工作人员开展常态化安全保密教育，组织签订安全保密承诺书，明确具体安全管理内容、安全保密义务和责任； 投标人及工作人员违反保密安全管理要求，构成违法犯罪的，采购人将及时报送本级政府采购和市场监督管理部门，提请列入政府采购严重违法失信行为记录名单、市场监督管理严重失信名单，并追究相关责任。</w:t>
            </w:r>
          </w:p>
          <w:p w14:paraId="2C9CBCD6">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严格按照采购人规定使用、存储、处理文档资料和数据。合同终止时，应当交还全部资料和数据。</w:t>
            </w:r>
          </w:p>
          <w:p w14:paraId="3B9B8CEB">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投标人需与采购人签署保密协议，投标人对在项目实施期间所获得的采购人的情报和资料有保密义务（包括但不限于合同履约期内），泄漏秘密应承担的责任。如有违反，按合同的违约条款向采购人支付违约金，造成采购人损失的应予赔偿，涉嫌违法或犯罪的依法追究刑事责任。</w:t>
            </w:r>
          </w:p>
          <w:p w14:paraId="53FD03C6">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若项目涉及分包的，投标人须按照以上保密要求，与分包供应商签订单位保密协议、个人保密承诺书、开展日常保密教育等措施，确保分包供应商严格落实各项保密规定，并与分包供应商承担连带责任。</w:t>
            </w:r>
          </w:p>
          <w:p w14:paraId="024F688F">
            <w:pPr>
              <w:numPr>
                <w:ilvl w:val="0"/>
                <w:numId w:val="3"/>
              </w:num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安全责任：因投标人或投标人派遣人员工作过错造成的安全管理事故，投标人负全部责任及相关费用。</w:t>
            </w:r>
          </w:p>
          <w:p w14:paraId="5D2BCC69">
            <w:pPr>
              <w:spacing w:line="360" w:lineRule="auto"/>
              <w:ind w:firstLine="240" w:firstLineChars="100"/>
              <w:jc w:val="left"/>
              <w:rPr>
                <w:rFonts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w:t>
            </w:r>
            <w:r>
              <w:rPr>
                <w:rFonts w:hint="eastAsia" w:ascii="仿宋" w:hAnsi="仿宋" w:eastAsia="仿宋" w:cs="仿宋"/>
                <w:kern w:val="0"/>
                <w:sz w:val="24"/>
                <w:highlight w:val="none"/>
                <w:lang w:bidi="zh-CN"/>
              </w:rPr>
              <w:t>7</w:t>
            </w:r>
            <w:r>
              <w:rPr>
                <w:rFonts w:hint="eastAsia" w:ascii="仿宋" w:hAnsi="仿宋" w:eastAsia="仿宋" w:cs="仿宋"/>
                <w:kern w:val="0"/>
                <w:sz w:val="24"/>
                <w:highlight w:val="none"/>
                <w:lang w:val="zh-CN" w:bidi="zh-CN"/>
              </w:rPr>
              <w:t>）项目实施过程中如发生变更，应严格办理变更手续，采购人及投标人填写《信息化建设项目变更审批表》，说明变更理由和内容，并随附相关文件和监理公司意见，按采购人内控要求变更管理措施，否则该变更内容在款项结算时，采购人有权不予认可。</w:t>
            </w:r>
          </w:p>
          <w:p w14:paraId="5E85DE49">
            <w:pPr>
              <w:spacing w:line="360" w:lineRule="auto"/>
              <w:ind w:firstLine="240" w:firstLineChars="100"/>
              <w:jc w:val="left"/>
              <w:rPr>
                <w:rFonts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w:t>
            </w:r>
            <w:r>
              <w:rPr>
                <w:rFonts w:hint="eastAsia" w:ascii="仿宋" w:hAnsi="仿宋" w:eastAsia="仿宋" w:cs="仿宋"/>
                <w:kern w:val="0"/>
                <w:sz w:val="24"/>
                <w:highlight w:val="none"/>
                <w:lang w:bidi="zh-CN"/>
              </w:rPr>
              <w:t>8</w:t>
            </w:r>
            <w:r>
              <w:rPr>
                <w:rFonts w:hint="eastAsia" w:ascii="仿宋" w:hAnsi="仿宋" w:eastAsia="仿宋" w:cs="仿宋"/>
                <w:kern w:val="0"/>
                <w:sz w:val="24"/>
                <w:highlight w:val="none"/>
                <w:lang w:val="zh-CN" w:bidi="zh-CN"/>
              </w:rPr>
              <w:t>）投标人实施项目全过程必须接受采购人指定的项目监理单位监督和管理，配合监理单位开展过程监理工作、事后监理工作，包括：服务质量监理、项目进度监理、项目投资监理、项目合同执行监理、项目信息资料保管监理、服务安全监理、监理过程现场检查、服务人员监理等。</w:t>
            </w:r>
          </w:p>
          <w:p w14:paraId="5CEBA2F9">
            <w:pPr>
              <w:spacing w:line="360" w:lineRule="auto"/>
              <w:ind w:firstLine="240" w:firstLineChars="100"/>
              <w:jc w:val="left"/>
              <w:rPr>
                <w:highlight w:val="none"/>
              </w:rPr>
            </w:pPr>
            <w:r>
              <w:rPr>
                <w:rFonts w:hint="eastAsia" w:ascii="仿宋" w:hAnsi="仿宋" w:eastAsia="仿宋" w:cs="仿宋"/>
                <w:kern w:val="0"/>
                <w:sz w:val="24"/>
                <w:highlight w:val="none"/>
                <w:lang w:val="zh-CN" w:bidi="zh-CN"/>
              </w:rPr>
              <w:t>（</w:t>
            </w:r>
            <w:r>
              <w:rPr>
                <w:rFonts w:ascii="仿宋" w:hAnsi="仿宋" w:eastAsia="仿宋" w:cs="仿宋"/>
                <w:kern w:val="0"/>
                <w:sz w:val="24"/>
                <w:highlight w:val="none"/>
                <w:lang w:bidi="zh-CN"/>
              </w:rPr>
              <w:t>9</w:t>
            </w:r>
            <w:r>
              <w:rPr>
                <w:rFonts w:hint="eastAsia" w:ascii="仿宋" w:hAnsi="仿宋" w:eastAsia="仿宋" w:cs="仿宋"/>
                <w:kern w:val="0"/>
                <w:sz w:val="24"/>
                <w:highlight w:val="none"/>
                <w:lang w:val="zh-CN" w:bidi="zh-CN"/>
              </w:rPr>
              <w:t>）本项目服务期结束后，服务器存储硬盘内所存储数据需根据采购人要求做好迁移及清理工作。</w:t>
            </w:r>
          </w:p>
        </w:tc>
      </w:tr>
    </w:tbl>
    <w:p w14:paraId="5D22DA91">
      <w:pPr>
        <w:spacing w:line="360" w:lineRule="auto"/>
        <w:jc w:val="left"/>
        <w:outlineLvl w:val="1"/>
        <w:rPr>
          <w:rFonts w:ascii="仿宋" w:hAnsi="仿宋" w:eastAsia="仿宋" w:cs="仿宋"/>
          <w:b/>
          <w:sz w:val="24"/>
          <w:highlight w:val="none"/>
        </w:rPr>
      </w:pPr>
      <w:r>
        <w:rPr>
          <w:rFonts w:hint="eastAsia" w:ascii="仿宋" w:hAnsi="仿宋" w:eastAsia="仿宋" w:cs="仿宋"/>
          <w:b/>
          <w:sz w:val="24"/>
          <w:highlight w:val="none"/>
        </w:rPr>
        <w:t>（四）拟采购标的的商务要求</w:t>
      </w:r>
    </w:p>
    <w:p w14:paraId="3A4EDEFC">
      <w:pPr>
        <w:snapToGrid w:val="0"/>
        <w:spacing w:line="360" w:lineRule="auto"/>
        <w:ind w:firstLine="482" w:firstLineChars="200"/>
        <w:jc w:val="left"/>
        <w:rPr>
          <w:rFonts w:ascii="仿宋" w:hAnsi="仿宋" w:eastAsia="仿宋" w:cs="仿宋"/>
          <w:sz w:val="24"/>
          <w:highlight w:val="none"/>
        </w:rPr>
      </w:pPr>
      <w:r>
        <w:rPr>
          <w:rFonts w:hint="eastAsia" w:ascii="仿宋" w:hAnsi="仿宋" w:eastAsia="仿宋" w:cs="仿宋"/>
          <w:b/>
          <w:sz w:val="24"/>
          <w:highlight w:val="none"/>
        </w:rPr>
        <w:t>1.交付（实施）的时间（期限）：</w:t>
      </w:r>
      <w:r>
        <w:rPr>
          <w:rFonts w:hint="eastAsia" w:ascii="仿宋" w:hAnsi="仿宋" w:eastAsia="仿宋" w:cs="仿宋"/>
          <w:sz w:val="24"/>
          <w:highlight w:val="none"/>
        </w:rPr>
        <w:t>12个月（2025年8月1日-2026年7月31日）。</w:t>
      </w:r>
    </w:p>
    <w:p w14:paraId="00FE4616">
      <w:pPr>
        <w:snapToGrid w:val="0"/>
        <w:spacing w:line="360" w:lineRule="auto"/>
        <w:ind w:firstLine="482" w:firstLineChars="200"/>
        <w:jc w:val="left"/>
        <w:rPr>
          <w:rFonts w:ascii="仿宋" w:hAnsi="仿宋" w:eastAsia="仿宋" w:cs="仿宋"/>
          <w:sz w:val="24"/>
          <w:highlight w:val="none"/>
        </w:rPr>
      </w:pPr>
      <w:r>
        <w:rPr>
          <w:rFonts w:hint="eastAsia" w:ascii="仿宋" w:hAnsi="仿宋" w:eastAsia="仿宋" w:cs="仿宋"/>
          <w:b/>
          <w:sz w:val="24"/>
          <w:highlight w:val="none"/>
        </w:rPr>
        <w:t>2.交付（实施）的地点（范围）：</w:t>
      </w:r>
      <w:r>
        <w:rPr>
          <w:rFonts w:hint="eastAsia" w:ascii="仿宋" w:hAnsi="仿宋" w:eastAsia="仿宋" w:cs="仿宋"/>
          <w:sz w:val="24"/>
          <w:highlight w:val="none"/>
        </w:rPr>
        <w:t>杭州市公安局交通警察支队以及直属大队、中队等指定的实施地点。</w:t>
      </w:r>
    </w:p>
    <w:p w14:paraId="013631A5">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3.付款条件（进度和方式）</w:t>
      </w:r>
    </w:p>
    <w:tbl>
      <w:tblPr>
        <w:tblStyle w:val="62"/>
        <w:tblW w:w="9351"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709"/>
        <w:gridCol w:w="6941"/>
        <w:gridCol w:w="1701"/>
      </w:tblGrid>
      <w:tr w14:paraId="4FBC834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14:paraId="7628D556">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6941" w:type="dxa"/>
            <w:tcBorders>
              <w:top w:val="single" w:color="808080" w:sz="4" w:space="0"/>
              <w:left w:val="single" w:color="808080" w:sz="4" w:space="0"/>
              <w:bottom w:val="single" w:color="808080" w:sz="4" w:space="0"/>
              <w:right w:val="single" w:color="808080" w:sz="4" w:space="0"/>
            </w:tcBorders>
            <w:noWrap/>
            <w:vAlign w:val="center"/>
          </w:tcPr>
          <w:p w14:paraId="2E4E1EC8">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付款比例（%）</w:t>
            </w:r>
          </w:p>
        </w:tc>
        <w:tc>
          <w:tcPr>
            <w:tcW w:w="1701" w:type="dxa"/>
            <w:tcBorders>
              <w:top w:val="single" w:color="808080" w:sz="4" w:space="0"/>
              <w:left w:val="single" w:color="808080" w:sz="4" w:space="0"/>
              <w:bottom w:val="single" w:color="808080" w:sz="4" w:space="0"/>
              <w:right w:val="single" w:color="808080" w:sz="4" w:space="0"/>
            </w:tcBorders>
            <w:noWrap/>
            <w:vAlign w:val="center"/>
          </w:tcPr>
          <w:p w14:paraId="69D2E8D0">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付款方式</w:t>
            </w:r>
          </w:p>
        </w:tc>
      </w:tr>
      <w:tr w14:paraId="10DFD6D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14:paraId="36721211">
            <w:pPr>
              <w:spacing w:line="360" w:lineRule="auto"/>
              <w:ind w:left="210" w:leftChars="100"/>
              <w:jc w:val="left"/>
              <w:rPr>
                <w:rFonts w:ascii="仿宋" w:hAnsi="仿宋" w:eastAsia="仿宋" w:cs="仿宋"/>
                <w:sz w:val="24"/>
                <w:highlight w:val="none"/>
              </w:rPr>
            </w:pPr>
            <w:r>
              <w:rPr>
                <w:rFonts w:hint="eastAsia" w:ascii="仿宋" w:hAnsi="仿宋" w:eastAsia="仿宋" w:cs="仿宋"/>
                <w:sz w:val="24"/>
                <w:highlight w:val="none"/>
              </w:rPr>
              <w:t>1</w:t>
            </w:r>
          </w:p>
        </w:tc>
        <w:tc>
          <w:tcPr>
            <w:tcW w:w="6941" w:type="dxa"/>
            <w:tcBorders>
              <w:top w:val="single" w:color="808080" w:sz="4" w:space="0"/>
              <w:left w:val="single" w:color="808080" w:sz="4" w:space="0"/>
              <w:bottom w:val="single" w:color="808080" w:sz="4" w:space="0"/>
              <w:right w:val="single" w:color="808080" w:sz="4" w:space="0"/>
            </w:tcBorders>
            <w:noWrap/>
            <w:vAlign w:val="center"/>
          </w:tcPr>
          <w:p w14:paraId="0BCBD658">
            <w:pPr>
              <w:spacing w:line="360" w:lineRule="auto"/>
              <w:rPr>
                <w:rFonts w:ascii="仿宋" w:hAnsi="仿宋" w:eastAsia="仿宋" w:cs="仿宋"/>
                <w:sz w:val="24"/>
                <w:highlight w:val="none"/>
              </w:rPr>
            </w:pPr>
            <w:r>
              <w:rPr>
                <w:rFonts w:hint="eastAsia" w:ascii="仿宋" w:hAnsi="仿宋" w:eastAsia="仿宋" w:cs="仿宋"/>
                <w:sz w:val="24"/>
                <w:highlight w:val="none"/>
              </w:rPr>
              <w:t>第一期付款：</w:t>
            </w:r>
            <w:r>
              <w:rPr>
                <w:rFonts w:hint="eastAsia" w:ascii="仿宋" w:hAnsi="仿宋" w:eastAsia="仿宋" w:cs="仿宋"/>
                <w:sz w:val="24"/>
                <w:highlight w:val="none"/>
                <w:lang w:val="zh-CN"/>
              </w:rPr>
              <w:t>合同签订后5个工作日内，项目</w:t>
            </w:r>
            <w:r>
              <w:rPr>
                <w:rFonts w:hint="eastAsia" w:ascii="仿宋" w:hAnsi="仿宋" w:eastAsia="仿宋" w:cs="仿宋"/>
                <w:sz w:val="24"/>
                <w:highlight w:val="none"/>
              </w:rPr>
              <w:t>具备</w:t>
            </w:r>
            <w:r>
              <w:rPr>
                <w:rFonts w:hint="eastAsia" w:ascii="仿宋" w:hAnsi="仿宋" w:eastAsia="仿宋" w:cs="仿宋"/>
                <w:sz w:val="24"/>
                <w:highlight w:val="none"/>
                <w:lang w:val="zh-CN"/>
              </w:rPr>
              <w:t>实施条件后，采购人支付</w:t>
            </w:r>
            <w:r>
              <w:rPr>
                <w:rFonts w:hint="eastAsia" w:ascii="仿宋" w:hAnsi="仿宋" w:eastAsia="仿宋" w:cs="仿宋"/>
                <w:sz w:val="24"/>
                <w:highlight w:val="none"/>
              </w:rPr>
              <w:t>合同金额的40%</w:t>
            </w:r>
            <w:r>
              <w:rPr>
                <w:rFonts w:hint="eastAsia" w:ascii="仿宋" w:hAnsi="仿宋" w:eastAsia="仿宋" w:cs="仿宋"/>
                <w:sz w:val="24"/>
                <w:highlight w:val="none"/>
                <w:lang w:val="zh-CN"/>
              </w:rPr>
              <w:t>。</w:t>
            </w:r>
            <w:r>
              <w:rPr>
                <w:rFonts w:hint="eastAsia" w:ascii="仿宋" w:hAnsi="仿宋" w:eastAsia="仿宋" w:cs="仿宋"/>
                <w:sz w:val="24"/>
                <w:highlight w:val="none"/>
              </w:rPr>
              <w:t>同时，投标人缴纳合同总价1%的履约保证金。</w:t>
            </w:r>
            <w:r>
              <w:rPr>
                <w:rFonts w:hint="eastAsia" w:ascii="仿宋" w:hAnsi="仿宋" w:eastAsia="仿宋" w:cs="仿宋"/>
                <w:sz w:val="24"/>
                <w:highlight w:val="none"/>
                <w:lang w:val="zh-CN"/>
              </w:rPr>
              <w:t>（鼓励和支持投标人以银行、保险公司出具的保函形式提供履约保证金）</w:t>
            </w:r>
          </w:p>
        </w:tc>
        <w:tc>
          <w:tcPr>
            <w:tcW w:w="1701" w:type="dxa"/>
            <w:tcBorders>
              <w:top w:val="single" w:color="808080" w:sz="4" w:space="0"/>
              <w:left w:val="single" w:color="808080" w:sz="4" w:space="0"/>
              <w:bottom w:val="single" w:color="808080" w:sz="4" w:space="0"/>
              <w:right w:val="single" w:color="808080" w:sz="4" w:space="0"/>
            </w:tcBorders>
            <w:noWrap/>
            <w:vAlign w:val="center"/>
          </w:tcPr>
          <w:p w14:paraId="6ABBE948">
            <w:pPr>
              <w:spacing w:line="360" w:lineRule="auto"/>
              <w:jc w:val="left"/>
              <w:rPr>
                <w:rFonts w:ascii="仿宋" w:hAnsi="仿宋" w:eastAsia="仿宋" w:cs="仿宋"/>
                <w:sz w:val="24"/>
                <w:highlight w:val="none"/>
              </w:rPr>
            </w:pPr>
            <w:r>
              <w:rPr>
                <w:rFonts w:hint="eastAsia" w:ascii="仿宋" w:hAnsi="仿宋" w:eastAsia="仿宋" w:cs="仿宋"/>
                <w:sz w:val="24"/>
                <w:highlight w:val="none"/>
              </w:rPr>
              <w:t>国库转账支付</w:t>
            </w:r>
          </w:p>
        </w:tc>
      </w:tr>
      <w:tr w14:paraId="3F87C93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14:paraId="193E27B7">
            <w:pPr>
              <w:spacing w:line="360" w:lineRule="auto"/>
              <w:ind w:left="210" w:leftChars="100"/>
              <w:jc w:val="left"/>
              <w:rPr>
                <w:rFonts w:ascii="仿宋" w:hAnsi="仿宋" w:eastAsia="仿宋" w:cs="仿宋"/>
                <w:sz w:val="24"/>
                <w:highlight w:val="none"/>
              </w:rPr>
            </w:pPr>
            <w:r>
              <w:rPr>
                <w:rFonts w:hint="eastAsia" w:ascii="仿宋" w:hAnsi="仿宋" w:eastAsia="仿宋" w:cs="仿宋"/>
                <w:sz w:val="24"/>
                <w:highlight w:val="none"/>
              </w:rPr>
              <w:t>2</w:t>
            </w:r>
          </w:p>
        </w:tc>
        <w:tc>
          <w:tcPr>
            <w:tcW w:w="6941" w:type="dxa"/>
            <w:tcBorders>
              <w:top w:val="single" w:color="808080" w:sz="4" w:space="0"/>
              <w:left w:val="single" w:color="808080" w:sz="4" w:space="0"/>
              <w:bottom w:val="single" w:color="808080" w:sz="4" w:space="0"/>
              <w:right w:val="single" w:color="808080" w:sz="4" w:space="0"/>
            </w:tcBorders>
            <w:noWrap/>
            <w:vAlign w:val="center"/>
          </w:tcPr>
          <w:p w14:paraId="572BB4D9">
            <w:pPr>
              <w:spacing w:line="360" w:lineRule="auto"/>
              <w:rPr>
                <w:rFonts w:ascii="仿宋" w:hAnsi="仿宋" w:eastAsia="仿宋" w:cs="仿宋"/>
                <w:sz w:val="24"/>
                <w:highlight w:val="none"/>
              </w:rPr>
            </w:pPr>
            <w:r>
              <w:rPr>
                <w:rFonts w:hint="eastAsia" w:ascii="仿宋" w:hAnsi="仿宋" w:eastAsia="仿宋" w:cs="仿宋"/>
                <w:sz w:val="24"/>
                <w:highlight w:val="none"/>
                <w:lang w:val="zh-CN"/>
              </w:rPr>
              <w:t>第二期付款：服务至</w:t>
            </w:r>
            <w:r>
              <w:rPr>
                <w:rFonts w:ascii="仿宋" w:hAnsi="仿宋" w:eastAsia="仿宋" w:cs="仿宋"/>
                <w:sz w:val="24"/>
                <w:highlight w:val="none"/>
                <w:lang w:val="zh-CN"/>
              </w:rPr>
              <w:t>2025年11月30日，</w:t>
            </w:r>
            <w:r>
              <w:rPr>
                <w:rFonts w:hint="eastAsia" w:ascii="仿宋" w:hAnsi="仿宋" w:eastAsia="仿宋" w:cs="仿宋"/>
                <w:sz w:val="24"/>
                <w:highlight w:val="none"/>
                <w:lang w:val="zh-CN"/>
              </w:rPr>
              <w:t>通过验收后，</w:t>
            </w:r>
            <w:r>
              <w:rPr>
                <w:rFonts w:hint="eastAsia" w:ascii="仿宋" w:hAnsi="仿宋" w:eastAsia="仿宋" w:cs="仿宋"/>
                <w:sz w:val="24"/>
                <w:highlight w:val="none"/>
              </w:rPr>
              <w:t>凭双方签字盖章的验收意见、验收小组签字的验收报告、租赁方案审批单、每月巡检记录、</w:t>
            </w:r>
            <w:r>
              <w:rPr>
                <w:rFonts w:hint="eastAsia" w:ascii="仿宋" w:hAnsi="仿宋" w:eastAsia="仿宋" w:cs="仿宋"/>
                <w:bCs/>
                <w:sz w:val="24"/>
                <w:highlight w:val="none"/>
              </w:rPr>
              <w:t>维护记录、</w:t>
            </w:r>
            <w:r>
              <w:rPr>
                <w:rFonts w:hint="eastAsia" w:ascii="仿宋" w:hAnsi="仿宋" w:eastAsia="仿宋" w:cs="仿宋"/>
                <w:sz w:val="24"/>
                <w:highlight w:val="none"/>
              </w:rPr>
              <w:t>租赁月报、项目组人员清单、学历、工作经验证明、驻点人员考勤、每月社保缴纳材料、人员变更审批表（如有）、培训记录、每月考核材料、网络安全保障方案、网络安全事件应急预案、网络安全风险书面报告（如有）、网络安全重大事项书面报告（如有）、信创检测报告、第三方检测报告、等保测评报告、商用密码应用测评报告、信息化建设项目变更审批表（如有）、监理报告、小微企业证明材料、单位保密协议、个人保密承诺书、日常保密教育台账、验收报审表、检测报告证明、产品合格证、质保承诺书等相关资料，最多支付至</w:t>
            </w:r>
            <w:r>
              <w:rPr>
                <w:rFonts w:ascii="仿宋" w:hAnsi="仿宋" w:eastAsia="仿宋" w:cs="仿宋"/>
                <w:sz w:val="24"/>
                <w:highlight w:val="none"/>
              </w:rPr>
              <w:t>2025年预算</w:t>
            </w:r>
            <w:r>
              <w:rPr>
                <w:rFonts w:hint="eastAsia" w:ascii="仿宋" w:hAnsi="仿宋" w:eastAsia="仿宋" w:cs="仿宋"/>
                <w:sz w:val="24"/>
                <w:highlight w:val="none"/>
              </w:rPr>
              <w:t>114.975万元</w:t>
            </w:r>
            <w:r>
              <w:rPr>
                <w:rFonts w:hint="eastAsia" w:ascii="仿宋" w:hAnsi="仿宋" w:eastAsia="仿宋" w:cs="仿宋"/>
                <w:sz w:val="24"/>
                <w:highlight w:val="none"/>
                <w:lang w:val="zh-CN"/>
              </w:rPr>
              <w:t>（</w:t>
            </w:r>
            <w:r>
              <w:rPr>
                <w:rFonts w:hint="eastAsia" w:ascii="仿宋" w:hAnsi="仿宋" w:eastAsia="仿宋" w:cs="仿宋"/>
                <w:sz w:val="24"/>
                <w:highlight w:val="none"/>
              </w:rPr>
              <w:t>114.975万元已含采购人已向投标人支付的第一期合同价款</w:t>
            </w:r>
            <w:r>
              <w:rPr>
                <w:rFonts w:hint="eastAsia" w:ascii="仿宋" w:hAnsi="仿宋" w:eastAsia="仿宋" w:cs="仿宋"/>
                <w:sz w:val="24"/>
                <w:highlight w:val="none"/>
                <w:lang w:val="zh-CN"/>
              </w:rPr>
              <w:t>）</w:t>
            </w:r>
          </w:p>
        </w:tc>
        <w:tc>
          <w:tcPr>
            <w:tcW w:w="1701" w:type="dxa"/>
            <w:tcBorders>
              <w:top w:val="single" w:color="808080" w:sz="4" w:space="0"/>
              <w:left w:val="single" w:color="808080" w:sz="4" w:space="0"/>
              <w:bottom w:val="single" w:color="808080" w:sz="4" w:space="0"/>
              <w:right w:val="single" w:color="808080" w:sz="4" w:space="0"/>
            </w:tcBorders>
            <w:noWrap/>
            <w:vAlign w:val="center"/>
          </w:tcPr>
          <w:p w14:paraId="4A9DC0A5">
            <w:pPr>
              <w:spacing w:line="360" w:lineRule="auto"/>
              <w:jc w:val="left"/>
              <w:rPr>
                <w:rFonts w:ascii="仿宋" w:hAnsi="仿宋" w:eastAsia="仿宋" w:cs="仿宋"/>
                <w:sz w:val="24"/>
                <w:highlight w:val="none"/>
              </w:rPr>
            </w:pPr>
          </w:p>
        </w:tc>
      </w:tr>
      <w:tr w14:paraId="4775A65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F07C2C8">
            <w:pPr>
              <w:spacing w:line="360" w:lineRule="auto"/>
              <w:ind w:left="210" w:leftChars="100"/>
              <w:jc w:val="left"/>
              <w:rPr>
                <w:rFonts w:ascii="仿宋" w:hAnsi="仿宋" w:eastAsia="仿宋" w:cs="仿宋"/>
                <w:sz w:val="24"/>
                <w:highlight w:val="none"/>
              </w:rPr>
            </w:pPr>
            <w:r>
              <w:rPr>
                <w:rFonts w:hint="eastAsia" w:ascii="仿宋" w:hAnsi="仿宋" w:eastAsia="仿宋" w:cs="仿宋"/>
                <w:sz w:val="24"/>
                <w:highlight w:val="none"/>
              </w:rPr>
              <w:t>3</w:t>
            </w:r>
          </w:p>
        </w:tc>
        <w:tc>
          <w:tcPr>
            <w:tcW w:w="694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C959E71">
            <w:pPr>
              <w:spacing w:line="360" w:lineRule="auto"/>
              <w:rPr>
                <w:rFonts w:ascii="仿宋" w:hAnsi="仿宋" w:eastAsia="仿宋" w:cs="仿宋"/>
                <w:b/>
                <w:sz w:val="24"/>
                <w:highlight w:val="none"/>
              </w:rPr>
            </w:pPr>
            <w:r>
              <w:rPr>
                <w:rFonts w:hint="eastAsia" w:ascii="仿宋" w:hAnsi="仿宋" w:eastAsia="仿宋" w:cs="仿宋"/>
                <w:sz w:val="24"/>
                <w:highlight w:val="none"/>
              </w:rPr>
              <w:t>第三期付款：服务期结束，无任何服务问题，凭双方签字盖章的验收意见、验收小组签字的验收报告、租赁方案审批单、每月巡检记录、</w:t>
            </w:r>
            <w:r>
              <w:rPr>
                <w:rFonts w:hint="eastAsia" w:ascii="仿宋" w:hAnsi="仿宋" w:eastAsia="仿宋" w:cs="仿宋"/>
                <w:bCs/>
                <w:sz w:val="24"/>
                <w:highlight w:val="none"/>
              </w:rPr>
              <w:t>维护记录、</w:t>
            </w:r>
            <w:r>
              <w:rPr>
                <w:rFonts w:hint="eastAsia" w:ascii="仿宋" w:hAnsi="仿宋" w:eastAsia="仿宋" w:cs="仿宋"/>
                <w:sz w:val="24"/>
                <w:highlight w:val="none"/>
              </w:rPr>
              <w:t>租赁月报、租赁总结报告、项目组人员清单、学历、工作经验证明、驻点人员考勤、每月社保缴纳材料、人员变更审批表（如有）、培训记录、每月考核材料、网络安全保障方案、网络安全事件应急预案、网络安全风险书面报告（如有）、网络安全重大事项书面报告（如有）、信创检测报告、第三方检测报告、等保测评报告、商用密码应用测评报告、网络安全报告、信息化建设项目变更审批表（如有）、监理报告、小微企业证明材料、单位保密协议、个人保密承诺书、日常保密教育台账、验收报审表、检测报告证明、产品合格证、质保承诺书及验收公示截图等相关资料，根据审计意见、实际租用设备数量及服务内容、租赁服务天数</w:t>
            </w:r>
            <w:r>
              <w:rPr>
                <w:rFonts w:hint="eastAsia" w:ascii="仿宋" w:hAnsi="仿宋" w:eastAsia="仿宋" w:cs="仿宋"/>
                <w:sz w:val="24"/>
                <w:highlight w:val="none"/>
                <w:lang w:val="zh-CN"/>
              </w:rPr>
              <w:t>及合同单价</w:t>
            </w:r>
            <w:r>
              <w:rPr>
                <w:rFonts w:hint="eastAsia" w:ascii="仿宋" w:hAnsi="仿宋" w:eastAsia="仿宋" w:cs="仿宋"/>
                <w:sz w:val="24"/>
                <w:highlight w:val="none"/>
              </w:rPr>
              <w:t>按实结算剩余应付的合同款项，同时扣除投标人应向采购人支付的违约金。</w:t>
            </w:r>
          </w:p>
        </w:tc>
        <w:tc>
          <w:tcPr>
            <w:tcW w:w="1701" w:type="dxa"/>
            <w:tcBorders>
              <w:top w:val="single" w:color="808080" w:sz="4" w:space="0"/>
              <w:left w:val="single" w:color="808080" w:sz="4" w:space="0"/>
              <w:bottom w:val="single" w:color="808080" w:sz="4" w:space="0"/>
              <w:right w:val="single" w:color="808080" w:sz="4" w:space="0"/>
            </w:tcBorders>
            <w:noWrap/>
            <w:vAlign w:val="center"/>
          </w:tcPr>
          <w:p w14:paraId="50F3DE73">
            <w:pPr>
              <w:spacing w:line="360" w:lineRule="auto"/>
              <w:ind w:left="210" w:leftChars="100"/>
              <w:jc w:val="left"/>
              <w:rPr>
                <w:rFonts w:ascii="仿宋" w:hAnsi="仿宋" w:eastAsia="仿宋" w:cs="仿宋"/>
                <w:sz w:val="24"/>
                <w:highlight w:val="none"/>
              </w:rPr>
            </w:pPr>
            <w:r>
              <w:rPr>
                <w:rFonts w:hint="eastAsia" w:ascii="仿宋" w:hAnsi="仿宋" w:eastAsia="仿宋" w:cs="仿宋"/>
                <w:sz w:val="24"/>
                <w:highlight w:val="none"/>
              </w:rPr>
              <w:t>国库转账支付</w:t>
            </w:r>
          </w:p>
        </w:tc>
      </w:tr>
      <w:tr w14:paraId="1445246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9351" w:type="dxa"/>
            <w:gridSpan w:val="3"/>
            <w:tcBorders>
              <w:top w:val="single" w:color="808080" w:sz="4" w:space="0"/>
              <w:left w:val="single" w:color="808080" w:sz="4" w:space="0"/>
              <w:bottom w:val="single" w:color="808080" w:sz="4" w:space="0"/>
              <w:right w:val="single" w:color="808080" w:sz="4" w:space="0"/>
            </w:tcBorders>
            <w:noWrap/>
            <w:vAlign w:val="center"/>
          </w:tcPr>
          <w:p w14:paraId="5B5053BC">
            <w:pPr>
              <w:spacing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双方确认，</w:t>
            </w:r>
            <w:r>
              <w:rPr>
                <w:rFonts w:hint="eastAsia" w:ascii="仿宋" w:hAnsi="仿宋" w:eastAsia="仿宋" w:cs="仿宋"/>
                <w:sz w:val="24"/>
                <w:highlight w:val="none"/>
              </w:rPr>
              <w:t>采购人</w:t>
            </w:r>
            <w:r>
              <w:rPr>
                <w:rFonts w:hint="eastAsia" w:ascii="仿宋" w:hAnsi="仿宋" w:eastAsia="仿宋" w:cs="仿宋"/>
                <w:sz w:val="24"/>
                <w:highlight w:val="none"/>
                <w:lang w:val="zh-CN"/>
              </w:rPr>
              <w:t>按前款结算并向</w:t>
            </w:r>
            <w:r>
              <w:rPr>
                <w:rFonts w:hint="eastAsia" w:ascii="仿宋" w:hAnsi="仿宋" w:eastAsia="仿宋" w:cs="仿宋"/>
                <w:sz w:val="24"/>
                <w:highlight w:val="none"/>
              </w:rPr>
              <w:t>投标人</w:t>
            </w:r>
            <w:r>
              <w:rPr>
                <w:rFonts w:hint="eastAsia" w:ascii="仿宋" w:hAnsi="仿宋" w:eastAsia="仿宋" w:cs="仿宋"/>
                <w:sz w:val="24"/>
                <w:highlight w:val="none"/>
                <w:lang w:val="zh-CN"/>
              </w:rPr>
              <w:t>支付的款项总额不超过合同总价。</w:t>
            </w:r>
          </w:p>
          <w:p w14:paraId="0891CED9">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前述采购人按投标人实际履行情况结算付款的方式不影响采购人向投标人再行收取因投标人未全面按照合同约定履行而产生的违约金。</w:t>
            </w:r>
          </w:p>
        </w:tc>
      </w:tr>
    </w:tbl>
    <w:p w14:paraId="277AB2E3">
      <w:pPr>
        <w:spacing w:line="360" w:lineRule="auto"/>
        <w:ind w:left="210" w:leftChars="100"/>
        <w:jc w:val="left"/>
        <w:rPr>
          <w:rFonts w:ascii="仿宋" w:hAnsi="仿宋" w:eastAsia="仿宋" w:cs="仿宋"/>
          <w:b/>
          <w:sz w:val="24"/>
          <w:highlight w:val="none"/>
        </w:rPr>
      </w:pPr>
      <w:r>
        <w:rPr>
          <w:rFonts w:hint="eastAsia" w:ascii="仿宋" w:hAnsi="仿宋" w:eastAsia="仿宋" w:cs="仿宋"/>
          <w:b/>
          <w:sz w:val="24"/>
          <w:highlight w:val="none"/>
        </w:rPr>
        <w:t>4.售后服务要求</w:t>
      </w:r>
    </w:p>
    <w:p w14:paraId="4EC68DF3">
      <w:pPr>
        <w:spacing w:line="360" w:lineRule="auto"/>
        <w:ind w:firstLine="420"/>
        <w:jc w:val="left"/>
        <w:rPr>
          <w:rFonts w:ascii="仿宋" w:hAnsi="仿宋" w:eastAsia="仿宋" w:cs="仿宋"/>
          <w:sz w:val="24"/>
          <w:highlight w:val="none"/>
          <w:u w:val="single"/>
        </w:rPr>
      </w:pPr>
      <w:r>
        <w:rPr>
          <w:rFonts w:hint="eastAsia" w:ascii="仿宋" w:hAnsi="仿宋" w:eastAsia="仿宋" w:cs="仿宋"/>
          <w:sz w:val="24"/>
          <w:highlight w:val="none"/>
          <w:u w:val="single"/>
        </w:rPr>
        <w:t>服务类，无售后服务。</w:t>
      </w:r>
    </w:p>
    <w:p w14:paraId="1035692F">
      <w:pPr>
        <w:spacing w:line="360" w:lineRule="auto"/>
        <w:ind w:left="210" w:leftChars="100"/>
        <w:jc w:val="left"/>
        <w:rPr>
          <w:rFonts w:ascii="仿宋" w:hAnsi="仿宋" w:eastAsia="仿宋" w:cs="仿宋"/>
          <w:b/>
          <w:sz w:val="24"/>
          <w:highlight w:val="none"/>
        </w:rPr>
      </w:pPr>
      <w:r>
        <w:rPr>
          <w:rFonts w:hint="eastAsia" w:ascii="仿宋" w:hAnsi="仿宋" w:eastAsia="仿宋" w:cs="仿宋"/>
          <w:b/>
          <w:sz w:val="24"/>
          <w:highlight w:val="none"/>
        </w:rPr>
        <w:t>5.其他商务要求（包装和运输、保险等）</w:t>
      </w:r>
    </w:p>
    <w:p w14:paraId="52B5EA3B">
      <w:pPr>
        <w:spacing w:line="360" w:lineRule="auto"/>
        <w:ind w:firstLine="420"/>
        <w:jc w:val="left"/>
        <w:rPr>
          <w:rFonts w:ascii="仿宋" w:hAnsi="仿宋" w:eastAsia="仿宋" w:cs="仿宋"/>
          <w:sz w:val="24"/>
          <w:highlight w:val="none"/>
          <w:u w:val="single"/>
        </w:rPr>
      </w:pPr>
      <w:r>
        <w:rPr>
          <w:rFonts w:hint="eastAsia" w:ascii="仿宋" w:hAnsi="仿宋" w:eastAsia="仿宋" w:cs="仿宋"/>
          <w:sz w:val="24"/>
          <w:highlight w:val="none"/>
          <w:u w:val="single"/>
        </w:rPr>
        <w:t>1、履约保证金退还：</w:t>
      </w:r>
      <w:bookmarkStart w:id="30" w:name="_Hlk127277858"/>
      <w:r>
        <w:rPr>
          <w:rFonts w:hint="eastAsia" w:ascii="仿宋" w:hAnsi="仿宋" w:eastAsia="仿宋" w:cs="仿宋"/>
          <w:sz w:val="24"/>
          <w:highlight w:val="none"/>
          <w:u w:val="single"/>
        </w:rPr>
        <w:t>服务期结束，通过验收，采购人于收到投标人退还履约保证金申请之日起5个工作日内凭双方签字盖章的验收意见，无息退还投标人履约保证金。</w:t>
      </w:r>
      <w:bookmarkEnd w:id="30"/>
    </w:p>
    <w:p w14:paraId="364EAB6A">
      <w:pPr>
        <w:spacing w:line="360" w:lineRule="auto"/>
        <w:ind w:firstLine="420"/>
        <w:jc w:val="left"/>
        <w:rPr>
          <w:rFonts w:ascii="仿宋" w:hAnsi="仿宋" w:eastAsia="仿宋" w:cs="仿宋"/>
          <w:sz w:val="24"/>
          <w:highlight w:val="none"/>
          <w:u w:val="single"/>
        </w:rPr>
      </w:pPr>
      <w:r>
        <w:rPr>
          <w:rFonts w:hint="eastAsia" w:ascii="仿宋" w:hAnsi="仿宋" w:eastAsia="仿宋" w:cs="仿宋"/>
          <w:sz w:val="24"/>
          <w:highlight w:val="none"/>
          <w:u w:val="single"/>
        </w:rPr>
        <w:t>2、投标报价为综合单价，包含设备使用费、安装调试费、维护修理费、人员（工资、加班费、奖金、津贴及《劳动合同法》各类社会保险、人员办公的交通费、食宿费、办公费等）、税金等为完成本项目各项服务可能发生的全部费用。</w:t>
      </w:r>
    </w:p>
    <w:p w14:paraId="1782688F">
      <w:pPr>
        <w:spacing w:line="360" w:lineRule="auto"/>
        <w:jc w:val="left"/>
        <w:outlineLvl w:val="1"/>
        <w:rPr>
          <w:rFonts w:ascii="仿宋" w:hAnsi="仿宋" w:eastAsia="仿宋" w:cs="仿宋"/>
          <w:b/>
          <w:sz w:val="24"/>
          <w:highlight w:val="none"/>
        </w:rPr>
      </w:pPr>
      <w:r>
        <w:rPr>
          <w:rFonts w:hint="eastAsia" w:ascii="仿宋" w:hAnsi="仿宋" w:eastAsia="仿宋" w:cs="仿宋"/>
          <w:b/>
          <w:sz w:val="24"/>
          <w:highlight w:val="none"/>
        </w:rPr>
        <w:t>（七）采购项目的其他要求</w:t>
      </w:r>
    </w:p>
    <w:p w14:paraId="37589AFF">
      <w:pPr>
        <w:snapToGrid w:val="0"/>
        <w:spacing w:line="360" w:lineRule="auto"/>
        <w:ind w:firstLine="241" w:firstLineChars="100"/>
        <w:jc w:val="left"/>
        <w:rPr>
          <w:rFonts w:ascii="仿宋" w:hAnsi="仿宋" w:eastAsia="仿宋" w:cs="仿宋"/>
          <w:b/>
          <w:sz w:val="24"/>
          <w:highlight w:val="none"/>
        </w:rPr>
      </w:pPr>
      <w:r>
        <w:rPr>
          <w:rFonts w:hint="eastAsia" w:ascii="仿宋" w:hAnsi="仿宋" w:eastAsia="仿宋" w:cs="仿宋"/>
          <w:b/>
          <w:bCs/>
          <w:sz w:val="24"/>
          <w:highlight w:val="none"/>
        </w:rPr>
        <w:t>一）</w:t>
      </w:r>
      <w:r>
        <w:rPr>
          <w:rFonts w:hint="eastAsia" w:ascii="仿宋" w:hAnsi="仿宋" w:eastAsia="仿宋" w:cs="仿宋"/>
          <w:b/>
          <w:sz w:val="24"/>
          <w:highlight w:val="none"/>
        </w:rPr>
        <w:t>履约验收：</w:t>
      </w:r>
    </w:p>
    <w:p w14:paraId="34E85273">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1）履约验收主体</w:t>
      </w:r>
    </w:p>
    <w:p w14:paraId="28704A9A">
      <w:pPr>
        <w:spacing w:line="360" w:lineRule="auto"/>
        <w:ind w:left="420" w:leftChars="200"/>
        <w:jc w:val="left"/>
        <w:rPr>
          <w:rFonts w:ascii="仿宋" w:hAnsi="仿宋" w:eastAsia="仿宋" w:cs="仿宋"/>
          <w:sz w:val="24"/>
          <w:highlight w:val="none"/>
          <w:u w:val="single"/>
        </w:rPr>
      </w:pPr>
      <w:r>
        <w:rPr>
          <w:rFonts w:hint="eastAsia" w:ascii="仿宋" w:hAnsi="仿宋" w:eastAsia="仿宋" w:cs="仿宋"/>
          <w:b/>
          <w:sz w:val="24"/>
          <w:highlight w:val="none"/>
        </w:rPr>
        <w:t>1.采购单位：</w:t>
      </w:r>
      <w:r>
        <w:rPr>
          <w:rFonts w:hint="eastAsia" w:ascii="仿宋" w:hAnsi="仿宋" w:eastAsia="仿宋" w:cs="仿宋"/>
          <w:sz w:val="24"/>
          <w:highlight w:val="none"/>
          <w:u w:val="single"/>
        </w:rPr>
        <w:t>杭州市公安局交通警察支队</w:t>
      </w:r>
    </w:p>
    <w:p w14:paraId="7AE1FA35">
      <w:pPr>
        <w:spacing w:line="360" w:lineRule="auto"/>
        <w:ind w:left="420" w:leftChars="200"/>
        <w:jc w:val="left"/>
        <w:rPr>
          <w:rFonts w:ascii="仿宋" w:hAnsi="仿宋" w:eastAsia="仿宋" w:cs="仿宋"/>
          <w:sz w:val="24"/>
          <w:highlight w:val="none"/>
          <w:u w:val="single"/>
        </w:rPr>
      </w:pPr>
      <w:r>
        <w:rPr>
          <w:rFonts w:hint="eastAsia" w:ascii="仿宋" w:hAnsi="仿宋" w:eastAsia="仿宋" w:cs="仿宋"/>
          <w:b/>
          <w:sz w:val="24"/>
          <w:highlight w:val="none"/>
        </w:rPr>
        <w:t>2.是否选择代理机构：</w:t>
      </w:r>
      <w:r>
        <w:rPr>
          <w:rFonts w:hint="eastAsia" w:ascii="仿宋" w:hAnsi="仿宋" w:eastAsia="仿宋" w:cs="仿宋"/>
          <w:sz w:val="24"/>
          <w:highlight w:val="none"/>
        </w:rPr>
        <w:tab/>
      </w:r>
      <w:r>
        <w:rPr>
          <w:rFonts w:hint="eastAsia" w:ascii="仿宋" w:hAnsi="仿宋" w:eastAsia="仿宋" w:cs="仿宋"/>
          <w:sz w:val="24"/>
          <w:highlight w:val="none"/>
        </w:rPr>
        <w:t>☑是</w:t>
      </w:r>
      <w:r>
        <w:rPr>
          <w:rFonts w:hint="eastAsia" w:ascii="仿宋" w:hAnsi="仿宋" w:eastAsia="仿宋" w:cs="仿宋"/>
          <w:sz w:val="24"/>
          <w:highlight w:val="none"/>
        </w:rPr>
        <w:tab/>
      </w:r>
      <w:r>
        <w:rPr>
          <w:rFonts w:hint="eastAsia" w:ascii="仿宋" w:hAnsi="仿宋" w:eastAsia="仿宋" w:cs="仿宋"/>
          <w:sz w:val="24"/>
          <w:highlight w:val="none"/>
        </w:rPr>
        <w:t>□否</w:t>
      </w:r>
    </w:p>
    <w:p w14:paraId="65DAFD8E">
      <w:pPr>
        <w:spacing w:line="360" w:lineRule="auto"/>
        <w:ind w:left="420" w:leftChars="200"/>
        <w:jc w:val="left"/>
        <w:rPr>
          <w:rFonts w:ascii="仿宋" w:hAnsi="仿宋" w:eastAsia="仿宋" w:cs="仿宋"/>
          <w:sz w:val="24"/>
          <w:highlight w:val="none"/>
          <w:u w:val="single"/>
        </w:rPr>
      </w:pPr>
      <w:r>
        <w:rPr>
          <w:rFonts w:hint="eastAsia" w:ascii="仿宋" w:hAnsi="仿宋" w:eastAsia="仿宋" w:cs="仿宋"/>
          <w:b/>
          <w:sz w:val="24"/>
          <w:highlight w:val="none"/>
        </w:rPr>
        <w:t>3.是否邀请本项目的其他供应商：</w:t>
      </w:r>
      <w:r>
        <w:rPr>
          <w:rFonts w:hint="eastAsia" w:ascii="仿宋" w:hAnsi="仿宋" w:eastAsia="仿宋" w:cs="仿宋"/>
          <w:sz w:val="24"/>
          <w:highlight w:val="none"/>
        </w:rPr>
        <w:tab/>
      </w:r>
      <w:r>
        <w:rPr>
          <w:rFonts w:hint="eastAsia" w:ascii="仿宋" w:hAnsi="仿宋" w:eastAsia="仿宋" w:cs="仿宋"/>
          <w:sz w:val="24"/>
          <w:highlight w:val="none"/>
        </w:rPr>
        <w:t>□是</w:t>
      </w:r>
      <w:r>
        <w:rPr>
          <w:rFonts w:hint="eastAsia" w:ascii="仿宋" w:hAnsi="仿宋" w:eastAsia="仿宋" w:cs="仿宋"/>
          <w:sz w:val="24"/>
          <w:highlight w:val="none"/>
        </w:rPr>
        <w:tab/>
      </w:r>
      <w:r>
        <w:rPr>
          <w:rFonts w:hint="eastAsia" w:ascii="仿宋" w:hAnsi="仿宋" w:eastAsia="仿宋" w:cs="仿宋"/>
          <w:sz w:val="24"/>
          <w:highlight w:val="none"/>
        </w:rPr>
        <w:t>☑否</w:t>
      </w:r>
    </w:p>
    <w:p w14:paraId="480C2EE7">
      <w:pPr>
        <w:spacing w:line="360" w:lineRule="auto"/>
        <w:ind w:left="420" w:leftChars="200"/>
        <w:jc w:val="left"/>
        <w:rPr>
          <w:rFonts w:ascii="仿宋" w:hAnsi="仿宋" w:eastAsia="仿宋" w:cs="仿宋"/>
          <w:sz w:val="24"/>
          <w:highlight w:val="none"/>
        </w:rPr>
      </w:pPr>
      <w:r>
        <w:rPr>
          <w:rFonts w:hint="eastAsia" w:ascii="仿宋" w:hAnsi="仿宋" w:eastAsia="仿宋" w:cs="仿宋"/>
          <w:b/>
          <w:sz w:val="24"/>
          <w:highlight w:val="none"/>
        </w:rPr>
        <w:t>4.是否邀请专家：</w:t>
      </w:r>
      <w:r>
        <w:rPr>
          <w:rFonts w:hint="eastAsia" w:ascii="仿宋" w:hAnsi="仿宋" w:eastAsia="仿宋" w:cs="仿宋"/>
          <w:sz w:val="24"/>
          <w:highlight w:val="none"/>
        </w:rPr>
        <w:tab/>
      </w:r>
      <w:r>
        <w:rPr>
          <w:rFonts w:hint="eastAsia" w:ascii="仿宋" w:hAnsi="仿宋" w:eastAsia="仿宋" w:cs="仿宋"/>
          <w:sz w:val="24"/>
          <w:highlight w:val="none"/>
        </w:rPr>
        <w:t>☑是</w:t>
      </w:r>
      <w:r>
        <w:rPr>
          <w:rFonts w:hint="eastAsia" w:ascii="仿宋" w:hAnsi="仿宋" w:eastAsia="仿宋" w:cs="仿宋"/>
          <w:sz w:val="24"/>
          <w:highlight w:val="none"/>
        </w:rPr>
        <w:tab/>
      </w:r>
      <w:r>
        <w:rPr>
          <w:rFonts w:hint="eastAsia" w:ascii="仿宋" w:hAnsi="仿宋" w:eastAsia="仿宋" w:cs="仿宋"/>
          <w:sz w:val="24"/>
          <w:highlight w:val="none"/>
        </w:rPr>
        <w:t>□否</w:t>
      </w:r>
    </w:p>
    <w:p w14:paraId="6E4EE493">
      <w:pPr>
        <w:spacing w:line="360" w:lineRule="auto"/>
        <w:ind w:left="420" w:leftChars="200"/>
        <w:jc w:val="left"/>
        <w:rPr>
          <w:rFonts w:ascii="仿宋" w:hAnsi="仿宋" w:eastAsia="仿宋" w:cs="仿宋"/>
          <w:sz w:val="24"/>
          <w:highlight w:val="none"/>
        </w:rPr>
      </w:pPr>
      <w:r>
        <w:rPr>
          <w:rFonts w:hint="eastAsia" w:ascii="仿宋" w:hAnsi="仿宋" w:eastAsia="仿宋" w:cs="仿宋"/>
          <w:b/>
          <w:sz w:val="24"/>
          <w:highlight w:val="none"/>
        </w:rPr>
        <w:t>5.是否邀请服务对象：</w:t>
      </w:r>
      <w:r>
        <w:rPr>
          <w:rFonts w:hint="eastAsia" w:ascii="仿宋" w:hAnsi="仿宋" w:eastAsia="仿宋" w:cs="仿宋"/>
          <w:sz w:val="24"/>
          <w:highlight w:val="none"/>
        </w:rPr>
        <w:tab/>
      </w:r>
      <w:r>
        <w:rPr>
          <w:rFonts w:hint="eastAsia" w:ascii="仿宋" w:hAnsi="仿宋" w:eastAsia="仿宋" w:cs="仿宋"/>
          <w:sz w:val="24"/>
          <w:highlight w:val="none"/>
        </w:rPr>
        <w:t>□是</w:t>
      </w:r>
      <w:r>
        <w:rPr>
          <w:rFonts w:hint="eastAsia" w:ascii="仿宋" w:hAnsi="仿宋" w:eastAsia="仿宋" w:cs="仿宋"/>
          <w:sz w:val="24"/>
          <w:highlight w:val="none"/>
        </w:rPr>
        <w:tab/>
      </w:r>
      <w:r>
        <w:rPr>
          <w:rFonts w:hint="eastAsia" w:ascii="仿宋" w:hAnsi="仿宋" w:eastAsia="仿宋" w:cs="仿宋"/>
          <w:sz w:val="24"/>
          <w:highlight w:val="none"/>
        </w:rPr>
        <w:t>☑否</w:t>
      </w:r>
    </w:p>
    <w:p w14:paraId="37E7859B">
      <w:pPr>
        <w:pStyle w:val="796"/>
        <w:widowControl/>
        <w:ind w:firstLine="424" w:firstLineChars="176"/>
        <w:rPr>
          <w:rFonts w:ascii="仿宋" w:hAnsi="仿宋" w:eastAsia="仿宋" w:cs="仿宋"/>
          <w:highlight w:val="none"/>
          <w:u w:val="single"/>
        </w:rPr>
      </w:pPr>
      <w:r>
        <w:rPr>
          <w:rFonts w:hint="eastAsia" w:ascii="仿宋" w:hAnsi="仿宋" w:eastAsia="仿宋" w:cs="仿宋"/>
          <w:b/>
          <w:highlight w:val="none"/>
        </w:rPr>
        <w:t>6.其他：</w:t>
      </w:r>
      <w:r>
        <w:rPr>
          <w:rFonts w:hint="eastAsia" w:ascii="仿宋" w:hAnsi="仿宋" w:eastAsia="仿宋" w:cs="仿宋"/>
          <w:highlight w:val="none"/>
          <w:u w:val="single"/>
        </w:rPr>
        <w:t>无</w:t>
      </w:r>
    </w:p>
    <w:p w14:paraId="6140E14C">
      <w:pPr>
        <w:spacing w:line="360" w:lineRule="auto"/>
        <w:jc w:val="left"/>
        <w:rPr>
          <w:rFonts w:ascii="仿宋" w:hAnsi="仿宋" w:eastAsia="仿宋" w:cs="仿宋"/>
          <w:sz w:val="24"/>
          <w:highlight w:val="none"/>
          <w:u w:val="single"/>
        </w:rPr>
      </w:pPr>
      <w:r>
        <w:rPr>
          <w:rFonts w:hint="eastAsia" w:ascii="仿宋" w:hAnsi="仿宋" w:eastAsia="仿宋" w:cs="仿宋"/>
          <w:b/>
          <w:sz w:val="24"/>
          <w:highlight w:val="none"/>
        </w:rPr>
        <w:t>2）履约验收时间：</w:t>
      </w:r>
      <w:r>
        <w:rPr>
          <w:rFonts w:hint="eastAsia" w:ascii="仿宋" w:hAnsi="仿宋" w:eastAsia="仿宋" w:cs="仿宋"/>
          <w:sz w:val="24"/>
          <w:highlight w:val="none"/>
          <w:u w:val="single"/>
        </w:rPr>
        <w:t>第一期</w:t>
      </w:r>
      <w:r>
        <w:rPr>
          <w:rFonts w:ascii="仿宋" w:hAnsi="仿宋" w:eastAsia="仿宋" w:cs="仿宋"/>
          <w:sz w:val="24"/>
          <w:highlight w:val="none"/>
          <w:u w:val="single"/>
        </w:rPr>
        <w:t>2025</w:t>
      </w:r>
      <w:r>
        <w:rPr>
          <w:rFonts w:hint="eastAsia" w:ascii="仿宋" w:hAnsi="仿宋" w:eastAsia="仿宋" w:cs="仿宋"/>
          <w:sz w:val="24"/>
          <w:highlight w:val="none"/>
          <w:u w:val="single"/>
        </w:rPr>
        <w:t>年</w:t>
      </w:r>
      <w:r>
        <w:rPr>
          <w:rFonts w:ascii="仿宋" w:hAnsi="仿宋" w:eastAsia="仿宋" w:cs="仿宋"/>
          <w:sz w:val="24"/>
          <w:highlight w:val="none"/>
          <w:u w:val="single"/>
        </w:rPr>
        <w:t>11</w:t>
      </w:r>
      <w:r>
        <w:rPr>
          <w:rFonts w:hint="eastAsia" w:ascii="仿宋" w:hAnsi="仿宋" w:eastAsia="仿宋" w:cs="仿宋"/>
          <w:sz w:val="24"/>
          <w:highlight w:val="none"/>
          <w:u w:val="single"/>
        </w:rPr>
        <w:t>月</w:t>
      </w:r>
      <w:r>
        <w:rPr>
          <w:rFonts w:ascii="仿宋" w:hAnsi="仿宋" w:eastAsia="仿宋" w:cs="仿宋"/>
          <w:sz w:val="24"/>
          <w:highlight w:val="none"/>
          <w:u w:val="single"/>
        </w:rPr>
        <w:t>30日</w:t>
      </w:r>
      <w:r>
        <w:rPr>
          <w:rFonts w:hint="eastAsia" w:ascii="仿宋" w:hAnsi="仿宋" w:eastAsia="仿宋" w:cs="仿宋"/>
          <w:sz w:val="24"/>
          <w:highlight w:val="none"/>
          <w:u w:val="single"/>
        </w:rPr>
        <w:t>后，第二期2026年7月31日服务结束后。（具体时间以采购人通知为准）</w:t>
      </w:r>
    </w:p>
    <w:p w14:paraId="6D9BD5AD">
      <w:pPr>
        <w:spacing w:line="360" w:lineRule="auto"/>
        <w:jc w:val="left"/>
        <w:rPr>
          <w:rFonts w:ascii="仿宋" w:hAnsi="仿宋" w:eastAsia="仿宋" w:cs="仿宋"/>
          <w:sz w:val="24"/>
          <w:highlight w:val="none"/>
        </w:rPr>
      </w:pPr>
      <w:r>
        <w:rPr>
          <w:rFonts w:hint="eastAsia" w:ascii="仿宋" w:hAnsi="仿宋" w:eastAsia="仿宋" w:cs="仿宋"/>
          <w:b/>
          <w:sz w:val="24"/>
          <w:highlight w:val="none"/>
        </w:rPr>
        <w:t>3）履约验收方式：</w:t>
      </w:r>
      <w:r>
        <w:rPr>
          <w:rFonts w:hint="eastAsia" w:ascii="仿宋" w:hAnsi="仿宋" w:eastAsia="仿宋" w:cs="仿宋"/>
          <w:sz w:val="24"/>
          <w:highlight w:val="none"/>
        </w:rPr>
        <w:tab/>
      </w:r>
      <w:r>
        <w:rPr>
          <w:rFonts w:hint="eastAsia" w:ascii="仿宋" w:hAnsi="仿宋" w:eastAsia="仿宋" w:cs="仿宋"/>
          <w:sz w:val="24"/>
          <w:highlight w:val="none"/>
        </w:rPr>
        <w:t>□简易程序</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☑一般程序</w:t>
      </w:r>
    </w:p>
    <w:p w14:paraId="0C66CB29">
      <w:pPr>
        <w:spacing w:line="360" w:lineRule="auto"/>
        <w:jc w:val="left"/>
        <w:rPr>
          <w:rFonts w:ascii="仿宋" w:hAnsi="仿宋" w:eastAsia="仿宋" w:cs="仿宋"/>
          <w:sz w:val="24"/>
          <w:highlight w:val="none"/>
        </w:rPr>
      </w:pPr>
      <w:r>
        <w:rPr>
          <w:rFonts w:hint="eastAsia" w:ascii="仿宋" w:hAnsi="仿宋" w:eastAsia="仿宋" w:cs="仿宋"/>
          <w:b/>
          <w:sz w:val="24"/>
          <w:highlight w:val="none"/>
        </w:rPr>
        <w:t>4）履约验收程序：</w:t>
      </w:r>
      <w:r>
        <w:rPr>
          <w:rFonts w:hint="eastAsia" w:ascii="仿宋" w:hAnsi="仿宋" w:eastAsia="仿宋" w:cs="仿宋"/>
          <w:sz w:val="24"/>
          <w:highlight w:val="none"/>
        </w:rPr>
        <w:t>□一次性验收</w:t>
      </w:r>
      <w:r>
        <w:rPr>
          <w:rFonts w:hint="eastAsia" w:ascii="仿宋" w:hAnsi="仿宋" w:eastAsia="仿宋" w:cs="仿宋"/>
          <w:sz w:val="24"/>
          <w:highlight w:val="none"/>
        </w:rPr>
        <w:tab/>
      </w:r>
      <w:r>
        <w:rPr>
          <w:rFonts w:hint="eastAsia" w:ascii="仿宋" w:hAnsi="仿宋" w:eastAsia="仿宋" w:cs="仿宋"/>
          <w:sz w:val="24"/>
          <w:highlight w:val="none"/>
        </w:rPr>
        <w:t>□分段验收</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☑分期验收</w:t>
      </w:r>
    </w:p>
    <w:p w14:paraId="63429479">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5）履约验收内容</w:t>
      </w:r>
    </w:p>
    <w:p w14:paraId="3A97BE55">
      <w:pPr>
        <w:spacing w:line="360" w:lineRule="auto"/>
        <w:ind w:firstLine="420"/>
        <w:jc w:val="left"/>
        <w:rPr>
          <w:rFonts w:ascii="仿宋" w:hAnsi="仿宋" w:eastAsia="仿宋" w:cs="仿宋"/>
          <w:sz w:val="24"/>
          <w:highlight w:val="none"/>
          <w:u w:val="single"/>
        </w:rPr>
      </w:pPr>
      <w:r>
        <w:rPr>
          <w:rFonts w:hint="eastAsia" w:ascii="仿宋" w:hAnsi="仿宋" w:eastAsia="仿宋" w:cs="仿宋"/>
          <w:sz w:val="24"/>
          <w:highlight w:val="none"/>
          <w:u w:val="single"/>
        </w:rPr>
        <w:t>（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14:paraId="0087E1A1">
      <w:pPr>
        <w:spacing w:line="360" w:lineRule="auto"/>
        <w:ind w:firstLine="420"/>
        <w:jc w:val="left"/>
        <w:rPr>
          <w:rFonts w:ascii="仿宋" w:hAnsi="仿宋" w:eastAsia="仿宋" w:cs="仿宋"/>
          <w:sz w:val="24"/>
          <w:highlight w:val="none"/>
          <w:u w:val="single"/>
        </w:rPr>
      </w:pPr>
      <w:r>
        <w:rPr>
          <w:rFonts w:hint="eastAsia" w:ascii="仿宋" w:hAnsi="仿宋" w:eastAsia="仿宋" w:cs="仿宋"/>
          <w:sz w:val="24"/>
          <w:highlight w:val="none"/>
          <w:u w:val="single"/>
        </w:rPr>
        <w:t>（2）本项目为信息化项目，根据采购人内控要求,信息化项目服务期满后,项目单位应向市公安局科信局提交《信息化建设项目验收表》及验收所需相应材料,由市公安局科信局按照市政府履约验收相关管理办法的程序,结合市局相关内控制度组织开展终验。</w:t>
      </w:r>
    </w:p>
    <w:p w14:paraId="3535F261">
      <w:pPr>
        <w:spacing w:line="360" w:lineRule="auto"/>
        <w:ind w:firstLine="420"/>
        <w:jc w:val="left"/>
        <w:rPr>
          <w:rFonts w:ascii="仿宋" w:hAnsi="仿宋" w:eastAsia="仿宋" w:cs="仿宋"/>
          <w:sz w:val="24"/>
          <w:highlight w:val="none"/>
          <w:u w:val="single"/>
        </w:rPr>
      </w:pPr>
      <w:r>
        <w:rPr>
          <w:rFonts w:hint="eastAsia" w:ascii="仿宋" w:hAnsi="仿宋" w:eastAsia="仿宋" w:cs="仿宋"/>
          <w:sz w:val="24"/>
          <w:highlight w:val="none"/>
          <w:u w:val="single"/>
        </w:rPr>
        <w:t>（3）严格按照采购合同开展履约验收。采购人委托第三方机构组织验收，成立验收小组，验收小组由5人组成：其中采购人1名，专家4名（第三方机构在乐采云专家库相关专业随机抽取），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14:paraId="18FA7E68">
      <w:pPr>
        <w:spacing w:line="360" w:lineRule="auto"/>
        <w:ind w:firstLine="420"/>
        <w:jc w:val="left"/>
        <w:rPr>
          <w:rFonts w:ascii="仿宋" w:hAnsi="仿宋" w:eastAsia="仿宋" w:cs="仿宋"/>
          <w:sz w:val="24"/>
          <w:highlight w:val="none"/>
          <w:u w:val="single"/>
        </w:rPr>
      </w:pPr>
      <w:r>
        <w:rPr>
          <w:rFonts w:hint="eastAsia" w:ascii="仿宋" w:hAnsi="仿宋" w:eastAsia="仿宋" w:cs="仿宋"/>
          <w:sz w:val="24"/>
          <w:highlight w:val="none"/>
          <w:u w:val="single"/>
        </w:rPr>
        <w:t>（4）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14:paraId="42A62858">
      <w:pPr>
        <w:spacing w:line="360" w:lineRule="auto"/>
        <w:ind w:firstLine="420"/>
        <w:jc w:val="left"/>
        <w:rPr>
          <w:rFonts w:ascii="仿宋" w:hAnsi="仿宋" w:eastAsia="仿宋" w:cs="仿宋"/>
          <w:sz w:val="24"/>
          <w:highlight w:val="none"/>
          <w:u w:val="single"/>
        </w:rPr>
      </w:pPr>
      <w:r>
        <w:rPr>
          <w:rFonts w:hint="eastAsia" w:ascii="仿宋" w:hAnsi="仿宋" w:eastAsia="仿宋" w:cs="仿宋"/>
          <w:sz w:val="24"/>
          <w:highlight w:val="none"/>
          <w:u w:val="single"/>
        </w:rPr>
        <w:t>（5）验收产生的费用首次验收费用由采购人承担，如首次验收不合格，后续验收费用由投标人支付。</w:t>
      </w:r>
    </w:p>
    <w:p w14:paraId="520A7FC3">
      <w:pPr>
        <w:spacing w:line="360" w:lineRule="auto"/>
        <w:ind w:firstLine="420"/>
        <w:jc w:val="left"/>
        <w:rPr>
          <w:rFonts w:ascii="仿宋" w:hAnsi="仿宋" w:eastAsia="仿宋" w:cs="仿宋"/>
          <w:sz w:val="24"/>
          <w:highlight w:val="none"/>
          <w:u w:val="single"/>
        </w:rPr>
      </w:pPr>
      <w:r>
        <w:rPr>
          <w:rFonts w:hint="eastAsia" w:ascii="仿宋" w:hAnsi="仿宋" w:eastAsia="仿宋" w:cs="仿宋"/>
          <w:sz w:val="24"/>
          <w:highlight w:val="none"/>
          <w:u w:val="single"/>
        </w:rPr>
        <w:t>（6）验收内容及资料要求：</w:t>
      </w:r>
    </w:p>
    <w:p w14:paraId="03FACE86">
      <w:pPr>
        <w:spacing w:line="360" w:lineRule="auto"/>
        <w:ind w:firstLine="420"/>
        <w:jc w:val="left"/>
        <w:rPr>
          <w:rFonts w:ascii="仿宋" w:hAnsi="仿宋" w:eastAsia="仿宋" w:cs="仿宋"/>
          <w:sz w:val="24"/>
          <w:highlight w:val="none"/>
          <w:u w:val="single"/>
        </w:rPr>
      </w:pPr>
      <w:r>
        <w:rPr>
          <w:rFonts w:hint="eastAsia" w:ascii="仿宋" w:hAnsi="仿宋" w:eastAsia="仿宋" w:cs="仿宋"/>
          <w:sz w:val="24"/>
          <w:highlight w:val="none"/>
          <w:u w:val="single"/>
        </w:rPr>
        <w:t>根据采购文件确定的技术指标或者服务要求确定验收指标和标准。未进行相应约定的，应当符合国家强制性规定、政策要求、安全标准、行业和企业有关标准等。</w:t>
      </w:r>
    </w:p>
    <w:p w14:paraId="02031BEF">
      <w:pPr>
        <w:spacing w:line="360" w:lineRule="auto"/>
        <w:ind w:firstLine="420"/>
        <w:jc w:val="left"/>
        <w:rPr>
          <w:rFonts w:ascii="仿宋" w:hAnsi="仿宋" w:eastAsia="仿宋" w:cs="仿宋"/>
          <w:sz w:val="24"/>
          <w:highlight w:val="none"/>
          <w:u w:val="single"/>
        </w:rPr>
      </w:pPr>
      <w:r>
        <w:rPr>
          <w:rFonts w:hint="eastAsia" w:ascii="仿宋" w:hAnsi="仿宋" w:eastAsia="仿宋" w:cs="仿宋"/>
          <w:sz w:val="24"/>
          <w:highlight w:val="none"/>
          <w:u w:val="single"/>
        </w:rPr>
        <w:t>6.1第一期验收内容</w:t>
      </w:r>
    </w:p>
    <w:tbl>
      <w:tblPr>
        <w:tblStyle w:val="62"/>
        <w:tblW w:w="51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306"/>
        <w:gridCol w:w="7605"/>
      </w:tblGrid>
      <w:tr w14:paraId="46C4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1810CAA3">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序号</w:t>
            </w:r>
          </w:p>
        </w:tc>
        <w:tc>
          <w:tcPr>
            <w:tcW w:w="678" w:type="pct"/>
            <w:tcBorders>
              <w:top w:val="single" w:color="auto" w:sz="4" w:space="0"/>
              <w:left w:val="single" w:color="auto" w:sz="4" w:space="0"/>
              <w:bottom w:val="single" w:color="auto" w:sz="4" w:space="0"/>
              <w:right w:val="single" w:color="auto" w:sz="4" w:space="0"/>
            </w:tcBorders>
            <w:vAlign w:val="center"/>
          </w:tcPr>
          <w:p w14:paraId="770279E2">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验收内容</w:t>
            </w:r>
          </w:p>
        </w:tc>
        <w:tc>
          <w:tcPr>
            <w:tcW w:w="3947" w:type="pct"/>
            <w:tcBorders>
              <w:top w:val="single" w:color="auto" w:sz="4" w:space="0"/>
              <w:left w:val="single" w:color="auto" w:sz="4" w:space="0"/>
              <w:bottom w:val="single" w:color="auto" w:sz="4" w:space="0"/>
              <w:right w:val="single" w:color="auto" w:sz="4" w:space="0"/>
            </w:tcBorders>
            <w:vAlign w:val="center"/>
          </w:tcPr>
          <w:p w14:paraId="01D0E44D">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验收标准</w:t>
            </w:r>
          </w:p>
        </w:tc>
      </w:tr>
      <w:tr w14:paraId="5C84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20614BCA">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1</w:t>
            </w:r>
          </w:p>
        </w:tc>
        <w:tc>
          <w:tcPr>
            <w:tcW w:w="678" w:type="pct"/>
            <w:tcBorders>
              <w:top w:val="single" w:color="auto" w:sz="4" w:space="0"/>
              <w:left w:val="single" w:color="auto" w:sz="4" w:space="0"/>
              <w:bottom w:val="single" w:color="auto" w:sz="4" w:space="0"/>
              <w:right w:val="single" w:color="auto" w:sz="4" w:space="0"/>
            </w:tcBorders>
            <w:vAlign w:val="center"/>
          </w:tcPr>
          <w:p w14:paraId="7A27BC18">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质量</w:t>
            </w:r>
          </w:p>
        </w:tc>
        <w:tc>
          <w:tcPr>
            <w:tcW w:w="3947" w:type="pct"/>
            <w:tcBorders>
              <w:top w:val="single" w:color="auto" w:sz="4" w:space="0"/>
              <w:left w:val="single" w:color="auto" w:sz="4" w:space="0"/>
              <w:bottom w:val="single" w:color="auto" w:sz="4" w:space="0"/>
              <w:right w:val="single" w:color="auto" w:sz="4" w:space="0"/>
            </w:tcBorders>
            <w:vAlign w:val="center"/>
          </w:tcPr>
          <w:p w14:paraId="1EF2657B">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核对租赁产品品牌、型号、数量等与合同相符，系统设备运行稳定，未发生重大故障，需求设备质量符合公安部GA/T 947-2015标准，性能符合采购人实际使用要求，采集站支持对接现有交警使用的便携式视音频设备品牌且数据符合信创运行环境。</w:t>
            </w:r>
          </w:p>
        </w:tc>
      </w:tr>
      <w:tr w14:paraId="37D4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689031CD">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2</w:t>
            </w:r>
          </w:p>
        </w:tc>
        <w:tc>
          <w:tcPr>
            <w:tcW w:w="678" w:type="pct"/>
            <w:tcBorders>
              <w:top w:val="single" w:color="auto" w:sz="4" w:space="0"/>
              <w:left w:val="single" w:color="auto" w:sz="4" w:space="0"/>
              <w:bottom w:val="single" w:color="auto" w:sz="4" w:space="0"/>
              <w:right w:val="single" w:color="auto" w:sz="4" w:space="0"/>
            </w:tcBorders>
            <w:vAlign w:val="center"/>
          </w:tcPr>
          <w:p w14:paraId="31D159AE">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进度</w:t>
            </w:r>
          </w:p>
        </w:tc>
        <w:tc>
          <w:tcPr>
            <w:tcW w:w="3947" w:type="pct"/>
            <w:tcBorders>
              <w:top w:val="single" w:color="auto" w:sz="4" w:space="0"/>
              <w:left w:val="single" w:color="auto" w:sz="4" w:space="0"/>
              <w:bottom w:val="single" w:color="auto" w:sz="4" w:space="0"/>
              <w:right w:val="single" w:color="auto" w:sz="4" w:space="0"/>
            </w:tcBorders>
            <w:vAlign w:val="center"/>
          </w:tcPr>
          <w:p w14:paraId="1F1976D4">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项目按合同要求服务时间、故障响应的时间等落实到位。</w:t>
            </w:r>
          </w:p>
        </w:tc>
      </w:tr>
      <w:tr w14:paraId="4A04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0E7FC63B">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3</w:t>
            </w:r>
          </w:p>
        </w:tc>
        <w:tc>
          <w:tcPr>
            <w:tcW w:w="678" w:type="pct"/>
            <w:tcBorders>
              <w:top w:val="single" w:color="auto" w:sz="4" w:space="0"/>
              <w:left w:val="single" w:color="auto" w:sz="4" w:space="0"/>
              <w:bottom w:val="single" w:color="auto" w:sz="4" w:space="0"/>
              <w:right w:val="single" w:color="auto" w:sz="4" w:space="0"/>
            </w:tcBorders>
            <w:vAlign w:val="center"/>
          </w:tcPr>
          <w:p w14:paraId="3C3E9BA1">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人员培训</w:t>
            </w:r>
          </w:p>
        </w:tc>
        <w:tc>
          <w:tcPr>
            <w:tcW w:w="3947" w:type="pct"/>
            <w:tcBorders>
              <w:top w:val="single" w:color="auto" w:sz="4" w:space="0"/>
              <w:left w:val="single" w:color="auto" w:sz="4" w:space="0"/>
              <w:bottom w:val="single" w:color="auto" w:sz="4" w:space="0"/>
              <w:right w:val="single" w:color="auto" w:sz="4" w:space="0"/>
            </w:tcBorders>
            <w:vAlign w:val="center"/>
          </w:tcPr>
          <w:p w14:paraId="6A09E14B">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按合同和采购人需求对采购人指定人员进行培训。</w:t>
            </w:r>
          </w:p>
        </w:tc>
      </w:tr>
      <w:tr w14:paraId="2416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5099241E">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4</w:t>
            </w:r>
          </w:p>
        </w:tc>
        <w:tc>
          <w:tcPr>
            <w:tcW w:w="678" w:type="pct"/>
            <w:tcBorders>
              <w:top w:val="single" w:color="auto" w:sz="4" w:space="0"/>
              <w:left w:val="single" w:color="auto" w:sz="4" w:space="0"/>
              <w:bottom w:val="single" w:color="auto" w:sz="4" w:space="0"/>
              <w:right w:val="single" w:color="auto" w:sz="4" w:space="0"/>
            </w:tcBorders>
            <w:vAlign w:val="center"/>
          </w:tcPr>
          <w:p w14:paraId="2EAA6DF4">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人员管理</w:t>
            </w:r>
          </w:p>
        </w:tc>
        <w:tc>
          <w:tcPr>
            <w:tcW w:w="3947" w:type="pct"/>
            <w:tcBorders>
              <w:top w:val="single" w:color="auto" w:sz="4" w:space="0"/>
              <w:left w:val="single" w:color="auto" w:sz="4" w:space="0"/>
              <w:bottom w:val="single" w:color="auto" w:sz="4" w:space="0"/>
              <w:right w:val="single" w:color="auto" w:sz="4" w:space="0"/>
            </w:tcBorders>
            <w:vAlign w:val="center"/>
          </w:tcPr>
          <w:p w14:paraId="7D9BC14B">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在服务期间，按合同和投标文件投入相应资质人员。</w:t>
            </w:r>
          </w:p>
          <w:p w14:paraId="698A06C0">
            <w:pPr>
              <w:snapToGrid w:val="0"/>
              <w:spacing w:line="360" w:lineRule="auto"/>
              <w:rPr>
                <w:rFonts w:ascii="仿宋" w:hAnsi="仿宋" w:eastAsia="仿宋" w:cs="仿宋"/>
                <w:bCs/>
                <w:sz w:val="24"/>
                <w:highlight w:val="none"/>
              </w:rPr>
            </w:pPr>
            <w:r>
              <w:rPr>
                <w:rFonts w:hint="eastAsia" w:ascii="仿宋" w:hAnsi="仿宋" w:eastAsia="仿宋" w:cs="仿宋"/>
                <w:kern w:val="0"/>
                <w:sz w:val="24"/>
                <w:highlight w:val="none"/>
                <w:lang w:bidi="zh-CN"/>
              </w:rPr>
              <w:t>按照实际工作需要，配备不少于1名项目负责人和1名驻点人员。</w:t>
            </w:r>
          </w:p>
        </w:tc>
      </w:tr>
      <w:tr w14:paraId="3D8B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13B4ADC1">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5</w:t>
            </w:r>
          </w:p>
        </w:tc>
        <w:tc>
          <w:tcPr>
            <w:tcW w:w="678" w:type="pct"/>
            <w:tcBorders>
              <w:top w:val="single" w:color="auto" w:sz="4" w:space="0"/>
              <w:left w:val="single" w:color="auto" w:sz="4" w:space="0"/>
              <w:bottom w:val="single" w:color="auto" w:sz="4" w:space="0"/>
              <w:right w:val="single" w:color="auto" w:sz="4" w:space="0"/>
            </w:tcBorders>
            <w:vAlign w:val="center"/>
          </w:tcPr>
          <w:p w14:paraId="05E4CCB5">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网络安全</w:t>
            </w:r>
          </w:p>
        </w:tc>
        <w:tc>
          <w:tcPr>
            <w:tcW w:w="3947" w:type="pct"/>
            <w:tcBorders>
              <w:top w:val="single" w:color="auto" w:sz="4" w:space="0"/>
              <w:left w:val="single" w:color="auto" w:sz="4" w:space="0"/>
              <w:bottom w:val="single" w:color="auto" w:sz="4" w:space="0"/>
              <w:right w:val="single" w:color="auto" w:sz="4" w:space="0"/>
            </w:tcBorders>
            <w:vAlign w:val="center"/>
          </w:tcPr>
          <w:p w14:paraId="07D53407">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（1）明确投标人法定代表人为合作事项网络安全第一责任人，具体承担合作事项的部门主要负责人为直接责任人。</w:t>
            </w:r>
          </w:p>
          <w:p w14:paraId="464F9A3B">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（2）未经允许不得分包，不得转包合同任务。</w:t>
            </w:r>
          </w:p>
          <w:p w14:paraId="4B81EF61">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（3）投标人应制订与合作事项相关的网络安全保障方案和网络安全事件应急预案。</w:t>
            </w:r>
          </w:p>
          <w:p w14:paraId="617CAA7B">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（4）投标人发现网络安全漏洞、缺陷或者其他严重网络安全风险，应及时向采购人报告。</w:t>
            </w:r>
          </w:p>
          <w:p w14:paraId="154992F6">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（5）处理合作事项的信息平台应当优先采用</w:t>
            </w:r>
            <w:r>
              <w:rPr>
                <w:rFonts w:hint="eastAsia" w:ascii="仿宋" w:hAnsi="仿宋" w:eastAsia="仿宋" w:cs="仿宋"/>
                <w:kern w:val="0"/>
                <w:sz w:val="24"/>
                <w:highlight w:val="none"/>
                <w:lang w:bidi="zh-CN"/>
              </w:rPr>
              <w:t>符合安全可靠测评要求</w:t>
            </w:r>
            <w:r>
              <w:rPr>
                <w:rFonts w:hint="eastAsia" w:ascii="仿宋" w:hAnsi="仿宋" w:eastAsia="仿宋" w:cs="仿宋"/>
                <w:bCs/>
                <w:sz w:val="24"/>
                <w:highlight w:val="none"/>
              </w:rPr>
              <w:t>的硬件和软件产品。</w:t>
            </w:r>
          </w:p>
          <w:p w14:paraId="5ED686FC">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（6）发生可能影响合作事项的网络安全重大事项，包括负责人及重要工作人员变更、业务转型、合并重组和投资并购等，投标人应提前向采购人报告。</w:t>
            </w:r>
          </w:p>
          <w:p w14:paraId="2523434E">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（7）采用社会公共网络平台实施合作事项时，严禁涉及国家秘密和警务工作秘密。</w:t>
            </w:r>
          </w:p>
          <w:p w14:paraId="5160537D">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（8）投标人应在2026年8月1日前向采购人提交网络安全报告。</w:t>
            </w:r>
          </w:p>
          <w:p w14:paraId="75745989">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（9）其他应当落实的网络安全责任和义务。</w:t>
            </w:r>
          </w:p>
        </w:tc>
      </w:tr>
      <w:tr w14:paraId="4AFA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30A40F82">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6</w:t>
            </w:r>
          </w:p>
        </w:tc>
        <w:tc>
          <w:tcPr>
            <w:tcW w:w="678" w:type="pct"/>
            <w:tcBorders>
              <w:top w:val="single" w:color="auto" w:sz="4" w:space="0"/>
              <w:left w:val="single" w:color="auto" w:sz="4" w:space="0"/>
              <w:bottom w:val="single" w:color="auto" w:sz="4" w:space="0"/>
              <w:right w:val="single" w:color="auto" w:sz="4" w:space="0"/>
            </w:tcBorders>
            <w:vAlign w:val="center"/>
          </w:tcPr>
          <w:p w14:paraId="1D23246B">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保密要求</w:t>
            </w:r>
          </w:p>
        </w:tc>
        <w:tc>
          <w:tcPr>
            <w:tcW w:w="3947" w:type="pct"/>
            <w:tcBorders>
              <w:top w:val="single" w:color="auto" w:sz="4" w:space="0"/>
              <w:left w:val="single" w:color="auto" w:sz="4" w:space="0"/>
              <w:bottom w:val="single" w:color="auto" w:sz="4" w:space="0"/>
              <w:right w:val="single" w:color="auto" w:sz="4" w:space="0"/>
            </w:tcBorders>
            <w:vAlign w:val="center"/>
          </w:tcPr>
          <w:p w14:paraId="56621652">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满足采购人的保密规定实施，签订单位保密协议、个人保密承诺书。</w:t>
            </w:r>
          </w:p>
        </w:tc>
      </w:tr>
      <w:tr w14:paraId="1BE1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2C9BD72D">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7</w:t>
            </w:r>
          </w:p>
        </w:tc>
        <w:tc>
          <w:tcPr>
            <w:tcW w:w="678" w:type="pct"/>
            <w:tcBorders>
              <w:top w:val="single" w:color="auto" w:sz="4" w:space="0"/>
              <w:left w:val="single" w:color="auto" w:sz="4" w:space="0"/>
              <w:bottom w:val="single" w:color="auto" w:sz="4" w:space="0"/>
              <w:right w:val="single" w:color="auto" w:sz="4" w:space="0"/>
            </w:tcBorders>
            <w:vAlign w:val="center"/>
          </w:tcPr>
          <w:p w14:paraId="0F4D460F">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项目资料</w:t>
            </w:r>
          </w:p>
        </w:tc>
        <w:tc>
          <w:tcPr>
            <w:tcW w:w="3947" w:type="pct"/>
            <w:tcBorders>
              <w:top w:val="single" w:color="auto" w:sz="4" w:space="0"/>
              <w:left w:val="single" w:color="auto" w:sz="4" w:space="0"/>
              <w:bottom w:val="single" w:color="auto" w:sz="4" w:space="0"/>
              <w:right w:val="single" w:color="auto" w:sz="4" w:space="0"/>
            </w:tcBorders>
            <w:vAlign w:val="center"/>
          </w:tcPr>
          <w:p w14:paraId="5B06A38C">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做好</w:t>
            </w:r>
            <w:r>
              <w:rPr>
                <w:rFonts w:hint="eastAsia" w:ascii="仿宋" w:hAnsi="仿宋" w:eastAsia="仿宋" w:cs="仿宋"/>
                <w:sz w:val="24"/>
                <w:highlight w:val="none"/>
              </w:rPr>
              <w:t>每月巡检记录</w:t>
            </w:r>
            <w:r>
              <w:rPr>
                <w:rFonts w:hint="eastAsia" w:ascii="仿宋" w:hAnsi="仿宋" w:eastAsia="仿宋" w:cs="仿宋"/>
                <w:bCs/>
                <w:sz w:val="24"/>
                <w:highlight w:val="none"/>
              </w:rPr>
              <w:t>、维护记录、</w:t>
            </w:r>
            <w:r>
              <w:rPr>
                <w:rFonts w:hint="eastAsia" w:ascii="仿宋" w:hAnsi="仿宋" w:eastAsia="仿宋" w:cs="仿宋"/>
                <w:sz w:val="24"/>
                <w:highlight w:val="none"/>
              </w:rPr>
              <w:t>租赁月报等。</w:t>
            </w:r>
          </w:p>
        </w:tc>
      </w:tr>
      <w:tr w14:paraId="6D76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37B2FA84">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8</w:t>
            </w:r>
          </w:p>
        </w:tc>
        <w:tc>
          <w:tcPr>
            <w:tcW w:w="678" w:type="pct"/>
            <w:tcBorders>
              <w:top w:val="single" w:color="auto" w:sz="4" w:space="0"/>
              <w:left w:val="single" w:color="auto" w:sz="4" w:space="0"/>
              <w:bottom w:val="single" w:color="auto" w:sz="4" w:space="0"/>
              <w:right w:val="single" w:color="auto" w:sz="4" w:space="0"/>
            </w:tcBorders>
            <w:vAlign w:val="center"/>
          </w:tcPr>
          <w:p w14:paraId="5045CC96">
            <w:pPr>
              <w:widowControl/>
              <w:spacing w:line="360" w:lineRule="auto"/>
              <w:jc w:val="center"/>
              <w:rPr>
                <w:rFonts w:ascii="仿宋" w:hAnsi="仿宋" w:eastAsia="仿宋" w:cs="仿宋"/>
                <w:bCs/>
                <w:sz w:val="24"/>
                <w:highlight w:val="none"/>
              </w:rPr>
            </w:pPr>
            <w:r>
              <w:rPr>
                <w:rFonts w:hint="eastAsia" w:ascii="仿宋" w:hAnsi="仿宋" w:eastAsia="仿宋" w:cs="仿宋"/>
                <w:sz w:val="24"/>
                <w:highlight w:val="none"/>
              </w:rPr>
              <w:t>中小企业比例</w:t>
            </w:r>
          </w:p>
        </w:tc>
        <w:tc>
          <w:tcPr>
            <w:tcW w:w="3947" w:type="pct"/>
            <w:tcBorders>
              <w:top w:val="single" w:color="auto" w:sz="4" w:space="0"/>
              <w:left w:val="single" w:color="auto" w:sz="4" w:space="0"/>
              <w:bottom w:val="single" w:color="auto" w:sz="4" w:space="0"/>
              <w:right w:val="single" w:color="auto" w:sz="4" w:space="0"/>
            </w:tcBorders>
            <w:vAlign w:val="center"/>
          </w:tcPr>
          <w:p w14:paraId="17EF3F62">
            <w:pPr>
              <w:widowControl/>
              <w:spacing w:line="360" w:lineRule="auto"/>
              <w:rPr>
                <w:rFonts w:ascii="仿宋" w:hAnsi="仿宋" w:eastAsia="仿宋" w:cs="仿宋"/>
                <w:bCs/>
                <w:sz w:val="24"/>
                <w:highlight w:val="none"/>
              </w:rPr>
            </w:pPr>
            <w:r>
              <w:rPr>
                <w:rFonts w:hint="eastAsia" w:ascii="仿宋" w:hAnsi="仿宋" w:eastAsia="仿宋" w:cs="仿宋"/>
                <w:sz w:val="24"/>
                <w:highlight w:val="none"/>
              </w:rPr>
              <w:t>本项目履约过程中，不存在转包行为，且确保服务内容100%面向小微企业。</w:t>
            </w:r>
          </w:p>
        </w:tc>
      </w:tr>
      <w:tr w14:paraId="4675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79A4E8EF">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9</w:t>
            </w:r>
          </w:p>
        </w:tc>
        <w:tc>
          <w:tcPr>
            <w:tcW w:w="678" w:type="pct"/>
            <w:tcBorders>
              <w:top w:val="single" w:color="auto" w:sz="4" w:space="0"/>
              <w:left w:val="single" w:color="auto" w:sz="4" w:space="0"/>
              <w:bottom w:val="single" w:color="auto" w:sz="4" w:space="0"/>
              <w:right w:val="single" w:color="auto" w:sz="4" w:space="0"/>
            </w:tcBorders>
            <w:vAlign w:val="center"/>
          </w:tcPr>
          <w:p w14:paraId="43A612F9">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其他工作</w:t>
            </w:r>
          </w:p>
        </w:tc>
        <w:tc>
          <w:tcPr>
            <w:tcW w:w="3947" w:type="pct"/>
            <w:tcBorders>
              <w:top w:val="single" w:color="auto" w:sz="4" w:space="0"/>
              <w:left w:val="single" w:color="auto" w:sz="4" w:space="0"/>
              <w:bottom w:val="single" w:color="auto" w:sz="4" w:space="0"/>
              <w:right w:val="single" w:color="auto" w:sz="4" w:space="0"/>
            </w:tcBorders>
            <w:vAlign w:val="center"/>
          </w:tcPr>
          <w:p w14:paraId="6CC8026F">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履行项目采购文件、投标文件、合同条款中涉及的其他承诺的情况。</w:t>
            </w:r>
          </w:p>
        </w:tc>
      </w:tr>
    </w:tbl>
    <w:p w14:paraId="127E2B9F">
      <w:pPr>
        <w:pStyle w:val="32"/>
        <w:spacing w:line="360" w:lineRule="auto"/>
        <w:ind w:right="-512" w:firstLine="542" w:firstLineChars="225"/>
        <w:rPr>
          <w:rFonts w:ascii="仿宋" w:hAnsi="仿宋" w:eastAsia="仿宋" w:cs="仿宋"/>
          <w:b/>
          <w:sz w:val="24"/>
          <w:szCs w:val="24"/>
          <w:highlight w:val="none"/>
        </w:rPr>
      </w:pPr>
      <w:r>
        <w:rPr>
          <w:rFonts w:hint="eastAsia" w:ascii="仿宋" w:hAnsi="仿宋" w:eastAsia="仿宋" w:cs="仿宋"/>
          <w:b/>
          <w:sz w:val="24"/>
          <w:szCs w:val="24"/>
          <w:highlight w:val="none"/>
        </w:rPr>
        <w:t>6.2 第一期验收资料：</w:t>
      </w:r>
    </w:p>
    <w:p w14:paraId="0B8E94B8">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1）招标文件；</w:t>
      </w:r>
    </w:p>
    <w:p w14:paraId="2C639CE7">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2）投标文件；</w:t>
      </w:r>
    </w:p>
    <w:p w14:paraId="04E0838E">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3）项目合同；</w:t>
      </w:r>
    </w:p>
    <w:p w14:paraId="47A5F14E">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4）租赁方案审批单：投标人提出申请经服务监理单位及采购人审批；</w:t>
      </w:r>
    </w:p>
    <w:p w14:paraId="69F23A5B">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5）每月巡检记录、</w:t>
      </w:r>
      <w:r>
        <w:rPr>
          <w:rFonts w:hint="eastAsia" w:ascii="仿宋" w:hAnsi="仿宋" w:eastAsia="仿宋" w:cs="仿宋"/>
          <w:bCs/>
          <w:sz w:val="24"/>
          <w:highlight w:val="none"/>
        </w:rPr>
        <w:t>维护记录</w:t>
      </w:r>
      <w:r>
        <w:rPr>
          <w:rFonts w:hint="eastAsia" w:ascii="仿宋" w:hAnsi="仿宋" w:eastAsia="仿宋" w:cs="仿宋"/>
          <w:sz w:val="24"/>
          <w:highlight w:val="none"/>
        </w:rPr>
        <w:t>；</w:t>
      </w:r>
    </w:p>
    <w:p w14:paraId="49E7C7FD">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6）租赁月报；</w:t>
      </w:r>
    </w:p>
    <w:p w14:paraId="11F42C6C">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7）项目组人员清单、学历、工作经验证明、每月社保缴纳材料、驻点人员考勤、人员变更审批表（如有）；</w:t>
      </w:r>
    </w:p>
    <w:p w14:paraId="7AD8A704">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8）培训记录：由培训参与人员签字、培训资料；</w:t>
      </w:r>
    </w:p>
    <w:p w14:paraId="11F0F47C">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9）每月考核材料：需采购人经办人及审核人、投标人、监理单位签字并盖章；</w:t>
      </w:r>
    </w:p>
    <w:p w14:paraId="3D74B5FF">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10）网络安全保障方案、网络安全事件应急预案、网络安全风险书面报告（如有）、网络安全重大事项书面报告（如有）；</w:t>
      </w:r>
    </w:p>
    <w:p w14:paraId="0757F347">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11）单位保密协议、个人保密承诺书、日常保密教育台账；</w:t>
      </w:r>
    </w:p>
    <w:p w14:paraId="75776FBF">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12）验收报审表：由租赁提供单位提交，经监理单位及采购人审批；</w:t>
      </w:r>
    </w:p>
    <w:p w14:paraId="255FA054">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13）</w:t>
      </w:r>
      <w:r>
        <w:rPr>
          <w:rFonts w:hint="eastAsia" w:ascii="仿宋" w:hAnsi="仿宋" w:eastAsia="仿宋" w:cs="仿宋"/>
          <w:kern w:val="0"/>
          <w:sz w:val="24"/>
          <w:highlight w:val="none"/>
          <w:lang w:bidi="zh-CN"/>
        </w:rPr>
        <w:t>检测报告</w:t>
      </w:r>
      <w:r>
        <w:rPr>
          <w:rFonts w:hint="eastAsia" w:ascii="仿宋" w:hAnsi="仿宋" w:eastAsia="仿宋" w:cs="仿宋"/>
          <w:sz w:val="24"/>
          <w:highlight w:val="none"/>
        </w:rPr>
        <w:t>证明、产品合格证、质保承诺书；</w:t>
      </w:r>
    </w:p>
    <w:p w14:paraId="538B72C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14）小微企业证明材料；</w:t>
      </w:r>
    </w:p>
    <w:p w14:paraId="191C640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15）信创检测报告；</w:t>
      </w:r>
    </w:p>
    <w:p w14:paraId="17D6B297">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16）第三方检测报告；</w:t>
      </w:r>
    </w:p>
    <w:p w14:paraId="29FCF5A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17）等保测评报告：由测评资质机构出具；商用密码应用测评报告；</w:t>
      </w:r>
    </w:p>
    <w:p w14:paraId="70F08063">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18）测试方案/计划、测试报告/用例、系统配置手册、用户操作手册；</w:t>
      </w:r>
    </w:p>
    <w:p w14:paraId="4E27B31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19）信息化建设项目变更审批表（如有）、监理报告</w:t>
      </w:r>
    </w:p>
    <w:p w14:paraId="14A138A7">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20）其他需提供的相关材料。</w:t>
      </w:r>
    </w:p>
    <w:p w14:paraId="7FFB7102">
      <w:pPr>
        <w:spacing w:line="360" w:lineRule="auto"/>
        <w:ind w:firstLine="420"/>
        <w:jc w:val="left"/>
        <w:rPr>
          <w:rFonts w:ascii="仿宋" w:hAnsi="仿宋" w:eastAsia="仿宋" w:cs="仿宋"/>
          <w:sz w:val="24"/>
          <w:highlight w:val="none"/>
          <w:u w:val="single"/>
        </w:rPr>
      </w:pPr>
      <w:r>
        <w:rPr>
          <w:rFonts w:hint="eastAsia" w:ascii="仿宋" w:hAnsi="仿宋" w:eastAsia="仿宋" w:cs="仿宋"/>
          <w:sz w:val="24"/>
          <w:highlight w:val="none"/>
          <w:u w:val="single"/>
        </w:rPr>
        <w:t>6.3第二期验收内容</w:t>
      </w:r>
    </w:p>
    <w:tbl>
      <w:tblPr>
        <w:tblStyle w:val="62"/>
        <w:tblW w:w="51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306"/>
        <w:gridCol w:w="7605"/>
      </w:tblGrid>
      <w:tr w14:paraId="51D9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750F2618">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序号</w:t>
            </w:r>
          </w:p>
        </w:tc>
        <w:tc>
          <w:tcPr>
            <w:tcW w:w="678" w:type="pct"/>
            <w:tcBorders>
              <w:top w:val="single" w:color="auto" w:sz="4" w:space="0"/>
              <w:left w:val="single" w:color="auto" w:sz="4" w:space="0"/>
              <w:bottom w:val="single" w:color="auto" w:sz="4" w:space="0"/>
              <w:right w:val="single" w:color="auto" w:sz="4" w:space="0"/>
            </w:tcBorders>
            <w:vAlign w:val="center"/>
          </w:tcPr>
          <w:p w14:paraId="0DC5136B">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验收内容</w:t>
            </w:r>
          </w:p>
        </w:tc>
        <w:tc>
          <w:tcPr>
            <w:tcW w:w="3947" w:type="pct"/>
            <w:tcBorders>
              <w:top w:val="single" w:color="auto" w:sz="4" w:space="0"/>
              <w:left w:val="single" w:color="auto" w:sz="4" w:space="0"/>
              <w:bottom w:val="single" w:color="auto" w:sz="4" w:space="0"/>
              <w:right w:val="single" w:color="auto" w:sz="4" w:space="0"/>
            </w:tcBorders>
            <w:vAlign w:val="center"/>
          </w:tcPr>
          <w:p w14:paraId="4BFC225A">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验收标准</w:t>
            </w:r>
          </w:p>
        </w:tc>
      </w:tr>
      <w:tr w14:paraId="1B08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22E635C7">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1</w:t>
            </w:r>
          </w:p>
        </w:tc>
        <w:tc>
          <w:tcPr>
            <w:tcW w:w="678" w:type="pct"/>
            <w:tcBorders>
              <w:top w:val="single" w:color="auto" w:sz="4" w:space="0"/>
              <w:left w:val="single" w:color="auto" w:sz="4" w:space="0"/>
              <w:bottom w:val="single" w:color="auto" w:sz="4" w:space="0"/>
              <w:right w:val="single" w:color="auto" w:sz="4" w:space="0"/>
            </w:tcBorders>
            <w:vAlign w:val="center"/>
          </w:tcPr>
          <w:p w14:paraId="00AE262A">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质量</w:t>
            </w:r>
          </w:p>
        </w:tc>
        <w:tc>
          <w:tcPr>
            <w:tcW w:w="3947" w:type="pct"/>
            <w:tcBorders>
              <w:top w:val="single" w:color="auto" w:sz="4" w:space="0"/>
              <w:left w:val="single" w:color="auto" w:sz="4" w:space="0"/>
              <w:bottom w:val="single" w:color="auto" w:sz="4" w:space="0"/>
              <w:right w:val="single" w:color="auto" w:sz="4" w:space="0"/>
            </w:tcBorders>
            <w:vAlign w:val="center"/>
          </w:tcPr>
          <w:p w14:paraId="00A6EAEB">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核对租赁产品品牌、型号、数量等与合同相符，系统设备运行稳定，未发生重大故障，需求设备质量符合公安部GA/T 947-2015标准，性能符合采购人实际使用要求，采集站支持对接现有交警使用的便携式视音频设备品牌且数据符合信创运行环境。</w:t>
            </w:r>
          </w:p>
        </w:tc>
      </w:tr>
      <w:tr w14:paraId="2799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66F074C6">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2</w:t>
            </w:r>
          </w:p>
        </w:tc>
        <w:tc>
          <w:tcPr>
            <w:tcW w:w="678" w:type="pct"/>
            <w:tcBorders>
              <w:top w:val="single" w:color="auto" w:sz="4" w:space="0"/>
              <w:left w:val="single" w:color="auto" w:sz="4" w:space="0"/>
              <w:bottom w:val="single" w:color="auto" w:sz="4" w:space="0"/>
              <w:right w:val="single" w:color="auto" w:sz="4" w:space="0"/>
            </w:tcBorders>
            <w:vAlign w:val="center"/>
          </w:tcPr>
          <w:p w14:paraId="60F7C04D">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进度</w:t>
            </w:r>
          </w:p>
        </w:tc>
        <w:tc>
          <w:tcPr>
            <w:tcW w:w="3947" w:type="pct"/>
            <w:tcBorders>
              <w:top w:val="single" w:color="auto" w:sz="4" w:space="0"/>
              <w:left w:val="single" w:color="auto" w:sz="4" w:space="0"/>
              <w:bottom w:val="single" w:color="auto" w:sz="4" w:space="0"/>
              <w:right w:val="single" w:color="auto" w:sz="4" w:space="0"/>
            </w:tcBorders>
            <w:vAlign w:val="center"/>
          </w:tcPr>
          <w:p w14:paraId="3184FE89">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项目按合同要求服务时间、故障响应的时间等落实到位。</w:t>
            </w:r>
          </w:p>
        </w:tc>
      </w:tr>
      <w:tr w14:paraId="5E15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7F44F618">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3</w:t>
            </w:r>
          </w:p>
        </w:tc>
        <w:tc>
          <w:tcPr>
            <w:tcW w:w="678" w:type="pct"/>
            <w:tcBorders>
              <w:top w:val="single" w:color="auto" w:sz="4" w:space="0"/>
              <w:left w:val="single" w:color="auto" w:sz="4" w:space="0"/>
              <w:bottom w:val="single" w:color="auto" w:sz="4" w:space="0"/>
              <w:right w:val="single" w:color="auto" w:sz="4" w:space="0"/>
            </w:tcBorders>
            <w:vAlign w:val="center"/>
          </w:tcPr>
          <w:p w14:paraId="46A99050">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人员培训</w:t>
            </w:r>
          </w:p>
        </w:tc>
        <w:tc>
          <w:tcPr>
            <w:tcW w:w="3947" w:type="pct"/>
            <w:tcBorders>
              <w:top w:val="single" w:color="auto" w:sz="4" w:space="0"/>
              <w:left w:val="single" w:color="auto" w:sz="4" w:space="0"/>
              <w:bottom w:val="single" w:color="auto" w:sz="4" w:space="0"/>
              <w:right w:val="single" w:color="auto" w:sz="4" w:space="0"/>
            </w:tcBorders>
            <w:vAlign w:val="center"/>
          </w:tcPr>
          <w:p w14:paraId="1771444E">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按合同和采购人需求对采购人指定人员进行培训。</w:t>
            </w:r>
          </w:p>
        </w:tc>
      </w:tr>
      <w:tr w14:paraId="7310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0C0B9368">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4</w:t>
            </w:r>
          </w:p>
        </w:tc>
        <w:tc>
          <w:tcPr>
            <w:tcW w:w="678" w:type="pct"/>
            <w:tcBorders>
              <w:top w:val="single" w:color="auto" w:sz="4" w:space="0"/>
              <w:left w:val="single" w:color="auto" w:sz="4" w:space="0"/>
              <w:bottom w:val="single" w:color="auto" w:sz="4" w:space="0"/>
              <w:right w:val="single" w:color="auto" w:sz="4" w:space="0"/>
            </w:tcBorders>
            <w:vAlign w:val="center"/>
          </w:tcPr>
          <w:p w14:paraId="221C7123">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人员管理</w:t>
            </w:r>
          </w:p>
        </w:tc>
        <w:tc>
          <w:tcPr>
            <w:tcW w:w="3947" w:type="pct"/>
            <w:tcBorders>
              <w:top w:val="single" w:color="auto" w:sz="4" w:space="0"/>
              <w:left w:val="single" w:color="auto" w:sz="4" w:space="0"/>
              <w:bottom w:val="single" w:color="auto" w:sz="4" w:space="0"/>
              <w:right w:val="single" w:color="auto" w:sz="4" w:space="0"/>
            </w:tcBorders>
            <w:vAlign w:val="center"/>
          </w:tcPr>
          <w:p w14:paraId="5AA991BD">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在服务期间，按合同和投标文件投入相应资质人员。</w:t>
            </w:r>
          </w:p>
          <w:p w14:paraId="25B12433">
            <w:pPr>
              <w:snapToGrid w:val="0"/>
              <w:spacing w:line="360" w:lineRule="auto"/>
              <w:rPr>
                <w:rFonts w:ascii="仿宋" w:hAnsi="仿宋" w:eastAsia="仿宋" w:cs="仿宋"/>
                <w:bCs/>
                <w:sz w:val="24"/>
                <w:highlight w:val="none"/>
              </w:rPr>
            </w:pPr>
            <w:r>
              <w:rPr>
                <w:rFonts w:hint="eastAsia" w:ascii="仿宋" w:hAnsi="仿宋" w:eastAsia="仿宋" w:cs="仿宋"/>
                <w:kern w:val="0"/>
                <w:sz w:val="24"/>
                <w:highlight w:val="none"/>
                <w:lang w:bidi="zh-CN"/>
              </w:rPr>
              <w:t>按照实际工作需要，配备不少于1名项目负责人和1名驻点人员。</w:t>
            </w:r>
          </w:p>
        </w:tc>
      </w:tr>
      <w:tr w14:paraId="4FEC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064683B6">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5</w:t>
            </w:r>
          </w:p>
        </w:tc>
        <w:tc>
          <w:tcPr>
            <w:tcW w:w="678" w:type="pct"/>
            <w:tcBorders>
              <w:top w:val="single" w:color="auto" w:sz="4" w:space="0"/>
              <w:left w:val="single" w:color="auto" w:sz="4" w:space="0"/>
              <w:bottom w:val="single" w:color="auto" w:sz="4" w:space="0"/>
              <w:right w:val="single" w:color="auto" w:sz="4" w:space="0"/>
            </w:tcBorders>
            <w:vAlign w:val="center"/>
          </w:tcPr>
          <w:p w14:paraId="19B59BFE">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网络安全</w:t>
            </w:r>
          </w:p>
        </w:tc>
        <w:tc>
          <w:tcPr>
            <w:tcW w:w="3947" w:type="pct"/>
            <w:tcBorders>
              <w:top w:val="single" w:color="auto" w:sz="4" w:space="0"/>
              <w:left w:val="single" w:color="auto" w:sz="4" w:space="0"/>
              <w:bottom w:val="single" w:color="auto" w:sz="4" w:space="0"/>
              <w:right w:val="single" w:color="auto" w:sz="4" w:space="0"/>
            </w:tcBorders>
            <w:vAlign w:val="center"/>
          </w:tcPr>
          <w:p w14:paraId="116A5634">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（1）明确投标人法定代表人为合作事项网络安全第一责任人，具体承担合作事项的部门主要负责人为直接责任人。</w:t>
            </w:r>
          </w:p>
          <w:p w14:paraId="561706F6">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（2）未经允许不得分包，不得转包合同任务。</w:t>
            </w:r>
          </w:p>
          <w:p w14:paraId="1FF5B57D">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（3）投标人应制订与合作事项相关的网络安全保障方案和网络安全事件应急预案。</w:t>
            </w:r>
          </w:p>
          <w:p w14:paraId="4ECCFED8">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（4）投标人发现网络安全漏洞、缺陷或者其他严重网络安全风险，应及时向采购人报告。</w:t>
            </w:r>
          </w:p>
          <w:p w14:paraId="290E0501">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（5）处理合作事项的信息平台应当优先采用</w:t>
            </w:r>
            <w:r>
              <w:rPr>
                <w:rFonts w:hint="eastAsia" w:ascii="仿宋" w:hAnsi="仿宋" w:eastAsia="仿宋" w:cs="仿宋"/>
                <w:kern w:val="0"/>
                <w:sz w:val="24"/>
                <w:highlight w:val="none"/>
                <w:lang w:bidi="zh-CN"/>
              </w:rPr>
              <w:t>符合安全可靠测评要求</w:t>
            </w:r>
            <w:r>
              <w:rPr>
                <w:rFonts w:hint="eastAsia" w:ascii="仿宋" w:hAnsi="仿宋" w:eastAsia="仿宋" w:cs="仿宋"/>
                <w:bCs/>
                <w:sz w:val="24"/>
                <w:highlight w:val="none"/>
              </w:rPr>
              <w:t>的硬件和软件产品。</w:t>
            </w:r>
          </w:p>
          <w:p w14:paraId="618CCF95">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（6）发生可能影响合作事项的网络安全重大事项，包括负责人及重要工作人员变更、业务转型、合并重组和投资并购等，投标人应提前向采购人报告。</w:t>
            </w:r>
          </w:p>
          <w:p w14:paraId="77282AE2">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（7）采用社会公共网络平台实施合作事项时，严禁涉及国家秘密和警务工作秘密。</w:t>
            </w:r>
          </w:p>
          <w:p w14:paraId="7C36BAB4">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（8）投标人应在2026年8月1日前向采购人提交网络安全报告。</w:t>
            </w:r>
          </w:p>
          <w:p w14:paraId="21F9325D">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（9）其他应当落实的网络安全责任和义务。</w:t>
            </w:r>
          </w:p>
        </w:tc>
      </w:tr>
      <w:tr w14:paraId="4836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24932A10">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6</w:t>
            </w:r>
          </w:p>
        </w:tc>
        <w:tc>
          <w:tcPr>
            <w:tcW w:w="678" w:type="pct"/>
            <w:tcBorders>
              <w:top w:val="single" w:color="auto" w:sz="4" w:space="0"/>
              <w:left w:val="single" w:color="auto" w:sz="4" w:space="0"/>
              <w:bottom w:val="single" w:color="auto" w:sz="4" w:space="0"/>
              <w:right w:val="single" w:color="auto" w:sz="4" w:space="0"/>
            </w:tcBorders>
            <w:vAlign w:val="center"/>
          </w:tcPr>
          <w:p w14:paraId="2434E8E4">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保密要求</w:t>
            </w:r>
          </w:p>
        </w:tc>
        <w:tc>
          <w:tcPr>
            <w:tcW w:w="3947" w:type="pct"/>
            <w:tcBorders>
              <w:top w:val="single" w:color="auto" w:sz="4" w:space="0"/>
              <w:left w:val="single" w:color="auto" w:sz="4" w:space="0"/>
              <w:bottom w:val="single" w:color="auto" w:sz="4" w:space="0"/>
              <w:right w:val="single" w:color="auto" w:sz="4" w:space="0"/>
            </w:tcBorders>
            <w:vAlign w:val="center"/>
          </w:tcPr>
          <w:p w14:paraId="7D009BD5">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满足采购人的保密规定实施，签订单位保密协议、个人保密承诺书。</w:t>
            </w:r>
          </w:p>
        </w:tc>
      </w:tr>
      <w:tr w14:paraId="137F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4FD2C398">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7</w:t>
            </w:r>
          </w:p>
        </w:tc>
        <w:tc>
          <w:tcPr>
            <w:tcW w:w="678" w:type="pct"/>
            <w:tcBorders>
              <w:top w:val="single" w:color="auto" w:sz="4" w:space="0"/>
              <w:left w:val="single" w:color="auto" w:sz="4" w:space="0"/>
              <w:bottom w:val="single" w:color="auto" w:sz="4" w:space="0"/>
              <w:right w:val="single" w:color="auto" w:sz="4" w:space="0"/>
            </w:tcBorders>
            <w:vAlign w:val="center"/>
          </w:tcPr>
          <w:p w14:paraId="212E57E5">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项目资料</w:t>
            </w:r>
          </w:p>
        </w:tc>
        <w:tc>
          <w:tcPr>
            <w:tcW w:w="3947" w:type="pct"/>
            <w:tcBorders>
              <w:top w:val="single" w:color="auto" w:sz="4" w:space="0"/>
              <w:left w:val="single" w:color="auto" w:sz="4" w:space="0"/>
              <w:bottom w:val="single" w:color="auto" w:sz="4" w:space="0"/>
              <w:right w:val="single" w:color="auto" w:sz="4" w:space="0"/>
            </w:tcBorders>
            <w:vAlign w:val="center"/>
          </w:tcPr>
          <w:p w14:paraId="1E59A884">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做好</w:t>
            </w:r>
            <w:r>
              <w:rPr>
                <w:rFonts w:hint="eastAsia" w:ascii="仿宋" w:hAnsi="仿宋" w:eastAsia="仿宋" w:cs="仿宋"/>
                <w:sz w:val="24"/>
                <w:highlight w:val="none"/>
              </w:rPr>
              <w:t>每月巡检记录</w:t>
            </w:r>
            <w:r>
              <w:rPr>
                <w:rFonts w:hint="eastAsia" w:ascii="仿宋" w:hAnsi="仿宋" w:eastAsia="仿宋" w:cs="仿宋"/>
                <w:bCs/>
                <w:sz w:val="24"/>
                <w:highlight w:val="none"/>
              </w:rPr>
              <w:t>、维护记录、</w:t>
            </w:r>
            <w:r>
              <w:rPr>
                <w:rFonts w:hint="eastAsia" w:ascii="仿宋" w:hAnsi="仿宋" w:eastAsia="仿宋" w:cs="仿宋"/>
                <w:sz w:val="24"/>
                <w:highlight w:val="none"/>
              </w:rPr>
              <w:t>租赁月报、租赁总结报告等。</w:t>
            </w:r>
          </w:p>
        </w:tc>
      </w:tr>
      <w:tr w14:paraId="451C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18E638DB">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8</w:t>
            </w:r>
          </w:p>
        </w:tc>
        <w:tc>
          <w:tcPr>
            <w:tcW w:w="678" w:type="pct"/>
            <w:tcBorders>
              <w:top w:val="single" w:color="auto" w:sz="4" w:space="0"/>
              <w:left w:val="single" w:color="auto" w:sz="4" w:space="0"/>
              <w:bottom w:val="single" w:color="auto" w:sz="4" w:space="0"/>
              <w:right w:val="single" w:color="auto" w:sz="4" w:space="0"/>
            </w:tcBorders>
            <w:vAlign w:val="center"/>
          </w:tcPr>
          <w:p w14:paraId="20792238">
            <w:pPr>
              <w:widowControl/>
              <w:spacing w:line="360" w:lineRule="auto"/>
              <w:jc w:val="center"/>
              <w:rPr>
                <w:rFonts w:ascii="仿宋" w:hAnsi="仿宋" w:eastAsia="仿宋" w:cs="仿宋"/>
                <w:bCs/>
                <w:sz w:val="24"/>
                <w:highlight w:val="none"/>
              </w:rPr>
            </w:pPr>
            <w:r>
              <w:rPr>
                <w:rFonts w:hint="eastAsia" w:ascii="仿宋" w:hAnsi="仿宋" w:eastAsia="仿宋" w:cs="仿宋"/>
                <w:sz w:val="24"/>
                <w:highlight w:val="none"/>
              </w:rPr>
              <w:t>中小企业比例</w:t>
            </w:r>
          </w:p>
        </w:tc>
        <w:tc>
          <w:tcPr>
            <w:tcW w:w="3947" w:type="pct"/>
            <w:tcBorders>
              <w:top w:val="single" w:color="auto" w:sz="4" w:space="0"/>
              <w:left w:val="single" w:color="auto" w:sz="4" w:space="0"/>
              <w:bottom w:val="single" w:color="auto" w:sz="4" w:space="0"/>
              <w:right w:val="single" w:color="auto" w:sz="4" w:space="0"/>
            </w:tcBorders>
            <w:vAlign w:val="center"/>
          </w:tcPr>
          <w:p w14:paraId="50CD3149">
            <w:pPr>
              <w:widowControl/>
              <w:spacing w:line="360" w:lineRule="auto"/>
              <w:rPr>
                <w:rFonts w:ascii="仿宋" w:hAnsi="仿宋" w:eastAsia="仿宋" w:cs="仿宋"/>
                <w:bCs/>
                <w:sz w:val="24"/>
                <w:highlight w:val="none"/>
              </w:rPr>
            </w:pPr>
            <w:r>
              <w:rPr>
                <w:rFonts w:hint="eastAsia" w:ascii="仿宋" w:hAnsi="仿宋" w:eastAsia="仿宋" w:cs="仿宋"/>
                <w:sz w:val="24"/>
                <w:highlight w:val="none"/>
              </w:rPr>
              <w:t>本项目履约过程中，不存在转包行为，且确保服务内容100%面向小微企业。</w:t>
            </w:r>
          </w:p>
        </w:tc>
      </w:tr>
      <w:tr w14:paraId="7185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7A7DB941">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9</w:t>
            </w:r>
          </w:p>
        </w:tc>
        <w:tc>
          <w:tcPr>
            <w:tcW w:w="678" w:type="pct"/>
            <w:tcBorders>
              <w:top w:val="single" w:color="auto" w:sz="4" w:space="0"/>
              <w:left w:val="single" w:color="auto" w:sz="4" w:space="0"/>
              <w:bottom w:val="single" w:color="auto" w:sz="4" w:space="0"/>
              <w:right w:val="single" w:color="auto" w:sz="4" w:space="0"/>
            </w:tcBorders>
            <w:vAlign w:val="center"/>
          </w:tcPr>
          <w:p w14:paraId="4AAF4BF4">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其他工作</w:t>
            </w:r>
          </w:p>
        </w:tc>
        <w:tc>
          <w:tcPr>
            <w:tcW w:w="3947" w:type="pct"/>
            <w:tcBorders>
              <w:top w:val="single" w:color="auto" w:sz="4" w:space="0"/>
              <w:left w:val="single" w:color="auto" w:sz="4" w:space="0"/>
              <w:bottom w:val="single" w:color="auto" w:sz="4" w:space="0"/>
              <w:right w:val="single" w:color="auto" w:sz="4" w:space="0"/>
            </w:tcBorders>
            <w:vAlign w:val="center"/>
          </w:tcPr>
          <w:p w14:paraId="5C508D25">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履行项目采购文件、投标文件、合同条款中涉及的其他承诺的情况。</w:t>
            </w:r>
          </w:p>
        </w:tc>
      </w:tr>
    </w:tbl>
    <w:p w14:paraId="0C8F474E">
      <w:pPr>
        <w:pStyle w:val="32"/>
        <w:spacing w:line="360" w:lineRule="auto"/>
        <w:ind w:right="-512" w:firstLine="542" w:firstLineChars="225"/>
        <w:rPr>
          <w:rFonts w:ascii="仿宋" w:hAnsi="仿宋" w:eastAsia="仿宋" w:cs="仿宋"/>
          <w:b/>
          <w:sz w:val="24"/>
          <w:szCs w:val="24"/>
          <w:highlight w:val="none"/>
        </w:rPr>
      </w:pPr>
      <w:r>
        <w:rPr>
          <w:rFonts w:hint="eastAsia" w:ascii="仿宋" w:hAnsi="仿宋" w:eastAsia="仿宋" w:cs="仿宋"/>
          <w:b/>
          <w:sz w:val="24"/>
          <w:szCs w:val="24"/>
          <w:highlight w:val="none"/>
        </w:rPr>
        <w:t>6.4 第二期验收资料：</w:t>
      </w:r>
    </w:p>
    <w:p w14:paraId="7657F4EA">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1）招标文件；</w:t>
      </w:r>
    </w:p>
    <w:p w14:paraId="341A98AC">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2）投标文件；</w:t>
      </w:r>
    </w:p>
    <w:p w14:paraId="560AFC60">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3）项目合同；</w:t>
      </w:r>
    </w:p>
    <w:p w14:paraId="1E9C17B1">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4）租赁方案审批单：投标人提出申请经服务监理单位及采购人审批；</w:t>
      </w:r>
    </w:p>
    <w:p w14:paraId="3290DBCD">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5）每月巡检记录、</w:t>
      </w:r>
      <w:r>
        <w:rPr>
          <w:rFonts w:hint="eastAsia" w:ascii="仿宋" w:hAnsi="仿宋" w:eastAsia="仿宋" w:cs="仿宋"/>
          <w:bCs/>
          <w:sz w:val="24"/>
          <w:highlight w:val="none"/>
        </w:rPr>
        <w:t>维护记录</w:t>
      </w:r>
      <w:r>
        <w:rPr>
          <w:rFonts w:hint="eastAsia" w:ascii="仿宋" w:hAnsi="仿宋" w:eastAsia="仿宋" w:cs="仿宋"/>
          <w:sz w:val="24"/>
          <w:highlight w:val="none"/>
        </w:rPr>
        <w:t>；</w:t>
      </w:r>
    </w:p>
    <w:p w14:paraId="4E0A0D97">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6）租赁月报、租赁总结报告；</w:t>
      </w:r>
    </w:p>
    <w:p w14:paraId="3B64FC8F">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7）项目组人员清单、学历、工作经验证明、每月社保缴纳材料、驻点人员考勤、人员变更审批表（如有）；</w:t>
      </w:r>
    </w:p>
    <w:p w14:paraId="51AF2F3C">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8）培训记录：由培训参与人员签字、培训资料；</w:t>
      </w:r>
    </w:p>
    <w:p w14:paraId="0591BBBD">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9）每月考核材料：需采购人经办人及审核人、投标人、监理单位签字并盖章；</w:t>
      </w:r>
    </w:p>
    <w:p w14:paraId="38CFE8E4">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10）网络安全保障方案、网络安全事件应急预案、网络安全风险书面报告（如有）、网络安全重大事项书面报告（如有）、网络安全报告；</w:t>
      </w:r>
    </w:p>
    <w:p w14:paraId="0D37F508">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11）单位保密协议、个人保密承诺书、日常保密教育台账；</w:t>
      </w:r>
    </w:p>
    <w:p w14:paraId="36588EDF">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12）验收报审表：由租赁提供单位提交，经监理单位及采购人审批；</w:t>
      </w:r>
    </w:p>
    <w:p w14:paraId="09F45FA3">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13）</w:t>
      </w:r>
      <w:r>
        <w:rPr>
          <w:rFonts w:hint="eastAsia" w:ascii="仿宋" w:hAnsi="仿宋" w:eastAsia="仿宋" w:cs="仿宋"/>
          <w:kern w:val="0"/>
          <w:sz w:val="24"/>
          <w:highlight w:val="none"/>
          <w:lang w:bidi="zh-CN"/>
        </w:rPr>
        <w:t>检测报告</w:t>
      </w:r>
      <w:r>
        <w:rPr>
          <w:rFonts w:hint="eastAsia" w:ascii="仿宋" w:hAnsi="仿宋" w:eastAsia="仿宋" w:cs="仿宋"/>
          <w:sz w:val="24"/>
          <w:highlight w:val="none"/>
        </w:rPr>
        <w:t>证明、产品合格证、质保承诺书；</w:t>
      </w:r>
    </w:p>
    <w:p w14:paraId="3F15657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14）小微企业证明材料；</w:t>
      </w:r>
    </w:p>
    <w:p w14:paraId="1954B62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15）信创检测报告；</w:t>
      </w:r>
    </w:p>
    <w:p w14:paraId="7CB0204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16）第三方检测报告；</w:t>
      </w:r>
    </w:p>
    <w:p w14:paraId="5E0E61F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17）等保测评报告：由测评资质机构出具；商用密码应用测评报告；</w:t>
      </w:r>
    </w:p>
    <w:p w14:paraId="5F3CA1D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18）测试方案/计划、测试报告/用例、系统配置手册、用户操作手册；</w:t>
      </w:r>
    </w:p>
    <w:p w14:paraId="3505FB5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19）信息化建设项目变更审批表（如有）、监理报告</w:t>
      </w:r>
    </w:p>
    <w:p w14:paraId="7C58549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20）第一期验收资料</w:t>
      </w:r>
    </w:p>
    <w:p w14:paraId="515772B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21）其他需提供的相关材料。</w:t>
      </w:r>
    </w:p>
    <w:p w14:paraId="13CD5F09">
      <w:pPr>
        <w:snapToGrid w:val="0"/>
        <w:spacing w:line="360" w:lineRule="auto"/>
        <w:jc w:val="left"/>
        <w:rPr>
          <w:rFonts w:ascii="仿宋" w:hAnsi="仿宋" w:eastAsia="仿宋" w:cs="仿宋"/>
          <w:b/>
          <w:sz w:val="24"/>
          <w:highlight w:val="none"/>
        </w:rPr>
      </w:pPr>
      <w:r>
        <w:rPr>
          <w:rFonts w:hint="eastAsia" w:ascii="仿宋" w:hAnsi="仿宋" w:eastAsia="仿宋" w:cs="仿宋"/>
          <w:b/>
          <w:bCs/>
          <w:sz w:val="24"/>
          <w:highlight w:val="none"/>
        </w:rPr>
        <w:t>二）</w:t>
      </w:r>
      <w:r>
        <w:rPr>
          <w:rFonts w:hint="eastAsia" w:ascii="仿宋" w:hAnsi="仿宋" w:eastAsia="仿宋" w:cs="仿宋"/>
          <w:b/>
          <w:sz w:val="24"/>
          <w:highlight w:val="none"/>
        </w:rPr>
        <w:t>考核：</w:t>
      </w:r>
    </w:p>
    <w:p w14:paraId="2C743661">
      <w:pPr>
        <w:spacing w:line="360" w:lineRule="auto"/>
        <w:ind w:firstLine="420"/>
        <w:jc w:val="left"/>
        <w:rPr>
          <w:rFonts w:ascii="仿宋" w:hAnsi="仿宋" w:eastAsia="仿宋" w:cs="仿宋"/>
          <w:sz w:val="24"/>
          <w:highlight w:val="none"/>
          <w:u w:val="single"/>
        </w:rPr>
      </w:pPr>
      <w:r>
        <w:rPr>
          <w:rFonts w:hint="eastAsia" w:ascii="仿宋" w:hAnsi="仿宋" w:eastAsia="仿宋" w:cs="仿宋"/>
          <w:sz w:val="24"/>
          <w:highlight w:val="none"/>
          <w:u w:val="single"/>
        </w:rPr>
        <w:t>采购人负责对本项目的管理指导、验收考核等职责，督促投标人履行合同。采购人委托监理单位对投标人服务工作进行考核，考核结果由采购人经办人、审核人、监理单位、投标人签字盖章。如考核周期内重复出现相同扣分情形，累计计算扣除分值。</w:t>
      </w:r>
    </w:p>
    <w:p w14:paraId="2D95A6A9">
      <w:pPr>
        <w:snapToGrid w:val="0"/>
        <w:spacing w:line="360" w:lineRule="auto"/>
        <w:ind w:firstLine="480" w:firstLineChars="200"/>
        <w:rPr>
          <w:rFonts w:ascii="仿宋" w:hAnsi="仿宋" w:eastAsia="仿宋" w:cs="仿宋"/>
          <w:sz w:val="24"/>
          <w:highlight w:val="none"/>
          <w:u w:val="single"/>
          <w:lang w:val="zh-CN"/>
        </w:rPr>
      </w:pPr>
      <w:r>
        <w:rPr>
          <w:rFonts w:hint="eastAsia" w:ascii="仿宋" w:hAnsi="仿宋" w:eastAsia="仿宋" w:cs="仿宋"/>
          <w:sz w:val="24"/>
          <w:highlight w:val="none"/>
          <w:u w:val="single"/>
        </w:rPr>
        <w:t>本考核对投标人服务工作进行考核以月为考核周期，采用百分制计分方式，每月1日初始计分为100分，采购人委托监理单位根据逐条考核事项及对应扣分对投标人进行计分。投标人每被扣1分，扣除违约金1000元，结算合同尾款时一次性扣除。当月考核结果低于80分的，应递交书面整改报告。投标人当月考核结果低于60分、或连续二个月考核结果低于70分、或连续三个月考核结果低于80分，采购人有权没收投标人全部履约保证金，并且采购人有权无条件解除合同，如给采购人造成损失的有权向投标人提出索赔。</w:t>
      </w:r>
    </w:p>
    <w:p w14:paraId="5CF237E9">
      <w:pPr>
        <w:snapToGrid w:val="0"/>
        <w:spacing w:line="360" w:lineRule="auto"/>
        <w:ind w:firstLine="480" w:firstLineChars="200"/>
        <w:rPr>
          <w:rFonts w:ascii="仿宋" w:hAnsi="仿宋" w:eastAsia="仿宋" w:cs="仿宋"/>
          <w:sz w:val="24"/>
          <w:highlight w:val="none"/>
          <w:u w:val="single"/>
          <w:lang w:val="zh-CN"/>
        </w:rPr>
      </w:pPr>
      <w:r>
        <w:rPr>
          <w:rFonts w:hint="eastAsia" w:ascii="仿宋" w:hAnsi="仿宋" w:eastAsia="仿宋" w:cs="仿宋"/>
          <w:sz w:val="24"/>
          <w:highlight w:val="none"/>
          <w:u w:val="single"/>
          <w:lang w:val="zh-CN"/>
        </w:rPr>
        <w:t>考核内容具体如下：</w:t>
      </w:r>
    </w:p>
    <w:p w14:paraId="763A55BC">
      <w:pPr>
        <w:spacing w:before="120" w:beforeLines="50" w:line="360" w:lineRule="auto"/>
        <w:jc w:val="center"/>
        <w:rPr>
          <w:rFonts w:ascii="仿宋" w:hAnsi="仿宋" w:eastAsia="仿宋" w:cs="仿宋"/>
          <w:sz w:val="24"/>
          <w:highlight w:val="none"/>
        </w:rPr>
      </w:pPr>
      <w:r>
        <w:rPr>
          <w:rFonts w:hint="eastAsia" w:ascii="仿宋" w:hAnsi="仿宋" w:eastAsia="仿宋" w:cs="仿宋"/>
          <w:sz w:val="24"/>
          <w:highlight w:val="none"/>
        </w:rPr>
        <w:t>每月考核表（2025/2026年月）</w:t>
      </w:r>
    </w:p>
    <w:tbl>
      <w:tblPr>
        <w:tblStyle w:val="62"/>
        <w:tblW w:w="5612" w:type="pct"/>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453"/>
        <w:gridCol w:w="2660"/>
        <w:gridCol w:w="2981"/>
        <w:gridCol w:w="1597"/>
        <w:gridCol w:w="974"/>
      </w:tblGrid>
      <w:tr w14:paraId="5662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337" w:type="pct"/>
            <w:gridSpan w:val="3"/>
            <w:tcBorders>
              <w:top w:val="single" w:color="auto" w:sz="4" w:space="0"/>
              <w:left w:val="single" w:color="auto" w:sz="4" w:space="0"/>
              <w:bottom w:val="single" w:color="auto" w:sz="4" w:space="0"/>
              <w:right w:val="single" w:color="auto" w:sz="4" w:space="0"/>
            </w:tcBorders>
            <w:vAlign w:val="center"/>
          </w:tcPr>
          <w:p w14:paraId="4F75FE43">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rPr>
              <w:t>投标人：</w:t>
            </w:r>
          </w:p>
        </w:tc>
        <w:tc>
          <w:tcPr>
            <w:tcW w:w="2663" w:type="pct"/>
            <w:gridSpan w:val="3"/>
            <w:tcBorders>
              <w:top w:val="single" w:color="auto" w:sz="4" w:space="0"/>
              <w:left w:val="single" w:color="auto" w:sz="4" w:space="0"/>
              <w:bottom w:val="single" w:color="auto" w:sz="4" w:space="0"/>
              <w:right w:val="single" w:color="auto" w:sz="4" w:space="0"/>
            </w:tcBorders>
            <w:vAlign w:val="center"/>
          </w:tcPr>
          <w:p w14:paraId="3BCFF9BA">
            <w:pPr>
              <w:snapToGrid w:val="0"/>
              <w:spacing w:line="360" w:lineRule="auto"/>
              <w:jc w:val="left"/>
              <w:rPr>
                <w:rFonts w:ascii="仿宋" w:hAnsi="仿宋" w:eastAsia="仿宋" w:cs="仿宋"/>
                <w:bCs/>
                <w:sz w:val="24"/>
                <w:highlight w:val="none"/>
                <w:lang w:val="zh-CN"/>
              </w:rPr>
            </w:pPr>
            <w:r>
              <w:rPr>
                <w:rFonts w:hint="eastAsia" w:ascii="仿宋" w:hAnsi="仿宋" w:eastAsia="仿宋" w:cs="仿宋"/>
                <w:kern w:val="0"/>
                <w:sz w:val="24"/>
                <w:highlight w:val="none"/>
              </w:rPr>
              <w:t>填表日期：年月日</w:t>
            </w:r>
          </w:p>
        </w:tc>
      </w:tr>
      <w:tr w14:paraId="686F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64" w:type="pct"/>
            <w:tcBorders>
              <w:top w:val="single" w:color="auto" w:sz="4" w:space="0"/>
              <w:left w:val="single" w:color="auto" w:sz="4" w:space="0"/>
              <w:bottom w:val="single" w:color="auto" w:sz="4" w:space="0"/>
              <w:right w:val="single" w:color="auto" w:sz="4" w:space="0"/>
            </w:tcBorders>
            <w:vAlign w:val="center"/>
          </w:tcPr>
          <w:p w14:paraId="48A8B7D1">
            <w:pPr>
              <w:snapToGrid w:val="0"/>
              <w:spacing w:line="360" w:lineRule="auto"/>
              <w:jc w:val="center"/>
              <w:rPr>
                <w:rFonts w:ascii="仿宋" w:hAnsi="仿宋" w:eastAsia="仿宋" w:cs="仿宋"/>
                <w:bCs/>
                <w:sz w:val="24"/>
                <w:highlight w:val="none"/>
                <w:lang w:val="zh-CN"/>
              </w:rPr>
            </w:pPr>
            <w:r>
              <w:rPr>
                <w:rFonts w:hint="eastAsia" w:ascii="仿宋" w:hAnsi="仿宋" w:eastAsia="仿宋" w:cs="仿宋"/>
                <w:bCs/>
                <w:sz w:val="24"/>
                <w:highlight w:val="none"/>
                <w:lang w:val="zh-CN"/>
              </w:rPr>
              <w:t>序号</w:t>
            </w:r>
          </w:p>
        </w:tc>
        <w:tc>
          <w:tcPr>
            <w:tcW w:w="697" w:type="pct"/>
            <w:tcBorders>
              <w:top w:val="single" w:color="auto" w:sz="4" w:space="0"/>
              <w:left w:val="single" w:color="auto" w:sz="4" w:space="0"/>
              <w:bottom w:val="single" w:color="auto" w:sz="4" w:space="0"/>
              <w:right w:val="single" w:color="auto" w:sz="4" w:space="0"/>
            </w:tcBorders>
            <w:vAlign w:val="center"/>
          </w:tcPr>
          <w:p w14:paraId="423F4D61">
            <w:pPr>
              <w:snapToGrid w:val="0"/>
              <w:spacing w:line="360" w:lineRule="auto"/>
              <w:jc w:val="center"/>
              <w:rPr>
                <w:rFonts w:ascii="仿宋" w:hAnsi="仿宋" w:eastAsia="仿宋" w:cs="仿宋"/>
                <w:bCs/>
                <w:sz w:val="24"/>
                <w:highlight w:val="none"/>
                <w:lang w:val="zh-CN"/>
              </w:rPr>
            </w:pPr>
            <w:r>
              <w:rPr>
                <w:rFonts w:hint="eastAsia" w:ascii="仿宋" w:hAnsi="仿宋" w:eastAsia="仿宋" w:cs="仿宋"/>
                <w:bCs/>
                <w:sz w:val="24"/>
                <w:highlight w:val="none"/>
                <w:lang w:val="zh-CN"/>
              </w:rPr>
              <w:t>考核项目</w:t>
            </w:r>
          </w:p>
        </w:tc>
        <w:tc>
          <w:tcPr>
            <w:tcW w:w="2706" w:type="pct"/>
            <w:gridSpan w:val="2"/>
            <w:tcBorders>
              <w:top w:val="single" w:color="auto" w:sz="4" w:space="0"/>
              <w:left w:val="single" w:color="auto" w:sz="4" w:space="0"/>
              <w:bottom w:val="single" w:color="auto" w:sz="4" w:space="0"/>
              <w:right w:val="single" w:color="auto" w:sz="4" w:space="0"/>
            </w:tcBorders>
            <w:vAlign w:val="center"/>
          </w:tcPr>
          <w:p w14:paraId="1651D646">
            <w:pPr>
              <w:snapToGrid w:val="0"/>
              <w:spacing w:line="360" w:lineRule="auto"/>
              <w:jc w:val="center"/>
              <w:rPr>
                <w:rFonts w:ascii="仿宋" w:hAnsi="仿宋" w:eastAsia="仿宋" w:cs="仿宋"/>
                <w:bCs/>
                <w:sz w:val="24"/>
                <w:highlight w:val="none"/>
                <w:lang w:val="zh-CN"/>
              </w:rPr>
            </w:pPr>
            <w:r>
              <w:rPr>
                <w:rFonts w:hint="eastAsia" w:ascii="仿宋" w:hAnsi="仿宋" w:eastAsia="仿宋" w:cs="仿宋"/>
                <w:bCs/>
                <w:sz w:val="24"/>
                <w:highlight w:val="none"/>
                <w:lang w:val="zh-CN"/>
              </w:rPr>
              <w:t>考核内容</w:t>
            </w:r>
          </w:p>
        </w:tc>
        <w:tc>
          <w:tcPr>
            <w:tcW w:w="766" w:type="pct"/>
            <w:tcBorders>
              <w:top w:val="single" w:color="auto" w:sz="4" w:space="0"/>
              <w:left w:val="single" w:color="auto" w:sz="4" w:space="0"/>
              <w:bottom w:val="single" w:color="auto" w:sz="4" w:space="0"/>
              <w:right w:val="single" w:color="auto" w:sz="4" w:space="0"/>
            </w:tcBorders>
            <w:vAlign w:val="center"/>
          </w:tcPr>
          <w:p w14:paraId="67C7DB48">
            <w:pPr>
              <w:snapToGrid w:val="0"/>
              <w:spacing w:line="360" w:lineRule="auto"/>
              <w:jc w:val="center"/>
              <w:rPr>
                <w:rFonts w:ascii="仿宋" w:hAnsi="仿宋" w:eastAsia="仿宋" w:cs="仿宋"/>
                <w:bCs/>
                <w:sz w:val="24"/>
                <w:highlight w:val="none"/>
                <w:lang w:val="zh-CN"/>
              </w:rPr>
            </w:pPr>
            <w:r>
              <w:rPr>
                <w:rFonts w:hint="eastAsia" w:ascii="仿宋" w:hAnsi="仿宋" w:eastAsia="仿宋" w:cs="仿宋"/>
                <w:bCs/>
                <w:sz w:val="24"/>
                <w:highlight w:val="none"/>
                <w:lang w:val="zh-CN"/>
              </w:rPr>
              <w:t>考核扣分</w:t>
            </w:r>
          </w:p>
        </w:tc>
        <w:tc>
          <w:tcPr>
            <w:tcW w:w="467" w:type="pct"/>
            <w:tcBorders>
              <w:top w:val="single" w:color="auto" w:sz="4" w:space="0"/>
              <w:left w:val="single" w:color="auto" w:sz="4" w:space="0"/>
              <w:bottom w:val="single" w:color="auto" w:sz="4" w:space="0"/>
              <w:right w:val="single" w:color="auto" w:sz="4" w:space="0"/>
            </w:tcBorders>
            <w:vAlign w:val="center"/>
          </w:tcPr>
          <w:p w14:paraId="7C0793E8">
            <w:pPr>
              <w:snapToGrid w:val="0"/>
              <w:spacing w:line="360" w:lineRule="auto"/>
              <w:jc w:val="center"/>
              <w:rPr>
                <w:rFonts w:ascii="仿宋" w:hAnsi="仿宋" w:eastAsia="仿宋" w:cs="仿宋"/>
                <w:bCs/>
                <w:sz w:val="24"/>
                <w:highlight w:val="none"/>
                <w:lang w:val="zh-CN"/>
              </w:rPr>
            </w:pPr>
            <w:r>
              <w:rPr>
                <w:rFonts w:hint="eastAsia" w:ascii="仿宋" w:hAnsi="仿宋" w:eastAsia="仿宋" w:cs="仿宋"/>
                <w:bCs/>
                <w:sz w:val="24"/>
                <w:highlight w:val="none"/>
                <w:lang w:val="zh-CN"/>
              </w:rPr>
              <w:t>备注</w:t>
            </w:r>
          </w:p>
        </w:tc>
      </w:tr>
      <w:tr w14:paraId="0C3A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tcBorders>
              <w:top w:val="single" w:color="auto" w:sz="4" w:space="0"/>
              <w:left w:val="single" w:color="auto" w:sz="4" w:space="0"/>
              <w:bottom w:val="single" w:color="auto" w:sz="4" w:space="0"/>
              <w:right w:val="single" w:color="auto" w:sz="4" w:space="0"/>
            </w:tcBorders>
            <w:vAlign w:val="center"/>
          </w:tcPr>
          <w:p w14:paraId="35579792">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1</w:t>
            </w:r>
          </w:p>
        </w:tc>
        <w:tc>
          <w:tcPr>
            <w:tcW w:w="697" w:type="pct"/>
            <w:tcBorders>
              <w:top w:val="single" w:color="auto" w:sz="4" w:space="0"/>
              <w:left w:val="single" w:color="auto" w:sz="4" w:space="0"/>
              <w:bottom w:val="single" w:color="auto" w:sz="4" w:space="0"/>
              <w:right w:val="single" w:color="auto" w:sz="4" w:space="0"/>
            </w:tcBorders>
            <w:vAlign w:val="center"/>
          </w:tcPr>
          <w:p w14:paraId="57DB1E75">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设备参数符合情况</w:t>
            </w:r>
          </w:p>
        </w:tc>
        <w:tc>
          <w:tcPr>
            <w:tcW w:w="2706" w:type="pct"/>
            <w:gridSpan w:val="2"/>
            <w:tcBorders>
              <w:top w:val="single" w:color="auto" w:sz="4" w:space="0"/>
              <w:left w:val="single" w:color="auto" w:sz="4" w:space="0"/>
              <w:bottom w:val="single" w:color="auto" w:sz="4" w:space="0"/>
              <w:right w:val="single" w:color="auto" w:sz="4" w:space="0"/>
            </w:tcBorders>
            <w:vAlign w:val="center"/>
          </w:tcPr>
          <w:p w14:paraId="16C5EF79">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发现在租赁服务期内，提供设备数量、品牌、型号合同不符合的。每出现一次扣1分/台。变更产品未填写</w:t>
            </w:r>
            <w:r>
              <w:rPr>
                <w:rFonts w:hint="eastAsia" w:ascii="仿宋" w:hAnsi="仿宋" w:eastAsia="仿宋" w:cs="仿宋"/>
                <w:bCs/>
                <w:sz w:val="24"/>
                <w:highlight w:val="none"/>
              </w:rPr>
              <w:t>《信息化建设项目变更审批表》，</w:t>
            </w:r>
            <w:r>
              <w:rPr>
                <w:rFonts w:hint="eastAsia" w:ascii="仿宋" w:hAnsi="仿宋" w:eastAsia="仿宋" w:cs="仿宋"/>
                <w:bCs/>
                <w:sz w:val="24"/>
                <w:highlight w:val="none"/>
                <w:lang w:val="zh-CN"/>
              </w:rPr>
              <w:t>每出现一次扣3分。</w:t>
            </w:r>
          </w:p>
        </w:tc>
        <w:tc>
          <w:tcPr>
            <w:tcW w:w="766" w:type="pct"/>
            <w:tcBorders>
              <w:top w:val="single" w:color="auto" w:sz="4" w:space="0"/>
              <w:left w:val="single" w:color="auto" w:sz="4" w:space="0"/>
              <w:bottom w:val="single" w:color="auto" w:sz="4" w:space="0"/>
              <w:right w:val="single" w:color="auto" w:sz="4" w:space="0"/>
            </w:tcBorders>
            <w:vAlign w:val="center"/>
          </w:tcPr>
          <w:p w14:paraId="45331676">
            <w:pPr>
              <w:snapToGrid w:val="0"/>
              <w:spacing w:line="360" w:lineRule="auto"/>
              <w:rPr>
                <w:rFonts w:ascii="仿宋" w:hAnsi="仿宋" w:eastAsia="仿宋" w:cs="仿宋"/>
                <w:bCs/>
                <w:sz w:val="24"/>
                <w:highlight w:val="none"/>
                <w:lang w:val="zh-CN"/>
              </w:rPr>
            </w:pPr>
          </w:p>
        </w:tc>
        <w:tc>
          <w:tcPr>
            <w:tcW w:w="467" w:type="pct"/>
            <w:tcBorders>
              <w:top w:val="single" w:color="auto" w:sz="4" w:space="0"/>
              <w:left w:val="single" w:color="auto" w:sz="4" w:space="0"/>
              <w:bottom w:val="single" w:color="auto" w:sz="4" w:space="0"/>
              <w:right w:val="single" w:color="auto" w:sz="4" w:space="0"/>
            </w:tcBorders>
            <w:vAlign w:val="center"/>
          </w:tcPr>
          <w:p w14:paraId="0A26FF63">
            <w:pPr>
              <w:snapToGrid w:val="0"/>
              <w:spacing w:line="360" w:lineRule="auto"/>
              <w:rPr>
                <w:rFonts w:ascii="仿宋" w:hAnsi="仿宋" w:eastAsia="仿宋" w:cs="仿宋"/>
                <w:bCs/>
                <w:sz w:val="24"/>
                <w:highlight w:val="none"/>
                <w:lang w:val="zh-CN"/>
              </w:rPr>
            </w:pPr>
          </w:p>
        </w:tc>
      </w:tr>
      <w:tr w14:paraId="1311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64" w:type="pct"/>
            <w:tcBorders>
              <w:top w:val="single" w:color="auto" w:sz="4" w:space="0"/>
              <w:left w:val="single" w:color="auto" w:sz="4" w:space="0"/>
              <w:bottom w:val="single" w:color="auto" w:sz="4" w:space="0"/>
              <w:right w:val="single" w:color="auto" w:sz="4" w:space="0"/>
            </w:tcBorders>
            <w:vAlign w:val="center"/>
          </w:tcPr>
          <w:p w14:paraId="2F99AEB8">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2</w:t>
            </w:r>
          </w:p>
        </w:tc>
        <w:tc>
          <w:tcPr>
            <w:tcW w:w="697" w:type="pct"/>
            <w:tcBorders>
              <w:top w:val="single" w:color="auto" w:sz="4" w:space="0"/>
              <w:left w:val="single" w:color="auto" w:sz="4" w:space="0"/>
              <w:bottom w:val="single" w:color="auto" w:sz="4" w:space="0"/>
              <w:right w:val="single" w:color="auto" w:sz="4" w:space="0"/>
            </w:tcBorders>
            <w:vAlign w:val="center"/>
          </w:tcPr>
          <w:p w14:paraId="048359D9">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服务响应</w:t>
            </w:r>
          </w:p>
        </w:tc>
        <w:tc>
          <w:tcPr>
            <w:tcW w:w="2706" w:type="pct"/>
            <w:gridSpan w:val="2"/>
            <w:tcBorders>
              <w:top w:val="single" w:color="auto" w:sz="4" w:space="0"/>
              <w:left w:val="single" w:color="auto" w:sz="4" w:space="0"/>
              <w:bottom w:val="single" w:color="auto" w:sz="4" w:space="0"/>
              <w:right w:val="single" w:color="auto" w:sz="4" w:space="0"/>
            </w:tcBorders>
            <w:vAlign w:val="center"/>
          </w:tcPr>
          <w:p w14:paraId="2EFA8353">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fldChar w:fldCharType="begin"/>
            </w:r>
            <w:r>
              <w:rPr>
                <w:rFonts w:hint="eastAsia" w:ascii="仿宋" w:hAnsi="仿宋" w:eastAsia="仿宋" w:cs="仿宋"/>
                <w:bCs/>
                <w:sz w:val="24"/>
                <w:highlight w:val="none"/>
                <w:lang w:val="zh-CN"/>
              </w:rPr>
              <w:instrText xml:space="preserve"> = 1 \* GB3 \* MERGEFORMAT </w:instrText>
            </w:r>
            <w:r>
              <w:rPr>
                <w:rFonts w:hint="eastAsia" w:ascii="仿宋" w:hAnsi="仿宋" w:eastAsia="仿宋" w:cs="仿宋"/>
                <w:bCs/>
                <w:sz w:val="24"/>
                <w:highlight w:val="none"/>
                <w:lang w:val="zh-CN"/>
              </w:rPr>
              <w:fldChar w:fldCharType="separate"/>
            </w:r>
            <w:r>
              <w:rPr>
                <w:rFonts w:hint="eastAsia" w:ascii="仿宋" w:hAnsi="仿宋" w:eastAsia="仿宋" w:cs="仿宋"/>
                <w:bCs/>
                <w:sz w:val="24"/>
                <w:highlight w:val="none"/>
                <w:lang w:val="zh-CN"/>
              </w:rPr>
              <w:t>①</w:t>
            </w:r>
            <w:r>
              <w:rPr>
                <w:rFonts w:hint="eastAsia" w:ascii="仿宋" w:hAnsi="仿宋" w:eastAsia="仿宋" w:cs="仿宋"/>
                <w:bCs/>
                <w:sz w:val="24"/>
                <w:highlight w:val="none"/>
                <w:lang w:val="zh-CN"/>
              </w:rPr>
              <w:fldChar w:fldCharType="end"/>
            </w:r>
            <w:r>
              <w:rPr>
                <w:rFonts w:hint="eastAsia" w:ascii="仿宋" w:hAnsi="仿宋" w:eastAsia="仿宋" w:cs="仿宋"/>
                <w:bCs/>
                <w:sz w:val="24"/>
                <w:highlight w:val="none"/>
                <w:lang w:val="zh-CN"/>
              </w:rPr>
              <w:t>未提供7*24小时服务的，每发现一次扣2分。②出现故障时，投标人未在接到故障申告后4小时以内派技术人员现场检修，每发现一次扣1分。</w:t>
            </w:r>
            <w:r>
              <w:rPr>
                <w:rFonts w:hint="eastAsia" w:ascii="宋体" w:hAnsi="宋体" w:cs="宋体"/>
                <w:bCs/>
                <w:sz w:val="24"/>
                <w:highlight w:val="none"/>
                <w:lang w:val="zh-CN"/>
              </w:rPr>
              <w:t>③</w:t>
            </w:r>
            <w:r>
              <w:rPr>
                <w:rFonts w:hint="eastAsia" w:ascii="仿宋" w:hAnsi="仿宋" w:eastAsia="仿宋" w:cs="仿宋"/>
                <w:bCs/>
                <w:sz w:val="24"/>
                <w:highlight w:val="none"/>
                <w:lang w:val="zh-CN"/>
              </w:rPr>
              <w:t>未在48小时内修复故障的，每发现一次扣2分。</w:t>
            </w:r>
          </w:p>
        </w:tc>
        <w:tc>
          <w:tcPr>
            <w:tcW w:w="766" w:type="pct"/>
            <w:tcBorders>
              <w:top w:val="single" w:color="auto" w:sz="4" w:space="0"/>
              <w:left w:val="single" w:color="auto" w:sz="4" w:space="0"/>
              <w:bottom w:val="single" w:color="auto" w:sz="4" w:space="0"/>
              <w:right w:val="single" w:color="auto" w:sz="4" w:space="0"/>
            </w:tcBorders>
            <w:vAlign w:val="center"/>
          </w:tcPr>
          <w:p w14:paraId="2F44E92D">
            <w:pPr>
              <w:snapToGrid w:val="0"/>
              <w:spacing w:line="360" w:lineRule="auto"/>
              <w:rPr>
                <w:rFonts w:ascii="仿宋" w:hAnsi="仿宋" w:eastAsia="仿宋" w:cs="仿宋"/>
                <w:bCs/>
                <w:sz w:val="24"/>
                <w:highlight w:val="none"/>
                <w:lang w:val="zh-CN"/>
              </w:rPr>
            </w:pPr>
          </w:p>
        </w:tc>
        <w:tc>
          <w:tcPr>
            <w:tcW w:w="467" w:type="pct"/>
            <w:tcBorders>
              <w:top w:val="single" w:color="auto" w:sz="4" w:space="0"/>
              <w:left w:val="single" w:color="auto" w:sz="4" w:space="0"/>
              <w:bottom w:val="single" w:color="auto" w:sz="4" w:space="0"/>
              <w:right w:val="single" w:color="auto" w:sz="4" w:space="0"/>
            </w:tcBorders>
            <w:vAlign w:val="center"/>
          </w:tcPr>
          <w:p w14:paraId="67DF47B5">
            <w:pPr>
              <w:snapToGrid w:val="0"/>
              <w:spacing w:line="360" w:lineRule="auto"/>
              <w:rPr>
                <w:rFonts w:ascii="仿宋" w:hAnsi="仿宋" w:eastAsia="仿宋" w:cs="仿宋"/>
                <w:bCs/>
                <w:sz w:val="24"/>
                <w:highlight w:val="none"/>
                <w:lang w:val="zh-CN"/>
              </w:rPr>
            </w:pPr>
          </w:p>
        </w:tc>
      </w:tr>
      <w:tr w14:paraId="666F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tcBorders>
              <w:top w:val="single" w:color="auto" w:sz="4" w:space="0"/>
              <w:left w:val="single" w:color="auto" w:sz="4" w:space="0"/>
              <w:bottom w:val="single" w:color="auto" w:sz="4" w:space="0"/>
              <w:right w:val="single" w:color="auto" w:sz="4" w:space="0"/>
            </w:tcBorders>
            <w:vAlign w:val="center"/>
          </w:tcPr>
          <w:p w14:paraId="260A7479">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3</w:t>
            </w:r>
          </w:p>
        </w:tc>
        <w:tc>
          <w:tcPr>
            <w:tcW w:w="697" w:type="pct"/>
            <w:tcBorders>
              <w:top w:val="single" w:color="auto" w:sz="4" w:space="0"/>
              <w:left w:val="single" w:color="auto" w:sz="4" w:space="0"/>
              <w:bottom w:val="single" w:color="auto" w:sz="4" w:space="0"/>
              <w:right w:val="single" w:color="auto" w:sz="4" w:space="0"/>
            </w:tcBorders>
            <w:vAlign w:val="center"/>
          </w:tcPr>
          <w:p w14:paraId="69BBAD72">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资料信息</w:t>
            </w:r>
          </w:p>
        </w:tc>
        <w:tc>
          <w:tcPr>
            <w:tcW w:w="2706" w:type="pct"/>
            <w:gridSpan w:val="2"/>
            <w:tcBorders>
              <w:top w:val="single" w:color="auto" w:sz="4" w:space="0"/>
              <w:left w:val="single" w:color="auto" w:sz="4" w:space="0"/>
              <w:bottom w:val="single" w:color="auto" w:sz="4" w:space="0"/>
              <w:right w:val="single" w:color="auto" w:sz="4" w:space="0"/>
            </w:tcBorders>
            <w:vAlign w:val="center"/>
          </w:tcPr>
          <w:p w14:paraId="59EE478E">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出现未在规定时间内提交文档资料、提供虚假材料、维护记录表填写不完整、未按监理通知单配合工作等情况的，每出现一次扣15分。</w:t>
            </w:r>
          </w:p>
        </w:tc>
        <w:tc>
          <w:tcPr>
            <w:tcW w:w="766" w:type="pct"/>
            <w:tcBorders>
              <w:top w:val="single" w:color="auto" w:sz="4" w:space="0"/>
              <w:left w:val="single" w:color="auto" w:sz="4" w:space="0"/>
              <w:bottom w:val="single" w:color="auto" w:sz="4" w:space="0"/>
              <w:right w:val="single" w:color="auto" w:sz="4" w:space="0"/>
            </w:tcBorders>
            <w:vAlign w:val="center"/>
          </w:tcPr>
          <w:p w14:paraId="033B86F7">
            <w:pPr>
              <w:snapToGrid w:val="0"/>
              <w:spacing w:line="360" w:lineRule="auto"/>
              <w:rPr>
                <w:rFonts w:ascii="仿宋" w:hAnsi="仿宋" w:eastAsia="仿宋" w:cs="仿宋"/>
                <w:bCs/>
                <w:sz w:val="24"/>
                <w:highlight w:val="none"/>
                <w:lang w:val="zh-CN"/>
              </w:rPr>
            </w:pPr>
          </w:p>
        </w:tc>
        <w:tc>
          <w:tcPr>
            <w:tcW w:w="467" w:type="pct"/>
            <w:tcBorders>
              <w:top w:val="single" w:color="auto" w:sz="4" w:space="0"/>
              <w:left w:val="single" w:color="auto" w:sz="4" w:space="0"/>
              <w:bottom w:val="single" w:color="auto" w:sz="4" w:space="0"/>
              <w:right w:val="single" w:color="auto" w:sz="4" w:space="0"/>
            </w:tcBorders>
            <w:vAlign w:val="center"/>
          </w:tcPr>
          <w:p w14:paraId="3C09D8BD">
            <w:pPr>
              <w:snapToGrid w:val="0"/>
              <w:spacing w:line="360" w:lineRule="auto"/>
              <w:rPr>
                <w:rFonts w:ascii="仿宋" w:hAnsi="仿宋" w:eastAsia="仿宋" w:cs="仿宋"/>
                <w:bCs/>
                <w:sz w:val="24"/>
                <w:highlight w:val="none"/>
                <w:lang w:val="zh-CN"/>
              </w:rPr>
            </w:pPr>
          </w:p>
        </w:tc>
      </w:tr>
      <w:tr w14:paraId="7D14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64" w:type="pct"/>
            <w:vMerge w:val="restart"/>
            <w:tcBorders>
              <w:top w:val="single" w:color="auto" w:sz="4" w:space="0"/>
              <w:left w:val="single" w:color="auto" w:sz="4" w:space="0"/>
              <w:bottom w:val="single" w:color="auto" w:sz="4" w:space="0"/>
              <w:right w:val="single" w:color="auto" w:sz="4" w:space="0"/>
            </w:tcBorders>
            <w:vAlign w:val="center"/>
          </w:tcPr>
          <w:p w14:paraId="3ED50E35">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4</w:t>
            </w:r>
          </w:p>
        </w:tc>
        <w:tc>
          <w:tcPr>
            <w:tcW w:w="697" w:type="pct"/>
            <w:vMerge w:val="restart"/>
            <w:tcBorders>
              <w:top w:val="single" w:color="auto" w:sz="4" w:space="0"/>
              <w:left w:val="single" w:color="auto" w:sz="4" w:space="0"/>
              <w:bottom w:val="single" w:color="auto" w:sz="4" w:space="0"/>
              <w:right w:val="single" w:color="auto" w:sz="4" w:space="0"/>
            </w:tcBorders>
            <w:vAlign w:val="center"/>
          </w:tcPr>
          <w:p w14:paraId="302C52CC">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人员要求</w:t>
            </w:r>
          </w:p>
        </w:tc>
        <w:tc>
          <w:tcPr>
            <w:tcW w:w="2706" w:type="pct"/>
            <w:gridSpan w:val="2"/>
            <w:tcBorders>
              <w:top w:val="single" w:color="auto" w:sz="4" w:space="0"/>
              <w:left w:val="single" w:color="auto" w:sz="4" w:space="0"/>
              <w:bottom w:val="single" w:color="auto" w:sz="4" w:space="0"/>
              <w:right w:val="single" w:color="auto" w:sz="4" w:space="0"/>
            </w:tcBorders>
            <w:vAlign w:val="center"/>
          </w:tcPr>
          <w:p w14:paraId="20326EB0">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未按采购需求提供项目负责人</w:t>
            </w:r>
            <w:r>
              <w:rPr>
                <w:rFonts w:hint="eastAsia" w:ascii="仿宋" w:hAnsi="仿宋" w:eastAsia="仿宋" w:cs="仿宋"/>
                <w:bCs/>
                <w:sz w:val="24"/>
                <w:highlight w:val="none"/>
              </w:rPr>
              <w:t>和驻点人员</w:t>
            </w:r>
            <w:r>
              <w:rPr>
                <w:rFonts w:hint="eastAsia" w:ascii="仿宋" w:hAnsi="仿宋" w:eastAsia="仿宋" w:cs="仿宋"/>
                <w:bCs/>
                <w:sz w:val="24"/>
                <w:highlight w:val="none"/>
                <w:lang w:val="zh-CN"/>
              </w:rPr>
              <w:t>，数量不符合要求的，每出现一次扣2分。</w:t>
            </w:r>
          </w:p>
        </w:tc>
        <w:tc>
          <w:tcPr>
            <w:tcW w:w="766" w:type="pct"/>
            <w:tcBorders>
              <w:top w:val="single" w:color="auto" w:sz="4" w:space="0"/>
              <w:left w:val="single" w:color="auto" w:sz="4" w:space="0"/>
              <w:bottom w:val="single" w:color="auto" w:sz="4" w:space="0"/>
              <w:right w:val="single" w:color="auto" w:sz="4" w:space="0"/>
            </w:tcBorders>
            <w:vAlign w:val="center"/>
          </w:tcPr>
          <w:p w14:paraId="65435360">
            <w:pPr>
              <w:snapToGrid w:val="0"/>
              <w:spacing w:line="360" w:lineRule="auto"/>
              <w:rPr>
                <w:rFonts w:ascii="仿宋" w:hAnsi="仿宋" w:eastAsia="仿宋" w:cs="仿宋"/>
                <w:bCs/>
                <w:sz w:val="24"/>
                <w:highlight w:val="none"/>
                <w:lang w:val="zh-CN"/>
              </w:rPr>
            </w:pPr>
          </w:p>
        </w:tc>
        <w:tc>
          <w:tcPr>
            <w:tcW w:w="467" w:type="pct"/>
            <w:tcBorders>
              <w:top w:val="single" w:color="auto" w:sz="4" w:space="0"/>
              <w:left w:val="single" w:color="auto" w:sz="4" w:space="0"/>
              <w:bottom w:val="single" w:color="auto" w:sz="4" w:space="0"/>
              <w:right w:val="single" w:color="auto" w:sz="4" w:space="0"/>
            </w:tcBorders>
            <w:vAlign w:val="center"/>
          </w:tcPr>
          <w:p w14:paraId="5BE6ECB8">
            <w:pPr>
              <w:snapToGrid w:val="0"/>
              <w:spacing w:line="360" w:lineRule="auto"/>
              <w:rPr>
                <w:rFonts w:ascii="仿宋" w:hAnsi="仿宋" w:eastAsia="仿宋" w:cs="仿宋"/>
                <w:bCs/>
                <w:sz w:val="24"/>
                <w:highlight w:val="none"/>
                <w:lang w:val="zh-CN"/>
              </w:rPr>
            </w:pPr>
          </w:p>
        </w:tc>
      </w:tr>
      <w:tr w14:paraId="5081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64" w:type="pct"/>
            <w:vMerge w:val="continue"/>
            <w:tcBorders>
              <w:top w:val="single" w:color="auto" w:sz="4" w:space="0"/>
              <w:left w:val="single" w:color="auto" w:sz="4" w:space="0"/>
              <w:bottom w:val="single" w:color="auto" w:sz="4" w:space="0"/>
              <w:right w:val="single" w:color="auto" w:sz="4" w:space="0"/>
            </w:tcBorders>
            <w:vAlign w:val="center"/>
          </w:tcPr>
          <w:p w14:paraId="17C1B67E">
            <w:pPr>
              <w:rPr>
                <w:highlight w:val="none"/>
              </w:rPr>
            </w:pPr>
          </w:p>
        </w:tc>
        <w:tc>
          <w:tcPr>
            <w:tcW w:w="697" w:type="pct"/>
            <w:vMerge w:val="continue"/>
            <w:tcBorders>
              <w:top w:val="single" w:color="auto" w:sz="4" w:space="0"/>
              <w:left w:val="single" w:color="auto" w:sz="4" w:space="0"/>
              <w:bottom w:val="single" w:color="auto" w:sz="4" w:space="0"/>
              <w:right w:val="single" w:color="auto" w:sz="4" w:space="0"/>
            </w:tcBorders>
            <w:vAlign w:val="center"/>
          </w:tcPr>
          <w:p w14:paraId="5C8F3413">
            <w:pPr>
              <w:rPr>
                <w:highlight w:val="none"/>
              </w:rPr>
            </w:pPr>
          </w:p>
        </w:tc>
        <w:tc>
          <w:tcPr>
            <w:tcW w:w="2706" w:type="pct"/>
            <w:gridSpan w:val="2"/>
            <w:tcBorders>
              <w:top w:val="single" w:color="auto" w:sz="4" w:space="0"/>
              <w:left w:val="single" w:color="auto" w:sz="4" w:space="0"/>
              <w:bottom w:val="single" w:color="auto" w:sz="4" w:space="0"/>
              <w:right w:val="single" w:color="auto" w:sz="4" w:space="0"/>
            </w:tcBorders>
            <w:vAlign w:val="center"/>
          </w:tcPr>
          <w:p w14:paraId="1C864DE4">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项目负责人在工作期间，电话无人接听，每发现一次扣1分；本项最高扣3分。</w:t>
            </w:r>
          </w:p>
        </w:tc>
        <w:tc>
          <w:tcPr>
            <w:tcW w:w="766" w:type="pct"/>
            <w:tcBorders>
              <w:top w:val="single" w:color="auto" w:sz="4" w:space="0"/>
              <w:left w:val="single" w:color="auto" w:sz="4" w:space="0"/>
              <w:bottom w:val="single" w:color="auto" w:sz="4" w:space="0"/>
              <w:right w:val="single" w:color="auto" w:sz="4" w:space="0"/>
            </w:tcBorders>
            <w:vAlign w:val="center"/>
          </w:tcPr>
          <w:p w14:paraId="7C94DE09">
            <w:pPr>
              <w:snapToGrid w:val="0"/>
              <w:spacing w:line="360" w:lineRule="auto"/>
              <w:rPr>
                <w:rFonts w:ascii="仿宋" w:hAnsi="仿宋" w:eastAsia="仿宋" w:cs="仿宋"/>
                <w:bCs/>
                <w:sz w:val="24"/>
                <w:highlight w:val="none"/>
                <w:lang w:val="zh-CN"/>
              </w:rPr>
            </w:pPr>
          </w:p>
        </w:tc>
        <w:tc>
          <w:tcPr>
            <w:tcW w:w="467" w:type="pct"/>
            <w:tcBorders>
              <w:top w:val="single" w:color="auto" w:sz="4" w:space="0"/>
              <w:left w:val="single" w:color="auto" w:sz="4" w:space="0"/>
              <w:bottom w:val="single" w:color="auto" w:sz="4" w:space="0"/>
              <w:right w:val="single" w:color="auto" w:sz="4" w:space="0"/>
            </w:tcBorders>
            <w:vAlign w:val="center"/>
          </w:tcPr>
          <w:p w14:paraId="407F49E8">
            <w:pPr>
              <w:snapToGrid w:val="0"/>
              <w:spacing w:line="360" w:lineRule="auto"/>
              <w:rPr>
                <w:rFonts w:ascii="仿宋" w:hAnsi="仿宋" w:eastAsia="仿宋" w:cs="仿宋"/>
                <w:bCs/>
                <w:sz w:val="24"/>
                <w:highlight w:val="none"/>
                <w:lang w:val="zh-CN"/>
              </w:rPr>
            </w:pPr>
          </w:p>
        </w:tc>
      </w:tr>
      <w:tr w14:paraId="2FCC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364" w:type="pct"/>
            <w:vMerge w:val="continue"/>
            <w:tcBorders>
              <w:top w:val="single" w:color="auto" w:sz="4" w:space="0"/>
              <w:left w:val="single" w:color="auto" w:sz="4" w:space="0"/>
              <w:bottom w:val="single" w:color="auto" w:sz="4" w:space="0"/>
              <w:right w:val="single" w:color="auto" w:sz="4" w:space="0"/>
            </w:tcBorders>
            <w:vAlign w:val="center"/>
          </w:tcPr>
          <w:p w14:paraId="6B40C90B">
            <w:pPr>
              <w:rPr>
                <w:highlight w:val="none"/>
              </w:rPr>
            </w:pPr>
          </w:p>
        </w:tc>
        <w:tc>
          <w:tcPr>
            <w:tcW w:w="697" w:type="pct"/>
            <w:vMerge w:val="continue"/>
            <w:tcBorders>
              <w:top w:val="single" w:color="auto" w:sz="4" w:space="0"/>
              <w:left w:val="single" w:color="auto" w:sz="4" w:space="0"/>
              <w:bottom w:val="single" w:color="auto" w:sz="4" w:space="0"/>
              <w:right w:val="single" w:color="auto" w:sz="4" w:space="0"/>
            </w:tcBorders>
            <w:vAlign w:val="center"/>
          </w:tcPr>
          <w:p w14:paraId="13AE2C66">
            <w:pPr>
              <w:rPr>
                <w:highlight w:val="none"/>
              </w:rPr>
            </w:pPr>
          </w:p>
        </w:tc>
        <w:tc>
          <w:tcPr>
            <w:tcW w:w="2706" w:type="pct"/>
            <w:gridSpan w:val="2"/>
            <w:tcBorders>
              <w:top w:val="single" w:color="auto" w:sz="4" w:space="0"/>
              <w:left w:val="single" w:color="auto" w:sz="4" w:space="0"/>
              <w:bottom w:val="single" w:color="auto" w:sz="4" w:space="0"/>
              <w:right w:val="single" w:color="auto" w:sz="4" w:space="0"/>
            </w:tcBorders>
            <w:vAlign w:val="center"/>
          </w:tcPr>
          <w:p w14:paraId="406407ED">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投标人未每月进行巡检的扣2分，巡检内容不符合要求的，每出现一次扣1分。本项最高扣5分。</w:t>
            </w:r>
          </w:p>
        </w:tc>
        <w:tc>
          <w:tcPr>
            <w:tcW w:w="766" w:type="pct"/>
            <w:tcBorders>
              <w:top w:val="single" w:color="auto" w:sz="4" w:space="0"/>
              <w:left w:val="single" w:color="auto" w:sz="4" w:space="0"/>
              <w:bottom w:val="single" w:color="auto" w:sz="4" w:space="0"/>
              <w:right w:val="single" w:color="auto" w:sz="4" w:space="0"/>
            </w:tcBorders>
            <w:vAlign w:val="center"/>
          </w:tcPr>
          <w:p w14:paraId="05D605E4">
            <w:pPr>
              <w:snapToGrid w:val="0"/>
              <w:spacing w:line="360" w:lineRule="auto"/>
              <w:rPr>
                <w:rFonts w:ascii="仿宋" w:hAnsi="仿宋" w:eastAsia="仿宋" w:cs="仿宋"/>
                <w:bCs/>
                <w:sz w:val="24"/>
                <w:highlight w:val="none"/>
                <w:lang w:val="zh-CN"/>
              </w:rPr>
            </w:pPr>
          </w:p>
        </w:tc>
        <w:tc>
          <w:tcPr>
            <w:tcW w:w="467" w:type="pct"/>
            <w:tcBorders>
              <w:top w:val="single" w:color="auto" w:sz="4" w:space="0"/>
              <w:left w:val="single" w:color="auto" w:sz="4" w:space="0"/>
              <w:bottom w:val="single" w:color="auto" w:sz="4" w:space="0"/>
              <w:right w:val="single" w:color="auto" w:sz="4" w:space="0"/>
            </w:tcBorders>
            <w:vAlign w:val="center"/>
          </w:tcPr>
          <w:p w14:paraId="0FF27E24">
            <w:pPr>
              <w:snapToGrid w:val="0"/>
              <w:spacing w:line="360" w:lineRule="auto"/>
              <w:rPr>
                <w:rFonts w:ascii="仿宋" w:hAnsi="仿宋" w:eastAsia="仿宋" w:cs="仿宋"/>
                <w:bCs/>
                <w:sz w:val="24"/>
                <w:highlight w:val="none"/>
                <w:lang w:val="zh-CN"/>
              </w:rPr>
            </w:pPr>
          </w:p>
        </w:tc>
      </w:tr>
      <w:tr w14:paraId="08FF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64" w:type="pct"/>
            <w:tcBorders>
              <w:top w:val="single" w:color="auto" w:sz="4" w:space="0"/>
              <w:left w:val="single" w:color="auto" w:sz="4" w:space="0"/>
              <w:bottom w:val="single" w:color="auto" w:sz="4" w:space="0"/>
              <w:right w:val="single" w:color="auto" w:sz="4" w:space="0"/>
            </w:tcBorders>
            <w:vAlign w:val="center"/>
          </w:tcPr>
          <w:p w14:paraId="424D3A2E">
            <w:pPr>
              <w:snapToGrid w:val="0"/>
              <w:spacing w:line="360" w:lineRule="auto"/>
              <w:jc w:val="left"/>
              <w:rPr>
                <w:rFonts w:ascii="仿宋" w:hAnsi="仿宋" w:eastAsia="仿宋" w:cs="仿宋"/>
                <w:bCs/>
                <w:sz w:val="24"/>
                <w:highlight w:val="none"/>
              </w:rPr>
            </w:pPr>
            <w:r>
              <w:rPr>
                <w:rFonts w:hint="eastAsia" w:ascii="仿宋" w:hAnsi="仿宋" w:eastAsia="仿宋" w:cs="仿宋"/>
                <w:bCs/>
                <w:sz w:val="24"/>
                <w:highlight w:val="none"/>
              </w:rPr>
              <w:t>5</w:t>
            </w:r>
          </w:p>
        </w:tc>
        <w:tc>
          <w:tcPr>
            <w:tcW w:w="697" w:type="pct"/>
            <w:tcBorders>
              <w:top w:val="single" w:color="auto" w:sz="4" w:space="0"/>
              <w:left w:val="single" w:color="auto" w:sz="4" w:space="0"/>
              <w:bottom w:val="single" w:color="auto" w:sz="4" w:space="0"/>
              <w:right w:val="single" w:color="auto" w:sz="4" w:space="0"/>
            </w:tcBorders>
            <w:vAlign w:val="center"/>
          </w:tcPr>
          <w:p w14:paraId="18F7C662">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培训</w:t>
            </w:r>
          </w:p>
        </w:tc>
        <w:tc>
          <w:tcPr>
            <w:tcW w:w="2706" w:type="pct"/>
            <w:gridSpan w:val="2"/>
            <w:tcBorders>
              <w:top w:val="single" w:color="auto" w:sz="4" w:space="0"/>
              <w:left w:val="single" w:color="auto" w:sz="4" w:space="0"/>
              <w:bottom w:val="single" w:color="auto" w:sz="4" w:space="0"/>
              <w:right w:val="single" w:color="auto" w:sz="4" w:space="0"/>
            </w:tcBorders>
            <w:vAlign w:val="center"/>
          </w:tcPr>
          <w:p w14:paraId="70F8950F">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rPr>
              <w:t>未按采购需求</w:t>
            </w:r>
            <w:r>
              <w:rPr>
                <w:rFonts w:hint="eastAsia" w:ascii="仿宋" w:hAnsi="仿宋" w:eastAsia="仿宋" w:cs="仿宋"/>
                <w:bCs/>
                <w:sz w:val="24"/>
                <w:highlight w:val="none"/>
                <w:lang w:val="zh-CN"/>
              </w:rPr>
              <w:t>开展业务培训的扣3分。</w:t>
            </w:r>
          </w:p>
        </w:tc>
        <w:tc>
          <w:tcPr>
            <w:tcW w:w="766" w:type="pct"/>
            <w:tcBorders>
              <w:top w:val="single" w:color="auto" w:sz="4" w:space="0"/>
              <w:left w:val="single" w:color="auto" w:sz="4" w:space="0"/>
              <w:bottom w:val="single" w:color="auto" w:sz="4" w:space="0"/>
              <w:right w:val="single" w:color="auto" w:sz="4" w:space="0"/>
            </w:tcBorders>
            <w:vAlign w:val="center"/>
          </w:tcPr>
          <w:p w14:paraId="40F75ED8">
            <w:pPr>
              <w:snapToGrid w:val="0"/>
              <w:spacing w:line="360" w:lineRule="auto"/>
              <w:rPr>
                <w:rFonts w:ascii="仿宋" w:hAnsi="仿宋" w:eastAsia="仿宋" w:cs="仿宋"/>
                <w:bCs/>
                <w:sz w:val="24"/>
                <w:highlight w:val="none"/>
                <w:lang w:val="zh-CN"/>
              </w:rPr>
            </w:pPr>
          </w:p>
        </w:tc>
        <w:tc>
          <w:tcPr>
            <w:tcW w:w="467" w:type="pct"/>
            <w:tcBorders>
              <w:top w:val="single" w:color="auto" w:sz="4" w:space="0"/>
              <w:left w:val="single" w:color="auto" w:sz="4" w:space="0"/>
              <w:bottom w:val="single" w:color="auto" w:sz="4" w:space="0"/>
              <w:right w:val="single" w:color="auto" w:sz="4" w:space="0"/>
            </w:tcBorders>
            <w:vAlign w:val="center"/>
          </w:tcPr>
          <w:p w14:paraId="2CE8FAED">
            <w:pPr>
              <w:snapToGrid w:val="0"/>
              <w:spacing w:line="360" w:lineRule="auto"/>
              <w:rPr>
                <w:rFonts w:ascii="仿宋" w:hAnsi="仿宋" w:eastAsia="仿宋" w:cs="仿宋"/>
                <w:bCs/>
                <w:sz w:val="24"/>
                <w:highlight w:val="none"/>
                <w:lang w:val="zh-CN"/>
              </w:rPr>
            </w:pPr>
          </w:p>
        </w:tc>
      </w:tr>
      <w:tr w14:paraId="2813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364" w:type="pct"/>
            <w:tcBorders>
              <w:top w:val="single" w:color="auto" w:sz="4" w:space="0"/>
              <w:left w:val="single" w:color="auto" w:sz="4" w:space="0"/>
              <w:bottom w:val="single" w:color="auto" w:sz="4" w:space="0"/>
              <w:right w:val="single" w:color="auto" w:sz="4" w:space="0"/>
            </w:tcBorders>
            <w:vAlign w:val="center"/>
          </w:tcPr>
          <w:p w14:paraId="644F7B0E">
            <w:pPr>
              <w:snapToGrid w:val="0"/>
              <w:spacing w:line="360" w:lineRule="auto"/>
              <w:jc w:val="left"/>
              <w:rPr>
                <w:rFonts w:ascii="仿宋" w:hAnsi="仿宋" w:eastAsia="仿宋" w:cs="仿宋"/>
                <w:bCs/>
                <w:sz w:val="24"/>
                <w:highlight w:val="none"/>
              </w:rPr>
            </w:pPr>
            <w:r>
              <w:rPr>
                <w:rFonts w:hint="eastAsia" w:ascii="仿宋" w:hAnsi="仿宋" w:eastAsia="仿宋" w:cs="仿宋"/>
                <w:bCs/>
                <w:sz w:val="24"/>
                <w:highlight w:val="none"/>
              </w:rPr>
              <w:t>6</w:t>
            </w:r>
          </w:p>
        </w:tc>
        <w:tc>
          <w:tcPr>
            <w:tcW w:w="697" w:type="pct"/>
            <w:tcBorders>
              <w:top w:val="single" w:color="auto" w:sz="4" w:space="0"/>
              <w:left w:val="single" w:color="auto" w:sz="4" w:space="0"/>
              <w:bottom w:val="single" w:color="auto" w:sz="4" w:space="0"/>
              <w:right w:val="single" w:color="auto" w:sz="4" w:space="0"/>
            </w:tcBorders>
            <w:vAlign w:val="center"/>
          </w:tcPr>
          <w:p w14:paraId="6CBE26ED">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napToGrid w:val="0"/>
                <w:kern w:val="28"/>
                <w:sz w:val="24"/>
                <w:highlight w:val="none"/>
              </w:rPr>
              <w:t>网络</w:t>
            </w:r>
            <w:r>
              <w:rPr>
                <w:rFonts w:hint="eastAsia" w:ascii="仿宋" w:hAnsi="仿宋" w:eastAsia="仿宋" w:cs="仿宋"/>
                <w:bCs/>
                <w:sz w:val="24"/>
                <w:highlight w:val="none"/>
                <w:lang w:val="zh-CN"/>
              </w:rPr>
              <w:t>安全</w:t>
            </w:r>
          </w:p>
        </w:tc>
        <w:tc>
          <w:tcPr>
            <w:tcW w:w="2706" w:type="pct"/>
            <w:gridSpan w:val="2"/>
            <w:tcBorders>
              <w:top w:val="single" w:color="auto" w:sz="4" w:space="0"/>
              <w:left w:val="single" w:color="auto" w:sz="4" w:space="0"/>
              <w:bottom w:val="single" w:color="auto" w:sz="4" w:space="0"/>
              <w:right w:val="single" w:color="auto" w:sz="4" w:space="0"/>
            </w:tcBorders>
            <w:vAlign w:val="center"/>
          </w:tcPr>
          <w:p w14:paraId="710859BB">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rPr>
              <w:t>投标人未按网络安全履行责任和义务的，每发生一次扣除违约金10000元。</w:t>
            </w:r>
          </w:p>
        </w:tc>
        <w:tc>
          <w:tcPr>
            <w:tcW w:w="766" w:type="pct"/>
            <w:tcBorders>
              <w:top w:val="single" w:color="auto" w:sz="4" w:space="0"/>
              <w:left w:val="single" w:color="auto" w:sz="4" w:space="0"/>
              <w:bottom w:val="single" w:color="auto" w:sz="4" w:space="0"/>
              <w:right w:val="single" w:color="auto" w:sz="4" w:space="0"/>
            </w:tcBorders>
            <w:vAlign w:val="center"/>
          </w:tcPr>
          <w:p w14:paraId="0C86BF93">
            <w:pPr>
              <w:snapToGrid w:val="0"/>
              <w:spacing w:line="360" w:lineRule="auto"/>
              <w:rPr>
                <w:rFonts w:ascii="仿宋" w:hAnsi="仿宋" w:eastAsia="仿宋" w:cs="仿宋"/>
                <w:bCs/>
                <w:sz w:val="24"/>
                <w:highlight w:val="none"/>
                <w:lang w:val="zh-CN"/>
              </w:rPr>
            </w:pPr>
          </w:p>
        </w:tc>
        <w:tc>
          <w:tcPr>
            <w:tcW w:w="467" w:type="pct"/>
            <w:tcBorders>
              <w:top w:val="single" w:color="auto" w:sz="4" w:space="0"/>
              <w:left w:val="single" w:color="auto" w:sz="4" w:space="0"/>
              <w:bottom w:val="single" w:color="auto" w:sz="4" w:space="0"/>
              <w:right w:val="single" w:color="auto" w:sz="4" w:space="0"/>
            </w:tcBorders>
            <w:vAlign w:val="center"/>
          </w:tcPr>
          <w:p w14:paraId="4FDFC9D2">
            <w:pPr>
              <w:snapToGrid w:val="0"/>
              <w:spacing w:line="360" w:lineRule="auto"/>
              <w:rPr>
                <w:rFonts w:ascii="仿宋" w:hAnsi="仿宋" w:eastAsia="仿宋" w:cs="仿宋"/>
                <w:bCs/>
                <w:sz w:val="24"/>
                <w:highlight w:val="none"/>
                <w:lang w:val="zh-CN"/>
              </w:rPr>
            </w:pPr>
          </w:p>
        </w:tc>
      </w:tr>
      <w:tr w14:paraId="39E8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364" w:type="pct"/>
            <w:tcBorders>
              <w:top w:val="single" w:color="auto" w:sz="4" w:space="0"/>
              <w:left w:val="single" w:color="auto" w:sz="4" w:space="0"/>
              <w:bottom w:val="single" w:color="auto" w:sz="4" w:space="0"/>
              <w:right w:val="single" w:color="auto" w:sz="4" w:space="0"/>
            </w:tcBorders>
            <w:vAlign w:val="center"/>
          </w:tcPr>
          <w:p w14:paraId="439207BD">
            <w:pPr>
              <w:snapToGrid w:val="0"/>
              <w:spacing w:line="360" w:lineRule="auto"/>
              <w:jc w:val="left"/>
              <w:rPr>
                <w:rFonts w:ascii="仿宋" w:hAnsi="仿宋" w:eastAsia="仿宋" w:cs="仿宋"/>
                <w:bCs/>
                <w:sz w:val="24"/>
                <w:highlight w:val="none"/>
              </w:rPr>
            </w:pPr>
            <w:r>
              <w:rPr>
                <w:rFonts w:hint="eastAsia" w:ascii="仿宋" w:hAnsi="仿宋" w:eastAsia="仿宋" w:cs="仿宋"/>
                <w:bCs/>
                <w:sz w:val="24"/>
                <w:highlight w:val="none"/>
              </w:rPr>
              <w:t>7</w:t>
            </w:r>
          </w:p>
        </w:tc>
        <w:tc>
          <w:tcPr>
            <w:tcW w:w="697" w:type="pct"/>
            <w:tcBorders>
              <w:top w:val="single" w:color="auto" w:sz="4" w:space="0"/>
              <w:left w:val="single" w:color="auto" w:sz="4" w:space="0"/>
              <w:bottom w:val="single" w:color="auto" w:sz="4" w:space="0"/>
              <w:right w:val="single" w:color="auto" w:sz="4" w:space="0"/>
            </w:tcBorders>
            <w:vAlign w:val="center"/>
          </w:tcPr>
          <w:p w14:paraId="1698259F">
            <w:pPr>
              <w:snapToGrid w:val="0"/>
              <w:spacing w:line="360" w:lineRule="auto"/>
              <w:jc w:val="left"/>
              <w:rPr>
                <w:rFonts w:ascii="仿宋" w:hAnsi="仿宋" w:eastAsia="仿宋" w:cs="仿宋"/>
                <w:bCs/>
                <w:snapToGrid w:val="0"/>
                <w:kern w:val="28"/>
                <w:sz w:val="24"/>
                <w:highlight w:val="none"/>
              </w:rPr>
            </w:pPr>
            <w:r>
              <w:rPr>
                <w:rFonts w:hint="eastAsia" w:ascii="仿宋" w:hAnsi="仿宋" w:eastAsia="仿宋" w:cs="仿宋"/>
                <w:bCs/>
                <w:sz w:val="24"/>
                <w:highlight w:val="none"/>
                <w:lang w:val="zh-CN"/>
              </w:rPr>
              <w:t>保密</w:t>
            </w:r>
          </w:p>
        </w:tc>
        <w:tc>
          <w:tcPr>
            <w:tcW w:w="2706" w:type="pct"/>
            <w:gridSpan w:val="2"/>
            <w:tcBorders>
              <w:top w:val="single" w:color="auto" w:sz="4" w:space="0"/>
              <w:left w:val="single" w:color="auto" w:sz="4" w:space="0"/>
              <w:bottom w:val="single" w:color="auto" w:sz="4" w:space="0"/>
              <w:right w:val="single" w:color="auto" w:sz="4" w:space="0"/>
            </w:tcBorders>
            <w:vAlign w:val="center"/>
          </w:tcPr>
          <w:p w14:paraId="7D876521">
            <w:pPr>
              <w:snapToGrid w:val="0"/>
              <w:spacing w:line="360" w:lineRule="auto"/>
              <w:jc w:val="left"/>
              <w:rPr>
                <w:rFonts w:ascii="仿宋" w:hAnsi="仿宋" w:eastAsia="仿宋" w:cs="仿宋"/>
                <w:bCs/>
                <w:sz w:val="24"/>
                <w:highlight w:val="none"/>
              </w:rPr>
            </w:pPr>
            <w:r>
              <w:rPr>
                <w:rFonts w:hint="eastAsia" w:ascii="仿宋" w:hAnsi="仿宋" w:eastAsia="仿宋" w:cs="仿宋"/>
                <w:sz w:val="24"/>
                <w:highlight w:val="none"/>
              </w:rPr>
              <w:t>未按保密管理条款规定执行的，每发现一次处违约金10000元，如发生泄密事件，除赔偿采购人损失外，还应承担全部法律责任。</w:t>
            </w:r>
          </w:p>
        </w:tc>
        <w:tc>
          <w:tcPr>
            <w:tcW w:w="766" w:type="pct"/>
            <w:tcBorders>
              <w:top w:val="single" w:color="auto" w:sz="4" w:space="0"/>
              <w:left w:val="single" w:color="auto" w:sz="4" w:space="0"/>
              <w:bottom w:val="single" w:color="auto" w:sz="4" w:space="0"/>
              <w:right w:val="single" w:color="auto" w:sz="4" w:space="0"/>
            </w:tcBorders>
            <w:vAlign w:val="center"/>
          </w:tcPr>
          <w:p w14:paraId="063FD590">
            <w:pPr>
              <w:snapToGrid w:val="0"/>
              <w:spacing w:line="360" w:lineRule="auto"/>
              <w:rPr>
                <w:rFonts w:ascii="仿宋" w:hAnsi="仿宋" w:eastAsia="仿宋" w:cs="仿宋"/>
                <w:bCs/>
                <w:sz w:val="24"/>
                <w:highlight w:val="none"/>
                <w:lang w:val="zh-CN"/>
              </w:rPr>
            </w:pPr>
          </w:p>
        </w:tc>
        <w:tc>
          <w:tcPr>
            <w:tcW w:w="467" w:type="pct"/>
            <w:tcBorders>
              <w:top w:val="single" w:color="auto" w:sz="4" w:space="0"/>
              <w:left w:val="single" w:color="auto" w:sz="4" w:space="0"/>
              <w:bottom w:val="single" w:color="auto" w:sz="4" w:space="0"/>
              <w:right w:val="single" w:color="auto" w:sz="4" w:space="0"/>
            </w:tcBorders>
            <w:vAlign w:val="center"/>
          </w:tcPr>
          <w:p w14:paraId="40830E0F">
            <w:pPr>
              <w:snapToGrid w:val="0"/>
              <w:spacing w:line="360" w:lineRule="auto"/>
              <w:rPr>
                <w:rFonts w:ascii="仿宋" w:hAnsi="仿宋" w:eastAsia="仿宋" w:cs="仿宋"/>
                <w:bCs/>
                <w:sz w:val="24"/>
                <w:highlight w:val="none"/>
                <w:lang w:val="zh-CN"/>
              </w:rPr>
            </w:pPr>
          </w:p>
        </w:tc>
      </w:tr>
      <w:tr w14:paraId="11E4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64" w:type="pct"/>
            <w:tcBorders>
              <w:top w:val="single" w:color="auto" w:sz="4" w:space="0"/>
              <w:left w:val="single" w:color="auto" w:sz="4" w:space="0"/>
              <w:bottom w:val="single" w:color="auto" w:sz="4" w:space="0"/>
              <w:right w:val="single" w:color="auto" w:sz="4" w:space="0"/>
            </w:tcBorders>
            <w:vAlign w:val="center"/>
          </w:tcPr>
          <w:p w14:paraId="356DC1F2">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8</w:t>
            </w:r>
          </w:p>
        </w:tc>
        <w:tc>
          <w:tcPr>
            <w:tcW w:w="697" w:type="pct"/>
            <w:tcBorders>
              <w:top w:val="single" w:color="auto" w:sz="4" w:space="0"/>
              <w:left w:val="single" w:color="auto" w:sz="4" w:space="0"/>
              <w:bottom w:val="single" w:color="auto" w:sz="4" w:space="0"/>
              <w:right w:val="single" w:color="auto" w:sz="4" w:space="0"/>
            </w:tcBorders>
            <w:vAlign w:val="center"/>
          </w:tcPr>
          <w:p w14:paraId="5B818286">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其他</w:t>
            </w:r>
          </w:p>
        </w:tc>
        <w:tc>
          <w:tcPr>
            <w:tcW w:w="2706" w:type="pct"/>
            <w:gridSpan w:val="2"/>
            <w:tcBorders>
              <w:top w:val="single" w:color="auto" w:sz="4" w:space="0"/>
              <w:left w:val="single" w:color="auto" w:sz="4" w:space="0"/>
              <w:bottom w:val="single" w:color="auto" w:sz="4" w:space="0"/>
              <w:right w:val="single" w:color="auto" w:sz="4" w:space="0"/>
            </w:tcBorders>
            <w:vAlign w:val="center"/>
          </w:tcPr>
          <w:p w14:paraId="1DF595D4">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存在其他未按采购需求提供服务情况的，</w:t>
            </w:r>
            <w:r>
              <w:rPr>
                <w:rFonts w:hint="eastAsia" w:ascii="仿宋" w:hAnsi="仿宋" w:eastAsia="仿宋" w:cs="仿宋"/>
                <w:bCs/>
                <w:sz w:val="24"/>
                <w:highlight w:val="none"/>
              </w:rPr>
              <w:t>每出现一次扣2分。</w:t>
            </w:r>
          </w:p>
        </w:tc>
        <w:tc>
          <w:tcPr>
            <w:tcW w:w="766" w:type="pct"/>
            <w:tcBorders>
              <w:top w:val="single" w:color="auto" w:sz="4" w:space="0"/>
              <w:left w:val="single" w:color="auto" w:sz="4" w:space="0"/>
              <w:bottom w:val="single" w:color="auto" w:sz="4" w:space="0"/>
              <w:right w:val="single" w:color="auto" w:sz="4" w:space="0"/>
            </w:tcBorders>
            <w:vAlign w:val="center"/>
          </w:tcPr>
          <w:p w14:paraId="59BB665E">
            <w:pPr>
              <w:snapToGrid w:val="0"/>
              <w:spacing w:line="360" w:lineRule="auto"/>
              <w:rPr>
                <w:rFonts w:ascii="仿宋" w:hAnsi="仿宋" w:eastAsia="仿宋" w:cs="仿宋"/>
                <w:bCs/>
                <w:sz w:val="24"/>
                <w:highlight w:val="none"/>
                <w:lang w:val="zh-CN"/>
              </w:rPr>
            </w:pPr>
          </w:p>
        </w:tc>
        <w:tc>
          <w:tcPr>
            <w:tcW w:w="467" w:type="pct"/>
            <w:tcBorders>
              <w:top w:val="single" w:color="auto" w:sz="4" w:space="0"/>
              <w:left w:val="single" w:color="auto" w:sz="4" w:space="0"/>
              <w:bottom w:val="single" w:color="auto" w:sz="4" w:space="0"/>
              <w:right w:val="single" w:color="auto" w:sz="4" w:space="0"/>
            </w:tcBorders>
            <w:vAlign w:val="center"/>
          </w:tcPr>
          <w:p w14:paraId="434684F9">
            <w:pPr>
              <w:snapToGrid w:val="0"/>
              <w:spacing w:line="360" w:lineRule="auto"/>
              <w:rPr>
                <w:rFonts w:ascii="仿宋" w:hAnsi="仿宋" w:eastAsia="仿宋" w:cs="仿宋"/>
                <w:bCs/>
                <w:sz w:val="24"/>
                <w:highlight w:val="none"/>
                <w:lang w:val="zh-CN"/>
              </w:rPr>
            </w:pPr>
          </w:p>
        </w:tc>
      </w:tr>
      <w:tr w14:paraId="1D7F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061" w:type="pct"/>
            <w:gridSpan w:val="2"/>
            <w:tcBorders>
              <w:top w:val="single" w:color="auto" w:sz="4" w:space="0"/>
              <w:left w:val="single" w:color="auto" w:sz="4" w:space="0"/>
              <w:bottom w:val="single" w:color="auto" w:sz="4" w:space="0"/>
              <w:right w:val="single" w:color="auto" w:sz="4" w:space="0"/>
            </w:tcBorders>
            <w:vAlign w:val="center"/>
          </w:tcPr>
          <w:p w14:paraId="48D58852">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考核分小计</w:t>
            </w:r>
          </w:p>
        </w:tc>
        <w:tc>
          <w:tcPr>
            <w:tcW w:w="3939" w:type="pct"/>
            <w:gridSpan w:val="4"/>
            <w:tcBorders>
              <w:top w:val="single" w:color="auto" w:sz="4" w:space="0"/>
              <w:left w:val="single" w:color="auto" w:sz="4" w:space="0"/>
              <w:bottom w:val="single" w:color="auto" w:sz="4" w:space="0"/>
              <w:right w:val="single" w:color="auto" w:sz="4" w:space="0"/>
            </w:tcBorders>
            <w:vAlign w:val="center"/>
          </w:tcPr>
          <w:p w14:paraId="191AB169">
            <w:pPr>
              <w:snapToGrid w:val="0"/>
              <w:spacing w:line="360" w:lineRule="auto"/>
              <w:rPr>
                <w:rFonts w:ascii="仿宋" w:hAnsi="仿宋" w:eastAsia="仿宋" w:cs="仿宋"/>
                <w:bCs/>
                <w:sz w:val="24"/>
                <w:highlight w:val="none"/>
                <w:lang w:val="zh-CN"/>
              </w:rPr>
            </w:pPr>
          </w:p>
        </w:tc>
      </w:tr>
      <w:tr w14:paraId="5F0C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vAlign w:val="center"/>
          </w:tcPr>
          <w:p w14:paraId="5EDE9A62">
            <w:pPr>
              <w:autoSpaceDE w:val="0"/>
              <w:autoSpaceDN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投标人签字（盖章）：监理单位签字（盖章）：</w:t>
            </w:r>
          </w:p>
          <w:p w14:paraId="0D5070A7">
            <w:pPr>
              <w:autoSpaceDE w:val="0"/>
              <w:autoSpaceDN w:val="0"/>
              <w:snapToGrid w:val="0"/>
              <w:spacing w:line="360" w:lineRule="auto"/>
              <w:rPr>
                <w:rFonts w:ascii="仿宋" w:hAnsi="仿宋" w:eastAsia="仿宋" w:cs="仿宋"/>
                <w:sz w:val="24"/>
                <w:highlight w:val="none"/>
              </w:rPr>
            </w:pPr>
          </w:p>
          <w:p w14:paraId="05220D46">
            <w:pPr>
              <w:snapToGrid w:val="0"/>
              <w:spacing w:line="360" w:lineRule="auto"/>
              <w:rPr>
                <w:rFonts w:ascii="仿宋" w:hAnsi="仿宋" w:eastAsia="仿宋" w:cs="仿宋"/>
                <w:bCs/>
                <w:sz w:val="24"/>
                <w:highlight w:val="none"/>
                <w:lang w:val="zh-CN"/>
              </w:rPr>
            </w:pPr>
            <w:r>
              <w:rPr>
                <w:rFonts w:hint="eastAsia" w:ascii="仿宋" w:hAnsi="仿宋" w:eastAsia="仿宋" w:cs="仿宋"/>
                <w:sz w:val="24"/>
                <w:highlight w:val="none"/>
              </w:rPr>
              <w:t>采购人经办人、审核人签字（盖章）：</w:t>
            </w:r>
          </w:p>
        </w:tc>
      </w:tr>
    </w:tbl>
    <w:p w14:paraId="1199CD78">
      <w:pPr>
        <w:pStyle w:val="23"/>
        <w:rPr>
          <w:rFonts w:ascii="仿宋" w:hAnsi="仿宋" w:eastAsia="仿宋" w:cs="仿宋"/>
          <w:bCs/>
          <w:highlight w:val="none"/>
        </w:rPr>
      </w:pPr>
    </w:p>
    <w:p w14:paraId="41205743">
      <w:pPr>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 xml:space="preserve">第四部分   </w:t>
      </w:r>
      <w:bookmarkStart w:id="31" w:name="_Toc184313244"/>
      <w:bookmarkEnd w:id="31"/>
      <w:bookmarkStart w:id="32" w:name="_Toc184313296"/>
      <w:bookmarkEnd w:id="32"/>
      <w:bookmarkStart w:id="33" w:name="_Toc184308104"/>
      <w:bookmarkEnd w:id="33"/>
      <w:bookmarkStart w:id="34" w:name="_Toc184308067"/>
      <w:bookmarkEnd w:id="34"/>
      <w:bookmarkStart w:id="35" w:name="_Toc184310343"/>
      <w:bookmarkEnd w:id="35"/>
      <w:bookmarkStart w:id="36" w:name="_Toc184312073"/>
      <w:bookmarkEnd w:id="36"/>
      <w:bookmarkStart w:id="37" w:name="_Toc184310336"/>
      <w:bookmarkEnd w:id="37"/>
      <w:bookmarkStart w:id="38" w:name="_Toc184314453"/>
      <w:bookmarkEnd w:id="38"/>
      <w:bookmarkStart w:id="39" w:name="_Toc184310322"/>
      <w:bookmarkEnd w:id="39"/>
      <w:bookmarkStart w:id="40" w:name="_Toc184312072"/>
      <w:bookmarkEnd w:id="40"/>
      <w:bookmarkStart w:id="41" w:name="_Toc184312128"/>
      <w:bookmarkEnd w:id="41"/>
      <w:bookmarkStart w:id="42" w:name="_Toc184314478"/>
      <w:bookmarkEnd w:id="42"/>
      <w:bookmarkStart w:id="43" w:name="_Toc184308061"/>
      <w:bookmarkEnd w:id="43"/>
      <w:bookmarkStart w:id="44" w:name="_Toc184312067"/>
      <w:bookmarkEnd w:id="44"/>
      <w:bookmarkStart w:id="45" w:name="_Toc184313286"/>
      <w:bookmarkEnd w:id="45"/>
      <w:bookmarkStart w:id="46" w:name="_Toc184314415"/>
      <w:bookmarkEnd w:id="46"/>
      <w:bookmarkStart w:id="47" w:name="_Toc184314418"/>
      <w:bookmarkEnd w:id="47"/>
      <w:bookmarkStart w:id="48" w:name="_Toc184312091"/>
      <w:bookmarkEnd w:id="48"/>
      <w:bookmarkStart w:id="49" w:name="_Toc184313256"/>
      <w:bookmarkEnd w:id="49"/>
      <w:bookmarkStart w:id="50" w:name="_Toc184313239"/>
      <w:bookmarkEnd w:id="50"/>
      <w:bookmarkStart w:id="51" w:name="_Toc184310333"/>
      <w:bookmarkEnd w:id="51"/>
      <w:bookmarkStart w:id="52" w:name="_Toc184313252"/>
      <w:bookmarkEnd w:id="52"/>
      <w:bookmarkStart w:id="53" w:name="_Toc184310299"/>
      <w:bookmarkEnd w:id="53"/>
      <w:bookmarkStart w:id="54" w:name="_Toc184308056"/>
      <w:bookmarkEnd w:id="54"/>
      <w:bookmarkStart w:id="55" w:name="_Toc184308091"/>
      <w:bookmarkEnd w:id="55"/>
      <w:bookmarkStart w:id="56" w:name="_Toc184310311"/>
      <w:bookmarkEnd w:id="56"/>
      <w:bookmarkStart w:id="57" w:name="_Toc184312077"/>
      <w:bookmarkEnd w:id="57"/>
      <w:bookmarkStart w:id="58" w:name="_Toc184308075"/>
      <w:bookmarkEnd w:id="58"/>
      <w:bookmarkStart w:id="59" w:name="_Toc184308103"/>
      <w:bookmarkEnd w:id="59"/>
      <w:bookmarkStart w:id="60" w:name="_Toc184308084"/>
      <w:bookmarkEnd w:id="60"/>
      <w:bookmarkStart w:id="61" w:name="_Toc184310303"/>
      <w:bookmarkEnd w:id="61"/>
      <w:bookmarkStart w:id="62" w:name="_Toc184308057"/>
      <w:bookmarkEnd w:id="62"/>
      <w:bookmarkStart w:id="63" w:name="_Toc184312102"/>
      <w:bookmarkEnd w:id="63"/>
      <w:bookmarkStart w:id="64" w:name="_Toc184314480"/>
      <w:bookmarkEnd w:id="64"/>
      <w:bookmarkStart w:id="65" w:name="_Toc184314437"/>
      <w:bookmarkEnd w:id="65"/>
      <w:bookmarkStart w:id="66" w:name="_Toc184308096"/>
      <w:bookmarkEnd w:id="66"/>
      <w:bookmarkStart w:id="67" w:name="_Toc184313294"/>
      <w:bookmarkEnd w:id="67"/>
      <w:bookmarkStart w:id="68" w:name="_Toc184310310"/>
      <w:bookmarkEnd w:id="68"/>
      <w:bookmarkStart w:id="69" w:name="_Toc184314467"/>
      <w:bookmarkEnd w:id="69"/>
      <w:bookmarkStart w:id="70" w:name="_Toc184312136"/>
      <w:bookmarkEnd w:id="70"/>
      <w:bookmarkStart w:id="71" w:name="_Toc184313248"/>
      <w:bookmarkEnd w:id="71"/>
      <w:bookmarkStart w:id="72" w:name="_Toc184314468"/>
      <w:bookmarkEnd w:id="72"/>
      <w:bookmarkStart w:id="73" w:name="_Toc184314469"/>
      <w:bookmarkEnd w:id="73"/>
      <w:bookmarkStart w:id="74" w:name="_Toc184314421"/>
      <w:bookmarkEnd w:id="74"/>
      <w:bookmarkStart w:id="75" w:name="_Toc184314411"/>
      <w:bookmarkEnd w:id="75"/>
      <w:bookmarkStart w:id="76" w:name="_Toc184313269"/>
      <w:bookmarkEnd w:id="76"/>
      <w:bookmarkStart w:id="77" w:name="_Toc184313301"/>
      <w:bookmarkEnd w:id="77"/>
      <w:bookmarkStart w:id="78" w:name="_Toc184314432"/>
      <w:bookmarkEnd w:id="78"/>
      <w:bookmarkStart w:id="79" w:name="_Toc184312098"/>
      <w:bookmarkEnd w:id="79"/>
      <w:bookmarkStart w:id="80" w:name="_Toc184313277"/>
      <w:bookmarkEnd w:id="80"/>
      <w:bookmarkStart w:id="81" w:name="_Toc184312095"/>
      <w:bookmarkEnd w:id="81"/>
      <w:bookmarkStart w:id="82" w:name="_Toc184313272"/>
      <w:bookmarkEnd w:id="82"/>
      <w:bookmarkStart w:id="83" w:name="_Toc184310279"/>
      <w:bookmarkEnd w:id="83"/>
      <w:bookmarkStart w:id="84" w:name="_Toc184314449"/>
      <w:bookmarkEnd w:id="84"/>
      <w:bookmarkStart w:id="85" w:name="_Toc184312079"/>
      <w:bookmarkEnd w:id="85"/>
      <w:bookmarkStart w:id="86" w:name="_Toc184312124"/>
      <w:bookmarkEnd w:id="86"/>
      <w:bookmarkStart w:id="87" w:name="_Toc184313270"/>
      <w:bookmarkEnd w:id="87"/>
      <w:bookmarkStart w:id="88" w:name="_Toc184310307"/>
      <w:bookmarkEnd w:id="88"/>
      <w:bookmarkStart w:id="89" w:name="_Toc184308089"/>
      <w:bookmarkEnd w:id="89"/>
      <w:bookmarkStart w:id="90" w:name="_Toc184313240"/>
      <w:bookmarkEnd w:id="90"/>
      <w:bookmarkStart w:id="91" w:name="_Toc184312108"/>
      <w:bookmarkEnd w:id="91"/>
      <w:bookmarkStart w:id="92" w:name="_Toc184308060"/>
      <w:bookmarkEnd w:id="92"/>
      <w:bookmarkStart w:id="93" w:name="_Toc184312130"/>
      <w:bookmarkEnd w:id="93"/>
      <w:bookmarkStart w:id="94" w:name="_Toc184310278"/>
      <w:bookmarkEnd w:id="94"/>
      <w:bookmarkStart w:id="95" w:name="_Toc184310272"/>
      <w:bookmarkEnd w:id="95"/>
      <w:bookmarkStart w:id="96" w:name="_Toc184313262"/>
      <w:bookmarkEnd w:id="96"/>
      <w:bookmarkStart w:id="97" w:name="_Toc184314420"/>
      <w:bookmarkEnd w:id="97"/>
      <w:bookmarkStart w:id="98" w:name="_Toc184313275"/>
      <w:bookmarkEnd w:id="98"/>
      <w:bookmarkStart w:id="99" w:name="_Toc184313292"/>
      <w:bookmarkEnd w:id="99"/>
      <w:bookmarkStart w:id="100" w:name="_Toc184310337"/>
      <w:bookmarkEnd w:id="100"/>
      <w:bookmarkStart w:id="101" w:name="_Toc184312115"/>
      <w:bookmarkEnd w:id="101"/>
      <w:bookmarkStart w:id="102" w:name="_Toc184313241"/>
      <w:bookmarkEnd w:id="102"/>
      <w:bookmarkStart w:id="103" w:name="_Toc184310281"/>
      <w:bookmarkEnd w:id="103"/>
      <w:bookmarkStart w:id="104" w:name="_Toc184313265"/>
      <w:bookmarkEnd w:id="104"/>
      <w:bookmarkStart w:id="105" w:name="_Toc184314458"/>
      <w:bookmarkEnd w:id="105"/>
      <w:bookmarkStart w:id="106" w:name="_Toc184314448"/>
      <w:bookmarkEnd w:id="106"/>
      <w:bookmarkStart w:id="107" w:name="_Toc184313282"/>
      <w:bookmarkEnd w:id="107"/>
      <w:bookmarkStart w:id="108" w:name="_Toc184314430"/>
      <w:bookmarkEnd w:id="108"/>
      <w:bookmarkStart w:id="109" w:name="_Toc184314441"/>
      <w:bookmarkEnd w:id="109"/>
      <w:bookmarkStart w:id="110" w:name="_Toc184310294"/>
      <w:bookmarkEnd w:id="110"/>
      <w:bookmarkStart w:id="111" w:name="_Toc184312093"/>
      <w:bookmarkEnd w:id="111"/>
      <w:bookmarkStart w:id="112" w:name="_Toc184313264"/>
      <w:bookmarkEnd w:id="112"/>
      <w:bookmarkStart w:id="113" w:name="_Toc184312118"/>
      <w:bookmarkEnd w:id="113"/>
      <w:bookmarkStart w:id="114" w:name="_Toc184313310"/>
      <w:bookmarkEnd w:id="114"/>
      <w:bookmarkStart w:id="115" w:name="_Toc184308063"/>
      <w:bookmarkEnd w:id="115"/>
      <w:bookmarkStart w:id="116" w:name="_Toc184310329"/>
      <w:bookmarkEnd w:id="116"/>
      <w:bookmarkStart w:id="117" w:name="_Toc184314451"/>
      <w:bookmarkEnd w:id="117"/>
      <w:bookmarkStart w:id="118" w:name="_Toc184310288"/>
      <w:bookmarkEnd w:id="118"/>
      <w:bookmarkStart w:id="119" w:name="_Toc184308085"/>
      <w:bookmarkEnd w:id="119"/>
      <w:bookmarkStart w:id="120" w:name="_Toc184312080"/>
      <w:bookmarkEnd w:id="120"/>
      <w:bookmarkStart w:id="121" w:name="_Toc184308058"/>
      <w:bookmarkEnd w:id="121"/>
      <w:bookmarkStart w:id="122" w:name="_Toc184308046"/>
      <w:bookmarkEnd w:id="122"/>
      <w:bookmarkStart w:id="123" w:name="_Toc184312101"/>
      <w:bookmarkEnd w:id="123"/>
      <w:bookmarkStart w:id="124" w:name="_Toc184310283"/>
      <w:bookmarkEnd w:id="124"/>
      <w:bookmarkStart w:id="125" w:name="_Toc184314425"/>
      <w:bookmarkEnd w:id="125"/>
      <w:bookmarkStart w:id="126" w:name="_Toc184310335"/>
      <w:bookmarkEnd w:id="126"/>
      <w:bookmarkStart w:id="127" w:name="_Toc184312138"/>
      <w:bookmarkEnd w:id="127"/>
      <w:bookmarkStart w:id="128" w:name="_Toc184314452"/>
      <w:bookmarkEnd w:id="128"/>
      <w:bookmarkStart w:id="129" w:name="_Toc184312107"/>
      <w:bookmarkEnd w:id="129"/>
      <w:bookmarkStart w:id="130" w:name="_Toc184314466"/>
      <w:bookmarkEnd w:id="130"/>
      <w:bookmarkStart w:id="131" w:name="_Toc184314445"/>
      <w:bookmarkEnd w:id="131"/>
      <w:bookmarkStart w:id="132" w:name="_Toc184314423"/>
      <w:bookmarkEnd w:id="132"/>
      <w:bookmarkStart w:id="133" w:name="_Toc184314459"/>
      <w:bookmarkEnd w:id="133"/>
      <w:bookmarkStart w:id="134" w:name="_Toc184313238"/>
      <w:bookmarkEnd w:id="134"/>
      <w:bookmarkStart w:id="135" w:name="_Toc184314474"/>
      <w:bookmarkEnd w:id="135"/>
      <w:bookmarkStart w:id="136" w:name="_Toc184310309"/>
      <w:bookmarkEnd w:id="136"/>
      <w:bookmarkStart w:id="137" w:name="_Toc184310340"/>
      <w:bookmarkEnd w:id="137"/>
      <w:bookmarkStart w:id="138" w:name="_Toc184310305"/>
      <w:bookmarkEnd w:id="138"/>
      <w:bookmarkStart w:id="139" w:name="_Toc184310344"/>
      <w:bookmarkEnd w:id="139"/>
      <w:bookmarkStart w:id="140" w:name="_Toc184308043"/>
      <w:bookmarkEnd w:id="140"/>
      <w:bookmarkStart w:id="141" w:name="_Toc184312090"/>
      <w:bookmarkEnd w:id="141"/>
      <w:bookmarkStart w:id="142" w:name="_Toc184312139"/>
      <w:bookmarkEnd w:id="142"/>
      <w:bookmarkStart w:id="143" w:name="_Toc184314464"/>
      <w:bookmarkEnd w:id="143"/>
      <w:bookmarkStart w:id="144" w:name="_Toc184308051"/>
      <w:bookmarkEnd w:id="144"/>
      <w:bookmarkStart w:id="145" w:name="_Toc184310296"/>
      <w:bookmarkEnd w:id="145"/>
      <w:bookmarkStart w:id="146" w:name="_Toc184312075"/>
      <w:bookmarkEnd w:id="146"/>
      <w:bookmarkStart w:id="147" w:name="_Toc184312099"/>
      <w:bookmarkEnd w:id="147"/>
      <w:bookmarkStart w:id="148" w:name="_Toc184308074"/>
      <w:bookmarkEnd w:id="148"/>
      <w:bookmarkStart w:id="149" w:name="_Toc184313302"/>
      <w:bookmarkEnd w:id="149"/>
      <w:bookmarkStart w:id="150" w:name="_Toc184308040"/>
      <w:bookmarkEnd w:id="150"/>
      <w:bookmarkStart w:id="151" w:name="_Toc184312081"/>
      <w:bookmarkEnd w:id="151"/>
      <w:bookmarkStart w:id="152" w:name="_Toc184313246"/>
      <w:bookmarkEnd w:id="152"/>
      <w:bookmarkStart w:id="153" w:name="_Toc184308092"/>
      <w:bookmarkEnd w:id="153"/>
      <w:bookmarkStart w:id="154" w:name="_Toc184314429"/>
      <w:bookmarkEnd w:id="154"/>
      <w:bookmarkStart w:id="155" w:name="_Toc184313297"/>
      <w:bookmarkEnd w:id="155"/>
      <w:bookmarkStart w:id="156" w:name="_Toc184308105"/>
      <w:bookmarkEnd w:id="156"/>
      <w:bookmarkStart w:id="157" w:name="_Toc184312133"/>
      <w:bookmarkEnd w:id="157"/>
      <w:bookmarkStart w:id="158" w:name="_Toc184314427"/>
      <w:bookmarkEnd w:id="158"/>
      <w:bookmarkStart w:id="159" w:name="_Toc184313260"/>
      <w:bookmarkEnd w:id="159"/>
      <w:bookmarkStart w:id="160" w:name="_Toc184314417"/>
      <w:bookmarkEnd w:id="160"/>
      <w:bookmarkStart w:id="161" w:name="_Toc184314434"/>
      <w:bookmarkEnd w:id="161"/>
      <w:bookmarkStart w:id="162" w:name="_Toc184313258"/>
      <w:bookmarkEnd w:id="162"/>
      <w:bookmarkStart w:id="163" w:name="_Toc184313273"/>
      <w:bookmarkEnd w:id="163"/>
      <w:bookmarkStart w:id="164" w:name="_Toc184314447"/>
      <w:bookmarkEnd w:id="164"/>
      <w:bookmarkStart w:id="165" w:name="_Toc184312114"/>
      <w:bookmarkEnd w:id="165"/>
      <w:bookmarkStart w:id="166" w:name="_Toc184310315"/>
      <w:bookmarkEnd w:id="166"/>
      <w:bookmarkStart w:id="167" w:name="_Toc184308101"/>
      <w:bookmarkEnd w:id="167"/>
      <w:bookmarkStart w:id="168" w:name="_Toc184308054"/>
      <w:bookmarkEnd w:id="168"/>
      <w:bookmarkStart w:id="169" w:name="_Toc184313291"/>
      <w:bookmarkEnd w:id="169"/>
      <w:bookmarkStart w:id="170" w:name="_Toc184308083"/>
      <w:bookmarkEnd w:id="170"/>
      <w:bookmarkStart w:id="171" w:name="_Toc184308038"/>
      <w:bookmarkEnd w:id="171"/>
      <w:bookmarkStart w:id="172" w:name="_Toc184313303"/>
      <w:bookmarkEnd w:id="172"/>
      <w:bookmarkStart w:id="173" w:name="_Toc184308049"/>
      <w:bookmarkEnd w:id="173"/>
      <w:bookmarkStart w:id="174" w:name="_Toc184313309"/>
      <w:bookmarkEnd w:id="174"/>
      <w:bookmarkStart w:id="175" w:name="_Toc184312106"/>
      <w:bookmarkEnd w:id="175"/>
      <w:bookmarkStart w:id="176" w:name="_Toc184313271"/>
      <w:bookmarkEnd w:id="176"/>
      <w:bookmarkStart w:id="177" w:name="_Toc184308102"/>
      <w:bookmarkEnd w:id="177"/>
      <w:bookmarkStart w:id="178" w:name="_Toc184310290"/>
      <w:bookmarkEnd w:id="178"/>
      <w:bookmarkStart w:id="179" w:name="_Toc184310295"/>
      <w:bookmarkEnd w:id="179"/>
      <w:bookmarkStart w:id="180" w:name="_Toc184312096"/>
      <w:bookmarkEnd w:id="180"/>
      <w:bookmarkStart w:id="181" w:name="_Toc184308053"/>
      <w:bookmarkEnd w:id="181"/>
      <w:bookmarkStart w:id="182" w:name="_Toc184314482"/>
      <w:bookmarkEnd w:id="182"/>
      <w:bookmarkStart w:id="183" w:name="_Toc184313295"/>
      <w:bookmarkEnd w:id="183"/>
      <w:bookmarkStart w:id="184" w:name="_Toc184314435"/>
      <w:bookmarkEnd w:id="184"/>
      <w:bookmarkStart w:id="185" w:name="_Toc184308106"/>
      <w:bookmarkEnd w:id="185"/>
      <w:bookmarkStart w:id="186" w:name="_Toc184310313"/>
      <w:bookmarkEnd w:id="186"/>
      <w:bookmarkStart w:id="187" w:name="_Toc184308066"/>
      <w:bookmarkEnd w:id="187"/>
      <w:bookmarkStart w:id="188" w:name="_Toc184312078"/>
      <w:bookmarkEnd w:id="188"/>
      <w:bookmarkStart w:id="189" w:name="_Toc184313242"/>
      <w:bookmarkEnd w:id="189"/>
      <w:bookmarkStart w:id="190" w:name="_Toc184312105"/>
      <w:bookmarkEnd w:id="190"/>
      <w:bookmarkStart w:id="191" w:name="_Toc184314457"/>
      <w:bookmarkEnd w:id="191"/>
      <w:bookmarkStart w:id="192" w:name="_Toc184312121"/>
      <w:bookmarkEnd w:id="192"/>
      <w:bookmarkStart w:id="193" w:name="_Toc184308045"/>
      <w:bookmarkEnd w:id="193"/>
      <w:bookmarkStart w:id="194" w:name="_Toc184310323"/>
      <w:bookmarkEnd w:id="194"/>
      <w:bookmarkStart w:id="195" w:name="_Toc184308076"/>
      <w:bookmarkEnd w:id="195"/>
      <w:bookmarkStart w:id="196" w:name="_Toc184312123"/>
      <w:bookmarkEnd w:id="196"/>
      <w:bookmarkStart w:id="197" w:name="_Toc184313289"/>
      <w:bookmarkEnd w:id="197"/>
      <w:bookmarkStart w:id="198" w:name="_Toc184308052"/>
      <w:bookmarkEnd w:id="198"/>
      <w:bookmarkStart w:id="199" w:name="_Toc184314476"/>
      <w:bookmarkEnd w:id="199"/>
      <w:bookmarkStart w:id="200" w:name="_Toc184313251"/>
      <w:bookmarkEnd w:id="200"/>
      <w:bookmarkStart w:id="201" w:name="_Toc184313281"/>
      <w:bookmarkEnd w:id="201"/>
      <w:bookmarkStart w:id="202" w:name="_Toc184310312"/>
      <w:bookmarkEnd w:id="202"/>
      <w:bookmarkStart w:id="203" w:name="_Toc184314473"/>
      <w:bookmarkEnd w:id="203"/>
      <w:bookmarkStart w:id="204" w:name="_Toc184313257"/>
      <w:bookmarkEnd w:id="204"/>
      <w:bookmarkStart w:id="205" w:name="_Toc184314433"/>
      <w:bookmarkEnd w:id="205"/>
      <w:bookmarkStart w:id="206" w:name="_Toc184310301"/>
      <w:bookmarkEnd w:id="206"/>
      <w:bookmarkStart w:id="207" w:name="_Toc184313276"/>
      <w:bookmarkEnd w:id="207"/>
      <w:bookmarkStart w:id="208" w:name="_Toc184308088"/>
      <w:bookmarkEnd w:id="208"/>
      <w:bookmarkStart w:id="209" w:name="_Toc184313283"/>
      <w:bookmarkEnd w:id="209"/>
      <w:bookmarkStart w:id="210" w:name="_Toc184308042"/>
      <w:bookmarkEnd w:id="210"/>
      <w:bookmarkStart w:id="211" w:name="_Toc184308055"/>
      <w:bookmarkEnd w:id="211"/>
      <w:bookmarkStart w:id="212" w:name="_Toc184314422"/>
      <w:bookmarkEnd w:id="212"/>
      <w:bookmarkStart w:id="213" w:name="_Toc184308064"/>
      <w:bookmarkEnd w:id="213"/>
      <w:bookmarkStart w:id="214" w:name="_Toc184312135"/>
      <w:bookmarkEnd w:id="214"/>
      <w:bookmarkStart w:id="215" w:name="_Toc184308036"/>
      <w:bookmarkEnd w:id="215"/>
      <w:bookmarkStart w:id="216" w:name="_Toc184308047"/>
      <w:bookmarkEnd w:id="216"/>
      <w:bookmarkStart w:id="217" w:name="_Toc184310274"/>
      <w:bookmarkEnd w:id="217"/>
      <w:bookmarkStart w:id="218" w:name="_Toc184310273"/>
      <w:bookmarkEnd w:id="218"/>
      <w:bookmarkStart w:id="219" w:name="_Toc184314463"/>
      <w:bookmarkEnd w:id="219"/>
      <w:bookmarkStart w:id="220" w:name="_Toc184310319"/>
      <w:bookmarkEnd w:id="220"/>
      <w:bookmarkStart w:id="221" w:name="_Toc184312120"/>
      <w:bookmarkEnd w:id="221"/>
      <w:bookmarkStart w:id="222" w:name="_Toc184314424"/>
      <w:bookmarkEnd w:id="222"/>
      <w:bookmarkStart w:id="223" w:name="_Toc184310339"/>
      <w:bookmarkEnd w:id="223"/>
      <w:bookmarkStart w:id="224" w:name="_Toc184314442"/>
      <w:bookmarkEnd w:id="224"/>
      <w:bookmarkStart w:id="225" w:name="_Toc184313304"/>
      <w:bookmarkEnd w:id="225"/>
      <w:bookmarkStart w:id="226" w:name="_Toc184310277"/>
      <w:bookmarkEnd w:id="226"/>
      <w:bookmarkStart w:id="227" w:name="_Toc184308095"/>
      <w:bookmarkEnd w:id="227"/>
      <w:bookmarkStart w:id="228" w:name="_Toc184312113"/>
      <w:bookmarkEnd w:id="228"/>
      <w:bookmarkStart w:id="229" w:name="_Toc184313247"/>
      <w:bookmarkEnd w:id="229"/>
      <w:bookmarkStart w:id="230" w:name="_Toc184314444"/>
      <w:bookmarkEnd w:id="230"/>
      <w:bookmarkStart w:id="231" w:name="_Toc184313267"/>
      <w:bookmarkEnd w:id="231"/>
      <w:bookmarkStart w:id="232" w:name="_Toc184310300"/>
      <w:bookmarkEnd w:id="232"/>
      <w:bookmarkStart w:id="233" w:name="_Toc184308041"/>
      <w:bookmarkEnd w:id="233"/>
      <w:bookmarkStart w:id="234" w:name="_Toc184313255"/>
      <w:bookmarkEnd w:id="234"/>
      <w:bookmarkStart w:id="235" w:name="_Toc184310285"/>
      <w:bookmarkEnd w:id="235"/>
      <w:bookmarkStart w:id="236" w:name="_Toc184313298"/>
      <w:bookmarkEnd w:id="236"/>
      <w:bookmarkStart w:id="237" w:name="_Toc184308065"/>
      <w:bookmarkEnd w:id="237"/>
      <w:bookmarkStart w:id="238" w:name="_Toc184312116"/>
      <w:bookmarkEnd w:id="238"/>
      <w:bookmarkStart w:id="239" w:name="_Toc184308093"/>
      <w:bookmarkEnd w:id="239"/>
      <w:bookmarkStart w:id="240" w:name="_Toc184313263"/>
      <w:bookmarkEnd w:id="240"/>
      <w:bookmarkStart w:id="241" w:name="_Toc184314436"/>
      <w:bookmarkEnd w:id="241"/>
      <w:bookmarkStart w:id="242" w:name="_Toc184310276"/>
      <w:bookmarkEnd w:id="242"/>
      <w:bookmarkStart w:id="243" w:name="_Toc184310308"/>
      <w:bookmarkEnd w:id="243"/>
      <w:bookmarkStart w:id="244" w:name="_Toc184313300"/>
      <w:bookmarkEnd w:id="244"/>
      <w:bookmarkStart w:id="245" w:name="_Toc184310342"/>
      <w:bookmarkEnd w:id="245"/>
      <w:bookmarkStart w:id="246" w:name="_Toc184312076"/>
      <w:bookmarkEnd w:id="246"/>
      <w:bookmarkStart w:id="247" w:name="_Toc184314472"/>
      <w:bookmarkEnd w:id="247"/>
      <w:bookmarkStart w:id="248" w:name="_Toc184308107"/>
      <w:bookmarkEnd w:id="248"/>
      <w:bookmarkStart w:id="249" w:name="_Toc184312087"/>
      <w:bookmarkEnd w:id="249"/>
      <w:bookmarkStart w:id="250" w:name="_Toc184310334"/>
      <w:bookmarkEnd w:id="250"/>
      <w:bookmarkStart w:id="251" w:name="_Toc184314439"/>
      <w:bookmarkEnd w:id="251"/>
      <w:bookmarkStart w:id="252" w:name="_Toc184308100"/>
      <w:bookmarkEnd w:id="252"/>
      <w:bookmarkStart w:id="253" w:name="_Toc184312129"/>
      <w:bookmarkEnd w:id="253"/>
      <w:bookmarkStart w:id="254" w:name="_Toc184312137"/>
      <w:bookmarkEnd w:id="254"/>
      <w:bookmarkStart w:id="255" w:name="_Toc184312134"/>
      <w:bookmarkEnd w:id="255"/>
      <w:bookmarkStart w:id="256" w:name="_Toc184314471"/>
      <w:bookmarkEnd w:id="256"/>
      <w:bookmarkStart w:id="257" w:name="_Toc184310320"/>
      <w:bookmarkEnd w:id="257"/>
      <w:bookmarkStart w:id="258" w:name="_Toc184314410"/>
      <w:bookmarkEnd w:id="258"/>
      <w:bookmarkStart w:id="259" w:name="_Toc184308081"/>
      <w:bookmarkEnd w:id="259"/>
      <w:bookmarkStart w:id="260" w:name="_Toc184312111"/>
      <w:bookmarkEnd w:id="260"/>
      <w:bookmarkStart w:id="261" w:name="_Toc184312126"/>
      <w:bookmarkEnd w:id="261"/>
      <w:bookmarkStart w:id="262" w:name="_Toc184314413"/>
      <w:bookmarkEnd w:id="262"/>
      <w:bookmarkStart w:id="263" w:name="_Toc184313266"/>
      <w:bookmarkEnd w:id="263"/>
      <w:bookmarkStart w:id="264" w:name="_Toc184312084"/>
      <w:bookmarkEnd w:id="264"/>
      <w:bookmarkStart w:id="265" w:name="_Toc184313259"/>
      <w:bookmarkEnd w:id="265"/>
      <w:bookmarkStart w:id="266" w:name="_Toc184313284"/>
      <w:bookmarkEnd w:id="266"/>
      <w:bookmarkStart w:id="267" w:name="_Toc184310314"/>
      <w:bookmarkEnd w:id="267"/>
      <w:bookmarkStart w:id="268" w:name="_Toc184310291"/>
      <w:bookmarkEnd w:id="268"/>
      <w:bookmarkStart w:id="269" w:name="_Toc184310275"/>
      <w:bookmarkEnd w:id="269"/>
      <w:bookmarkStart w:id="270" w:name="_Toc184313299"/>
      <w:bookmarkEnd w:id="270"/>
      <w:bookmarkStart w:id="271" w:name="_Toc184308070"/>
      <w:bookmarkEnd w:id="271"/>
      <w:bookmarkStart w:id="272" w:name="_Toc184310326"/>
      <w:bookmarkEnd w:id="272"/>
      <w:bookmarkStart w:id="273" w:name="_Toc184310318"/>
      <w:bookmarkEnd w:id="273"/>
      <w:bookmarkStart w:id="274" w:name="_Toc184312094"/>
      <w:bookmarkEnd w:id="274"/>
      <w:bookmarkStart w:id="275" w:name="_Toc184308050"/>
      <w:bookmarkEnd w:id="275"/>
      <w:bookmarkStart w:id="276" w:name="_Toc184313305"/>
      <w:bookmarkEnd w:id="276"/>
      <w:bookmarkStart w:id="277" w:name="_Toc184308078"/>
      <w:bookmarkEnd w:id="277"/>
      <w:bookmarkStart w:id="278" w:name="_Toc184312086"/>
      <w:bookmarkEnd w:id="278"/>
      <w:bookmarkStart w:id="279" w:name="_Toc184314455"/>
      <w:bookmarkEnd w:id="279"/>
      <w:bookmarkStart w:id="280" w:name="_Toc184310316"/>
      <w:bookmarkEnd w:id="280"/>
      <w:bookmarkStart w:id="281" w:name="_Toc184312092"/>
      <w:bookmarkEnd w:id="281"/>
      <w:bookmarkStart w:id="282" w:name="_Toc184314456"/>
      <w:bookmarkEnd w:id="282"/>
      <w:bookmarkStart w:id="283" w:name="_Toc184308079"/>
      <w:bookmarkEnd w:id="283"/>
      <w:bookmarkStart w:id="284" w:name="_Toc184313290"/>
      <w:bookmarkEnd w:id="284"/>
      <w:bookmarkStart w:id="285" w:name="_Toc184314412"/>
      <w:bookmarkEnd w:id="285"/>
      <w:bookmarkStart w:id="286" w:name="_Toc184314475"/>
      <w:bookmarkEnd w:id="286"/>
      <w:bookmarkStart w:id="287" w:name="_Toc184310306"/>
      <w:bookmarkEnd w:id="287"/>
      <w:bookmarkStart w:id="288" w:name="_Toc184313287"/>
      <w:bookmarkEnd w:id="288"/>
      <w:bookmarkStart w:id="289" w:name="_Toc184310317"/>
      <w:bookmarkEnd w:id="289"/>
      <w:bookmarkStart w:id="290" w:name="_Toc184312068"/>
      <w:bookmarkEnd w:id="290"/>
      <w:bookmarkStart w:id="291" w:name="_Toc184314465"/>
      <w:bookmarkEnd w:id="291"/>
      <w:bookmarkStart w:id="292" w:name="_Toc184310282"/>
      <w:bookmarkEnd w:id="292"/>
      <w:bookmarkStart w:id="293" w:name="_Toc184310292"/>
      <w:bookmarkEnd w:id="293"/>
      <w:bookmarkStart w:id="294" w:name="_Toc184310304"/>
      <w:bookmarkEnd w:id="294"/>
      <w:bookmarkStart w:id="295" w:name="_Toc184314450"/>
      <w:bookmarkEnd w:id="295"/>
      <w:bookmarkStart w:id="296" w:name="_Toc184308082"/>
      <w:bookmarkEnd w:id="296"/>
      <w:bookmarkStart w:id="297" w:name="_Toc184312125"/>
      <w:bookmarkEnd w:id="297"/>
      <w:bookmarkStart w:id="298" w:name="_Toc184314416"/>
      <w:bookmarkEnd w:id="298"/>
      <w:bookmarkStart w:id="299" w:name="_Toc184312097"/>
      <w:bookmarkEnd w:id="299"/>
      <w:bookmarkStart w:id="300" w:name="_Toc184310327"/>
      <w:bookmarkEnd w:id="300"/>
      <w:bookmarkStart w:id="301" w:name="_Toc184313268"/>
      <w:bookmarkEnd w:id="301"/>
      <w:bookmarkStart w:id="302" w:name="_Toc184310286"/>
      <w:bookmarkEnd w:id="302"/>
      <w:bookmarkStart w:id="303" w:name="_Toc184313249"/>
      <w:bookmarkEnd w:id="303"/>
      <w:bookmarkStart w:id="304" w:name="_Toc184313308"/>
      <w:bookmarkEnd w:id="304"/>
      <w:bookmarkStart w:id="305" w:name="_Toc184312127"/>
      <w:bookmarkEnd w:id="305"/>
      <w:bookmarkStart w:id="306" w:name="_Toc184312131"/>
      <w:bookmarkEnd w:id="306"/>
      <w:bookmarkStart w:id="307" w:name="_Toc184312088"/>
      <w:bookmarkEnd w:id="307"/>
      <w:bookmarkStart w:id="308" w:name="_Toc184310324"/>
      <w:bookmarkEnd w:id="308"/>
      <w:bookmarkStart w:id="309" w:name="_Toc184312069"/>
      <w:bookmarkEnd w:id="309"/>
      <w:bookmarkStart w:id="310" w:name="_Toc184314460"/>
      <w:bookmarkEnd w:id="310"/>
      <w:bookmarkStart w:id="311" w:name="_Toc184310341"/>
      <w:bookmarkEnd w:id="311"/>
      <w:bookmarkStart w:id="312" w:name="_Toc184308069"/>
      <w:bookmarkEnd w:id="312"/>
      <w:bookmarkStart w:id="313" w:name="_Toc184310302"/>
      <w:bookmarkEnd w:id="313"/>
      <w:bookmarkStart w:id="314" w:name="_Toc184308059"/>
      <w:bookmarkEnd w:id="314"/>
      <w:bookmarkStart w:id="315" w:name="_Toc184313279"/>
      <w:bookmarkEnd w:id="315"/>
      <w:bookmarkStart w:id="316" w:name="_Toc184312119"/>
      <w:bookmarkEnd w:id="316"/>
      <w:bookmarkStart w:id="317" w:name="_Toc184310331"/>
      <w:bookmarkEnd w:id="317"/>
      <w:bookmarkStart w:id="318" w:name="_Toc184312083"/>
      <w:bookmarkEnd w:id="318"/>
      <w:bookmarkStart w:id="319" w:name="_Toc184308044"/>
      <w:bookmarkEnd w:id="319"/>
      <w:bookmarkStart w:id="320" w:name="_Toc184313250"/>
      <w:bookmarkEnd w:id="320"/>
      <w:bookmarkStart w:id="321" w:name="_Toc184312070"/>
      <w:bookmarkEnd w:id="321"/>
      <w:bookmarkStart w:id="322" w:name="_Toc184314479"/>
      <w:bookmarkEnd w:id="322"/>
      <w:bookmarkStart w:id="323" w:name="_Toc184313253"/>
      <w:bookmarkEnd w:id="323"/>
      <w:bookmarkStart w:id="324" w:name="_Toc184308077"/>
      <w:bookmarkEnd w:id="324"/>
      <w:bookmarkStart w:id="325" w:name="_Toc184308072"/>
      <w:bookmarkEnd w:id="325"/>
      <w:bookmarkStart w:id="326" w:name="_Toc184313245"/>
      <w:bookmarkEnd w:id="326"/>
      <w:bookmarkStart w:id="327" w:name="_Toc184314426"/>
      <w:bookmarkEnd w:id="327"/>
      <w:bookmarkStart w:id="328" w:name="_Toc184314470"/>
      <w:bookmarkEnd w:id="328"/>
      <w:bookmarkStart w:id="329" w:name="_Toc184310321"/>
      <w:bookmarkEnd w:id="329"/>
      <w:bookmarkStart w:id="330" w:name="_Toc184310293"/>
      <w:bookmarkEnd w:id="330"/>
      <w:bookmarkStart w:id="331" w:name="_Toc184310298"/>
      <w:bookmarkEnd w:id="331"/>
      <w:bookmarkStart w:id="332" w:name="_Toc184310338"/>
      <w:bookmarkEnd w:id="332"/>
      <w:bookmarkStart w:id="333" w:name="_Toc184308037"/>
      <w:bookmarkEnd w:id="333"/>
      <w:bookmarkStart w:id="334" w:name="_Toc184314414"/>
      <w:bookmarkEnd w:id="334"/>
      <w:bookmarkStart w:id="335" w:name="_Toc184310284"/>
      <w:bookmarkEnd w:id="335"/>
      <w:bookmarkStart w:id="336" w:name="_Toc184308086"/>
      <w:bookmarkEnd w:id="336"/>
      <w:bookmarkStart w:id="337" w:name="_Toc184308099"/>
      <w:bookmarkEnd w:id="337"/>
      <w:bookmarkStart w:id="338" w:name="_Toc184314454"/>
      <w:bookmarkEnd w:id="338"/>
      <w:bookmarkStart w:id="339" w:name="_Toc184312104"/>
      <w:bookmarkEnd w:id="339"/>
      <w:bookmarkStart w:id="340" w:name="_Toc184313288"/>
      <w:bookmarkEnd w:id="340"/>
      <w:bookmarkStart w:id="341" w:name="_Toc184312132"/>
      <w:bookmarkEnd w:id="341"/>
      <w:bookmarkStart w:id="342" w:name="_Toc184314481"/>
      <w:bookmarkEnd w:id="342"/>
      <w:bookmarkStart w:id="343" w:name="_Toc184312103"/>
      <w:bookmarkEnd w:id="343"/>
      <w:bookmarkStart w:id="344" w:name="_Toc184310289"/>
      <w:bookmarkEnd w:id="344"/>
      <w:bookmarkStart w:id="345" w:name="_Toc184314477"/>
      <w:bookmarkEnd w:id="345"/>
      <w:bookmarkStart w:id="346" w:name="_Toc184310330"/>
      <w:bookmarkEnd w:id="346"/>
      <w:bookmarkStart w:id="347" w:name="_Toc184308108"/>
      <w:bookmarkEnd w:id="347"/>
      <w:bookmarkStart w:id="348" w:name="_Toc184312082"/>
      <w:bookmarkEnd w:id="348"/>
      <w:bookmarkStart w:id="349" w:name="_Toc184312110"/>
      <w:bookmarkEnd w:id="349"/>
      <w:bookmarkStart w:id="350" w:name="_Toc184313306"/>
      <w:bookmarkEnd w:id="350"/>
      <w:bookmarkStart w:id="351" w:name="_Toc184308068"/>
      <w:bookmarkEnd w:id="351"/>
      <w:bookmarkStart w:id="352" w:name="_Toc184314419"/>
      <w:bookmarkEnd w:id="352"/>
      <w:bookmarkStart w:id="353" w:name="_Toc184313254"/>
      <w:bookmarkEnd w:id="353"/>
      <w:bookmarkStart w:id="354" w:name="_Toc184313243"/>
      <w:bookmarkEnd w:id="354"/>
      <w:bookmarkStart w:id="355" w:name="_Toc184314428"/>
      <w:bookmarkEnd w:id="355"/>
      <w:bookmarkStart w:id="356" w:name="_Toc184314462"/>
      <w:bookmarkEnd w:id="356"/>
      <w:bookmarkStart w:id="357" w:name="_Toc184314461"/>
      <w:bookmarkEnd w:id="357"/>
      <w:bookmarkStart w:id="358" w:name="_Toc184313280"/>
      <w:bookmarkEnd w:id="358"/>
      <w:bookmarkStart w:id="359" w:name="_Toc184308080"/>
      <w:bookmarkEnd w:id="359"/>
      <w:bookmarkStart w:id="360" w:name="_Toc184314440"/>
      <w:bookmarkEnd w:id="360"/>
      <w:bookmarkStart w:id="361" w:name="_Toc184310287"/>
      <w:bookmarkEnd w:id="361"/>
      <w:bookmarkStart w:id="362" w:name="_Toc184312112"/>
      <w:bookmarkEnd w:id="362"/>
      <w:bookmarkStart w:id="363" w:name="_Toc184308039"/>
      <w:bookmarkEnd w:id="363"/>
      <w:bookmarkStart w:id="364" w:name="_Toc184310332"/>
      <w:bookmarkEnd w:id="364"/>
      <w:bookmarkStart w:id="365" w:name="_Toc184308098"/>
      <w:bookmarkEnd w:id="365"/>
      <w:bookmarkStart w:id="366" w:name="_Toc184308094"/>
      <w:bookmarkEnd w:id="366"/>
      <w:bookmarkStart w:id="367" w:name="_Toc184313285"/>
      <w:bookmarkEnd w:id="367"/>
      <w:bookmarkStart w:id="368" w:name="_Toc184312100"/>
      <w:bookmarkEnd w:id="368"/>
      <w:bookmarkStart w:id="369" w:name="_Toc184308062"/>
      <w:bookmarkEnd w:id="369"/>
      <w:bookmarkStart w:id="370" w:name="_Toc184312089"/>
      <w:bookmarkEnd w:id="370"/>
      <w:bookmarkStart w:id="371" w:name="_Toc184313307"/>
      <w:bookmarkEnd w:id="371"/>
      <w:bookmarkStart w:id="372" w:name="_Toc184312085"/>
      <w:bookmarkEnd w:id="372"/>
      <w:bookmarkStart w:id="373" w:name="_Toc184308087"/>
      <w:bookmarkEnd w:id="373"/>
      <w:bookmarkStart w:id="374" w:name="_Toc184313278"/>
      <w:bookmarkEnd w:id="374"/>
      <w:bookmarkStart w:id="375" w:name="_Toc184312117"/>
      <w:bookmarkEnd w:id="375"/>
      <w:bookmarkStart w:id="376" w:name="_Toc184310297"/>
      <w:bookmarkEnd w:id="376"/>
      <w:bookmarkStart w:id="377" w:name="_Toc184314443"/>
      <w:bookmarkEnd w:id="377"/>
      <w:bookmarkStart w:id="378" w:name="_Toc184308097"/>
      <w:bookmarkEnd w:id="378"/>
      <w:bookmarkStart w:id="379" w:name="_Toc184310328"/>
      <w:bookmarkEnd w:id="379"/>
      <w:bookmarkStart w:id="380" w:name="_Toc184312074"/>
      <w:bookmarkEnd w:id="380"/>
      <w:bookmarkStart w:id="381" w:name="_Toc184313293"/>
      <w:bookmarkEnd w:id="381"/>
      <w:bookmarkStart w:id="382" w:name="_Toc184308090"/>
      <w:bookmarkEnd w:id="382"/>
      <w:bookmarkStart w:id="383" w:name="_Toc184314431"/>
      <w:bookmarkEnd w:id="383"/>
      <w:bookmarkStart w:id="384" w:name="_Toc184310280"/>
      <w:bookmarkEnd w:id="384"/>
      <w:bookmarkStart w:id="385" w:name="_Toc184308071"/>
      <w:bookmarkEnd w:id="385"/>
      <w:bookmarkStart w:id="386" w:name="_Toc184313261"/>
      <w:bookmarkEnd w:id="386"/>
      <w:bookmarkStart w:id="387" w:name="_Toc184310325"/>
      <w:bookmarkEnd w:id="387"/>
      <w:bookmarkStart w:id="388" w:name="_Toc184314438"/>
      <w:bookmarkEnd w:id="388"/>
      <w:bookmarkStart w:id="389" w:name="_Toc184312109"/>
      <w:bookmarkEnd w:id="389"/>
      <w:bookmarkStart w:id="390" w:name="_Toc184308048"/>
      <w:bookmarkEnd w:id="390"/>
      <w:bookmarkStart w:id="391" w:name="_Toc184312071"/>
      <w:bookmarkEnd w:id="391"/>
      <w:bookmarkStart w:id="392" w:name="_Toc184313274"/>
      <w:bookmarkEnd w:id="392"/>
      <w:bookmarkStart w:id="393" w:name="_Toc184308073"/>
      <w:bookmarkEnd w:id="393"/>
      <w:bookmarkStart w:id="394" w:name="_Toc184312122"/>
      <w:bookmarkEnd w:id="394"/>
      <w:bookmarkStart w:id="395" w:name="_Toc184314446"/>
      <w:bookmarkEnd w:id="395"/>
      <w:r>
        <w:rPr>
          <w:rFonts w:hint="eastAsia" w:ascii="仿宋" w:hAnsi="仿宋" w:eastAsia="仿宋" w:cs="仿宋"/>
          <w:b/>
          <w:sz w:val="36"/>
          <w:szCs w:val="36"/>
          <w:highlight w:val="none"/>
        </w:rPr>
        <w:t>评标办法</w:t>
      </w:r>
    </w:p>
    <w:p w14:paraId="45012329">
      <w:pPr>
        <w:snapToGrid w:val="0"/>
        <w:spacing w:line="360" w:lineRule="auto"/>
        <w:jc w:val="center"/>
        <w:rPr>
          <w:rFonts w:ascii="仿宋" w:hAnsi="仿宋" w:eastAsia="仿宋" w:cs="仿宋"/>
          <w:b/>
          <w:sz w:val="32"/>
          <w:szCs w:val="20"/>
          <w:highlight w:val="none"/>
        </w:rPr>
      </w:pPr>
      <w:r>
        <w:rPr>
          <w:rFonts w:hint="eastAsia" w:ascii="仿宋" w:hAnsi="仿宋" w:eastAsia="仿宋" w:cs="仿宋"/>
          <w:b/>
          <w:sz w:val="32"/>
          <w:szCs w:val="20"/>
          <w:highlight w:val="none"/>
        </w:rPr>
        <w:t>评标办法前附表</w:t>
      </w:r>
    </w:p>
    <w:tbl>
      <w:tblPr>
        <w:tblStyle w:val="6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6558"/>
        <w:gridCol w:w="567"/>
        <w:gridCol w:w="850"/>
        <w:gridCol w:w="1343"/>
      </w:tblGrid>
      <w:tr w14:paraId="67B8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vAlign w:val="center"/>
          </w:tcPr>
          <w:p w14:paraId="122A4184">
            <w:pPr>
              <w:snapToGrid w:val="0"/>
              <w:spacing w:line="276" w:lineRule="auto"/>
              <w:jc w:val="center"/>
              <w:rPr>
                <w:rFonts w:ascii="仿宋" w:hAnsi="仿宋" w:eastAsia="仿宋" w:cs="仿宋"/>
                <w:sz w:val="24"/>
                <w:highlight w:val="none"/>
              </w:rPr>
            </w:pPr>
            <w:bookmarkStart w:id="396" w:name="_Hlk127269896"/>
            <w:r>
              <w:rPr>
                <w:rFonts w:hint="eastAsia" w:ascii="仿宋" w:hAnsi="仿宋" w:eastAsia="仿宋" w:cs="仿宋"/>
                <w:sz w:val="24"/>
                <w:highlight w:val="none"/>
              </w:rPr>
              <w:t>序号</w:t>
            </w:r>
          </w:p>
        </w:tc>
        <w:tc>
          <w:tcPr>
            <w:tcW w:w="6558" w:type="dxa"/>
            <w:tcBorders>
              <w:top w:val="single" w:color="auto" w:sz="4" w:space="0"/>
              <w:left w:val="single" w:color="auto" w:sz="4" w:space="0"/>
              <w:bottom w:val="single" w:color="auto" w:sz="4" w:space="0"/>
              <w:right w:val="single" w:color="auto" w:sz="4" w:space="0"/>
            </w:tcBorders>
            <w:vAlign w:val="center"/>
          </w:tcPr>
          <w:p w14:paraId="6110AD69">
            <w:pPr>
              <w:snapToGrid w:val="0"/>
              <w:spacing w:line="276" w:lineRule="auto"/>
              <w:jc w:val="center"/>
              <w:rPr>
                <w:rFonts w:ascii="仿宋" w:hAnsi="仿宋" w:eastAsia="仿宋" w:cs="仿宋"/>
                <w:sz w:val="24"/>
                <w:highlight w:val="none"/>
              </w:rPr>
            </w:pPr>
            <w:r>
              <w:rPr>
                <w:rFonts w:hint="eastAsia" w:ascii="仿宋" w:hAnsi="仿宋" w:eastAsia="仿宋" w:cs="仿宋"/>
                <w:sz w:val="24"/>
                <w:highlight w:val="none"/>
              </w:rPr>
              <w:t>评标标准</w:t>
            </w:r>
          </w:p>
        </w:tc>
        <w:tc>
          <w:tcPr>
            <w:tcW w:w="567" w:type="dxa"/>
            <w:tcBorders>
              <w:top w:val="single" w:color="auto" w:sz="4" w:space="0"/>
              <w:left w:val="single" w:color="auto" w:sz="4" w:space="0"/>
              <w:bottom w:val="single" w:color="auto" w:sz="4" w:space="0"/>
              <w:right w:val="single" w:color="auto" w:sz="4" w:space="0"/>
            </w:tcBorders>
            <w:vAlign w:val="center"/>
          </w:tcPr>
          <w:p w14:paraId="067DC772">
            <w:pPr>
              <w:snapToGrid w:val="0"/>
              <w:spacing w:line="276" w:lineRule="auto"/>
              <w:jc w:val="center"/>
              <w:rPr>
                <w:rFonts w:ascii="仿宋" w:hAnsi="仿宋" w:eastAsia="仿宋" w:cs="仿宋"/>
                <w:sz w:val="24"/>
                <w:highlight w:val="none"/>
              </w:rPr>
            </w:pPr>
            <w:r>
              <w:rPr>
                <w:rFonts w:hint="eastAsia" w:ascii="仿宋" w:hAnsi="仿宋" w:eastAsia="仿宋" w:cs="仿宋"/>
                <w:sz w:val="24"/>
                <w:highlight w:val="none"/>
              </w:rPr>
              <w:t>权重</w:t>
            </w:r>
          </w:p>
        </w:tc>
        <w:tc>
          <w:tcPr>
            <w:tcW w:w="850" w:type="dxa"/>
            <w:tcBorders>
              <w:top w:val="single" w:color="auto" w:sz="4" w:space="0"/>
              <w:left w:val="single" w:color="auto" w:sz="4" w:space="0"/>
              <w:bottom w:val="single" w:color="auto" w:sz="4" w:space="0"/>
              <w:right w:val="single" w:color="auto" w:sz="4" w:space="0"/>
            </w:tcBorders>
            <w:vAlign w:val="center"/>
          </w:tcPr>
          <w:p w14:paraId="6020AE68">
            <w:pPr>
              <w:snapToGrid w:val="0"/>
              <w:spacing w:line="276" w:lineRule="auto"/>
              <w:jc w:val="center"/>
              <w:rPr>
                <w:rFonts w:ascii="仿宋" w:hAnsi="仿宋" w:eastAsia="仿宋" w:cs="仿宋"/>
                <w:bCs/>
                <w:sz w:val="24"/>
                <w:highlight w:val="none"/>
              </w:rPr>
            </w:pPr>
            <w:r>
              <w:rPr>
                <w:rFonts w:hint="eastAsia" w:ascii="仿宋" w:hAnsi="仿宋" w:eastAsia="仿宋" w:cs="仿宋"/>
                <w:bCs/>
                <w:sz w:val="24"/>
                <w:highlight w:val="none"/>
              </w:rPr>
              <w:t>主观分/客观分属性</w:t>
            </w:r>
          </w:p>
        </w:tc>
        <w:tc>
          <w:tcPr>
            <w:tcW w:w="1343" w:type="dxa"/>
            <w:tcBorders>
              <w:top w:val="single" w:color="auto" w:sz="4" w:space="0"/>
              <w:left w:val="single" w:color="auto" w:sz="4" w:space="0"/>
              <w:bottom w:val="single" w:color="auto" w:sz="4" w:space="0"/>
              <w:right w:val="single" w:color="auto" w:sz="4" w:space="0"/>
            </w:tcBorders>
          </w:tcPr>
          <w:p w14:paraId="5ED56AFD">
            <w:pPr>
              <w:snapToGrid w:val="0"/>
              <w:spacing w:line="276" w:lineRule="auto"/>
              <w:jc w:val="center"/>
              <w:rPr>
                <w:rFonts w:ascii="仿宋" w:hAnsi="仿宋" w:eastAsia="仿宋" w:cs="仿宋"/>
                <w:sz w:val="24"/>
                <w:highlight w:val="none"/>
              </w:rPr>
            </w:pPr>
            <w:r>
              <w:rPr>
                <w:rFonts w:hint="eastAsia" w:ascii="仿宋" w:hAnsi="仿宋" w:eastAsia="仿宋" w:cs="仿宋"/>
                <w:bCs/>
                <w:sz w:val="24"/>
                <w:highlight w:val="none"/>
              </w:rPr>
              <w:t>投标文件中评标标准相应的商务技术资料目录*</w:t>
            </w:r>
          </w:p>
        </w:tc>
      </w:tr>
      <w:tr w14:paraId="36FC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14:paraId="426EBF45">
            <w:pPr>
              <w:snapToGrid w:val="0"/>
              <w:spacing w:line="276" w:lineRule="auto"/>
              <w:jc w:val="center"/>
              <w:rPr>
                <w:rFonts w:ascii="仿宋" w:hAnsi="仿宋" w:eastAsia="仿宋" w:cs="仿宋"/>
                <w:sz w:val="24"/>
                <w:highlight w:val="none"/>
              </w:rPr>
            </w:pPr>
            <w:r>
              <w:rPr>
                <w:rFonts w:hint="eastAsia" w:ascii="仿宋" w:hAnsi="仿宋" w:eastAsia="仿宋" w:cs="仿宋"/>
                <w:b/>
                <w:sz w:val="24"/>
                <w:highlight w:val="none"/>
              </w:rPr>
              <w:t>一</w:t>
            </w:r>
          </w:p>
        </w:tc>
        <w:tc>
          <w:tcPr>
            <w:tcW w:w="6558" w:type="dxa"/>
            <w:tcBorders>
              <w:top w:val="single" w:color="auto" w:sz="4" w:space="0"/>
              <w:left w:val="single" w:color="auto" w:sz="4" w:space="0"/>
              <w:bottom w:val="single" w:color="auto" w:sz="4" w:space="0"/>
              <w:right w:val="single" w:color="auto" w:sz="4" w:space="0"/>
            </w:tcBorders>
            <w:vAlign w:val="center"/>
          </w:tcPr>
          <w:p w14:paraId="426D0A29">
            <w:pPr>
              <w:snapToGrid w:val="0"/>
              <w:spacing w:line="276" w:lineRule="auto"/>
              <w:rPr>
                <w:rFonts w:ascii="仿宋" w:hAnsi="仿宋" w:eastAsia="仿宋" w:cs="仿宋"/>
                <w:sz w:val="24"/>
                <w:highlight w:val="none"/>
              </w:rPr>
            </w:pPr>
            <w:r>
              <w:rPr>
                <w:rFonts w:hint="eastAsia" w:ascii="仿宋" w:hAnsi="仿宋" w:eastAsia="仿宋" w:cs="仿宋"/>
                <w:b/>
                <w:sz w:val="24"/>
                <w:highlight w:val="none"/>
              </w:rPr>
              <w:t>技术和服务方案：</w:t>
            </w:r>
          </w:p>
        </w:tc>
        <w:tc>
          <w:tcPr>
            <w:tcW w:w="567" w:type="dxa"/>
            <w:tcBorders>
              <w:top w:val="single" w:color="auto" w:sz="4" w:space="0"/>
              <w:left w:val="single" w:color="auto" w:sz="4" w:space="0"/>
              <w:bottom w:val="single" w:color="auto" w:sz="4" w:space="0"/>
              <w:right w:val="single" w:color="auto" w:sz="4" w:space="0"/>
            </w:tcBorders>
            <w:vAlign w:val="center"/>
          </w:tcPr>
          <w:p w14:paraId="5B1E5984">
            <w:pPr>
              <w:snapToGrid w:val="0"/>
              <w:spacing w:line="276" w:lineRule="auto"/>
              <w:jc w:val="center"/>
              <w:rPr>
                <w:rFonts w:ascii="仿宋" w:hAnsi="仿宋" w:eastAsia="仿宋" w:cs="仿宋"/>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E74C9AF">
            <w:pPr>
              <w:snapToGrid w:val="0"/>
              <w:spacing w:line="276" w:lineRule="auto"/>
              <w:jc w:val="center"/>
              <w:rPr>
                <w:rFonts w:ascii="仿宋" w:hAnsi="仿宋" w:eastAsia="仿宋" w:cs="仿宋"/>
                <w:bCs/>
                <w:sz w:val="24"/>
                <w:highlight w:val="none"/>
              </w:rPr>
            </w:pPr>
          </w:p>
        </w:tc>
        <w:tc>
          <w:tcPr>
            <w:tcW w:w="1343" w:type="dxa"/>
            <w:tcBorders>
              <w:top w:val="single" w:color="auto" w:sz="4" w:space="0"/>
              <w:left w:val="single" w:color="auto" w:sz="4" w:space="0"/>
              <w:bottom w:val="single" w:color="auto" w:sz="4" w:space="0"/>
              <w:right w:val="single" w:color="auto" w:sz="4" w:space="0"/>
            </w:tcBorders>
          </w:tcPr>
          <w:p w14:paraId="7D8F1824">
            <w:pPr>
              <w:snapToGrid w:val="0"/>
              <w:spacing w:line="276" w:lineRule="auto"/>
              <w:jc w:val="center"/>
              <w:rPr>
                <w:rFonts w:ascii="仿宋" w:hAnsi="仿宋" w:eastAsia="仿宋" w:cs="仿宋"/>
                <w:bCs/>
                <w:sz w:val="24"/>
                <w:highlight w:val="none"/>
              </w:rPr>
            </w:pPr>
          </w:p>
        </w:tc>
      </w:tr>
      <w:tr w14:paraId="121D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14:paraId="1B7804DF">
            <w:pPr>
              <w:spacing w:line="276"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6558" w:type="dxa"/>
            <w:tcBorders>
              <w:top w:val="single" w:color="auto" w:sz="4" w:space="0"/>
              <w:left w:val="single" w:color="auto" w:sz="4" w:space="0"/>
              <w:bottom w:val="single" w:color="auto" w:sz="4" w:space="0"/>
              <w:right w:val="single" w:color="auto" w:sz="4" w:space="0"/>
            </w:tcBorders>
            <w:vAlign w:val="center"/>
          </w:tcPr>
          <w:p w14:paraId="4423B06C">
            <w:pPr>
              <w:spacing w:line="276" w:lineRule="auto"/>
              <w:rPr>
                <w:rFonts w:ascii="仿宋" w:hAnsi="仿宋" w:eastAsia="仿宋" w:cs="仿宋"/>
                <w:sz w:val="24"/>
                <w:highlight w:val="none"/>
              </w:rPr>
            </w:pPr>
            <w:r>
              <w:rPr>
                <w:rFonts w:hint="eastAsia" w:ascii="仿宋" w:hAnsi="仿宋" w:eastAsia="仿宋" w:cs="仿宋"/>
                <w:snapToGrid w:val="0"/>
                <w:sz w:val="24"/>
                <w:highlight w:val="none"/>
                <w:lang w:val="zh-CN"/>
              </w:rPr>
              <w:t>●投标人针对本项目</w:t>
            </w:r>
            <w:r>
              <w:rPr>
                <w:rFonts w:hint="eastAsia" w:ascii="仿宋" w:hAnsi="仿宋" w:eastAsia="仿宋" w:cs="仿宋"/>
                <w:sz w:val="24"/>
                <w:highlight w:val="none"/>
              </w:rPr>
              <w:t>服务方案情况：包括①对设备信息传输、在线定位等功能展示情况开展在线监测的实施方案，②帮助采购人对现有采集站进行软件维护和升级、以及硬件的扩容的实施方案，③配合采购人开展设备管理日清工作实施方案，④开展每月巡检实施方案；根据提供的方案内容进行评分，每一项方案内容完整且合理、可行、满足需求的得3分，不满足采购人实际情况的不得分，最高得12分。</w:t>
            </w:r>
          </w:p>
        </w:tc>
        <w:tc>
          <w:tcPr>
            <w:tcW w:w="567" w:type="dxa"/>
            <w:tcBorders>
              <w:top w:val="single" w:color="auto" w:sz="4" w:space="0"/>
              <w:left w:val="single" w:color="auto" w:sz="4" w:space="0"/>
              <w:bottom w:val="single" w:color="auto" w:sz="4" w:space="0"/>
              <w:right w:val="single" w:color="auto" w:sz="4" w:space="0"/>
            </w:tcBorders>
            <w:vAlign w:val="center"/>
          </w:tcPr>
          <w:p w14:paraId="479F8DE3">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12</w:t>
            </w:r>
          </w:p>
        </w:tc>
        <w:tc>
          <w:tcPr>
            <w:tcW w:w="850" w:type="dxa"/>
            <w:tcBorders>
              <w:top w:val="single" w:color="auto" w:sz="4" w:space="0"/>
              <w:left w:val="single" w:color="auto" w:sz="4" w:space="0"/>
              <w:bottom w:val="single" w:color="auto" w:sz="4" w:space="0"/>
              <w:right w:val="single" w:color="auto" w:sz="4" w:space="0"/>
            </w:tcBorders>
            <w:vAlign w:val="center"/>
          </w:tcPr>
          <w:p w14:paraId="6738E012">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主观分</w:t>
            </w:r>
          </w:p>
        </w:tc>
        <w:tc>
          <w:tcPr>
            <w:tcW w:w="1343" w:type="dxa"/>
            <w:tcBorders>
              <w:top w:val="single" w:color="auto" w:sz="4" w:space="0"/>
              <w:left w:val="single" w:color="auto" w:sz="4" w:space="0"/>
              <w:bottom w:val="single" w:color="auto" w:sz="4" w:space="0"/>
              <w:right w:val="single" w:color="auto" w:sz="4" w:space="0"/>
            </w:tcBorders>
            <w:vAlign w:val="center"/>
          </w:tcPr>
          <w:p w14:paraId="1102B679">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一、服务方案</w:t>
            </w:r>
          </w:p>
        </w:tc>
      </w:tr>
      <w:tr w14:paraId="03FF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vAlign w:val="center"/>
          </w:tcPr>
          <w:p w14:paraId="7950770A">
            <w:pPr>
              <w:spacing w:line="276"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6558" w:type="dxa"/>
            <w:tcBorders>
              <w:top w:val="single" w:color="auto" w:sz="4" w:space="0"/>
              <w:left w:val="single" w:color="auto" w:sz="4" w:space="0"/>
              <w:bottom w:val="single" w:color="auto" w:sz="4" w:space="0"/>
              <w:right w:val="single" w:color="auto" w:sz="4" w:space="0"/>
            </w:tcBorders>
            <w:vAlign w:val="center"/>
          </w:tcPr>
          <w:p w14:paraId="4E58C1AF">
            <w:pPr>
              <w:pStyle w:val="23"/>
              <w:ind w:right="119" w:firstLine="235" w:firstLineChars="98"/>
              <w:rPr>
                <w:rFonts w:ascii="仿宋" w:hAnsi="仿宋" w:eastAsia="仿宋" w:cs="仿宋"/>
                <w:highlight w:val="none"/>
              </w:rPr>
            </w:pPr>
            <w:r>
              <w:rPr>
                <w:rFonts w:hint="eastAsia" w:ascii="仿宋" w:hAnsi="仿宋" w:eastAsia="仿宋" w:cs="仿宋"/>
                <w:bCs/>
                <w:highlight w:val="none"/>
              </w:rPr>
              <w:t>租赁产品的性能与需求的吻合程度：</w:t>
            </w:r>
            <w:r>
              <w:rPr>
                <w:rFonts w:hint="eastAsia" w:ascii="仿宋" w:hAnsi="仿宋" w:eastAsia="仿宋" w:cs="仿宋"/>
                <w:highlight w:val="none"/>
              </w:rPr>
              <w:t>投标人须在《商务技术偏离表》中明确是否偏离。</w:t>
            </w:r>
          </w:p>
          <w:p w14:paraId="08F23F33">
            <w:pPr>
              <w:pStyle w:val="23"/>
              <w:spacing w:line="276" w:lineRule="auto"/>
              <w:ind w:right="119" w:firstLine="235" w:firstLineChars="98"/>
              <w:rPr>
                <w:rFonts w:ascii="仿宋" w:hAnsi="仿宋" w:eastAsia="仿宋" w:cs="仿宋"/>
                <w:szCs w:val="24"/>
                <w:highlight w:val="none"/>
              </w:rPr>
            </w:pPr>
            <w:r>
              <w:rPr>
                <w:rFonts w:hint="eastAsia" w:ascii="仿宋" w:hAnsi="仿宋" w:eastAsia="仿宋" w:cs="仿宋"/>
                <w:highlight w:val="none"/>
              </w:rPr>
              <w:t>①</w:t>
            </w:r>
            <w:r>
              <w:rPr>
                <w:rFonts w:hint="eastAsia" w:ascii="仿宋" w:hAnsi="仿宋" w:eastAsia="仿宋" w:cs="仿宋"/>
                <w:szCs w:val="24"/>
                <w:highlight w:val="none"/>
              </w:rPr>
              <w:t>标注“★”的关键技术指标参数负偏离或无有效证明材料的每一项扣减2分，满分</w:t>
            </w:r>
            <w:r>
              <w:rPr>
                <w:rFonts w:hint="eastAsia" w:ascii="仿宋" w:hAnsi="仿宋" w:eastAsia="仿宋" w:cs="仿宋"/>
                <w:szCs w:val="24"/>
                <w:highlight w:val="none"/>
                <w:lang w:val="en-US"/>
              </w:rPr>
              <w:t>32</w:t>
            </w:r>
            <w:r>
              <w:rPr>
                <w:rFonts w:hint="eastAsia" w:ascii="仿宋" w:hAnsi="仿宋" w:eastAsia="仿宋" w:cs="仿宋"/>
                <w:szCs w:val="24"/>
                <w:highlight w:val="none"/>
              </w:rPr>
              <w:t>分扣完为止。参数以投标人提供的</w:t>
            </w:r>
            <w:r>
              <w:rPr>
                <w:rFonts w:hint="eastAsia" w:ascii="仿宋" w:hAnsi="仿宋" w:eastAsia="仿宋" w:cs="仿宋"/>
                <w:kern w:val="0"/>
                <w:highlight w:val="none"/>
                <w:lang w:val="en-US" w:bidi="zh-CN"/>
              </w:rPr>
              <w:t>CMA资质第三方检测机构</w:t>
            </w:r>
            <w:r>
              <w:rPr>
                <w:rFonts w:hint="eastAsia" w:ascii="仿宋" w:hAnsi="仿宋" w:eastAsia="仿宋" w:cs="仿宋"/>
                <w:kern w:val="0"/>
                <w:highlight w:val="none"/>
                <w:lang w:bidi="zh-CN"/>
              </w:rPr>
              <w:t>或</w:t>
            </w:r>
            <w:r>
              <w:rPr>
                <w:rFonts w:hint="eastAsia" w:ascii="仿宋" w:hAnsi="仿宋" w:eastAsia="仿宋" w:cs="仿宋"/>
                <w:kern w:val="0"/>
                <w:highlight w:val="none"/>
                <w:lang w:val="en-US" w:bidi="zh-CN"/>
              </w:rPr>
              <w:t>其他</w:t>
            </w:r>
            <w:r>
              <w:rPr>
                <w:rFonts w:hint="eastAsia" w:ascii="仿宋" w:hAnsi="仿宋" w:eastAsia="仿宋" w:cs="仿宋"/>
                <w:kern w:val="0"/>
                <w:highlight w:val="none"/>
                <w:lang w:bidi="zh-CN"/>
              </w:rPr>
              <w:t>国家认可的检测机构</w:t>
            </w:r>
            <w:r>
              <w:rPr>
                <w:rFonts w:hint="eastAsia" w:ascii="仿宋" w:hAnsi="仿宋" w:eastAsia="仿宋" w:cs="仿宋"/>
                <w:szCs w:val="24"/>
                <w:highlight w:val="none"/>
              </w:rPr>
              <w:t>出具的检测报告证明为依据。</w:t>
            </w:r>
          </w:p>
          <w:p w14:paraId="2B9B86B1">
            <w:pPr>
              <w:pStyle w:val="23"/>
              <w:ind w:right="119" w:firstLine="235" w:firstLineChars="98"/>
              <w:rPr>
                <w:rFonts w:ascii="仿宋" w:hAnsi="仿宋" w:eastAsia="仿宋" w:cs="仿宋"/>
                <w:highlight w:val="none"/>
              </w:rPr>
            </w:pPr>
            <w:r>
              <w:rPr>
                <w:rFonts w:hint="eastAsia" w:ascii="仿宋" w:hAnsi="仿宋" w:eastAsia="仿宋" w:cs="仿宋"/>
                <w:szCs w:val="24"/>
                <w:highlight w:val="none"/>
              </w:rPr>
              <w:t>②其他产品技术指标参数负偏离的每一项扣减1分，</w:t>
            </w:r>
            <w:r>
              <w:rPr>
                <w:rFonts w:hint="eastAsia" w:ascii="仿宋" w:hAnsi="仿宋" w:eastAsia="仿宋" w:cs="仿宋"/>
                <w:bCs/>
                <w:szCs w:val="24"/>
                <w:highlight w:val="none"/>
              </w:rPr>
              <w:t>满分2</w:t>
            </w:r>
            <w:r>
              <w:rPr>
                <w:rFonts w:hint="eastAsia" w:ascii="仿宋" w:hAnsi="仿宋" w:eastAsia="仿宋" w:cs="仿宋"/>
                <w:bCs/>
                <w:szCs w:val="24"/>
                <w:highlight w:val="none"/>
                <w:lang w:val="en-US"/>
              </w:rPr>
              <w:t>3</w:t>
            </w:r>
            <w:r>
              <w:rPr>
                <w:rFonts w:hint="eastAsia" w:ascii="仿宋" w:hAnsi="仿宋" w:eastAsia="仿宋" w:cs="仿宋"/>
                <w:bCs/>
                <w:szCs w:val="24"/>
                <w:highlight w:val="none"/>
              </w:rPr>
              <w:t>分扣完为止。参数以投标人提供的产品样本彩页或官网技术参数或CMA资质</w:t>
            </w:r>
            <w:r>
              <w:rPr>
                <w:rFonts w:hint="eastAsia" w:ascii="仿宋" w:hAnsi="仿宋" w:eastAsia="仿宋" w:cs="仿宋"/>
                <w:bCs/>
                <w:szCs w:val="24"/>
                <w:highlight w:val="none"/>
                <w:lang w:val="en-US"/>
              </w:rPr>
              <w:t>第三方</w:t>
            </w:r>
            <w:r>
              <w:rPr>
                <w:rFonts w:hint="eastAsia" w:ascii="仿宋" w:hAnsi="仿宋" w:eastAsia="仿宋" w:cs="仿宋"/>
                <w:bCs/>
                <w:szCs w:val="24"/>
                <w:highlight w:val="none"/>
              </w:rPr>
              <w:t>检测机构提供的检测报告</w:t>
            </w:r>
            <w:r>
              <w:rPr>
                <w:rFonts w:hint="eastAsia" w:ascii="仿宋" w:hAnsi="仿宋" w:eastAsia="仿宋" w:cs="仿宋"/>
                <w:kern w:val="0"/>
                <w:highlight w:val="none"/>
                <w:lang w:bidi="zh-CN"/>
              </w:rPr>
              <w:t>或</w:t>
            </w:r>
            <w:r>
              <w:rPr>
                <w:rFonts w:hint="eastAsia" w:ascii="仿宋" w:hAnsi="仿宋" w:eastAsia="仿宋" w:cs="仿宋"/>
                <w:kern w:val="0"/>
                <w:highlight w:val="none"/>
                <w:lang w:val="en-US" w:bidi="zh-CN"/>
              </w:rPr>
              <w:t>其他</w:t>
            </w:r>
            <w:r>
              <w:rPr>
                <w:rFonts w:hint="eastAsia" w:ascii="仿宋" w:hAnsi="仿宋" w:eastAsia="仿宋" w:cs="仿宋"/>
                <w:kern w:val="0"/>
                <w:highlight w:val="none"/>
                <w:lang w:bidi="zh-CN"/>
              </w:rPr>
              <w:t>国家认可的检测机构</w:t>
            </w:r>
            <w:r>
              <w:rPr>
                <w:rFonts w:hint="eastAsia" w:ascii="仿宋" w:hAnsi="仿宋" w:eastAsia="仿宋" w:cs="仿宋"/>
                <w:bCs/>
                <w:szCs w:val="24"/>
                <w:highlight w:val="none"/>
              </w:rPr>
              <w:t>提供的检测报告为依据。</w:t>
            </w:r>
          </w:p>
        </w:tc>
        <w:tc>
          <w:tcPr>
            <w:tcW w:w="567" w:type="dxa"/>
            <w:tcBorders>
              <w:top w:val="single" w:color="auto" w:sz="4" w:space="0"/>
              <w:left w:val="single" w:color="auto" w:sz="4" w:space="0"/>
              <w:bottom w:val="single" w:color="auto" w:sz="4" w:space="0"/>
              <w:right w:val="single" w:color="auto" w:sz="4" w:space="0"/>
            </w:tcBorders>
            <w:vAlign w:val="center"/>
          </w:tcPr>
          <w:p w14:paraId="00B2BF37">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55</w:t>
            </w:r>
          </w:p>
        </w:tc>
        <w:tc>
          <w:tcPr>
            <w:tcW w:w="850" w:type="dxa"/>
            <w:tcBorders>
              <w:top w:val="single" w:color="auto" w:sz="4" w:space="0"/>
              <w:left w:val="single" w:color="auto" w:sz="4" w:space="0"/>
              <w:bottom w:val="single" w:color="auto" w:sz="4" w:space="0"/>
              <w:right w:val="single" w:color="auto" w:sz="4" w:space="0"/>
            </w:tcBorders>
            <w:vAlign w:val="center"/>
          </w:tcPr>
          <w:p w14:paraId="12762EAD">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客观分</w:t>
            </w:r>
          </w:p>
        </w:tc>
        <w:tc>
          <w:tcPr>
            <w:tcW w:w="1343" w:type="dxa"/>
            <w:tcBorders>
              <w:top w:val="single" w:color="auto" w:sz="4" w:space="0"/>
              <w:left w:val="single" w:color="auto" w:sz="4" w:space="0"/>
              <w:bottom w:val="single" w:color="auto" w:sz="4" w:space="0"/>
              <w:right w:val="single" w:color="auto" w:sz="4" w:space="0"/>
            </w:tcBorders>
            <w:vAlign w:val="center"/>
          </w:tcPr>
          <w:p w14:paraId="5EB3F7E4">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二、</w:t>
            </w:r>
            <w:r>
              <w:rPr>
                <w:rFonts w:hint="eastAsia" w:ascii="仿宋" w:hAnsi="仿宋" w:eastAsia="仿宋" w:cs="仿宋"/>
                <w:b/>
                <w:bCs/>
                <w:snapToGrid w:val="0"/>
                <w:sz w:val="24"/>
                <w:highlight w:val="none"/>
                <w:lang w:val="zh-CN"/>
              </w:rPr>
              <w:t>租赁产品的性能与需求的吻合程度</w:t>
            </w:r>
          </w:p>
        </w:tc>
      </w:tr>
      <w:tr w14:paraId="3464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vAlign w:val="center"/>
          </w:tcPr>
          <w:p w14:paraId="5082C996">
            <w:pPr>
              <w:spacing w:line="276" w:lineRule="auto"/>
              <w:jc w:val="center"/>
              <w:rPr>
                <w:rFonts w:ascii="仿宋" w:hAnsi="仿宋" w:eastAsia="仿宋" w:cs="仿宋"/>
                <w:sz w:val="24"/>
                <w:highlight w:val="none"/>
              </w:rPr>
            </w:pPr>
            <w:r>
              <w:rPr>
                <w:rFonts w:hint="eastAsia" w:ascii="仿宋" w:hAnsi="仿宋" w:eastAsia="仿宋" w:cs="仿宋"/>
                <w:sz w:val="24"/>
                <w:highlight w:val="none"/>
              </w:rPr>
              <w:t>3</w:t>
            </w:r>
          </w:p>
        </w:tc>
        <w:tc>
          <w:tcPr>
            <w:tcW w:w="6558" w:type="dxa"/>
            <w:tcBorders>
              <w:top w:val="single" w:color="auto" w:sz="4" w:space="0"/>
              <w:left w:val="single" w:color="auto" w:sz="4" w:space="0"/>
              <w:bottom w:val="single" w:color="auto" w:sz="4" w:space="0"/>
              <w:right w:val="single" w:color="auto" w:sz="4" w:space="0"/>
            </w:tcBorders>
            <w:vAlign w:val="center"/>
          </w:tcPr>
          <w:p w14:paraId="65656036">
            <w:pPr>
              <w:spacing w:line="276" w:lineRule="auto"/>
              <w:ind w:right="119" w:firstLine="84" w:firstLineChars="35"/>
              <w:rPr>
                <w:rFonts w:ascii="仿宋" w:hAnsi="仿宋" w:eastAsia="仿宋" w:cs="仿宋"/>
                <w:sz w:val="24"/>
                <w:highlight w:val="none"/>
              </w:rPr>
            </w:pPr>
            <w:r>
              <w:rPr>
                <w:rFonts w:hint="eastAsia" w:ascii="仿宋" w:hAnsi="仿宋" w:eastAsia="仿宋" w:cs="仿宋"/>
                <w:snapToGrid w:val="0"/>
                <w:sz w:val="24"/>
                <w:highlight w:val="none"/>
                <w:lang w:val="zh-CN"/>
              </w:rPr>
              <w:t>投标人</w:t>
            </w:r>
            <w:r>
              <w:rPr>
                <w:rFonts w:hint="eastAsia" w:ascii="仿宋" w:hAnsi="仿宋" w:eastAsia="仿宋" w:cs="仿宋"/>
                <w:sz w:val="24"/>
                <w:highlight w:val="none"/>
              </w:rPr>
              <w:t>针对本项目的培训方案情况，投标人承诺：</w:t>
            </w:r>
          </w:p>
          <w:p w14:paraId="10247D63">
            <w:pPr>
              <w:spacing w:line="276" w:lineRule="auto"/>
              <w:ind w:right="119" w:firstLine="235" w:firstLineChars="98"/>
              <w:rPr>
                <w:rFonts w:ascii="仿宋" w:hAnsi="仿宋" w:eastAsia="仿宋" w:cs="仿宋"/>
                <w:sz w:val="24"/>
                <w:highlight w:val="none"/>
              </w:rPr>
            </w:pPr>
            <w:r>
              <w:rPr>
                <w:rFonts w:hint="eastAsia" w:ascii="仿宋" w:hAnsi="仿宋" w:eastAsia="仿宋" w:cs="仿宋"/>
                <w:sz w:val="24"/>
                <w:highlight w:val="none"/>
              </w:rPr>
              <w:t>①培训对象：包括技术人员（系统管理工作者）以及普通用户（系统使用操作者），如系统使用业务科室人员及技术人员等。培训人数根据采购人要求确定（不少于一人）。</w:t>
            </w:r>
          </w:p>
          <w:p w14:paraId="38DC2B69">
            <w:pPr>
              <w:spacing w:line="276" w:lineRule="auto"/>
              <w:ind w:right="119" w:firstLine="235" w:firstLineChars="98"/>
              <w:rPr>
                <w:rFonts w:ascii="仿宋" w:hAnsi="仿宋" w:eastAsia="仿宋" w:cs="仿宋"/>
                <w:sz w:val="24"/>
                <w:highlight w:val="none"/>
              </w:rPr>
            </w:pPr>
            <w:r>
              <w:rPr>
                <w:rFonts w:hint="eastAsia" w:ascii="仿宋" w:hAnsi="仿宋" w:eastAsia="仿宋" w:cs="仿宋"/>
                <w:sz w:val="24"/>
                <w:highlight w:val="none"/>
              </w:rPr>
              <w:t>②培训方式：集中授课和现场操作应用指导培训，不少于一次的培训。培训地点：应由投标人与采购人共同协商确定。</w:t>
            </w:r>
          </w:p>
          <w:p w14:paraId="5515211B">
            <w:pPr>
              <w:spacing w:line="276" w:lineRule="auto"/>
              <w:ind w:right="119" w:firstLine="235" w:firstLineChars="98"/>
              <w:rPr>
                <w:rFonts w:ascii="仿宋" w:hAnsi="仿宋" w:eastAsia="仿宋" w:cs="仿宋"/>
                <w:sz w:val="24"/>
                <w:highlight w:val="none"/>
              </w:rPr>
            </w:pPr>
            <w:r>
              <w:rPr>
                <w:rFonts w:hint="eastAsia" w:ascii="仿宋" w:hAnsi="仿宋" w:eastAsia="仿宋" w:cs="仿宋"/>
                <w:sz w:val="24"/>
                <w:highlight w:val="none"/>
              </w:rPr>
              <w:t>③培训内容：包括系统管理员培训和系统操作员培训。所有培训以中文进行，具体以采购人要求为准。</w:t>
            </w:r>
          </w:p>
          <w:p w14:paraId="062F177B">
            <w:pPr>
              <w:spacing w:line="276" w:lineRule="auto"/>
              <w:ind w:right="119" w:firstLine="235" w:firstLineChars="98"/>
              <w:rPr>
                <w:rFonts w:ascii="仿宋" w:hAnsi="仿宋" w:eastAsia="仿宋" w:cs="仿宋"/>
                <w:sz w:val="24"/>
                <w:highlight w:val="none"/>
              </w:rPr>
            </w:pPr>
            <w:r>
              <w:rPr>
                <w:rFonts w:hint="eastAsia" w:ascii="仿宋" w:hAnsi="仿宋" w:eastAsia="仿宋" w:cs="仿宋"/>
                <w:sz w:val="24"/>
                <w:highlight w:val="none"/>
              </w:rPr>
              <w:t>④培训师资：由专业工程师提供培训服务。</w:t>
            </w:r>
          </w:p>
          <w:p w14:paraId="6C57A069">
            <w:pPr>
              <w:spacing w:line="276" w:lineRule="auto"/>
              <w:ind w:right="119" w:firstLine="235" w:firstLineChars="98"/>
              <w:rPr>
                <w:rFonts w:ascii="仿宋" w:hAnsi="仿宋" w:eastAsia="仿宋" w:cs="仿宋"/>
                <w:sz w:val="24"/>
                <w:highlight w:val="none"/>
              </w:rPr>
            </w:pPr>
            <w:r>
              <w:rPr>
                <w:rFonts w:hint="eastAsia" w:ascii="仿宋" w:hAnsi="仿宋" w:eastAsia="仿宋" w:cs="仿宋"/>
                <w:sz w:val="24"/>
                <w:highlight w:val="none"/>
              </w:rPr>
              <w:t>投标人提供承诺并符合要求的每一项得1分，未提供或不符合的不得分，</w:t>
            </w:r>
            <w:r>
              <w:rPr>
                <w:rFonts w:hint="eastAsia" w:ascii="仿宋" w:hAnsi="仿宋" w:eastAsia="仿宋" w:cs="仿宋"/>
                <w:b/>
                <w:bCs/>
                <w:sz w:val="24"/>
                <w:highlight w:val="none"/>
              </w:rPr>
              <w:t>最高得4分。</w:t>
            </w:r>
          </w:p>
        </w:tc>
        <w:tc>
          <w:tcPr>
            <w:tcW w:w="567" w:type="dxa"/>
            <w:tcBorders>
              <w:top w:val="single" w:color="auto" w:sz="4" w:space="0"/>
              <w:left w:val="single" w:color="auto" w:sz="4" w:space="0"/>
              <w:bottom w:val="single" w:color="auto" w:sz="4" w:space="0"/>
              <w:right w:val="single" w:color="auto" w:sz="4" w:space="0"/>
            </w:tcBorders>
            <w:vAlign w:val="center"/>
          </w:tcPr>
          <w:p w14:paraId="7DBC9A01">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4</w:t>
            </w:r>
          </w:p>
        </w:tc>
        <w:tc>
          <w:tcPr>
            <w:tcW w:w="850" w:type="dxa"/>
            <w:tcBorders>
              <w:top w:val="single" w:color="auto" w:sz="4" w:space="0"/>
              <w:left w:val="single" w:color="auto" w:sz="4" w:space="0"/>
              <w:bottom w:val="single" w:color="auto" w:sz="4" w:space="0"/>
              <w:right w:val="single" w:color="auto" w:sz="4" w:space="0"/>
            </w:tcBorders>
            <w:vAlign w:val="center"/>
          </w:tcPr>
          <w:p w14:paraId="631D8352">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客观分</w:t>
            </w:r>
          </w:p>
        </w:tc>
        <w:tc>
          <w:tcPr>
            <w:tcW w:w="1343" w:type="dxa"/>
            <w:tcBorders>
              <w:top w:val="single" w:color="auto" w:sz="4" w:space="0"/>
              <w:left w:val="single" w:color="auto" w:sz="4" w:space="0"/>
              <w:bottom w:val="single" w:color="auto" w:sz="4" w:space="0"/>
              <w:right w:val="single" w:color="auto" w:sz="4" w:space="0"/>
            </w:tcBorders>
            <w:vAlign w:val="center"/>
          </w:tcPr>
          <w:p w14:paraId="2F70FE31">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三、培训方案</w:t>
            </w:r>
          </w:p>
        </w:tc>
      </w:tr>
      <w:tr w14:paraId="312A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vAlign w:val="center"/>
          </w:tcPr>
          <w:p w14:paraId="3746BF2A">
            <w:pPr>
              <w:spacing w:line="276" w:lineRule="auto"/>
              <w:jc w:val="center"/>
              <w:rPr>
                <w:rFonts w:ascii="仿宋" w:hAnsi="仿宋" w:eastAsia="仿宋" w:cs="仿宋"/>
                <w:sz w:val="24"/>
                <w:highlight w:val="none"/>
              </w:rPr>
            </w:pPr>
            <w:r>
              <w:rPr>
                <w:rFonts w:hint="eastAsia" w:ascii="仿宋" w:hAnsi="仿宋" w:eastAsia="仿宋" w:cs="仿宋"/>
                <w:sz w:val="24"/>
                <w:highlight w:val="none"/>
              </w:rPr>
              <w:t>4</w:t>
            </w:r>
          </w:p>
        </w:tc>
        <w:tc>
          <w:tcPr>
            <w:tcW w:w="6558" w:type="dxa"/>
            <w:tcBorders>
              <w:top w:val="single" w:color="auto" w:sz="4" w:space="0"/>
              <w:left w:val="single" w:color="auto" w:sz="4" w:space="0"/>
              <w:bottom w:val="single" w:color="auto" w:sz="4" w:space="0"/>
              <w:right w:val="single" w:color="auto" w:sz="4" w:space="0"/>
            </w:tcBorders>
            <w:vAlign w:val="center"/>
          </w:tcPr>
          <w:p w14:paraId="186802ED">
            <w:pPr>
              <w:spacing w:line="276" w:lineRule="auto"/>
              <w:ind w:left="145" w:right="119"/>
              <w:jc w:val="left"/>
              <w:rPr>
                <w:rFonts w:ascii="仿宋" w:hAnsi="仿宋" w:eastAsia="仿宋" w:cs="仿宋"/>
                <w:sz w:val="24"/>
                <w:highlight w:val="none"/>
              </w:rPr>
            </w:pPr>
            <w:r>
              <w:rPr>
                <w:rFonts w:hint="eastAsia" w:ascii="仿宋" w:hAnsi="仿宋" w:eastAsia="仿宋" w:cs="仿宋"/>
                <w:sz w:val="24"/>
                <w:highlight w:val="none"/>
              </w:rPr>
              <w:t>投标人针对本项目的服务承诺情况，投标人承诺：</w:t>
            </w:r>
          </w:p>
          <w:p w14:paraId="74818156">
            <w:pPr>
              <w:spacing w:line="276" w:lineRule="auto"/>
              <w:ind w:left="145" w:right="119"/>
              <w:jc w:val="left"/>
              <w:rPr>
                <w:rFonts w:ascii="仿宋" w:hAnsi="仿宋" w:eastAsia="仿宋" w:cs="仿宋"/>
                <w:sz w:val="24"/>
                <w:highlight w:val="none"/>
              </w:rPr>
            </w:pPr>
            <w:r>
              <w:rPr>
                <w:rFonts w:hint="eastAsia" w:ascii="仿宋" w:hAnsi="仿宋" w:eastAsia="仿宋" w:cs="仿宋"/>
                <w:sz w:val="24"/>
                <w:highlight w:val="none"/>
              </w:rPr>
              <w:t>①承诺所提供的设备质量符合公安部GA/T 947-2015标准。</w:t>
            </w:r>
          </w:p>
          <w:p w14:paraId="5CADBAC0">
            <w:pPr>
              <w:spacing w:line="276" w:lineRule="auto"/>
              <w:ind w:left="145" w:right="119"/>
              <w:jc w:val="left"/>
              <w:rPr>
                <w:rFonts w:ascii="仿宋" w:hAnsi="仿宋" w:eastAsia="仿宋" w:cs="仿宋"/>
                <w:sz w:val="24"/>
                <w:highlight w:val="none"/>
              </w:rPr>
            </w:pPr>
            <w:r>
              <w:rPr>
                <w:rFonts w:hint="eastAsia" w:ascii="仿宋" w:hAnsi="仿宋" w:eastAsia="仿宋" w:cs="仿宋"/>
                <w:sz w:val="24"/>
                <w:highlight w:val="none"/>
              </w:rPr>
              <w:t>②承诺实行7*24小时电话服务，并保证电话畅通，服务期内确保设备的稳定运行，提供完善的运行维保服务。</w:t>
            </w:r>
          </w:p>
          <w:p w14:paraId="35F946CB">
            <w:pPr>
              <w:spacing w:line="276" w:lineRule="auto"/>
              <w:ind w:left="145" w:right="119"/>
              <w:jc w:val="left"/>
              <w:rPr>
                <w:rFonts w:ascii="仿宋" w:hAnsi="仿宋" w:eastAsia="仿宋" w:cs="仿宋"/>
                <w:sz w:val="24"/>
                <w:highlight w:val="none"/>
              </w:rPr>
            </w:pPr>
            <w:r>
              <w:rPr>
                <w:rFonts w:hint="eastAsia" w:ascii="仿宋" w:hAnsi="仿宋" w:eastAsia="仿宋" w:cs="仿宋"/>
                <w:sz w:val="24"/>
                <w:highlight w:val="none"/>
              </w:rPr>
              <w:t>③出现故障时，在接到故障申告后4小时以内派技术人员现场检修，并在48小时内修复故障。</w:t>
            </w:r>
          </w:p>
          <w:p w14:paraId="43FDB7BD">
            <w:pPr>
              <w:spacing w:line="276" w:lineRule="auto"/>
              <w:ind w:left="145" w:right="119"/>
              <w:jc w:val="left"/>
              <w:rPr>
                <w:rFonts w:ascii="仿宋" w:hAnsi="仿宋" w:eastAsia="仿宋" w:cs="仿宋"/>
                <w:sz w:val="24"/>
                <w:highlight w:val="none"/>
              </w:rPr>
            </w:pPr>
            <w:r>
              <w:rPr>
                <w:rFonts w:hint="eastAsia" w:ascii="仿宋" w:hAnsi="仿宋" w:eastAsia="仿宋" w:cs="仿宋"/>
                <w:sz w:val="24"/>
                <w:highlight w:val="none"/>
              </w:rPr>
              <w:t>投标人提供承诺并符合要求的每一项得3分，未提供或不符合的不得分，最高得9分。</w:t>
            </w:r>
          </w:p>
        </w:tc>
        <w:tc>
          <w:tcPr>
            <w:tcW w:w="567" w:type="dxa"/>
            <w:tcBorders>
              <w:top w:val="single" w:color="auto" w:sz="4" w:space="0"/>
              <w:left w:val="single" w:color="auto" w:sz="4" w:space="0"/>
              <w:bottom w:val="single" w:color="auto" w:sz="4" w:space="0"/>
              <w:right w:val="single" w:color="auto" w:sz="4" w:space="0"/>
            </w:tcBorders>
            <w:vAlign w:val="center"/>
          </w:tcPr>
          <w:p w14:paraId="41626B0C">
            <w:pPr>
              <w:spacing w:line="276" w:lineRule="auto"/>
              <w:ind w:left="145" w:right="119"/>
              <w:jc w:val="left"/>
              <w:rPr>
                <w:rFonts w:ascii="仿宋" w:hAnsi="仿宋" w:eastAsia="仿宋" w:cs="仿宋"/>
                <w:sz w:val="24"/>
                <w:highlight w:val="none"/>
              </w:rPr>
            </w:pPr>
            <w:r>
              <w:rPr>
                <w:rFonts w:hint="eastAsia" w:ascii="仿宋" w:hAnsi="仿宋" w:eastAsia="仿宋" w:cs="仿宋"/>
                <w:sz w:val="24"/>
                <w:highlight w:val="none"/>
              </w:rPr>
              <w:t>9</w:t>
            </w:r>
          </w:p>
        </w:tc>
        <w:tc>
          <w:tcPr>
            <w:tcW w:w="850" w:type="dxa"/>
            <w:tcBorders>
              <w:top w:val="single" w:color="auto" w:sz="4" w:space="0"/>
              <w:left w:val="single" w:color="auto" w:sz="4" w:space="0"/>
              <w:bottom w:val="single" w:color="auto" w:sz="4" w:space="0"/>
              <w:right w:val="single" w:color="auto" w:sz="4" w:space="0"/>
            </w:tcBorders>
            <w:vAlign w:val="center"/>
          </w:tcPr>
          <w:p w14:paraId="2C6D75EF">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客观分</w:t>
            </w:r>
          </w:p>
        </w:tc>
        <w:tc>
          <w:tcPr>
            <w:tcW w:w="1343" w:type="dxa"/>
            <w:tcBorders>
              <w:top w:val="single" w:color="auto" w:sz="4" w:space="0"/>
              <w:left w:val="single" w:color="auto" w:sz="4" w:space="0"/>
              <w:bottom w:val="single" w:color="auto" w:sz="4" w:space="0"/>
              <w:right w:val="single" w:color="auto" w:sz="4" w:space="0"/>
            </w:tcBorders>
            <w:vAlign w:val="center"/>
          </w:tcPr>
          <w:p w14:paraId="2359DB54">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四、服务承诺</w:t>
            </w:r>
          </w:p>
        </w:tc>
      </w:tr>
      <w:tr w14:paraId="5DD8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vAlign w:val="center"/>
          </w:tcPr>
          <w:p w14:paraId="08AD5856">
            <w:pPr>
              <w:spacing w:line="276" w:lineRule="auto"/>
              <w:jc w:val="center"/>
              <w:rPr>
                <w:rFonts w:ascii="仿宋" w:hAnsi="仿宋" w:eastAsia="仿宋" w:cs="仿宋"/>
                <w:sz w:val="24"/>
                <w:highlight w:val="none"/>
              </w:rPr>
            </w:pPr>
            <w:r>
              <w:rPr>
                <w:rFonts w:hint="eastAsia" w:ascii="仿宋" w:hAnsi="仿宋" w:eastAsia="仿宋" w:cs="仿宋"/>
                <w:sz w:val="24"/>
                <w:highlight w:val="none"/>
              </w:rPr>
              <w:t>5</w:t>
            </w:r>
          </w:p>
        </w:tc>
        <w:tc>
          <w:tcPr>
            <w:tcW w:w="6558" w:type="dxa"/>
            <w:tcBorders>
              <w:top w:val="single" w:color="auto" w:sz="4" w:space="0"/>
              <w:left w:val="single" w:color="auto" w:sz="4" w:space="0"/>
              <w:bottom w:val="single" w:color="auto" w:sz="4" w:space="0"/>
              <w:right w:val="single" w:color="auto" w:sz="4" w:space="0"/>
            </w:tcBorders>
            <w:vAlign w:val="center"/>
          </w:tcPr>
          <w:p w14:paraId="1B13B10E">
            <w:pPr>
              <w:spacing w:line="276" w:lineRule="auto"/>
              <w:rPr>
                <w:rFonts w:ascii="仿宋" w:hAnsi="仿宋" w:eastAsia="仿宋" w:cs="仿宋"/>
                <w:b/>
                <w:snapToGrid w:val="0"/>
                <w:sz w:val="24"/>
                <w:highlight w:val="none"/>
              </w:rPr>
            </w:pPr>
            <w:r>
              <w:rPr>
                <w:rFonts w:hint="eastAsia" w:ascii="仿宋" w:hAnsi="仿宋" w:eastAsia="仿宋" w:cs="仿宋"/>
                <w:sz w:val="24"/>
                <w:highlight w:val="none"/>
                <w:lang w:val="zh-CN"/>
              </w:rPr>
              <w:t>本项目拟派</w:t>
            </w:r>
            <w:r>
              <w:rPr>
                <w:rFonts w:hint="eastAsia" w:ascii="仿宋" w:hAnsi="仿宋" w:eastAsia="仿宋" w:cs="仿宋"/>
                <w:b/>
                <w:snapToGrid w:val="0"/>
                <w:sz w:val="24"/>
                <w:highlight w:val="none"/>
              </w:rPr>
              <w:t>项目组人员情况：</w:t>
            </w:r>
          </w:p>
          <w:p w14:paraId="59906E7F">
            <w:pPr>
              <w:spacing w:line="276" w:lineRule="auto"/>
              <w:rPr>
                <w:rFonts w:ascii="仿宋" w:hAnsi="仿宋" w:eastAsia="仿宋" w:cs="仿宋"/>
                <w:sz w:val="24"/>
                <w:highlight w:val="none"/>
              </w:rPr>
            </w:pPr>
            <w:r>
              <w:rPr>
                <w:rFonts w:hint="eastAsia" w:ascii="仿宋" w:hAnsi="仿宋" w:eastAsia="仿宋" w:cs="仿宋"/>
                <w:sz w:val="24"/>
                <w:highlight w:val="none"/>
              </w:rPr>
              <w:t>①项目负责人满足年龄55周岁（含）以下，具有大专及以上学历的得1分；(提供身份证、学历证书)</w:t>
            </w:r>
          </w:p>
          <w:p w14:paraId="68893741">
            <w:pPr>
              <w:spacing w:line="276" w:lineRule="auto"/>
              <w:rPr>
                <w:rFonts w:ascii="仿宋" w:hAnsi="仿宋" w:eastAsia="仿宋" w:cs="仿宋"/>
                <w:sz w:val="24"/>
                <w:highlight w:val="none"/>
              </w:rPr>
            </w:pPr>
            <w:r>
              <w:rPr>
                <w:rFonts w:hint="eastAsia" w:ascii="仿宋" w:hAnsi="仿宋" w:eastAsia="仿宋" w:cs="仿宋"/>
                <w:sz w:val="24"/>
                <w:highlight w:val="none"/>
              </w:rPr>
              <w:t>②驻点人员满足年龄55周岁（含）以下，具有大专及以上学历的得1分；(提供身份证、学历证书)；</w:t>
            </w:r>
          </w:p>
          <w:p w14:paraId="41D45DA6">
            <w:pPr>
              <w:spacing w:line="276" w:lineRule="auto"/>
              <w:rPr>
                <w:rFonts w:ascii="仿宋" w:hAnsi="仿宋" w:eastAsia="仿宋" w:cs="仿宋"/>
                <w:sz w:val="24"/>
                <w:highlight w:val="none"/>
              </w:rPr>
            </w:pPr>
            <w:r>
              <w:rPr>
                <w:rFonts w:hint="eastAsia" w:ascii="仿宋" w:hAnsi="仿宋" w:eastAsia="仿宋" w:cs="仿宋"/>
                <w:sz w:val="24"/>
                <w:highlight w:val="none"/>
              </w:rPr>
              <w:t>③项目负责人具有类似项目工作经验（提供业绩合同，若业绩合同无法体现姓名，须提供业主证明）满足要求的得1.5分；</w:t>
            </w:r>
          </w:p>
          <w:p w14:paraId="2D5F6DB8">
            <w:pPr>
              <w:spacing w:line="276" w:lineRule="auto"/>
              <w:rPr>
                <w:rFonts w:ascii="仿宋" w:hAnsi="仿宋" w:eastAsia="仿宋" w:cs="仿宋"/>
                <w:sz w:val="24"/>
                <w:highlight w:val="none"/>
              </w:rPr>
            </w:pPr>
            <w:r>
              <w:rPr>
                <w:rFonts w:hint="eastAsia" w:ascii="仿宋" w:hAnsi="仿宋" w:eastAsia="仿宋" w:cs="仿宋"/>
                <w:sz w:val="24"/>
                <w:highlight w:val="none"/>
              </w:rPr>
              <w:t>④驻点人员具有类似项目工作经验（提供业绩合同，若业绩合同无法体现姓名，须提供业主证明）满足要求的得1.5分；</w:t>
            </w:r>
          </w:p>
          <w:p w14:paraId="285A2619">
            <w:pPr>
              <w:spacing w:line="276" w:lineRule="auto"/>
              <w:rPr>
                <w:rFonts w:ascii="仿宋" w:hAnsi="仿宋" w:eastAsia="仿宋" w:cs="仿宋"/>
                <w:sz w:val="24"/>
                <w:highlight w:val="none"/>
              </w:rPr>
            </w:pPr>
            <w:r>
              <w:rPr>
                <w:rFonts w:hint="eastAsia" w:ascii="仿宋" w:hAnsi="仿宋" w:eastAsia="仿宋" w:cs="仿宋"/>
                <w:b/>
                <w:bCs/>
                <w:sz w:val="24"/>
                <w:highlight w:val="none"/>
              </w:rPr>
              <w:t>本项最高得5分。</w:t>
            </w:r>
            <w:r>
              <w:rPr>
                <w:rFonts w:hint="eastAsia" w:ascii="仿宋" w:hAnsi="仿宋" w:eastAsia="仿宋" w:cs="仿宋"/>
                <w:sz w:val="24"/>
                <w:highlight w:val="none"/>
                <w:lang w:val="zh-CN"/>
              </w:rPr>
              <w:t>（提供社保缴纳证明复印件，不提供不得分）</w:t>
            </w:r>
          </w:p>
        </w:tc>
        <w:tc>
          <w:tcPr>
            <w:tcW w:w="567" w:type="dxa"/>
            <w:tcBorders>
              <w:top w:val="single" w:color="auto" w:sz="4" w:space="0"/>
              <w:left w:val="single" w:color="auto" w:sz="4" w:space="0"/>
              <w:bottom w:val="single" w:color="auto" w:sz="4" w:space="0"/>
              <w:right w:val="single" w:color="auto" w:sz="4" w:space="0"/>
            </w:tcBorders>
            <w:vAlign w:val="center"/>
          </w:tcPr>
          <w:p w14:paraId="67B53ABA">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5</w:t>
            </w:r>
          </w:p>
        </w:tc>
        <w:tc>
          <w:tcPr>
            <w:tcW w:w="850" w:type="dxa"/>
            <w:tcBorders>
              <w:top w:val="single" w:color="auto" w:sz="4" w:space="0"/>
              <w:left w:val="single" w:color="auto" w:sz="4" w:space="0"/>
              <w:bottom w:val="single" w:color="auto" w:sz="4" w:space="0"/>
              <w:right w:val="single" w:color="auto" w:sz="4" w:space="0"/>
            </w:tcBorders>
            <w:vAlign w:val="center"/>
          </w:tcPr>
          <w:p w14:paraId="5550CC10">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客观分</w:t>
            </w:r>
          </w:p>
        </w:tc>
        <w:tc>
          <w:tcPr>
            <w:tcW w:w="1343" w:type="dxa"/>
            <w:tcBorders>
              <w:top w:val="single" w:color="auto" w:sz="4" w:space="0"/>
              <w:left w:val="single" w:color="auto" w:sz="4" w:space="0"/>
              <w:bottom w:val="single" w:color="auto" w:sz="4" w:space="0"/>
              <w:right w:val="single" w:color="auto" w:sz="4" w:space="0"/>
            </w:tcBorders>
            <w:vAlign w:val="center"/>
          </w:tcPr>
          <w:p w14:paraId="3BE5B9D5">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五、项目组人员情况</w:t>
            </w:r>
          </w:p>
        </w:tc>
      </w:tr>
      <w:tr w14:paraId="59534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vAlign w:val="center"/>
          </w:tcPr>
          <w:p w14:paraId="68185F44">
            <w:pPr>
              <w:spacing w:line="276" w:lineRule="auto"/>
              <w:jc w:val="center"/>
              <w:rPr>
                <w:rFonts w:ascii="仿宋" w:hAnsi="仿宋" w:eastAsia="仿宋" w:cs="仿宋"/>
                <w:sz w:val="24"/>
                <w:highlight w:val="none"/>
              </w:rPr>
            </w:pPr>
            <w:r>
              <w:rPr>
                <w:rFonts w:hint="eastAsia" w:ascii="仿宋" w:hAnsi="仿宋" w:eastAsia="仿宋" w:cs="仿宋"/>
                <w:sz w:val="24"/>
                <w:highlight w:val="none"/>
              </w:rPr>
              <w:t>6</w:t>
            </w:r>
          </w:p>
        </w:tc>
        <w:tc>
          <w:tcPr>
            <w:tcW w:w="6558" w:type="dxa"/>
            <w:tcBorders>
              <w:top w:val="single" w:color="auto" w:sz="4" w:space="0"/>
              <w:left w:val="single" w:color="auto" w:sz="4" w:space="0"/>
              <w:bottom w:val="single" w:color="auto" w:sz="4" w:space="0"/>
              <w:right w:val="single" w:color="auto" w:sz="4" w:space="0"/>
            </w:tcBorders>
            <w:vAlign w:val="center"/>
          </w:tcPr>
          <w:p w14:paraId="4FD0B97E">
            <w:pPr>
              <w:spacing w:line="276" w:lineRule="auto"/>
              <w:rPr>
                <w:rFonts w:ascii="仿宋" w:hAnsi="仿宋" w:eastAsia="仿宋" w:cs="仿宋"/>
                <w:sz w:val="24"/>
                <w:highlight w:val="none"/>
              </w:rPr>
            </w:pPr>
            <w:r>
              <w:rPr>
                <w:rFonts w:hint="eastAsia" w:ascii="仿宋" w:hAnsi="仿宋" w:eastAsia="仿宋" w:cs="仿宋"/>
                <w:sz w:val="24"/>
                <w:highlight w:val="none"/>
              </w:rPr>
              <w:t>投标人针对本项目的保密情况，投标人承诺保密按照采购需求实施，对工作人员开展常态化安全保密教育，组织签订保密协议、安全保密承诺书，履行具体安全管理内容、安全保密义务和责任等。满足的得2分，不满足不得分，最高得2分。</w:t>
            </w:r>
          </w:p>
        </w:tc>
        <w:tc>
          <w:tcPr>
            <w:tcW w:w="567" w:type="dxa"/>
            <w:tcBorders>
              <w:top w:val="single" w:color="auto" w:sz="4" w:space="0"/>
              <w:left w:val="single" w:color="auto" w:sz="4" w:space="0"/>
              <w:bottom w:val="single" w:color="auto" w:sz="4" w:space="0"/>
              <w:right w:val="single" w:color="auto" w:sz="4" w:space="0"/>
            </w:tcBorders>
            <w:vAlign w:val="center"/>
          </w:tcPr>
          <w:p w14:paraId="5E35AC0B">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2</w:t>
            </w:r>
          </w:p>
        </w:tc>
        <w:tc>
          <w:tcPr>
            <w:tcW w:w="850" w:type="dxa"/>
            <w:tcBorders>
              <w:top w:val="single" w:color="auto" w:sz="4" w:space="0"/>
              <w:left w:val="single" w:color="auto" w:sz="4" w:space="0"/>
              <w:bottom w:val="single" w:color="auto" w:sz="4" w:space="0"/>
              <w:right w:val="single" w:color="auto" w:sz="4" w:space="0"/>
            </w:tcBorders>
            <w:vAlign w:val="center"/>
          </w:tcPr>
          <w:p w14:paraId="6A9814F1">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客观分</w:t>
            </w:r>
          </w:p>
        </w:tc>
        <w:tc>
          <w:tcPr>
            <w:tcW w:w="1343" w:type="dxa"/>
            <w:tcBorders>
              <w:top w:val="single" w:color="auto" w:sz="4" w:space="0"/>
              <w:left w:val="single" w:color="auto" w:sz="4" w:space="0"/>
              <w:bottom w:val="single" w:color="auto" w:sz="4" w:space="0"/>
              <w:right w:val="single" w:color="auto" w:sz="4" w:space="0"/>
            </w:tcBorders>
            <w:vAlign w:val="center"/>
          </w:tcPr>
          <w:p w14:paraId="22A45699">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六、保密承诺</w:t>
            </w:r>
          </w:p>
        </w:tc>
      </w:tr>
      <w:tr w14:paraId="71D9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vAlign w:val="center"/>
          </w:tcPr>
          <w:p w14:paraId="1BB3C975">
            <w:pPr>
              <w:spacing w:line="276" w:lineRule="auto"/>
              <w:jc w:val="center"/>
              <w:rPr>
                <w:rFonts w:ascii="仿宋" w:hAnsi="仿宋" w:eastAsia="仿宋" w:cs="仿宋"/>
                <w:sz w:val="24"/>
                <w:highlight w:val="none"/>
              </w:rPr>
            </w:pPr>
            <w:r>
              <w:rPr>
                <w:rFonts w:hint="eastAsia" w:ascii="仿宋" w:hAnsi="仿宋" w:eastAsia="仿宋" w:cs="仿宋"/>
                <w:sz w:val="24"/>
                <w:highlight w:val="none"/>
              </w:rPr>
              <w:t>7</w:t>
            </w:r>
          </w:p>
        </w:tc>
        <w:tc>
          <w:tcPr>
            <w:tcW w:w="6558" w:type="dxa"/>
            <w:tcBorders>
              <w:top w:val="single" w:color="auto" w:sz="4" w:space="0"/>
              <w:left w:val="single" w:color="auto" w:sz="4" w:space="0"/>
              <w:bottom w:val="single" w:color="auto" w:sz="4" w:space="0"/>
              <w:right w:val="single" w:color="auto" w:sz="4" w:space="0"/>
            </w:tcBorders>
            <w:vAlign w:val="center"/>
          </w:tcPr>
          <w:p w14:paraId="3A8A50E5">
            <w:pPr>
              <w:spacing w:line="276" w:lineRule="auto"/>
              <w:ind w:right="119" w:firstLine="84" w:firstLineChars="35"/>
              <w:rPr>
                <w:rFonts w:ascii="仿宋" w:hAnsi="仿宋" w:eastAsia="仿宋" w:cs="仿宋"/>
                <w:snapToGrid w:val="0"/>
                <w:sz w:val="24"/>
                <w:highlight w:val="none"/>
                <w:lang w:val="zh-CN"/>
              </w:rPr>
            </w:pPr>
            <w:r>
              <w:rPr>
                <w:rFonts w:hint="eastAsia" w:ascii="仿宋" w:hAnsi="仿宋" w:eastAsia="仿宋" w:cs="仿宋"/>
                <w:snapToGrid w:val="0"/>
                <w:sz w:val="24"/>
                <w:highlight w:val="none"/>
                <w:lang w:val="zh-CN"/>
              </w:rPr>
              <w:t>投标人针对本本项目的</w:t>
            </w:r>
            <w:r>
              <w:rPr>
                <w:rFonts w:hint="eastAsia" w:ascii="仿宋" w:hAnsi="仿宋" w:eastAsia="仿宋" w:cs="仿宋"/>
                <w:b/>
                <w:bCs/>
                <w:sz w:val="24"/>
                <w:highlight w:val="none"/>
              </w:rPr>
              <w:t>网络安全责任与义务</w:t>
            </w:r>
            <w:r>
              <w:rPr>
                <w:rFonts w:hint="eastAsia" w:ascii="仿宋" w:hAnsi="仿宋" w:eastAsia="仿宋" w:cs="仿宋"/>
                <w:snapToGrid w:val="0"/>
                <w:sz w:val="24"/>
                <w:highlight w:val="none"/>
                <w:lang w:val="zh-CN"/>
              </w:rPr>
              <w:t>承诺：</w:t>
            </w:r>
          </w:p>
          <w:p w14:paraId="623BB364">
            <w:pPr>
              <w:spacing w:line="276" w:lineRule="auto"/>
              <w:ind w:right="119" w:firstLine="84" w:firstLineChars="35"/>
              <w:rPr>
                <w:rFonts w:ascii="仿宋" w:hAnsi="仿宋" w:eastAsia="仿宋" w:cs="仿宋"/>
                <w:snapToGrid w:val="0"/>
                <w:sz w:val="24"/>
                <w:highlight w:val="none"/>
                <w:lang w:val="zh-CN"/>
              </w:rPr>
            </w:pPr>
            <w:r>
              <w:rPr>
                <w:rFonts w:hint="eastAsia" w:ascii="仿宋" w:hAnsi="仿宋" w:eastAsia="仿宋" w:cs="仿宋"/>
                <w:snapToGrid w:val="0"/>
                <w:sz w:val="24"/>
                <w:highlight w:val="none"/>
                <w:lang w:val="zh-CN"/>
              </w:rPr>
              <w:t>①明确投标人法定代表人为合作事项网络安全第一责任人，具体承担合作事项的部门主要负责人为直接责任人；</w:t>
            </w:r>
          </w:p>
          <w:p w14:paraId="0B25524A">
            <w:pPr>
              <w:spacing w:line="276" w:lineRule="auto"/>
              <w:ind w:right="119" w:firstLine="84" w:firstLineChars="35"/>
              <w:rPr>
                <w:rFonts w:ascii="仿宋" w:hAnsi="仿宋" w:eastAsia="仿宋" w:cs="仿宋"/>
                <w:snapToGrid w:val="0"/>
                <w:sz w:val="24"/>
                <w:highlight w:val="none"/>
                <w:lang w:val="zh-CN"/>
              </w:rPr>
            </w:pPr>
            <w:r>
              <w:rPr>
                <w:rFonts w:hint="eastAsia" w:ascii="仿宋" w:hAnsi="仿宋" w:eastAsia="仿宋" w:cs="仿宋"/>
                <w:snapToGrid w:val="0"/>
                <w:sz w:val="24"/>
                <w:highlight w:val="none"/>
                <w:lang w:val="zh-CN"/>
              </w:rPr>
              <w:t>②不得转包合同任务；</w:t>
            </w:r>
          </w:p>
          <w:p w14:paraId="0772A5DA">
            <w:pPr>
              <w:spacing w:line="276" w:lineRule="auto"/>
              <w:ind w:right="119" w:firstLine="84" w:firstLineChars="35"/>
              <w:rPr>
                <w:rFonts w:ascii="仿宋" w:hAnsi="仿宋" w:eastAsia="仿宋" w:cs="仿宋"/>
                <w:snapToGrid w:val="0"/>
                <w:sz w:val="24"/>
                <w:highlight w:val="none"/>
                <w:lang w:val="zh-CN"/>
              </w:rPr>
            </w:pPr>
            <w:r>
              <w:rPr>
                <w:rFonts w:hint="eastAsia" w:ascii="仿宋" w:hAnsi="仿宋" w:eastAsia="仿宋" w:cs="仿宋"/>
                <w:snapToGrid w:val="0"/>
                <w:sz w:val="24"/>
                <w:highlight w:val="none"/>
                <w:lang w:val="zh-CN"/>
              </w:rPr>
              <w:t>③投标人制订与合作事项相关的网络安全保障方案和网络安全事件应急预案；</w:t>
            </w:r>
          </w:p>
          <w:p w14:paraId="584C4147">
            <w:pPr>
              <w:spacing w:line="276" w:lineRule="auto"/>
              <w:ind w:right="119" w:firstLine="84" w:firstLineChars="35"/>
              <w:rPr>
                <w:rFonts w:ascii="仿宋" w:hAnsi="仿宋" w:eastAsia="仿宋" w:cs="仿宋"/>
                <w:snapToGrid w:val="0"/>
                <w:sz w:val="24"/>
                <w:highlight w:val="none"/>
                <w:lang w:val="zh-CN"/>
              </w:rPr>
            </w:pPr>
            <w:r>
              <w:rPr>
                <w:rFonts w:hint="eastAsia" w:ascii="仿宋" w:hAnsi="仿宋" w:eastAsia="仿宋" w:cs="仿宋"/>
                <w:sz w:val="24"/>
                <w:highlight w:val="none"/>
              </w:rPr>
              <w:fldChar w:fldCharType="begin"/>
            </w:r>
            <w:r>
              <w:rPr>
                <w:rFonts w:hint="eastAsia" w:ascii="仿宋" w:hAnsi="仿宋" w:eastAsia="仿宋" w:cs="仿宋"/>
                <w:snapToGrid w:val="0"/>
                <w:sz w:val="24"/>
                <w:highlight w:val="none"/>
                <w:lang w:val="zh-CN"/>
              </w:rPr>
              <w:instrText xml:space="preserve"> = 4 \* GB3 </w:instrText>
            </w:r>
            <w:r>
              <w:rPr>
                <w:rFonts w:hint="eastAsia" w:ascii="仿宋" w:hAnsi="仿宋" w:eastAsia="仿宋" w:cs="仿宋"/>
                <w:sz w:val="24"/>
                <w:highlight w:val="none"/>
              </w:rPr>
              <w:fldChar w:fldCharType="separate"/>
            </w:r>
            <w:r>
              <w:rPr>
                <w:rFonts w:hint="eastAsia" w:ascii="仿宋" w:hAnsi="仿宋" w:eastAsia="仿宋" w:cs="仿宋"/>
                <w:snapToGrid w:val="0"/>
                <w:sz w:val="24"/>
                <w:highlight w:val="none"/>
                <w:lang w:val="zh-CN"/>
              </w:rPr>
              <w:t>④</w:t>
            </w:r>
            <w:r>
              <w:rPr>
                <w:rFonts w:hint="eastAsia" w:ascii="仿宋" w:hAnsi="仿宋" w:eastAsia="仿宋" w:cs="仿宋"/>
                <w:sz w:val="24"/>
                <w:highlight w:val="none"/>
              </w:rPr>
              <w:fldChar w:fldCharType="end"/>
            </w:r>
            <w:r>
              <w:rPr>
                <w:rFonts w:hint="eastAsia" w:ascii="仿宋" w:hAnsi="仿宋" w:eastAsia="仿宋" w:cs="仿宋"/>
                <w:snapToGrid w:val="0"/>
                <w:sz w:val="24"/>
                <w:highlight w:val="none"/>
                <w:lang w:val="zh-CN"/>
              </w:rPr>
              <w:t>投标人发现网络安全漏洞、缺陷或者其他严重网络安全风险，及时向采购人报告；</w:t>
            </w:r>
          </w:p>
          <w:p w14:paraId="5EAB68FE">
            <w:pPr>
              <w:spacing w:line="276" w:lineRule="auto"/>
              <w:ind w:right="119" w:firstLine="84" w:firstLineChars="35"/>
              <w:rPr>
                <w:rFonts w:ascii="仿宋" w:hAnsi="仿宋" w:eastAsia="仿宋" w:cs="仿宋"/>
                <w:snapToGrid w:val="0"/>
                <w:sz w:val="24"/>
                <w:highlight w:val="none"/>
                <w:lang w:val="zh-CN"/>
              </w:rPr>
            </w:pPr>
            <w:r>
              <w:rPr>
                <w:rFonts w:hint="eastAsia" w:ascii="仿宋" w:hAnsi="仿宋" w:eastAsia="仿宋" w:cs="仿宋"/>
                <w:sz w:val="24"/>
                <w:highlight w:val="none"/>
              </w:rPr>
              <w:fldChar w:fldCharType="begin"/>
            </w:r>
            <w:r>
              <w:rPr>
                <w:rFonts w:hint="eastAsia" w:ascii="仿宋" w:hAnsi="仿宋" w:eastAsia="仿宋" w:cs="仿宋"/>
                <w:snapToGrid w:val="0"/>
                <w:sz w:val="24"/>
                <w:highlight w:val="none"/>
                <w:lang w:val="zh-CN"/>
              </w:rPr>
              <w:instrText xml:space="preserve"> = 5 \* GB3 </w:instrText>
            </w:r>
            <w:r>
              <w:rPr>
                <w:rFonts w:hint="eastAsia" w:ascii="仿宋" w:hAnsi="仿宋" w:eastAsia="仿宋" w:cs="仿宋"/>
                <w:sz w:val="24"/>
                <w:highlight w:val="none"/>
              </w:rPr>
              <w:fldChar w:fldCharType="separate"/>
            </w:r>
            <w:r>
              <w:rPr>
                <w:rFonts w:hint="eastAsia" w:ascii="仿宋" w:hAnsi="仿宋" w:eastAsia="仿宋" w:cs="仿宋"/>
                <w:snapToGrid w:val="0"/>
                <w:sz w:val="24"/>
                <w:highlight w:val="none"/>
                <w:lang w:val="zh-CN"/>
              </w:rPr>
              <w:t>⑤</w:t>
            </w:r>
            <w:r>
              <w:rPr>
                <w:rFonts w:hint="eastAsia" w:ascii="仿宋" w:hAnsi="仿宋" w:eastAsia="仿宋" w:cs="仿宋"/>
                <w:sz w:val="24"/>
                <w:highlight w:val="none"/>
              </w:rPr>
              <w:fldChar w:fldCharType="end"/>
            </w:r>
            <w:r>
              <w:rPr>
                <w:rFonts w:hint="eastAsia" w:ascii="仿宋" w:hAnsi="仿宋" w:eastAsia="仿宋" w:cs="仿宋"/>
                <w:snapToGrid w:val="0"/>
                <w:sz w:val="24"/>
                <w:highlight w:val="none"/>
                <w:lang w:val="zh-CN"/>
              </w:rPr>
              <w:t>处理合作事项的信息平台优先采用</w:t>
            </w:r>
            <w:r>
              <w:rPr>
                <w:rFonts w:hint="eastAsia" w:ascii="仿宋" w:hAnsi="仿宋" w:eastAsia="仿宋" w:cs="仿宋"/>
                <w:kern w:val="0"/>
                <w:sz w:val="24"/>
                <w:highlight w:val="none"/>
                <w:lang w:bidi="zh-CN"/>
              </w:rPr>
              <w:t>符合安全可靠测评要求</w:t>
            </w:r>
            <w:r>
              <w:rPr>
                <w:rFonts w:hint="eastAsia" w:ascii="仿宋" w:hAnsi="仿宋" w:eastAsia="仿宋" w:cs="仿宋"/>
                <w:snapToGrid w:val="0"/>
                <w:sz w:val="24"/>
                <w:highlight w:val="none"/>
                <w:lang w:val="zh-CN"/>
              </w:rPr>
              <w:t>的硬件和软件产品；</w:t>
            </w:r>
          </w:p>
          <w:p w14:paraId="4291535F">
            <w:pPr>
              <w:spacing w:line="276" w:lineRule="auto"/>
              <w:ind w:right="119" w:firstLine="84" w:firstLineChars="35"/>
              <w:rPr>
                <w:rFonts w:ascii="仿宋" w:hAnsi="仿宋" w:eastAsia="仿宋" w:cs="仿宋"/>
                <w:snapToGrid w:val="0"/>
                <w:sz w:val="24"/>
                <w:highlight w:val="none"/>
                <w:lang w:val="zh-CN"/>
              </w:rPr>
            </w:pPr>
            <w:r>
              <w:rPr>
                <w:rFonts w:hint="eastAsia" w:ascii="仿宋" w:hAnsi="仿宋" w:eastAsia="仿宋" w:cs="仿宋"/>
                <w:snapToGrid w:val="0"/>
                <w:sz w:val="24"/>
                <w:highlight w:val="none"/>
                <w:lang w:val="zh-CN"/>
              </w:rPr>
              <w:t>⑥发生可能影响合作事项的网络安全重大事项，包括负责人及重要工作人员变更、业务转型、合并重组和投资并购等，投标人提前向采购人报告；</w:t>
            </w:r>
          </w:p>
          <w:p w14:paraId="1510EB94">
            <w:pPr>
              <w:spacing w:line="276" w:lineRule="auto"/>
              <w:ind w:right="119" w:firstLine="84" w:firstLineChars="35"/>
              <w:rPr>
                <w:rFonts w:ascii="仿宋" w:hAnsi="仿宋" w:eastAsia="仿宋" w:cs="仿宋"/>
                <w:snapToGrid w:val="0"/>
                <w:sz w:val="24"/>
                <w:highlight w:val="none"/>
                <w:lang w:val="zh-CN"/>
              </w:rPr>
            </w:pPr>
            <w:r>
              <w:rPr>
                <w:rFonts w:hint="eastAsia" w:ascii="仿宋" w:hAnsi="仿宋" w:eastAsia="仿宋" w:cs="仿宋"/>
                <w:sz w:val="24"/>
                <w:highlight w:val="none"/>
              </w:rPr>
              <w:fldChar w:fldCharType="begin"/>
            </w:r>
            <w:r>
              <w:rPr>
                <w:rFonts w:hint="eastAsia" w:ascii="仿宋" w:hAnsi="仿宋" w:eastAsia="仿宋" w:cs="仿宋"/>
                <w:snapToGrid w:val="0"/>
                <w:sz w:val="24"/>
                <w:highlight w:val="none"/>
                <w:lang w:val="zh-CN"/>
              </w:rPr>
              <w:instrText xml:space="preserve"> = 7 \* GB3 </w:instrText>
            </w:r>
            <w:r>
              <w:rPr>
                <w:rFonts w:hint="eastAsia" w:ascii="仿宋" w:hAnsi="仿宋" w:eastAsia="仿宋" w:cs="仿宋"/>
                <w:sz w:val="24"/>
                <w:highlight w:val="none"/>
              </w:rPr>
              <w:fldChar w:fldCharType="separate"/>
            </w:r>
            <w:r>
              <w:rPr>
                <w:rFonts w:hint="eastAsia" w:ascii="仿宋" w:hAnsi="仿宋" w:eastAsia="仿宋" w:cs="仿宋"/>
                <w:snapToGrid w:val="0"/>
                <w:sz w:val="24"/>
                <w:highlight w:val="none"/>
                <w:lang w:val="zh-CN"/>
              </w:rPr>
              <w:t>⑦</w:t>
            </w:r>
            <w:r>
              <w:rPr>
                <w:rFonts w:hint="eastAsia" w:ascii="仿宋" w:hAnsi="仿宋" w:eastAsia="仿宋" w:cs="仿宋"/>
                <w:sz w:val="24"/>
                <w:highlight w:val="none"/>
              </w:rPr>
              <w:fldChar w:fldCharType="end"/>
            </w:r>
            <w:r>
              <w:rPr>
                <w:rFonts w:hint="eastAsia" w:ascii="仿宋" w:hAnsi="仿宋" w:eastAsia="仿宋" w:cs="仿宋"/>
                <w:snapToGrid w:val="0"/>
                <w:sz w:val="24"/>
                <w:highlight w:val="none"/>
                <w:lang w:val="zh-CN"/>
              </w:rPr>
              <w:t>采用社会公共网络平台实施合作事项时，严禁涉及国家秘密和警务工作秘密；</w:t>
            </w:r>
          </w:p>
          <w:p w14:paraId="64ED41F3">
            <w:pPr>
              <w:spacing w:line="276" w:lineRule="auto"/>
              <w:ind w:right="119" w:firstLine="84" w:firstLineChars="35"/>
              <w:rPr>
                <w:rFonts w:ascii="仿宋" w:hAnsi="仿宋" w:eastAsia="仿宋" w:cs="仿宋"/>
                <w:snapToGrid w:val="0"/>
                <w:sz w:val="24"/>
                <w:highlight w:val="none"/>
                <w:lang w:val="zh-CN"/>
              </w:rPr>
            </w:pPr>
            <w:r>
              <w:rPr>
                <w:rFonts w:hint="eastAsia" w:ascii="仿宋" w:hAnsi="仿宋" w:eastAsia="仿宋" w:cs="仿宋"/>
                <w:sz w:val="24"/>
                <w:highlight w:val="none"/>
              </w:rPr>
              <w:fldChar w:fldCharType="begin"/>
            </w:r>
            <w:r>
              <w:rPr>
                <w:rFonts w:hint="eastAsia" w:ascii="仿宋" w:hAnsi="仿宋" w:eastAsia="仿宋" w:cs="仿宋"/>
                <w:snapToGrid w:val="0"/>
                <w:sz w:val="24"/>
                <w:highlight w:val="none"/>
                <w:lang w:val="zh-CN"/>
              </w:rPr>
              <w:instrText xml:space="preserve"> = 8 \* GB3 </w:instrText>
            </w:r>
            <w:r>
              <w:rPr>
                <w:rFonts w:hint="eastAsia" w:ascii="仿宋" w:hAnsi="仿宋" w:eastAsia="仿宋" w:cs="仿宋"/>
                <w:sz w:val="24"/>
                <w:highlight w:val="none"/>
              </w:rPr>
              <w:fldChar w:fldCharType="separate"/>
            </w:r>
            <w:r>
              <w:rPr>
                <w:rFonts w:hint="eastAsia" w:ascii="仿宋" w:hAnsi="仿宋" w:eastAsia="仿宋" w:cs="仿宋"/>
                <w:snapToGrid w:val="0"/>
                <w:sz w:val="24"/>
                <w:highlight w:val="none"/>
                <w:lang w:val="zh-CN"/>
              </w:rPr>
              <w:t>⑧</w:t>
            </w:r>
            <w:r>
              <w:rPr>
                <w:rFonts w:hint="eastAsia" w:ascii="仿宋" w:hAnsi="仿宋" w:eastAsia="仿宋" w:cs="仿宋"/>
                <w:sz w:val="24"/>
                <w:highlight w:val="none"/>
              </w:rPr>
              <w:fldChar w:fldCharType="end"/>
            </w:r>
            <w:r>
              <w:rPr>
                <w:rFonts w:hint="eastAsia" w:ascii="仿宋" w:hAnsi="仿宋" w:eastAsia="仿宋" w:cs="仿宋"/>
                <w:snapToGrid w:val="0"/>
                <w:sz w:val="24"/>
                <w:highlight w:val="none"/>
                <w:lang w:val="zh-CN"/>
              </w:rPr>
              <w:t>投标人</w:t>
            </w:r>
            <w:r>
              <w:rPr>
                <w:rFonts w:hint="eastAsia" w:ascii="仿宋" w:hAnsi="仿宋" w:eastAsia="仿宋" w:cs="仿宋"/>
                <w:sz w:val="24"/>
                <w:highlight w:val="none"/>
              </w:rPr>
              <w:t>应在2026年8月1日前</w:t>
            </w:r>
            <w:r>
              <w:rPr>
                <w:rFonts w:hint="eastAsia" w:ascii="仿宋" w:hAnsi="仿宋" w:eastAsia="仿宋" w:cs="仿宋"/>
                <w:snapToGrid w:val="0"/>
                <w:sz w:val="24"/>
                <w:highlight w:val="none"/>
                <w:lang w:val="zh-CN"/>
              </w:rPr>
              <w:t>向采购人提交网络安全报告。</w:t>
            </w:r>
          </w:p>
          <w:p w14:paraId="231DDD2E">
            <w:pPr>
              <w:spacing w:line="276" w:lineRule="auto"/>
              <w:ind w:right="119" w:firstLine="84" w:firstLineChars="35"/>
              <w:rPr>
                <w:rFonts w:ascii="仿宋" w:hAnsi="仿宋" w:eastAsia="仿宋" w:cs="仿宋"/>
                <w:sz w:val="24"/>
                <w:highlight w:val="none"/>
              </w:rPr>
            </w:pPr>
            <w:r>
              <w:rPr>
                <w:rFonts w:hint="eastAsia" w:ascii="仿宋" w:hAnsi="仿宋" w:eastAsia="仿宋" w:cs="仿宋"/>
                <w:sz w:val="24"/>
                <w:highlight w:val="none"/>
              </w:rPr>
              <w:t>⑨其他应当落实的网络安全责任和义务。</w:t>
            </w:r>
          </w:p>
          <w:p w14:paraId="53859293">
            <w:pPr>
              <w:spacing w:line="276" w:lineRule="auto"/>
              <w:ind w:right="119" w:firstLine="84" w:firstLineChars="35"/>
              <w:rPr>
                <w:rFonts w:ascii="仿宋" w:hAnsi="仿宋" w:eastAsia="仿宋" w:cs="仿宋"/>
                <w:snapToGrid w:val="0"/>
                <w:sz w:val="24"/>
                <w:highlight w:val="none"/>
                <w:lang w:val="zh-CN"/>
              </w:rPr>
            </w:pPr>
            <w:r>
              <w:rPr>
                <w:rFonts w:hint="eastAsia" w:ascii="仿宋" w:hAnsi="仿宋" w:eastAsia="仿宋" w:cs="仿宋"/>
                <w:snapToGrid w:val="0"/>
                <w:sz w:val="24"/>
                <w:highlight w:val="none"/>
                <w:lang w:val="zh-CN"/>
              </w:rPr>
              <w:t>投标人提供承诺并全部满足的得</w:t>
            </w:r>
            <w:r>
              <w:rPr>
                <w:rFonts w:hint="eastAsia" w:ascii="仿宋" w:hAnsi="仿宋" w:eastAsia="仿宋" w:cs="仿宋"/>
                <w:snapToGrid w:val="0"/>
                <w:sz w:val="24"/>
                <w:highlight w:val="none"/>
              </w:rPr>
              <w:t>2</w:t>
            </w:r>
            <w:r>
              <w:rPr>
                <w:rFonts w:hint="eastAsia" w:ascii="仿宋" w:hAnsi="仿宋" w:eastAsia="仿宋" w:cs="仿宋"/>
                <w:snapToGrid w:val="0"/>
                <w:sz w:val="24"/>
                <w:highlight w:val="none"/>
                <w:lang w:val="zh-CN"/>
              </w:rPr>
              <w:t>分，不满足不得分</w:t>
            </w:r>
            <w:r>
              <w:rPr>
                <w:rFonts w:hint="eastAsia" w:ascii="仿宋" w:hAnsi="仿宋" w:eastAsia="仿宋" w:cs="仿宋"/>
                <w:b/>
                <w:bCs/>
                <w:snapToGrid w:val="0"/>
                <w:sz w:val="24"/>
                <w:highlight w:val="none"/>
                <w:lang w:val="zh-CN"/>
              </w:rPr>
              <w:t>。</w:t>
            </w:r>
          </w:p>
        </w:tc>
        <w:tc>
          <w:tcPr>
            <w:tcW w:w="567" w:type="dxa"/>
            <w:tcBorders>
              <w:top w:val="single" w:color="auto" w:sz="4" w:space="0"/>
              <w:left w:val="single" w:color="auto" w:sz="4" w:space="0"/>
              <w:bottom w:val="single" w:color="auto" w:sz="4" w:space="0"/>
              <w:right w:val="single" w:color="auto" w:sz="4" w:space="0"/>
            </w:tcBorders>
            <w:vAlign w:val="center"/>
          </w:tcPr>
          <w:p w14:paraId="78F518FD">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2</w:t>
            </w:r>
          </w:p>
        </w:tc>
        <w:tc>
          <w:tcPr>
            <w:tcW w:w="850" w:type="dxa"/>
            <w:tcBorders>
              <w:top w:val="single" w:color="auto" w:sz="4" w:space="0"/>
              <w:left w:val="single" w:color="auto" w:sz="4" w:space="0"/>
              <w:bottom w:val="single" w:color="auto" w:sz="4" w:space="0"/>
              <w:right w:val="single" w:color="auto" w:sz="4" w:space="0"/>
            </w:tcBorders>
            <w:vAlign w:val="center"/>
          </w:tcPr>
          <w:p w14:paraId="4AEE3FEC">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客观分</w:t>
            </w:r>
          </w:p>
        </w:tc>
        <w:tc>
          <w:tcPr>
            <w:tcW w:w="1343" w:type="dxa"/>
            <w:tcBorders>
              <w:top w:val="single" w:color="auto" w:sz="4" w:space="0"/>
              <w:left w:val="single" w:color="auto" w:sz="4" w:space="0"/>
              <w:bottom w:val="single" w:color="auto" w:sz="4" w:space="0"/>
              <w:right w:val="single" w:color="auto" w:sz="4" w:space="0"/>
            </w:tcBorders>
            <w:vAlign w:val="center"/>
          </w:tcPr>
          <w:p w14:paraId="2D41FF47">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七、网络安全责任与义务承诺</w:t>
            </w:r>
          </w:p>
        </w:tc>
      </w:tr>
      <w:tr w14:paraId="5110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vAlign w:val="center"/>
          </w:tcPr>
          <w:p w14:paraId="6FB639ED">
            <w:pPr>
              <w:spacing w:line="276" w:lineRule="auto"/>
              <w:jc w:val="center"/>
              <w:rPr>
                <w:rFonts w:ascii="仿宋" w:hAnsi="仿宋" w:eastAsia="仿宋" w:cs="仿宋"/>
                <w:sz w:val="24"/>
                <w:highlight w:val="none"/>
              </w:rPr>
            </w:pPr>
            <w:r>
              <w:rPr>
                <w:rFonts w:hint="eastAsia" w:ascii="仿宋" w:hAnsi="仿宋" w:eastAsia="仿宋" w:cs="仿宋"/>
                <w:sz w:val="24"/>
                <w:highlight w:val="none"/>
              </w:rPr>
              <w:t>二</w:t>
            </w:r>
          </w:p>
        </w:tc>
        <w:tc>
          <w:tcPr>
            <w:tcW w:w="6558" w:type="dxa"/>
            <w:tcBorders>
              <w:top w:val="single" w:color="auto" w:sz="4" w:space="0"/>
              <w:left w:val="single" w:color="auto" w:sz="4" w:space="0"/>
              <w:bottom w:val="single" w:color="auto" w:sz="4" w:space="0"/>
              <w:right w:val="single" w:color="auto" w:sz="4" w:space="0"/>
            </w:tcBorders>
            <w:vAlign w:val="center"/>
          </w:tcPr>
          <w:p w14:paraId="43DF30CA">
            <w:pPr>
              <w:spacing w:line="276" w:lineRule="auto"/>
              <w:ind w:firstLine="240" w:firstLineChars="100"/>
              <w:rPr>
                <w:rFonts w:ascii="仿宋" w:hAnsi="仿宋" w:eastAsia="仿宋" w:cs="仿宋"/>
                <w:sz w:val="24"/>
                <w:highlight w:val="none"/>
              </w:rPr>
            </w:pPr>
            <w:r>
              <w:rPr>
                <w:rFonts w:hint="eastAsia" w:ascii="仿宋" w:hAnsi="仿宋" w:eastAsia="仿宋" w:cs="仿宋"/>
                <w:sz w:val="24"/>
                <w:highlight w:val="none"/>
              </w:rPr>
              <w:t>投标人类似项目建设的成功经验：</w:t>
            </w:r>
            <w:r>
              <w:rPr>
                <w:rFonts w:hint="eastAsia" w:eastAsia="仿宋"/>
                <w:kern w:val="0"/>
                <w:sz w:val="24"/>
                <w:highlight w:val="none"/>
              </w:rPr>
              <w:t>自投标截止日近三年（以合同签订日期为准）</w:t>
            </w:r>
            <w:r>
              <w:rPr>
                <w:rFonts w:hint="eastAsia" w:ascii="仿宋" w:hAnsi="仿宋" w:eastAsia="仿宋" w:cs="仿宋"/>
                <w:sz w:val="24"/>
                <w:highlight w:val="none"/>
              </w:rPr>
              <w:t>以来，投标人承担过类似便携式音视频租赁</w:t>
            </w:r>
            <w:r>
              <w:rPr>
                <w:rFonts w:hint="eastAsia" w:ascii="仿宋" w:hAnsi="仿宋" w:eastAsia="仿宋" w:cs="仿宋"/>
                <w:kern w:val="0"/>
                <w:sz w:val="24"/>
                <w:highlight w:val="none"/>
                <w:lang w:bidi="zh-CN"/>
              </w:rPr>
              <w:t>项目</w:t>
            </w:r>
            <w:r>
              <w:rPr>
                <w:rFonts w:hint="eastAsia" w:ascii="仿宋" w:hAnsi="仿宋" w:eastAsia="仿宋" w:cs="仿宋"/>
                <w:sz w:val="24"/>
                <w:highlight w:val="none"/>
              </w:rPr>
              <w:t>实施的成功经验情况，每个项目得0.5分，</w:t>
            </w:r>
            <w:r>
              <w:rPr>
                <w:rFonts w:hint="eastAsia" w:ascii="仿宋" w:hAnsi="仿宋" w:eastAsia="仿宋" w:cs="仿宋"/>
                <w:b/>
                <w:bCs/>
                <w:sz w:val="24"/>
                <w:highlight w:val="none"/>
              </w:rPr>
              <w:t>最高得1分。</w:t>
            </w:r>
            <w:r>
              <w:rPr>
                <w:rFonts w:hint="eastAsia" w:ascii="仿宋" w:hAnsi="仿宋" w:eastAsia="仿宋" w:cs="仿宋"/>
                <w:bCs/>
                <w:sz w:val="24"/>
                <w:highlight w:val="none"/>
              </w:rPr>
              <w:t>（同时提供合同和项目业主对其履约情况的证明材料，否则不得分）</w:t>
            </w:r>
          </w:p>
        </w:tc>
        <w:tc>
          <w:tcPr>
            <w:tcW w:w="567" w:type="dxa"/>
            <w:tcBorders>
              <w:top w:val="single" w:color="auto" w:sz="4" w:space="0"/>
              <w:left w:val="single" w:color="auto" w:sz="4" w:space="0"/>
              <w:bottom w:val="single" w:color="auto" w:sz="4" w:space="0"/>
              <w:right w:val="single" w:color="auto" w:sz="4" w:space="0"/>
            </w:tcBorders>
            <w:vAlign w:val="center"/>
          </w:tcPr>
          <w:p w14:paraId="60FE2CDC">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1</w:t>
            </w:r>
          </w:p>
        </w:tc>
        <w:tc>
          <w:tcPr>
            <w:tcW w:w="850" w:type="dxa"/>
            <w:tcBorders>
              <w:top w:val="single" w:color="auto" w:sz="4" w:space="0"/>
              <w:left w:val="single" w:color="auto" w:sz="4" w:space="0"/>
              <w:bottom w:val="single" w:color="auto" w:sz="4" w:space="0"/>
              <w:right w:val="single" w:color="auto" w:sz="4" w:space="0"/>
            </w:tcBorders>
            <w:vAlign w:val="center"/>
          </w:tcPr>
          <w:p w14:paraId="21906420">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客观分</w:t>
            </w:r>
          </w:p>
        </w:tc>
        <w:tc>
          <w:tcPr>
            <w:tcW w:w="1343" w:type="dxa"/>
            <w:tcBorders>
              <w:top w:val="single" w:color="auto" w:sz="4" w:space="0"/>
              <w:left w:val="single" w:color="auto" w:sz="4" w:space="0"/>
              <w:bottom w:val="single" w:color="auto" w:sz="4" w:space="0"/>
              <w:right w:val="single" w:color="auto" w:sz="4" w:space="0"/>
            </w:tcBorders>
            <w:vAlign w:val="center"/>
          </w:tcPr>
          <w:p w14:paraId="0326712F">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八、成功经验</w:t>
            </w:r>
          </w:p>
        </w:tc>
      </w:tr>
      <w:tr w14:paraId="7F8B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tcBorders>
              <w:top w:val="single" w:color="auto" w:sz="4" w:space="0"/>
              <w:left w:val="single" w:color="auto" w:sz="4" w:space="0"/>
              <w:bottom w:val="single" w:color="auto" w:sz="4" w:space="0"/>
              <w:right w:val="single" w:color="auto" w:sz="4" w:space="0"/>
            </w:tcBorders>
            <w:vAlign w:val="center"/>
          </w:tcPr>
          <w:p w14:paraId="23C8865B">
            <w:pPr>
              <w:spacing w:line="276" w:lineRule="auto"/>
              <w:jc w:val="center"/>
              <w:rPr>
                <w:rFonts w:ascii="仿宋" w:hAnsi="仿宋" w:eastAsia="仿宋" w:cs="仿宋"/>
                <w:sz w:val="24"/>
                <w:highlight w:val="none"/>
              </w:rPr>
            </w:pPr>
            <w:r>
              <w:rPr>
                <w:rFonts w:hint="eastAsia" w:ascii="仿宋" w:hAnsi="仿宋" w:eastAsia="仿宋" w:cs="仿宋"/>
                <w:sz w:val="24"/>
                <w:highlight w:val="none"/>
              </w:rPr>
              <w:t>三</w:t>
            </w:r>
          </w:p>
        </w:tc>
        <w:tc>
          <w:tcPr>
            <w:tcW w:w="6558" w:type="dxa"/>
            <w:tcBorders>
              <w:top w:val="single" w:color="auto" w:sz="4" w:space="0"/>
              <w:left w:val="single" w:color="auto" w:sz="4" w:space="0"/>
              <w:bottom w:val="single" w:color="auto" w:sz="4" w:space="0"/>
              <w:right w:val="single" w:color="auto" w:sz="4" w:space="0"/>
            </w:tcBorders>
          </w:tcPr>
          <w:p w14:paraId="3EC1595F">
            <w:pPr>
              <w:spacing w:line="276" w:lineRule="auto"/>
              <w:ind w:firstLine="240" w:firstLineChars="100"/>
              <w:rPr>
                <w:rFonts w:ascii="仿宋" w:hAnsi="仿宋" w:eastAsia="仿宋" w:cs="仿宋"/>
                <w:sz w:val="24"/>
                <w:highlight w:val="none"/>
              </w:rPr>
            </w:pPr>
            <w:r>
              <w:rPr>
                <w:rFonts w:hint="eastAsia" w:ascii="仿宋" w:hAnsi="仿宋" w:eastAsia="仿宋" w:cs="仿宋"/>
                <w:sz w:val="24"/>
                <w:highlight w:val="none"/>
              </w:rPr>
              <w:t>有效投标报价的最低价作为评标基准价，其最低报价为满分；按［投标报价得分=（评标基准价/投标报价）*权重］的计算公式计算。</w:t>
            </w:r>
          </w:p>
          <w:p w14:paraId="7652B647">
            <w:pPr>
              <w:spacing w:line="276" w:lineRule="auto"/>
              <w:ind w:firstLine="240" w:firstLineChars="100"/>
              <w:rPr>
                <w:rFonts w:ascii="仿宋" w:hAnsi="仿宋" w:eastAsia="仿宋" w:cs="仿宋"/>
                <w:sz w:val="24"/>
                <w:highlight w:val="none"/>
              </w:rPr>
            </w:pPr>
            <w:r>
              <w:rPr>
                <w:rFonts w:hint="eastAsia" w:ascii="仿宋" w:hAnsi="仿宋" w:eastAsia="仿宋" w:cs="仿宋"/>
                <w:sz w:val="24"/>
                <w:highlight w:val="none"/>
              </w:rPr>
              <w:t>评标过程中，不得去掉报价中的最高报价和最低报价。</w:t>
            </w:r>
          </w:p>
          <w:p w14:paraId="087AE150">
            <w:pPr>
              <w:spacing w:line="276" w:lineRule="auto"/>
              <w:ind w:firstLine="240" w:firstLineChars="100"/>
              <w:rPr>
                <w:rFonts w:ascii="仿宋" w:hAnsi="仿宋" w:eastAsia="仿宋" w:cs="仿宋"/>
                <w:sz w:val="24"/>
                <w:highlight w:val="none"/>
              </w:rPr>
            </w:pPr>
            <w:r>
              <w:rPr>
                <w:rFonts w:hint="eastAsia" w:ascii="仿宋" w:hAnsi="仿宋" w:eastAsia="仿宋" w:cs="仿宋"/>
                <w:sz w:val="24"/>
                <w:highlight w:val="none"/>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w:t>
            </w:r>
          </w:p>
          <w:p w14:paraId="72B16BC3">
            <w:pPr>
              <w:spacing w:line="276" w:lineRule="auto"/>
              <w:ind w:firstLine="240" w:firstLineChars="100"/>
              <w:rPr>
                <w:rFonts w:ascii="仿宋" w:hAnsi="仿宋" w:eastAsia="仿宋" w:cs="仿宋"/>
                <w:sz w:val="24"/>
                <w:highlight w:val="none"/>
              </w:rPr>
            </w:pPr>
            <w:r>
              <w:rPr>
                <w:rFonts w:hint="eastAsia" w:ascii="仿宋" w:hAnsi="仿宋" w:eastAsia="仿宋" w:cs="仿宋"/>
                <w:sz w:val="24"/>
                <w:highlight w:val="none"/>
              </w:rPr>
              <w:t>组成联合体或者接受分包的小微企业与联合体内其他企业、分包企业之间存在直接控股、管理关系的，不享受价格扣除优惠政策。</w:t>
            </w:r>
          </w:p>
        </w:tc>
        <w:tc>
          <w:tcPr>
            <w:tcW w:w="567" w:type="dxa"/>
            <w:tcBorders>
              <w:top w:val="single" w:color="auto" w:sz="4" w:space="0"/>
              <w:left w:val="single" w:color="auto" w:sz="4" w:space="0"/>
              <w:bottom w:val="single" w:color="auto" w:sz="4" w:space="0"/>
              <w:right w:val="single" w:color="auto" w:sz="4" w:space="0"/>
            </w:tcBorders>
            <w:vAlign w:val="center"/>
          </w:tcPr>
          <w:p w14:paraId="1E1B488B">
            <w:pPr>
              <w:spacing w:line="276" w:lineRule="auto"/>
              <w:jc w:val="center"/>
              <w:outlineLvl w:val="0"/>
              <w:rPr>
                <w:rFonts w:ascii="仿宋" w:hAnsi="仿宋" w:eastAsia="仿宋" w:cs="仿宋"/>
                <w:b/>
                <w:bCs/>
                <w:sz w:val="24"/>
                <w:highlight w:val="none"/>
              </w:rPr>
            </w:pPr>
            <w:r>
              <w:rPr>
                <w:rFonts w:hint="eastAsia" w:ascii="仿宋" w:hAnsi="仿宋" w:eastAsia="仿宋" w:cs="仿宋"/>
                <w:b/>
                <w:bCs/>
                <w:sz w:val="24"/>
                <w:highlight w:val="none"/>
              </w:rPr>
              <w:t>10</w:t>
            </w:r>
          </w:p>
        </w:tc>
        <w:tc>
          <w:tcPr>
            <w:tcW w:w="850" w:type="dxa"/>
            <w:tcBorders>
              <w:top w:val="single" w:color="auto" w:sz="4" w:space="0"/>
              <w:left w:val="single" w:color="auto" w:sz="4" w:space="0"/>
              <w:bottom w:val="single" w:color="auto" w:sz="4" w:space="0"/>
              <w:right w:val="single" w:color="auto" w:sz="4" w:space="0"/>
            </w:tcBorders>
            <w:vAlign w:val="center"/>
          </w:tcPr>
          <w:p w14:paraId="37229684">
            <w:pPr>
              <w:spacing w:line="276" w:lineRule="auto"/>
              <w:jc w:val="center"/>
              <w:outlineLvl w:val="0"/>
              <w:rPr>
                <w:rFonts w:ascii="仿宋" w:hAnsi="仿宋" w:eastAsia="仿宋" w:cs="仿宋"/>
                <w:b/>
                <w:bCs/>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2EBE512">
            <w:pPr>
              <w:spacing w:line="276" w:lineRule="auto"/>
              <w:jc w:val="center"/>
              <w:outlineLvl w:val="0"/>
              <w:rPr>
                <w:rFonts w:ascii="仿宋" w:hAnsi="仿宋" w:eastAsia="仿宋" w:cs="仿宋"/>
                <w:sz w:val="24"/>
                <w:highlight w:val="none"/>
              </w:rPr>
            </w:pPr>
            <w:r>
              <w:rPr>
                <w:rFonts w:hint="eastAsia" w:ascii="仿宋" w:hAnsi="仿宋" w:eastAsia="仿宋" w:cs="仿宋"/>
                <w:sz w:val="24"/>
                <w:highlight w:val="none"/>
              </w:rPr>
              <w:t>/</w:t>
            </w:r>
          </w:p>
          <w:bookmarkEnd w:id="396"/>
        </w:tc>
      </w:tr>
    </w:tbl>
    <w:p w14:paraId="7EB193C0">
      <w:pPr>
        <w:rPr>
          <w:rFonts w:ascii="仿宋" w:hAnsi="仿宋" w:eastAsia="仿宋" w:cs="仿宋"/>
          <w:highlight w:val="none"/>
        </w:rPr>
      </w:pPr>
    </w:p>
    <w:p w14:paraId="257E3B98">
      <w:pPr>
        <w:snapToGrid w:val="0"/>
        <w:spacing w:line="360" w:lineRule="auto"/>
        <w:rPr>
          <w:rFonts w:ascii="仿宋" w:hAnsi="仿宋" w:eastAsia="仿宋" w:cs="仿宋"/>
          <w:b/>
          <w:sz w:val="24"/>
          <w:highlight w:val="none"/>
        </w:rPr>
      </w:pPr>
      <w:r>
        <w:rPr>
          <w:rFonts w:hint="eastAsia" w:ascii="仿宋" w:hAnsi="仿宋" w:eastAsia="仿宋" w:cs="仿宋"/>
          <w:sz w:val="20"/>
          <w:szCs w:val="20"/>
          <w:highlight w:val="none"/>
          <w:shd w:val="clear" w:color="auto" w:fill="FFFFFF"/>
        </w:rPr>
        <w:t> *</w:t>
      </w: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投标人编制投标文件（商务技术文件部分）时，建议按此目录（序号和内容）提供评标标准相应的商务技术资料。 </w:t>
      </w:r>
    </w:p>
    <w:p w14:paraId="14EE0B2D">
      <w:pPr>
        <w:snapToGrid w:val="0"/>
        <w:spacing w:line="360" w:lineRule="auto"/>
        <w:rPr>
          <w:rFonts w:ascii="仿宋" w:hAnsi="仿宋" w:eastAsia="仿宋" w:cs="仿宋"/>
          <w:b/>
          <w:sz w:val="28"/>
          <w:szCs w:val="28"/>
          <w:highlight w:val="none"/>
        </w:rPr>
      </w:pPr>
      <w:r>
        <w:rPr>
          <w:rFonts w:hint="eastAsia" w:ascii="仿宋" w:hAnsi="仿宋" w:eastAsia="仿宋" w:cs="仿宋"/>
          <w:b/>
          <w:sz w:val="32"/>
          <w:highlight w:val="none"/>
        </w:rPr>
        <w:t>一、评标方法</w:t>
      </w:r>
    </w:p>
    <w:p w14:paraId="05897DBD">
      <w:pPr>
        <w:adjustRightInd/>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14:paraId="1B7B0C2C">
      <w:pPr>
        <w:adjustRightInd/>
        <w:spacing w:line="360" w:lineRule="auto"/>
        <w:rPr>
          <w:rFonts w:ascii="仿宋" w:hAnsi="仿宋" w:eastAsia="仿宋" w:cs="仿宋"/>
          <w:kern w:val="0"/>
          <w:sz w:val="24"/>
          <w:highlight w:val="none"/>
        </w:rPr>
      </w:pPr>
      <w:r>
        <w:rPr>
          <w:rFonts w:hint="eastAsia" w:ascii="仿宋" w:hAnsi="仿宋" w:eastAsia="仿宋" w:cs="仿宋"/>
          <w:b/>
          <w:sz w:val="32"/>
          <w:highlight w:val="none"/>
        </w:rPr>
        <w:t>二、评标标准</w:t>
      </w:r>
    </w:p>
    <w:p w14:paraId="5DCF1318">
      <w:pPr>
        <w:spacing w:line="360" w:lineRule="auto"/>
        <w:ind w:firstLine="472" w:firstLineChars="196"/>
        <w:rPr>
          <w:rFonts w:ascii="仿宋" w:hAnsi="仿宋" w:eastAsia="仿宋" w:cs="仿宋"/>
          <w:b/>
          <w:sz w:val="24"/>
          <w:highlight w:val="none"/>
        </w:rPr>
      </w:pPr>
      <w:r>
        <w:rPr>
          <w:rFonts w:hint="eastAsia" w:ascii="仿宋" w:hAnsi="仿宋" w:eastAsia="仿宋" w:cs="仿宋"/>
          <w:b/>
          <w:sz w:val="24"/>
          <w:highlight w:val="none"/>
        </w:rPr>
        <w:t>2.评标标准：</w:t>
      </w:r>
      <w:r>
        <w:rPr>
          <w:rFonts w:hint="eastAsia" w:ascii="仿宋" w:hAnsi="仿宋" w:eastAsia="仿宋" w:cs="仿宋"/>
          <w:kern w:val="0"/>
          <w:sz w:val="24"/>
          <w:highlight w:val="none"/>
        </w:rPr>
        <w:t>见评标办法前附表。</w:t>
      </w:r>
    </w:p>
    <w:p w14:paraId="7BC391EC">
      <w:pPr>
        <w:spacing w:line="360" w:lineRule="auto"/>
        <w:outlineLvl w:val="0"/>
        <w:rPr>
          <w:rFonts w:ascii="仿宋" w:hAnsi="仿宋" w:eastAsia="仿宋" w:cs="仿宋"/>
          <w:b/>
          <w:sz w:val="36"/>
          <w:szCs w:val="36"/>
          <w:highlight w:val="none"/>
        </w:rPr>
      </w:pPr>
      <w:r>
        <w:rPr>
          <w:rFonts w:hint="eastAsia" w:ascii="仿宋" w:hAnsi="仿宋" w:eastAsia="仿宋" w:cs="仿宋"/>
          <w:b/>
          <w:sz w:val="36"/>
          <w:szCs w:val="36"/>
          <w:highlight w:val="none"/>
        </w:rPr>
        <w:t>三、评标程序</w:t>
      </w:r>
    </w:p>
    <w:p w14:paraId="28424A25">
      <w:pPr>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14:paraId="4ADC077A">
      <w:pPr>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14:paraId="78BBF526">
      <w:pPr>
        <w:spacing w:line="360" w:lineRule="auto"/>
        <w:ind w:firstLine="470" w:firstLineChars="196"/>
        <w:rPr>
          <w:rFonts w:ascii="仿宋" w:hAnsi="仿宋" w:eastAsia="仿宋" w:cs="仿宋"/>
          <w:kern w:val="0"/>
          <w:sz w:val="24"/>
          <w:highlight w:val="none"/>
        </w:rPr>
      </w:pPr>
      <w:r>
        <w:rPr>
          <w:rFonts w:hint="eastAsia" w:ascii="仿宋" w:hAnsi="仿宋" w:eastAsia="仿宋" w:cs="仿宋"/>
          <w:kern w:val="0"/>
          <w:sz w:val="24"/>
          <w:highlight w:val="none"/>
        </w:rPr>
        <w:t>推进采购需求和评审因素编制的科学化和精细化，评审小组成员个人主观打分偏离所有评审小组成员主观打分平均值30%以上的，由评审委员会启动评分畸高、畸低行为认定程序，限制专家自由裁量权。</w:t>
      </w:r>
    </w:p>
    <w:p w14:paraId="7A868264">
      <w:pPr>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14:paraId="3A8C731B">
      <w:pPr>
        <w:spacing w:line="360" w:lineRule="auto"/>
        <w:ind w:firstLine="472" w:firstLineChars="196"/>
        <w:rPr>
          <w:rFonts w:ascii="仿宋" w:hAnsi="仿宋" w:eastAsia="仿宋" w:cs="仿宋"/>
          <w:b/>
          <w:kern w:val="0"/>
          <w:sz w:val="24"/>
          <w:highlight w:val="none"/>
        </w:rPr>
      </w:pPr>
      <w:r>
        <w:rPr>
          <w:rFonts w:hint="eastAsia" w:ascii="仿宋" w:hAnsi="仿宋" w:eastAsia="仿宋" w:cs="仿宋"/>
          <w:b/>
          <w:kern w:val="0"/>
          <w:sz w:val="24"/>
          <w:highlight w:val="none"/>
        </w:rPr>
        <w:t>3.4报价评审。</w:t>
      </w:r>
    </w:p>
    <w:p w14:paraId="01108695">
      <w:pPr>
        <w:pStyle w:val="124"/>
        <w:spacing w:before="0"/>
        <w:ind w:firstLine="506" w:firstLineChars="211"/>
        <w:rPr>
          <w:rFonts w:ascii="仿宋" w:hAnsi="仿宋" w:eastAsia="仿宋" w:cs="仿宋"/>
          <w:kern w:val="0"/>
          <w:highlight w:val="none"/>
        </w:rPr>
      </w:pPr>
      <w:r>
        <w:rPr>
          <w:rFonts w:hint="eastAsia" w:ascii="仿宋" w:hAnsi="仿宋" w:eastAsia="仿宋" w:cs="仿宋"/>
          <w:kern w:val="0"/>
          <w:highlight w:val="none"/>
        </w:rPr>
        <w:t>3.4.1投标文件报价出现前后不一致的，按照下列规定修正：</w:t>
      </w:r>
    </w:p>
    <w:p w14:paraId="299BF17D">
      <w:pPr>
        <w:pStyle w:val="124"/>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3.4.1.1投标文件中开标一览表(报价表)内容与投标文件中相应内容不一致的，以开标一览表(报价表)为准;</w:t>
      </w:r>
    </w:p>
    <w:p w14:paraId="3ED62B8A">
      <w:pPr>
        <w:pStyle w:val="124"/>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3.4.1.2大写金额和小写金额不一致的，以大写金额为准;</w:t>
      </w:r>
    </w:p>
    <w:p w14:paraId="1F116020">
      <w:pPr>
        <w:pStyle w:val="124"/>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3.4.1.3单价金额小数点或者百分比有明显错位的，以开标一览表的总价为准，并修改单价;</w:t>
      </w:r>
    </w:p>
    <w:p w14:paraId="4F2D0202">
      <w:pPr>
        <w:pStyle w:val="124"/>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3.4.1.4总价金额与按单价汇总金额不一致的，以单价金额计算结果为准。</w:t>
      </w:r>
    </w:p>
    <w:p w14:paraId="2AD1F961">
      <w:pPr>
        <w:pStyle w:val="124"/>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36CCE33">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3.4.2投标文件出现不是唯一的、有选择性投标报价的，投标无效。</w:t>
      </w:r>
    </w:p>
    <w:p w14:paraId="529FD4BE">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3.4.3投标报价超过招标文件中规定的预算金额或者最高限价的，投标无效。</w:t>
      </w:r>
    </w:p>
    <w:p w14:paraId="1CC7A093">
      <w:pPr>
        <w:pStyle w:val="124"/>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D4C9639">
      <w:pPr>
        <w:pStyle w:val="124"/>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758E5D8">
      <w:pPr>
        <w:spacing w:line="360" w:lineRule="auto"/>
        <w:ind w:firstLine="482" w:firstLineChars="200"/>
        <w:rPr>
          <w:rFonts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仿宋" w:hAnsi="仿宋" w:eastAsia="仿宋" w:cs="仿宋"/>
          <w:kern w:val="0"/>
          <w:sz w:val="24"/>
          <w:highlight w:val="none"/>
          <w:u w:val="single"/>
        </w:rPr>
        <w:t xml:space="preserve"> 1名 </w:t>
      </w:r>
      <w:r>
        <w:rPr>
          <w:rFonts w:hint="eastAsia" w:ascii="仿宋" w:hAnsi="仿宋" w:eastAsia="仿宋" w:cs="仿宋"/>
          <w:kern w:val="0"/>
          <w:sz w:val="24"/>
          <w:highlight w:val="none"/>
        </w:rPr>
        <w:t xml:space="preserve"> 。</w:t>
      </w:r>
    </w:p>
    <w:p w14:paraId="26104D25">
      <w:pPr>
        <w:spacing w:line="360" w:lineRule="auto"/>
        <w:ind w:firstLine="480" w:firstLineChars="200"/>
        <w:rPr>
          <w:rFonts w:ascii="仿宋" w:hAnsi="仿宋" w:eastAsia="仿宋" w:cs="仿宋"/>
          <w:b/>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CCE2F98">
      <w:pPr>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F602F43">
      <w:pPr>
        <w:widowControl/>
        <w:shd w:val="clear" w:color="auto" w:fill="FFFFFF"/>
        <w:adjustRightInd/>
        <w:spacing w:after="225" w:line="315" w:lineRule="atLeast"/>
        <w:jc w:val="left"/>
        <w:rPr>
          <w:rFonts w:ascii="仿宋" w:hAnsi="仿宋" w:eastAsia="仿宋" w:cs="仿宋"/>
          <w:b/>
          <w:sz w:val="32"/>
          <w:highlight w:val="none"/>
        </w:rPr>
      </w:pPr>
      <w:r>
        <w:rPr>
          <w:rFonts w:hint="eastAsia" w:ascii="仿宋" w:hAnsi="仿宋" w:eastAsia="仿宋" w:cs="仿宋"/>
          <w:b/>
          <w:sz w:val="32"/>
          <w:highlight w:val="none"/>
        </w:rPr>
        <w:t>四、评标中的其他事项</w:t>
      </w:r>
    </w:p>
    <w:p w14:paraId="3C03F21A">
      <w:pPr>
        <w:pStyle w:val="124"/>
        <w:spacing w:before="0"/>
        <w:ind w:firstLine="472" w:firstLineChars="196"/>
        <w:rPr>
          <w:rFonts w:ascii="仿宋" w:hAnsi="仿宋" w:eastAsia="仿宋" w:cs="仿宋"/>
          <w:kern w:val="0"/>
          <w:szCs w:val="24"/>
          <w:highlight w:val="none"/>
        </w:rPr>
      </w:pPr>
      <w:r>
        <w:rPr>
          <w:rFonts w:hint="eastAsia"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660548E">
      <w:pPr>
        <w:pStyle w:val="24"/>
        <w:spacing w:line="360" w:lineRule="auto"/>
        <w:ind w:left="954" w:leftChars="226" w:hanging="479" w:firstLineChars="0"/>
        <w:rPr>
          <w:rFonts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有下列情形之一的，投标无效：</w:t>
      </w:r>
    </w:p>
    <w:p w14:paraId="54416D08">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4.2.1投标人不具备招标文件中规定的资格要求的（投标人未提供有效的资格文件的，视为投标人不具备招标文件中规定的资格要求）；</w:t>
      </w:r>
    </w:p>
    <w:p w14:paraId="1BD66A39">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4.2.2投标文件未按照招标文件要求签署、盖章的；</w:t>
      </w:r>
    </w:p>
    <w:p w14:paraId="2A9FE04E">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A431FCB">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4.2.4投标文件含有采购人不能接受的附加条件的；</w:t>
      </w:r>
    </w:p>
    <w:p w14:paraId="52BD694A">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4.2.5投标文件中承诺的投标有效期少于招标文件中载明的投标有效期的；</w:t>
      </w:r>
    </w:p>
    <w:p w14:paraId="60F49F79">
      <w:pPr>
        <w:snapToGrid w:val="0"/>
        <w:spacing w:line="360" w:lineRule="auto"/>
        <w:ind w:firstLine="120" w:firstLineChars="50"/>
        <w:jc w:val="left"/>
        <w:rPr>
          <w:rFonts w:ascii="仿宋" w:hAnsi="仿宋" w:eastAsia="仿宋" w:cs="仿宋"/>
          <w:kern w:val="0"/>
          <w:sz w:val="24"/>
          <w:highlight w:val="none"/>
        </w:rPr>
      </w:pPr>
      <w:r>
        <w:rPr>
          <w:rFonts w:hint="eastAsia" w:ascii="仿宋" w:hAnsi="仿宋" w:eastAsia="仿宋" w:cs="仿宋"/>
          <w:kern w:val="0"/>
          <w:sz w:val="24"/>
          <w:highlight w:val="none"/>
        </w:rPr>
        <w:t xml:space="preserve">   4.2.6投标文件出现不是唯一的、有选择性投标报价的;</w:t>
      </w:r>
    </w:p>
    <w:p w14:paraId="0D0B887C">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4.2.7投标报价超过招标文件中规定的预算金额或者最高限价的;</w:t>
      </w:r>
    </w:p>
    <w:p w14:paraId="79C3098A">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DE9D2F1">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4.2.9投标人对根据修正原则修正后的报价不确认的；</w:t>
      </w:r>
    </w:p>
    <w:p w14:paraId="7FB2831D">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4.2.10投标人提供虚假材料投标的；</w:t>
      </w:r>
    </w:p>
    <w:p w14:paraId="31A1E602">
      <w:pPr>
        <w:spacing w:line="360" w:lineRule="auto"/>
        <w:ind w:firstLine="240" w:firstLineChars="100"/>
        <w:rPr>
          <w:rFonts w:ascii="仿宋" w:hAnsi="仿宋" w:eastAsia="仿宋" w:cs="仿宋"/>
          <w:kern w:val="0"/>
          <w:sz w:val="24"/>
          <w:highlight w:val="none"/>
        </w:rPr>
      </w:pPr>
      <w:r>
        <w:rPr>
          <w:rFonts w:hint="eastAsia" w:ascii="仿宋" w:hAnsi="仿宋" w:eastAsia="仿宋" w:cs="仿宋"/>
          <w:kern w:val="0"/>
          <w:sz w:val="24"/>
          <w:highlight w:val="none"/>
        </w:rPr>
        <w:t xml:space="preserve">  4.2.11投标人有恶意串通、妨碍其他投标人的竞争行为、损害采购人或者其他投标人的合法权益情形的；</w:t>
      </w:r>
    </w:p>
    <w:p w14:paraId="488DE490">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4.2.12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A463629">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4.2.13投标人仅提交备份投标文件，未在电子交易平台传输递交投标文件的，投标无效；</w:t>
      </w:r>
    </w:p>
    <w:p w14:paraId="239D062D">
      <w:pPr>
        <w:pStyle w:val="3"/>
        <w:ind w:left="862" w:leftChars="205"/>
        <w:rPr>
          <w:rFonts w:ascii="仿宋" w:eastAsia="仿宋" w:cs="仿宋"/>
          <w:b w:val="0"/>
          <w:bCs w:val="0"/>
          <w:kern w:val="0"/>
          <w:sz w:val="24"/>
          <w:szCs w:val="24"/>
          <w:highlight w:val="none"/>
          <w:lang w:val="en-US"/>
        </w:rPr>
      </w:pPr>
      <w:r>
        <w:rPr>
          <w:rFonts w:hint="eastAsia" w:ascii="仿宋" w:eastAsia="仿宋" w:cs="仿宋"/>
          <w:b w:val="0"/>
          <w:bCs w:val="0"/>
          <w:kern w:val="0"/>
          <w:sz w:val="24"/>
          <w:szCs w:val="24"/>
          <w:highlight w:val="none"/>
          <w:lang w:val="en-US"/>
        </w:rPr>
        <w:t>4.2.14 投标文件不满足招标文件的其它实质性要求的；</w:t>
      </w:r>
    </w:p>
    <w:p w14:paraId="7DB9F7F4">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4.2.15法律、法规、规章（适用本市的）及省级以上规范性文件（适用本市的）规定的其他无效情形。</w:t>
      </w:r>
    </w:p>
    <w:p w14:paraId="494A67BB">
      <w:pPr>
        <w:pStyle w:val="24"/>
        <w:snapToGrid w:val="0"/>
        <w:spacing w:line="360" w:lineRule="auto"/>
        <w:ind w:firstLine="472" w:firstLineChars="196"/>
        <w:rPr>
          <w:rFonts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14:paraId="6880878B">
      <w:pPr>
        <w:pStyle w:val="24"/>
        <w:snapToGrid w:val="0"/>
        <w:spacing w:line="360" w:lineRule="auto"/>
        <w:ind w:firstLine="480"/>
        <w:rPr>
          <w:rFonts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14:paraId="70C941F8">
      <w:pPr>
        <w:pStyle w:val="24"/>
        <w:snapToGrid w:val="0"/>
        <w:spacing w:line="360" w:lineRule="auto"/>
        <w:ind w:firstLine="480"/>
        <w:rPr>
          <w:rFonts w:ascii="仿宋" w:hAnsi="仿宋" w:eastAsia="仿宋" w:cs="仿宋"/>
          <w:highlight w:val="none"/>
        </w:rPr>
      </w:pPr>
      <w:r>
        <w:rPr>
          <w:rFonts w:hint="eastAsia" w:ascii="仿宋" w:hAnsi="仿宋" w:eastAsia="仿宋" w:cs="仿宋"/>
          <w:highlight w:val="none"/>
        </w:rPr>
        <w:t>5.2出现影响采购公正的违法、违规行为的；</w:t>
      </w:r>
    </w:p>
    <w:p w14:paraId="476BB9E8">
      <w:pPr>
        <w:pStyle w:val="24"/>
        <w:snapToGrid w:val="0"/>
        <w:spacing w:line="360" w:lineRule="auto"/>
        <w:ind w:firstLine="480"/>
        <w:rPr>
          <w:rFonts w:ascii="仿宋" w:hAnsi="仿宋" w:eastAsia="仿宋" w:cs="仿宋"/>
          <w:highlight w:val="none"/>
        </w:rPr>
      </w:pPr>
      <w:r>
        <w:rPr>
          <w:rFonts w:hint="eastAsia" w:ascii="仿宋" w:hAnsi="仿宋" w:eastAsia="仿宋" w:cs="仿宋"/>
          <w:highlight w:val="none"/>
        </w:rPr>
        <w:t>5.3投标人的报价均超过了采购预算，采购人不能支付的；</w:t>
      </w:r>
    </w:p>
    <w:p w14:paraId="20E7C26F">
      <w:pPr>
        <w:pStyle w:val="24"/>
        <w:snapToGrid w:val="0"/>
        <w:spacing w:line="360" w:lineRule="auto"/>
        <w:ind w:firstLine="480"/>
        <w:rPr>
          <w:rFonts w:ascii="仿宋" w:hAnsi="仿宋" w:eastAsia="仿宋" w:cs="仿宋"/>
          <w:highlight w:val="none"/>
        </w:rPr>
      </w:pPr>
      <w:r>
        <w:rPr>
          <w:rFonts w:hint="eastAsia" w:ascii="仿宋" w:hAnsi="仿宋" w:eastAsia="仿宋" w:cs="仿宋"/>
          <w:highlight w:val="none"/>
        </w:rPr>
        <w:t>5.4因重大变故，采购任务取消的。</w:t>
      </w:r>
    </w:p>
    <w:p w14:paraId="144C2AD6">
      <w:pPr>
        <w:pStyle w:val="24"/>
        <w:snapToGrid w:val="0"/>
        <w:spacing w:line="360" w:lineRule="auto"/>
        <w:ind w:firstLine="480"/>
        <w:rPr>
          <w:rFonts w:ascii="仿宋" w:hAnsi="仿宋" w:eastAsia="仿宋" w:cs="仿宋"/>
          <w:highlight w:val="none"/>
        </w:rPr>
      </w:pPr>
      <w:r>
        <w:rPr>
          <w:rFonts w:hint="eastAsia" w:ascii="仿宋" w:hAnsi="仿宋" w:eastAsia="仿宋" w:cs="仿宋"/>
          <w:highlight w:val="none"/>
        </w:rPr>
        <w:t>废标后，采购代理机构应当将废标理由通知所有投标人。</w:t>
      </w:r>
    </w:p>
    <w:p w14:paraId="67E8DA2A">
      <w:pPr>
        <w:pStyle w:val="24"/>
        <w:snapToGrid w:val="0"/>
        <w:spacing w:line="360" w:lineRule="auto"/>
        <w:ind w:firstLine="590" w:firstLineChars="245"/>
        <w:rPr>
          <w:rFonts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F79F202">
      <w:pPr>
        <w:pStyle w:val="24"/>
        <w:snapToGrid w:val="0"/>
        <w:spacing w:line="360" w:lineRule="auto"/>
        <w:ind w:firstLine="482"/>
        <w:rPr>
          <w:rFonts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有政府采购法第七十一条、第七十二条规定的违法行为之一，影响或者可能影响中标结果的，依照下列规定处理：</w:t>
      </w:r>
    </w:p>
    <w:p w14:paraId="027AAFAC">
      <w:pPr>
        <w:pStyle w:val="24"/>
        <w:snapToGrid w:val="0"/>
        <w:spacing w:line="360" w:lineRule="auto"/>
        <w:ind w:firstLine="480"/>
        <w:rPr>
          <w:rFonts w:ascii="仿宋" w:hAnsi="仿宋" w:eastAsia="仿宋" w:cs="仿宋"/>
          <w:highlight w:val="none"/>
        </w:rPr>
      </w:pPr>
      <w:r>
        <w:rPr>
          <w:rFonts w:hint="eastAsia" w:ascii="仿宋" w:hAnsi="仿宋" w:eastAsia="仿宋" w:cs="仿宋"/>
          <w:highlight w:val="none"/>
        </w:rPr>
        <w:t>7.1未确定中标供应商的，终止本次政府采购活动，重新开展政府采购活动。</w:t>
      </w:r>
    </w:p>
    <w:p w14:paraId="2CF36687">
      <w:pPr>
        <w:pStyle w:val="24"/>
        <w:snapToGrid w:val="0"/>
        <w:spacing w:line="360" w:lineRule="auto"/>
        <w:ind w:firstLine="480"/>
        <w:rPr>
          <w:rFonts w:ascii="仿宋" w:hAnsi="仿宋" w:eastAsia="仿宋" w:cs="仿宋"/>
          <w:highlight w:val="none"/>
        </w:rPr>
      </w:pPr>
      <w:r>
        <w:rPr>
          <w:rFonts w:hint="eastAsia" w:ascii="仿宋" w:hAnsi="仿宋" w:eastAsia="仿宋" w:cs="仿宋"/>
          <w:highlight w:val="none"/>
        </w:rPr>
        <w:t>7.2已确定中标供应商但尚未签订政府采购合同的，中标结果无效，从合格的中标候选人中另行确定中标供应商；没有合格的中标候选人的，重新开展政府采购活动。</w:t>
      </w:r>
    </w:p>
    <w:p w14:paraId="12C64F51">
      <w:pPr>
        <w:pStyle w:val="24"/>
        <w:snapToGrid w:val="0"/>
        <w:spacing w:line="360" w:lineRule="auto"/>
        <w:ind w:firstLine="480"/>
        <w:rPr>
          <w:rFonts w:ascii="仿宋" w:hAnsi="仿宋" w:eastAsia="仿宋" w:cs="仿宋"/>
          <w:highlight w:val="none"/>
        </w:rPr>
      </w:pPr>
      <w:r>
        <w:rPr>
          <w:rFonts w:hint="eastAsia" w:ascii="仿宋" w:hAnsi="仿宋" w:eastAsia="仿宋" w:cs="仿宋"/>
          <w:highlight w:val="none"/>
        </w:rPr>
        <w:t>7.3政府采购合同已签订但尚未履行的，撤销合同，从合格的中标候选人中另行确定中标供应商；没有合格的中标候选人的，重新开展政府采购活动。</w:t>
      </w:r>
    </w:p>
    <w:p w14:paraId="6DEF9E46">
      <w:pPr>
        <w:pStyle w:val="24"/>
        <w:snapToGrid w:val="0"/>
        <w:spacing w:line="360" w:lineRule="auto"/>
        <w:ind w:firstLine="480"/>
        <w:rPr>
          <w:rFonts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14:paraId="2D948549">
      <w:pPr>
        <w:pStyle w:val="24"/>
        <w:snapToGrid w:val="0"/>
        <w:spacing w:line="360" w:lineRule="auto"/>
        <w:ind w:firstLine="480"/>
        <w:rPr>
          <w:rFonts w:ascii="仿宋" w:hAnsi="仿宋" w:eastAsia="仿宋" w:cs="仿宋"/>
          <w:highlight w:val="none"/>
        </w:rPr>
      </w:pPr>
      <w:r>
        <w:rPr>
          <w:rFonts w:hint="eastAsia" w:ascii="仿宋" w:hAnsi="仿宋" w:eastAsia="仿宋" w:cs="仿宋"/>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8"/>
    <w:p w14:paraId="4BAEA822">
      <w:pPr>
        <w:widowControl/>
        <w:adjustRightInd/>
        <w:jc w:val="left"/>
        <w:rPr>
          <w:rFonts w:ascii="仿宋" w:hAnsi="仿宋" w:eastAsia="仿宋" w:cs="仿宋"/>
          <w:b/>
          <w:sz w:val="36"/>
          <w:szCs w:val="36"/>
          <w:highlight w:val="none"/>
        </w:rPr>
      </w:pPr>
      <w:bookmarkStart w:id="397" w:name="_Toc86217003"/>
      <w:bookmarkStart w:id="398" w:name="第五部分"/>
      <w:r>
        <w:rPr>
          <w:rFonts w:ascii="仿宋" w:hAnsi="仿宋" w:eastAsia="仿宋" w:cs="仿宋"/>
          <w:b/>
          <w:sz w:val="36"/>
          <w:szCs w:val="36"/>
          <w:highlight w:val="none"/>
        </w:rPr>
        <w:br w:type="page"/>
      </w:r>
    </w:p>
    <w:p w14:paraId="2D994A1F">
      <w:pPr>
        <w:spacing w:line="360" w:lineRule="auto"/>
        <w:ind w:left="720" w:leftChars="343" w:firstLine="1446" w:firstLineChars="400"/>
        <w:outlineLvl w:val="0"/>
        <w:rPr>
          <w:rFonts w:ascii="仿宋" w:hAnsi="仿宋" w:eastAsia="仿宋" w:cs="仿宋"/>
          <w:b/>
          <w:sz w:val="36"/>
          <w:szCs w:val="36"/>
          <w:highlight w:val="none"/>
        </w:rPr>
      </w:pPr>
      <w:r>
        <w:rPr>
          <w:rFonts w:hint="eastAsia" w:ascii="仿宋" w:hAnsi="仿宋" w:eastAsia="仿宋" w:cs="仿宋"/>
          <w:b/>
          <w:sz w:val="36"/>
          <w:szCs w:val="36"/>
          <w:highlight w:val="none"/>
        </w:rPr>
        <w:t>第五部分 拟签订的合同文本</w:t>
      </w:r>
    </w:p>
    <w:p w14:paraId="33CE0DD5">
      <w:pPr>
        <w:rPr>
          <w:rFonts w:ascii="仿宋" w:hAnsi="仿宋" w:eastAsia="仿宋" w:cs="仿宋"/>
          <w:sz w:val="24"/>
          <w:highlight w:val="none"/>
          <w:u w:val="single"/>
        </w:rPr>
      </w:pPr>
      <w:r>
        <w:rPr>
          <w:rFonts w:hint="eastAsia" w:ascii="仿宋" w:hAnsi="仿宋" w:eastAsia="仿宋" w:cs="仿宋"/>
          <w:sz w:val="24"/>
          <w:highlight w:val="none"/>
        </w:rPr>
        <w:t>合同编号：</w:t>
      </w:r>
    </w:p>
    <w:p w14:paraId="30CBF758">
      <w:pPr>
        <w:spacing w:line="480" w:lineRule="auto"/>
        <w:jc w:val="center"/>
        <w:rPr>
          <w:rFonts w:ascii="仿宋" w:hAnsi="仿宋" w:eastAsia="仿宋" w:cs="仿宋"/>
          <w:b/>
          <w:sz w:val="24"/>
          <w:highlight w:val="none"/>
        </w:rPr>
      </w:pPr>
    </w:p>
    <w:p w14:paraId="313C46D3">
      <w:pPr>
        <w:spacing w:line="480" w:lineRule="auto"/>
        <w:jc w:val="center"/>
        <w:rPr>
          <w:rFonts w:ascii="仿宋" w:hAnsi="仿宋" w:eastAsia="仿宋" w:cs="仿宋"/>
          <w:b/>
          <w:sz w:val="24"/>
          <w:highlight w:val="none"/>
        </w:rPr>
      </w:pPr>
    </w:p>
    <w:p w14:paraId="627EA8DA">
      <w:pPr>
        <w:pStyle w:val="636"/>
        <w:ind w:left="420" w:firstLine="480"/>
        <w:rPr>
          <w:rFonts w:ascii="仿宋" w:hAnsi="仿宋" w:eastAsia="仿宋" w:cs="仿宋"/>
          <w:szCs w:val="24"/>
          <w:highlight w:val="none"/>
        </w:rPr>
      </w:pPr>
    </w:p>
    <w:p w14:paraId="73C9647C">
      <w:pPr>
        <w:pStyle w:val="636"/>
        <w:ind w:left="420" w:firstLine="480"/>
        <w:jc w:val="center"/>
        <w:rPr>
          <w:rFonts w:ascii="仿宋" w:hAnsi="仿宋" w:eastAsia="仿宋" w:cs="仿宋"/>
          <w:szCs w:val="24"/>
          <w:highlight w:val="none"/>
        </w:rPr>
      </w:pPr>
    </w:p>
    <w:p w14:paraId="019ECC71">
      <w:pPr>
        <w:snapToGrid w:val="0"/>
        <w:spacing w:line="360" w:lineRule="auto"/>
        <w:jc w:val="center"/>
        <w:outlineLvl w:val="1"/>
        <w:rPr>
          <w:rFonts w:ascii="仿宋" w:hAnsi="仿宋" w:eastAsia="仿宋" w:cs="仿宋"/>
          <w:b/>
          <w:sz w:val="32"/>
          <w:szCs w:val="20"/>
          <w:highlight w:val="none"/>
        </w:rPr>
      </w:pPr>
      <w:bookmarkStart w:id="399" w:name="_Toc97390129"/>
      <w:r>
        <w:rPr>
          <w:rFonts w:hint="eastAsia" w:ascii="仿宋" w:hAnsi="仿宋" w:eastAsia="仿宋" w:cs="仿宋"/>
          <w:b/>
          <w:sz w:val="32"/>
          <w:szCs w:val="20"/>
          <w:highlight w:val="none"/>
        </w:rPr>
        <w:t>第一部分合同书</w:t>
      </w:r>
      <w:bookmarkEnd w:id="399"/>
    </w:p>
    <w:p w14:paraId="72FDABEB">
      <w:pPr>
        <w:pStyle w:val="636"/>
        <w:ind w:left="420" w:firstLine="480"/>
        <w:rPr>
          <w:rFonts w:ascii="仿宋" w:hAnsi="仿宋" w:eastAsia="仿宋" w:cs="仿宋"/>
          <w:szCs w:val="24"/>
          <w:highlight w:val="none"/>
        </w:rPr>
      </w:pPr>
    </w:p>
    <w:p w14:paraId="5951BC4E">
      <w:pPr>
        <w:spacing w:before="120" w:line="22" w:lineRule="atLeast"/>
        <w:rPr>
          <w:rFonts w:ascii="仿宋" w:hAnsi="仿宋" w:eastAsia="仿宋" w:cs="仿宋"/>
          <w:sz w:val="24"/>
          <w:highlight w:val="none"/>
        </w:rPr>
      </w:pPr>
    </w:p>
    <w:p w14:paraId="08A5DDDA">
      <w:pPr>
        <w:spacing w:before="120" w:line="22" w:lineRule="atLeast"/>
        <w:ind w:left="960"/>
        <w:rPr>
          <w:rFonts w:ascii="仿宋" w:hAnsi="仿宋" w:eastAsia="仿宋" w:cs="仿宋"/>
          <w:sz w:val="24"/>
          <w:highlight w:val="none"/>
          <w:u w:val="singl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2025年杭州交警业务系统租赁使用服务-2025年5G便携式视音频设备使用项目</w:t>
      </w:r>
    </w:p>
    <w:p w14:paraId="7408A174">
      <w:pPr>
        <w:spacing w:before="120" w:line="22" w:lineRule="atLeast"/>
        <w:ind w:left="960"/>
        <w:rPr>
          <w:rFonts w:ascii="仿宋" w:hAnsi="仿宋" w:eastAsia="仿宋" w:cs="仿宋"/>
          <w:sz w:val="24"/>
          <w:highlight w:val="none"/>
          <w:u w:val="single"/>
        </w:rPr>
      </w:pPr>
    </w:p>
    <w:p w14:paraId="744E2E92">
      <w:pPr>
        <w:pStyle w:val="533"/>
        <w:spacing w:before="120" w:line="22" w:lineRule="atLeast"/>
        <w:rPr>
          <w:rFonts w:ascii="仿宋" w:hAnsi="仿宋" w:eastAsia="仿宋" w:cs="仿宋"/>
          <w:szCs w:val="24"/>
          <w:highlight w:val="none"/>
        </w:rPr>
      </w:pPr>
    </w:p>
    <w:p w14:paraId="400C68DA">
      <w:pPr>
        <w:rPr>
          <w:rFonts w:ascii="仿宋" w:hAnsi="仿宋" w:eastAsia="仿宋" w:cs="仿宋"/>
          <w:sz w:val="24"/>
          <w:highlight w:val="none"/>
        </w:rPr>
      </w:pPr>
    </w:p>
    <w:p w14:paraId="5A4FE847">
      <w:pPr>
        <w:spacing w:before="120" w:line="22" w:lineRule="atLeast"/>
        <w:ind w:left="960"/>
        <w:rPr>
          <w:rFonts w:ascii="仿宋" w:hAnsi="仿宋" w:eastAsia="仿宋" w:cs="仿宋"/>
          <w:sz w:val="24"/>
          <w:highlight w:val="none"/>
          <w:u w:val="single"/>
        </w:rPr>
      </w:pP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杭州市公安局                        </w:t>
      </w:r>
    </w:p>
    <w:p w14:paraId="544EDC5A">
      <w:pPr>
        <w:spacing w:before="120" w:line="22" w:lineRule="atLeast"/>
        <w:rPr>
          <w:rFonts w:ascii="仿宋" w:hAnsi="仿宋" w:eastAsia="仿宋" w:cs="仿宋"/>
          <w:sz w:val="24"/>
          <w:highlight w:val="none"/>
        </w:rPr>
      </w:pPr>
    </w:p>
    <w:p w14:paraId="4ACE2BFA">
      <w:pPr>
        <w:spacing w:before="120" w:line="22" w:lineRule="atLeast"/>
        <w:ind w:left="960"/>
        <w:rPr>
          <w:rFonts w:ascii="仿宋" w:hAnsi="仿宋" w:eastAsia="仿宋" w:cs="仿宋"/>
          <w:sz w:val="24"/>
          <w:highlight w:val="none"/>
          <w:u w:val="single"/>
        </w:rPr>
      </w:pPr>
      <w:r>
        <w:rPr>
          <w:rFonts w:hint="eastAsia" w:ascii="仿宋" w:hAnsi="仿宋" w:eastAsia="仿宋" w:cs="仿宋"/>
          <w:sz w:val="24"/>
          <w:highlight w:val="none"/>
        </w:rPr>
        <w:t>乙方：</w:t>
      </w:r>
    </w:p>
    <w:p w14:paraId="1CDAEC1D">
      <w:pPr>
        <w:spacing w:before="120" w:line="22" w:lineRule="atLeast"/>
        <w:rPr>
          <w:rFonts w:ascii="仿宋" w:hAnsi="仿宋" w:eastAsia="仿宋" w:cs="仿宋"/>
          <w:sz w:val="24"/>
          <w:highlight w:val="none"/>
        </w:rPr>
      </w:pPr>
    </w:p>
    <w:p w14:paraId="6F1ACC4E">
      <w:pPr>
        <w:spacing w:before="120" w:line="22" w:lineRule="atLeast"/>
        <w:ind w:firstLine="960" w:firstLineChars="400"/>
        <w:rPr>
          <w:rFonts w:ascii="仿宋" w:hAnsi="仿宋" w:eastAsia="仿宋" w:cs="仿宋"/>
          <w:sz w:val="24"/>
          <w:highlight w:val="none"/>
          <w:u w:val="single"/>
        </w:rPr>
      </w:pP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杭州市                           </w:t>
      </w:r>
    </w:p>
    <w:p w14:paraId="27422AEA">
      <w:pPr>
        <w:spacing w:before="120" w:line="22" w:lineRule="atLeast"/>
        <w:rPr>
          <w:rFonts w:ascii="仿宋" w:hAnsi="仿宋" w:eastAsia="仿宋" w:cs="仿宋"/>
          <w:sz w:val="24"/>
          <w:highlight w:val="none"/>
        </w:rPr>
      </w:pPr>
    </w:p>
    <w:p w14:paraId="0A493B51">
      <w:pPr>
        <w:spacing w:before="120" w:line="22" w:lineRule="atLeast"/>
        <w:ind w:firstLine="960" w:firstLineChars="400"/>
        <w:rPr>
          <w:rFonts w:ascii="仿宋" w:hAnsi="仿宋" w:eastAsia="仿宋" w:cs="仿宋"/>
          <w:sz w:val="24"/>
          <w:highlight w:val="none"/>
          <w:u w:val="single"/>
        </w:rPr>
      </w:pPr>
      <w:r>
        <w:rPr>
          <w:rFonts w:hint="eastAsia" w:ascii="仿宋" w:hAnsi="仿宋" w:eastAsia="仿宋" w:cs="仿宋"/>
          <w:sz w:val="24"/>
          <w:highlight w:val="none"/>
        </w:rPr>
        <w:t>签订日期：2025年   月    日</w:t>
      </w:r>
    </w:p>
    <w:p w14:paraId="52DDEB34">
      <w:pPr>
        <w:widowControl/>
        <w:adjustRightInd/>
        <w:jc w:val="left"/>
        <w:rPr>
          <w:rFonts w:ascii="仿宋" w:hAnsi="仿宋" w:eastAsia="仿宋" w:cs="仿宋"/>
          <w:sz w:val="24"/>
          <w:highlight w:val="none"/>
          <w:u w:val="single"/>
          <w:lang w:val="zh-CN"/>
        </w:rPr>
      </w:pPr>
    </w:p>
    <w:p w14:paraId="76A5F8BE">
      <w:pPr>
        <w:widowControl/>
        <w:adjustRightInd/>
        <w:jc w:val="left"/>
        <w:rPr>
          <w:rFonts w:ascii="仿宋" w:hAnsi="仿宋" w:eastAsia="仿宋" w:cs="仿宋"/>
          <w:sz w:val="24"/>
          <w:highlight w:val="none"/>
          <w:lang w:val="zh-CN"/>
        </w:rPr>
      </w:pPr>
      <w:r>
        <w:rPr>
          <w:rFonts w:hint="eastAsia" w:ascii="仿宋" w:hAnsi="仿宋" w:eastAsia="仿宋" w:cs="仿宋"/>
          <w:sz w:val="24"/>
          <w:highlight w:val="none"/>
          <w:lang w:val="zh-CN"/>
        </w:rPr>
        <w:br w:type="page"/>
      </w:r>
    </w:p>
    <w:p w14:paraId="7C12E71D">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u w:val="single"/>
        </w:rPr>
        <w:t>2025</w:t>
      </w:r>
      <w:r>
        <w:rPr>
          <w:rFonts w:hint="eastAsia" w:ascii="仿宋" w:hAnsi="仿宋" w:eastAsia="仿宋" w:cs="仿宋"/>
          <w:sz w:val="24"/>
          <w:highlight w:val="none"/>
          <w:lang w:val="zh-CN"/>
        </w:rPr>
        <w:t>年</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rPr>
        <w:t>，</w:t>
      </w:r>
      <w:r>
        <w:rPr>
          <w:rFonts w:hint="eastAsia" w:ascii="仿宋" w:hAnsi="仿宋" w:eastAsia="仿宋" w:cs="仿宋"/>
          <w:sz w:val="24"/>
          <w:highlight w:val="none"/>
          <w:u w:val="single"/>
        </w:rPr>
        <w:t>杭州市公安局</w:t>
      </w:r>
      <w:r>
        <w:rPr>
          <w:rFonts w:hint="eastAsia" w:ascii="仿宋" w:hAnsi="仿宋" w:eastAsia="仿宋" w:cs="仿宋"/>
          <w:sz w:val="24"/>
          <w:highlight w:val="none"/>
        </w:rPr>
        <w:t>以</w:t>
      </w:r>
      <w:r>
        <w:rPr>
          <w:rFonts w:hint="eastAsia" w:ascii="仿宋" w:hAnsi="仿宋" w:eastAsia="仿宋" w:cs="仿宋"/>
          <w:sz w:val="24"/>
          <w:highlight w:val="none"/>
          <w:u w:val="single"/>
        </w:rPr>
        <w:t>公开招标</w:t>
      </w:r>
      <w:r>
        <w:rPr>
          <w:rFonts w:hint="eastAsia" w:ascii="仿宋" w:hAnsi="仿宋" w:eastAsia="仿宋" w:cs="仿宋"/>
          <w:sz w:val="24"/>
          <w:highlight w:val="none"/>
        </w:rPr>
        <w:t>对</w:t>
      </w:r>
      <w:r>
        <w:rPr>
          <w:rFonts w:hint="eastAsia" w:ascii="仿宋" w:hAnsi="仿宋" w:eastAsia="仿宋" w:cs="仿宋"/>
          <w:b/>
          <w:sz w:val="24"/>
          <w:highlight w:val="none"/>
          <w:u w:val="single"/>
        </w:rPr>
        <w:t>2025年杭州交警业务系统租赁使用服务-2025年5G便携式视音频设备使用项目</w:t>
      </w:r>
      <w:r>
        <w:rPr>
          <w:rFonts w:hint="eastAsia" w:ascii="仿宋" w:hAnsi="仿宋" w:eastAsia="仿宋" w:cs="仿宋"/>
          <w:sz w:val="24"/>
          <w:highlight w:val="none"/>
        </w:rPr>
        <w:t>进行了采购。经</w:t>
      </w:r>
      <w:r>
        <w:rPr>
          <w:rFonts w:hint="eastAsia" w:ascii="仿宋" w:hAnsi="仿宋" w:eastAsia="仿宋" w:cs="仿宋"/>
          <w:sz w:val="24"/>
          <w:highlight w:val="none"/>
          <w:u w:val="single"/>
        </w:rPr>
        <w:t>评标委员会</w:t>
      </w:r>
      <w:r>
        <w:rPr>
          <w:rFonts w:hint="eastAsia" w:ascii="仿宋" w:hAnsi="仿宋" w:eastAsia="仿宋" w:cs="仿宋"/>
          <w:sz w:val="24"/>
          <w:highlight w:val="none"/>
        </w:rPr>
        <w:t>评定，</w:t>
      </w:r>
      <w:r>
        <w:rPr>
          <w:rFonts w:hint="eastAsia" w:ascii="仿宋" w:hAnsi="仿宋" w:eastAsia="仿宋" w:cs="仿宋"/>
          <w:sz w:val="24"/>
          <w:highlight w:val="none"/>
          <w:u w:val="single"/>
        </w:rPr>
        <w:t>（中标供应商名称）</w:t>
      </w:r>
      <w:r>
        <w:rPr>
          <w:rFonts w:hint="eastAsia" w:ascii="仿宋" w:hAnsi="仿宋" w:eastAsia="仿宋" w:cs="仿宋"/>
          <w:sz w:val="24"/>
          <w:highlight w:val="none"/>
        </w:rPr>
        <w:t>为该项目中标或者成交供应商。现于中标或者成交通知书发出之日起10个工作日内，按照采购文件确定的事项签订本合同。</w:t>
      </w:r>
    </w:p>
    <w:p w14:paraId="7C81876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sz w:val="24"/>
          <w:highlight w:val="none"/>
          <w:u w:val="single"/>
        </w:rPr>
        <w:t>杭州市公安局</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（中标供应商名称）</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14:paraId="6DD55E9D">
      <w:pPr>
        <w:spacing w:line="560" w:lineRule="exact"/>
        <w:ind w:firstLine="482" w:firstLineChars="200"/>
        <w:outlineLvl w:val="0"/>
        <w:rPr>
          <w:rFonts w:ascii="仿宋" w:hAnsi="仿宋" w:eastAsia="仿宋" w:cs="仿宋"/>
          <w:sz w:val="24"/>
          <w:highlight w:val="none"/>
        </w:rPr>
      </w:pPr>
      <w:r>
        <w:rPr>
          <w:rFonts w:hint="eastAsia" w:ascii="仿宋" w:hAnsi="仿宋" w:eastAsia="仿宋" w:cs="仿宋"/>
          <w:b/>
          <w:sz w:val="24"/>
          <w:highlight w:val="none"/>
        </w:rPr>
        <w:t>1.1 合同组成部分</w:t>
      </w:r>
    </w:p>
    <w:p w14:paraId="1EBCFFB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F85057D">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1.1.1 本合同及其补充合同、变更协议；</w:t>
      </w:r>
    </w:p>
    <w:p w14:paraId="4F01919B">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1.1.2 中标或者成交通知书；</w:t>
      </w:r>
    </w:p>
    <w:p w14:paraId="0EF0E8E5">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1.1.3 投标或者响应文件（含澄清或者说明文件）；</w:t>
      </w:r>
    </w:p>
    <w:p w14:paraId="4B9F003B">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1.1.4 采购文件（含澄清或者修改文件）；</w:t>
      </w:r>
    </w:p>
    <w:p w14:paraId="36A2CA57">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1.1.5 其他相关采购文件。</w:t>
      </w:r>
    </w:p>
    <w:p w14:paraId="691462E5">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1.2 标的</w:t>
      </w:r>
    </w:p>
    <w:p w14:paraId="34D80F33">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1.2.1 服务内容：</w:t>
      </w:r>
      <w:r>
        <w:rPr>
          <w:rFonts w:hint="eastAsia" w:ascii="仿宋" w:hAnsi="仿宋" w:eastAsia="仿宋" w:cs="仿宋"/>
          <w:sz w:val="24"/>
          <w:highlight w:val="none"/>
          <w:u w:val="single"/>
        </w:rPr>
        <w:t>以购买服务方式，提供1800套5G便携式视音频设备、87套便携式视音频设备采集站、1个服务器的使用服务，并完成便携式视音频证据管理系统迁移改造。</w:t>
      </w:r>
    </w:p>
    <w:p w14:paraId="54767059">
      <w:pPr>
        <w:spacing w:line="56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1.2.2 服务标准：</w:t>
      </w:r>
      <w:r>
        <w:rPr>
          <w:rFonts w:hint="eastAsia" w:ascii="仿宋" w:hAnsi="仿宋" w:eastAsia="仿宋" w:cs="仿宋"/>
          <w:sz w:val="24"/>
          <w:highlight w:val="none"/>
          <w:u w:val="single"/>
        </w:rPr>
        <w:t>根据采购文件确定的技术指标或者服务要求确定验收指标和标准。未进行相应约定的，应当符合国家强制性规定、政策要求、安全标准、行业和企业有关标准等；</w:t>
      </w:r>
    </w:p>
    <w:p w14:paraId="62788ACE">
      <w:pPr>
        <w:spacing w:line="56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1.2.3 技术保障：</w:t>
      </w:r>
      <w:r>
        <w:rPr>
          <w:rFonts w:hint="eastAsia" w:ascii="仿宋" w:hAnsi="仿宋" w:eastAsia="仿宋" w:cs="仿宋"/>
          <w:sz w:val="24"/>
          <w:highlight w:val="none"/>
          <w:u w:val="single"/>
        </w:rPr>
        <w:t>根据采购文件确定的技术指标或者服务要求确定验收指标和标准。未进行相应约定的，应当符合国家强制性规定、政策要求、安全标准、行业和企业有关标准等。</w:t>
      </w:r>
    </w:p>
    <w:p w14:paraId="5FFF9892">
      <w:pPr>
        <w:spacing w:line="56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1.2.4 服务人员组成：</w:t>
      </w:r>
      <w:r>
        <w:rPr>
          <w:rFonts w:hint="eastAsia" w:ascii="仿宋" w:hAnsi="仿宋" w:eastAsia="仿宋" w:cs="仿宋"/>
          <w:sz w:val="24"/>
          <w:highlight w:val="none"/>
          <w:u w:val="single"/>
        </w:rPr>
        <w:t>详见附件二</w:t>
      </w:r>
      <w:r>
        <w:rPr>
          <w:rFonts w:hint="eastAsia" w:ascii="仿宋" w:hAnsi="仿宋" w:eastAsia="仿宋" w:cs="仿宋"/>
          <w:sz w:val="24"/>
          <w:highlight w:val="none"/>
        </w:rPr>
        <w:t>；</w:t>
      </w:r>
    </w:p>
    <w:p w14:paraId="31DB6972">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1.3 价款</w:t>
      </w:r>
    </w:p>
    <w:p w14:paraId="072A7B0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本项目采用以下第1.3.2条款规定的计价方式计价。</w:t>
      </w:r>
    </w:p>
    <w:p w14:paraId="62D5741A">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1.3.1总价合同，本合同总价（含税）为：￥ /元（大写：/元人民币）。</w:t>
      </w:r>
    </w:p>
    <w:p w14:paraId="442C8B24">
      <w:pPr>
        <w:spacing w:line="560" w:lineRule="exact"/>
        <w:ind w:firstLine="480" w:firstLineChars="200"/>
        <w:rPr>
          <w:rFonts w:ascii="仿宋" w:hAnsi="仿宋" w:eastAsia="仿宋" w:cs="仿宋"/>
          <w:b/>
          <w:bCs/>
          <w:sz w:val="24"/>
          <w:highlight w:val="none"/>
        </w:rPr>
      </w:pPr>
      <w:r>
        <w:rPr>
          <w:rFonts w:hint="eastAsia" w:ascii="仿宋" w:hAnsi="仿宋" w:eastAsia="仿宋" w:cs="仿宋"/>
          <w:bCs/>
          <w:sz w:val="24"/>
          <w:highlight w:val="none"/>
        </w:rPr>
        <w:t>1.3.2单价合同，本合同单价（含税）标准为：</w:t>
      </w:r>
      <w:r>
        <w:rPr>
          <w:rFonts w:hint="eastAsia" w:ascii="仿宋" w:hAnsi="仿宋" w:eastAsia="仿宋" w:cs="仿宋"/>
          <w:b/>
          <w:bCs/>
          <w:sz w:val="24"/>
          <w:highlight w:val="none"/>
        </w:rPr>
        <w:t>详见附件三</w:t>
      </w:r>
      <w:r>
        <w:rPr>
          <w:rFonts w:hint="eastAsia" w:ascii="仿宋" w:hAnsi="仿宋" w:eastAsia="仿宋" w:cs="仿宋"/>
          <w:sz w:val="24"/>
          <w:highlight w:val="none"/>
        </w:rPr>
        <w:t>。服务工作量的计量方式为：</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。单价合同，在合同履行期间内，根据审计意见、实际租用设备数量及服务内容、租赁服务天数</w:t>
      </w:r>
      <w:r>
        <w:rPr>
          <w:rFonts w:hint="eastAsia" w:ascii="仿宋" w:hAnsi="仿宋" w:eastAsia="仿宋" w:cs="仿宋"/>
          <w:sz w:val="24"/>
          <w:highlight w:val="none"/>
          <w:lang w:val="zh-CN"/>
        </w:rPr>
        <w:t>及合同单价</w:t>
      </w:r>
      <w:r>
        <w:rPr>
          <w:rFonts w:hint="eastAsia" w:ascii="仿宋" w:hAnsi="仿宋" w:eastAsia="仿宋" w:cs="仿宋"/>
          <w:sz w:val="24"/>
          <w:highlight w:val="none"/>
        </w:rPr>
        <w:t>按实结算，但结算总价上限不得超过合同金额￥元（大写：元人民币）</w:t>
      </w:r>
      <w:r>
        <w:rPr>
          <w:rFonts w:hint="eastAsia" w:ascii="仿宋" w:hAnsi="仿宋" w:eastAsia="仿宋" w:cs="仿宋"/>
          <w:b/>
          <w:bCs/>
          <w:sz w:val="24"/>
          <w:highlight w:val="none"/>
        </w:rPr>
        <w:t>。</w:t>
      </w:r>
    </w:p>
    <w:p w14:paraId="11FF0E4B">
      <w:pPr>
        <w:spacing w:line="560" w:lineRule="exact"/>
        <w:ind w:firstLine="480" w:firstLineChars="200"/>
        <w:outlineLvl w:val="0"/>
        <w:rPr>
          <w:rFonts w:ascii="仿宋" w:hAnsi="仿宋" w:eastAsia="仿宋" w:cs="仿宋"/>
          <w:kern w:val="0"/>
          <w:sz w:val="24"/>
          <w:highlight w:val="none"/>
        </w:rPr>
      </w:pPr>
      <w:r>
        <w:rPr>
          <w:rFonts w:hint="eastAsia" w:ascii="仿宋" w:hAnsi="仿宋" w:eastAsia="仿宋" w:cs="仿宋"/>
          <w:kern w:val="0"/>
          <w:sz w:val="24"/>
          <w:highlight w:val="none"/>
        </w:rPr>
        <w:t>1.3.3其他计价方式：</w:t>
      </w:r>
      <w:r>
        <w:rPr>
          <w:rFonts w:hint="eastAsia" w:ascii="仿宋" w:hAnsi="仿宋" w:eastAsia="仿宋" w:cs="仿宋"/>
          <w:kern w:val="0"/>
          <w:sz w:val="24"/>
          <w:highlight w:val="none"/>
          <w:u w:val="single"/>
        </w:rPr>
        <w:t xml:space="preserve">  /  </w:t>
      </w:r>
      <w:r>
        <w:rPr>
          <w:rFonts w:hint="eastAsia" w:ascii="仿宋" w:hAnsi="仿宋" w:eastAsia="仿宋" w:cs="仿宋"/>
          <w:kern w:val="0"/>
          <w:sz w:val="24"/>
          <w:highlight w:val="none"/>
        </w:rPr>
        <w:t>。</w:t>
      </w:r>
    </w:p>
    <w:p w14:paraId="66E88975">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1.4履约保证金</w:t>
      </w:r>
    </w:p>
    <w:p w14:paraId="60CB6BE3">
      <w:pPr>
        <w:pStyle w:val="885"/>
        <w:spacing w:before="0" w:beforeAutospacing="0" w:after="0" w:afterAutospacing="0" w:line="360" w:lineRule="auto"/>
        <w:ind w:firstLine="480"/>
        <w:rPr>
          <w:rFonts w:ascii="仿宋" w:hAnsi="仿宋" w:eastAsia="仿宋" w:cs="仿宋"/>
          <w:highlight w:val="none"/>
        </w:rPr>
      </w:pPr>
      <w:r>
        <w:rPr>
          <w:rFonts w:hint="eastAsia" w:ascii="仿宋" w:hAnsi="仿宋" w:eastAsia="仿宋" w:cs="仿宋"/>
          <w:highlight w:val="none"/>
        </w:rPr>
        <w:t>乙方</w:t>
      </w:r>
      <w:r>
        <w:rPr>
          <w:rFonts w:hint="eastAsia" w:ascii="仿宋" w:hAnsi="仿宋" w:eastAsia="仿宋" w:cs="仿宋"/>
          <w:highlight w:val="none"/>
          <w:u w:val="single"/>
        </w:rPr>
        <w:t xml:space="preserve">  是 </w:t>
      </w:r>
      <w:r>
        <w:rPr>
          <w:rFonts w:hint="eastAsia" w:ascii="仿宋" w:hAnsi="仿宋" w:eastAsia="仿宋" w:cs="仿宋"/>
          <w:highlight w:val="none"/>
        </w:rPr>
        <w:t>（是/否）需要支付履约保证金。若需要支付履约保证金的，则：</w:t>
      </w:r>
    </w:p>
    <w:p w14:paraId="1DF3A32B">
      <w:pPr>
        <w:spacing w:line="560" w:lineRule="exact"/>
        <w:ind w:firstLine="480" w:firstLineChars="200"/>
        <w:outlineLvl w:val="0"/>
        <w:rPr>
          <w:rFonts w:ascii="仿宋" w:hAnsi="仿宋" w:eastAsia="仿宋" w:cs="仿宋"/>
          <w:kern w:val="0"/>
          <w:sz w:val="24"/>
          <w:highlight w:val="none"/>
        </w:rPr>
      </w:pPr>
      <w:r>
        <w:rPr>
          <w:rFonts w:hint="eastAsia" w:ascii="仿宋" w:hAnsi="仿宋" w:eastAsia="仿宋" w:cs="仿宋"/>
          <w:kern w:val="0"/>
          <w:sz w:val="24"/>
          <w:highlight w:val="none"/>
        </w:rPr>
        <w:t>1.4.1履约保证金的比例为合同金额的</w:t>
      </w:r>
      <w:r>
        <w:rPr>
          <w:rFonts w:hint="eastAsia" w:ascii="仿宋" w:hAnsi="仿宋" w:eastAsia="仿宋" w:cs="仿宋"/>
          <w:kern w:val="0"/>
          <w:sz w:val="24"/>
          <w:highlight w:val="none"/>
          <w:u w:val="single"/>
        </w:rPr>
        <w:t>1</w:t>
      </w:r>
      <w:r>
        <w:rPr>
          <w:rFonts w:hint="eastAsia" w:ascii="仿宋" w:hAnsi="仿宋" w:eastAsia="仿宋" w:cs="仿宋"/>
          <w:kern w:val="0"/>
          <w:sz w:val="24"/>
          <w:highlight w:val="none"/>
        </w:rPr>
        <w:t>%；</w:t>
      </w:r>
    </w:p>
    <w:p w14:paraId="1E5E8477">
      <w:pPr>
        <w:spacing w:line="560" w:lineRule="exact"/>
        <w:ind w:firstLine="480" w:firstLineChars="200"/>
        <w:outlineLvl w:val="0"/>
        <w:rPr>
          <w:rFonts w:ascii="仿宋" w:hAnsi="仿宋" w:eastAsia="仿宋" w:cs="仿宋"/>
          <w:kern w:val="0"/>
          <w:sz w:val="24"/>
          <w:highlight w:val="none"/>
        </w:rPr>
      </w:pPr>
      <w:r>
        <w:rPr>
          <w:rFonts w:hint="eastAsia" w:ascii="仿宋" w:hAnsi="仿宋" w:eastAsia="仿宋" w:cs="仿宋"/>
          <w:kern w:val="0"/>
          <w:sz w:val="24"/>
          <w:highlight w:val="none"/>
        </w:rPr>
        <w:t>1.4.2履约保证金支付方式详见</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rPr>
        <w:t>；</w:t>
      </w:r>
    </w:p>
    <w:p w14:paraId="0F0D240D">
      <w:pPr>
        <w:pStyle w:val="3"/>
        <w:tabs>
          <w:tab w:val="left" w:pos="0"/>
          <w:tab w:val="clear" w:pos="432"/>
        </w:tabs>
        <w:spacing w:line="560" w:lineRule="exact"/>
        <w:ind w:left="420" w:leftChars="200" w:firstLine="0"/>
        <w:rPr>
          <w:rFonts w:ascii="仿宋" w:eastAsia="仿宋" w:cs="仿宋"/>
          <w:highlight w:val="none"/>
          <w:lang w:val="en-US"/>
        </w:rPr>
      </w:pPr>
      <w:r>
        <w:rPr>
          <w:rFonts w:hint="eastAsia" w:ascii="仿宋" w:eastAsia="仿宋" w:cs="仿宋"/>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58493EC">
      <w:pPr>
        <w:spacing w:line="560" w:lineRule="exact"/>
        <w:ind w:firstLine="480" w:firstLineChars="200"/>
        <w:outlineLvl w:val="0"/>
        <w:rPr>
          <w:rFonts w:ascii="仿宋" w:hAnsi="仿宋" w:eastAsia="仿宋" w:cs="仿宋"/>
          <w:kern w:val="0"/>
          <w:sz w:val="24"/>
          <w:highlight w:val="none"/>
        </w:rPr>
      </w:pPr>
      <w:r>
        <w:rPr>
          <w:rFonts w:hint="eastAsia" w:ascii="仿宋" w:hAnsi="仿宋" w:eastAsia="仿宋" w:cs="仿宋"/>
          <w:kern w:val="0"/>
          <w:sz w:val="24"/>
          <w:highlight w:val="none"/>
        </w:rPr>
        <w:t>1.4.4甲方在项目验收结束后及时退还履约保证金。甲方在项目通过验收且收到乙方退还履约保证金申请之日起5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highlight w:val="none"/>
          <w:u w:val="single"/>
        </w:rPr>
        <w:t>0.05</w:t>
      </w:r>
      <w:r>
        <w:rPr>
          <w:rFonts w:hint="eastAsia" w:ascii="仿宋" w:hAnsi="仿宋" w:eastAsia="仿宋" w:cs="仿宋"/>
          <w:kern w:val="0"/>
          <w:sz w:val="24"/>
          <w:highlight w:val="none"/>
        </w:rPr>
        <w:t>%计算，最高限额为本合同履约保证金的</w:t>
      </w:r>
      <w:r>
        <w:rPr>
          <w:rFonts w:hint="eastAsia" w:ascii="仿宋" w:hAnsi="仿宋" w:eastAsia="仿宋" w:cs="仿宋"/>
          <w:kern w:val="0"/>
          <w:sz w:val="24"/>
          <w:highlight w:val="none"/>
          <w:u w:val="single"/>
        </w:rPr>
        <w:t xml:space="preserve"> 20 </w:t>
      </w:r>
      <w:r>
        <w:rPr>
          <w:rFonts w:hint="eastAsia" w:ascii="仿宋" w:hAnsi="仿宋" w:eastAsia="仿宋" w:cs="仿宋"/>
          <w:kern w:val="0"/>
          <w:sz w:val="24"/>
          <w:highlight w:val="none"/>
        </w:rPr>
        <w:t>%。</w:t>
      </w:r>
    </w:p>
    <w:p w14:paraId="4A8E399F">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1.5预付款</w:t>
      </w:r>
    </w:p>
    <w:p w14:paraId="5F67AA0A">
      <w:pPr>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1.5.1预付款比例、支付方式、时间详见</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rPr>
        <w:t>；</w:t>
      </w:r>
    </w:p>
    <w:p w14:paraId="5118D423">
      <w:pPr>
        <w:pStyle w:val="885"/>
        <w:spacing w:before="0" w:beforeAutospacing="0" w:after="0" w:afterAutospacing="0" w:line="360" w:lineRule="auto"/>
        <w:ind w:firstLine="480"/>
        <w:rPr>
          <w:rFonts w:ascii="仿宋" w:hAnsi="仿宋" w:eastAsia="仿宋" w:cs="仿宋"/>
          <w:highlight w:val="none"/>
        </w:rPr>
      </w:pPr>
      <w:r>
        <w:rPr>
          <w:rFonts w:hint="eastAsia" w:ascii="仿宋" w:hAnsi="仿宋" w:eastAsia="仿宋" w:cs="仿宋"/>
          <w:highlight w:val="none"/>
        </w:rPr>
        <w:t>1.5.2预付款的扣回方式详见</w:t>
      </w:r>
      <w:r>
        <w:rPr>
          <w:rFonts w:hint="eastAsia" w:ascii="仿宋" w:hAnsi="仿宋" w:eastAsia="仿宋" w:cs="仿宋"/>
          <w:b/>
          <w:i/>
          <w:highlight w:val="none"/>
          <w:u w:val="single"/>
        </w:rPr>
        <w:t>合同专用条款</w:t>
      </w:r>
      <w:r>
        <w:rPr>
          <w:rFonts w:hint="eastAsia" w:ascii="仿宋" w:hAnsi="仿宋" w:eastAsia="仿宋" w:cs="仿宋"/>
          <w:highlight w:val="none"/>
        </w:rPr>
        <w:t>；</w:t>
      </w:r>
    </w:p>
    <w:p w14:paraId="58DD7736">
      <w:pPr>
        <w:pStyle w:val="885"/>
        <w:spacing w:before="0" w:beforeAutospacing="0" w:after="0" w:afterAutospacing="0" w:line="360" w:lineRule="auto"/>
        <w:ind w:firstLine="480"/>
        <w:rPr>
          <w:rFonts w:ascii="仿宋" w:hAnsi="仿宋" w:eastAsia="仿宋" w:cs="仿宋"/>
          <w:highlight w:val="none"/>
          <w:u w:val="single"/>
        </w:rPr>
      </w:pPr>
      <w:r>
        <w:rPr>
          <w:rFonts w:hint="eastAsia" w:ascii="仿宋" w:hAnsi="仿宋" w:eastAsia="仿宋" w:cs="仿宋"/>
          <w:highlight w:val="none"/>
        </w:rPr>
        <w:t>1.5.3预付款的担保措施详见</w:t>
      </w:r>
      <w:r>
        <w:rPr>
          <w:rFonts w:hint="eastAsia" w:ascii="仿宋" w:hAnsi="仿宋" w:eastAsia="仿宋" w:cs="仿宋"/>
          <w:b/>
          <w:i/>
          <w:highlight w:val="none"/>
          <w:u w:val="single"/>
        </w:rPr>
        <w:t>合同专用条款</w:t>
      </w:r>
      <w:r>
        <w:rPr>
          <w:rFonts w:hint="eastAsia" w:ascii="仿宋" w:hAnsi="仿宋" w:eastAsia="仿宋" w:cs="仿宋"/>
          <w:highlight w:val="none"/>
        </w:rPr>
        <w:t>。</w:t>
      </w:r>
    </w:p>
    <w:p w14:paraId="3EEF495D">
      <w:pPr>
        <w:pStyle w:val="885"/>
        <w:spacing w:before="0" w:beforeAutospacing="0" w:after="0" w:afterAutospacing="0" w:line="360" w:lineRule="auto"/>
        <w:ind w:firstLine="480"/>
        <w:rPr>
          <w:rFonts w:ascii="仿宋" w:hAnsi="仿宋" w:eastAsia="仿宋" w:cs="仿宋"/>
          <w:b/>
          <w:bCs/>
          <w:highlight w:val="none"/>
        </w:rPr>
      </w:pPr>
      <w:r>
        <w:rPr>
          <w:rFonts w:hint="eastAsia" w:ascii="仿宋" w:hAnsi="仿宋" w:eastAsia="仿宋" w:cs="仿宋"/>
          <w:b/>
          <w:bCs/>
          <w:highlight w:val="none"/>
        </w:rPr>
        <w:t>1.6资金支付</w:t>
      </w:r>
    </w:p>
    <w:p w14:paraId="116EB4BC">
      <w:pPr>
        <w:pStyle w:val="885"/>
        <w:spacing w:before="0" w:beforeAutospacing="0" w:after="0" w:afterAutospacing="0" w:line="360" w:lineRule="auto"/>
        <w:ind w:firstLine="480"/>
        <w:rPr>
          <w:rFonts w:ascii="仿宋" w:hAnsi="仿宋" w:eastAsia="仿宋" w:cs="仿宋"/>
          <w:highlight w:val="none"/>
        </w:rPr>
      </w:pPr>
      <w:r>
        <w:rPr>
          <w:rFonts w:hint="eastAsia" w:ascii="仿宋" w:hAnsi="仿宋" w:eastAsia="仿宋" w:cs="仿宋"/>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CD94721">
      <w:pPr>
        <w:spacing w:line="560" w:lineRule="exact"/>
        <w:ind w:firstLine="480" w:firstLineChars="200"/>
        <w:outlineLvl w:val="0"/>
        <w:rPr>
          <w:rFonts w:ascii="仿宋" w:hAnsi="仿宋" w:eastAsia="仿宋" w:cs="仿宋"/>
          <w:sz w:val="24"/>
          <w:highlight w:val="none"/>
        </w:rPr>
      </w:pPr>
      <w:r>
        <w:rPr>
          <w:rFonts w:hint="eastAsia" w:ascii="仿宋" w:hAnsi="仿宋" w:eastAsia="仿宋" w:cs="仿宋"/>
          <w:sz w:val="24"/>
          <w:highlight w:val="none"/>
        </w:rPr>
        <w:t>1.6.2资金支付的方式、时间和条件详见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62ED6759">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1.7履行期限、地点和方式</w:t>
      </w:r>
    </w:p>
    <w:p w14:paraId="316690CC">
      <w:pPr>
        <w:spacing w:line="56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1.7.1 服务交付（实施）的时间（期限）：</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1C3B47D2">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1.7.2 服务交付（实施）的地点（地域范围）：</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28D006FF">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1.7.3 服务交付（实施）的方式：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0D5425B5">
      <w:pPr>
        <w:spacing w:line="560" w:lineRule="exact"/>
        <w:ind w:firstLine="480" w:firstLineChars="200"/>
        <w:outlineLvl w:val="0"/>
        <w:rPr>
          <w:rFonts w:ascii="仿宋" w:hAnsi="仿宋" w:eastAsia="仿宋" w:cs="仿宋"/>
          <w:bCs/>
          <w:sz w:val="24"/>
          <w:highlight w:val="none"/>
        </w:rPr>
      </w:pPr>
      <w:r>
        <w:rPr>
          <w:rFonts w:hint="eastAsia" w:ascii="仿宋" w:hAnsi="仿宋" w:eastAsia="仿宋" w:cs="仿宋"/>
          <w:bCs/>
          <w:sz w:val="24"/>
          <w:highlight w:val="none"/>
        </w:rPr>
        <w:t>1.7.4若服务涉及货物的，则货物的：</w:t>
      </w:r>
    </w:p>
    <w:p w14:paraId="5A611B77">
      <w:pPr>
        <w:spacing w:line="56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1.7.4.1 交付期限：详见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5F8035A3">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1.7.4.2 交付地点：</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46D8152B">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1.7.4.3 交付方式：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6771E8E6">
      <w:pPr>
        <w:spacing w:line="560" w:lineRule="exact"/>
        <w:ind w:firstLine="482" w:firstLineChars="200"/>
        <w:outlineLvl w:val="0"/>
        <w:rPr>
          <w:rFonts w:ascii="仿宋" w:hAnsi="仿宋" w:eastAsia="仿宋" w:cs="仿宋"/>
          <w:sz w:val="24"/>
          <w:highlight w:val="none"/>
          <w:u w:val="single"/>
        </w:rPr>
      </w:pPr>
      <w:r>
        <w:rPr>
          <w:rFonts w:hint="eastAsia" w:ascii="仿宋" w:hAnsi="仿宋" w:eastAsia="仿宋" w:cs="仿宋"/>
          <w:b/>
          <w:sz w:val="24"/>
          <w:highlight w:val="none"/>
        </w:rPr>
        <w:t>1.8违约责任</w:t>
      </w:r>
    </w:p>
    <w:p w14:paraId="471A95D5">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highlight w:val="none"/>
          <w:u w:val="single"/>
        </w:rPr>
        <w:t>0.05</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%；迟延履行的违约金计算数额达到前述最高限额之日起，甲方有权在要求乙方支付违约金的同时，书面通知乙方解除本合同；</w:t>
      </w:r>
    </w:p>
    <w:p w14:paraId="2362F8A1">
      <w:pPr>
        <w:pStyle w:val="3"/>
        <w:ind w:left="0" w:firstLine="480" w:firstLineChars="200"/>
        <w:rPr>
          <w:rFonts w:ascii="仿宋" w:eastAsia="仿宋" w:cs="仿宋"/>
          <w:b w:val="0"/>
          <w:bCs w:val="0"/>
          <w:sz w:val="24"/>
          <w:szCs w:val="24"/>
          <w:highlight w:val="none"/>
          <w:lang w:val="en-US"/>
        </w:rPr>
      </w:pPr>
      <w:r>
        <w:rPr>
          <w:rFonts w:hint="eastAsia" w:ascii="仿宋" w:eastAsia="仿宋" w:cs="仿宋"/>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sz w:val="24"/>
          <w:szCs w:val="24"/>
          <w:highlight w:val="none"/>
          <w:u w:val="single"/>
          <w:lang w:val="en-US"/>
        </w:rPr>
        <w:t xml:space="preserve">  0.05</w:t>
      </w:r>
      <w:r>
        <w:rPr>
          <w:rFonts w:hint="eastAsia" w:ascii="仿宋" w:eastAsia="仿宋" w:cs="仿宋"/>
          <w:b w:val="0"/>
          <w:bCs w:val="0"/>
          <w:sz w:val="24"/>
          <w:szCs w:val="24"/>
          <w:highlight w:val="none"/>
          <w:lang w:val="en-US"/>
        </w:rPr>
        <w:t>%计算，最高限额为本合同总价的</w:t>
      </w:r>
      <w:r>
        <w:rPr>
          <w:rFonts w:hint="eastAsia" w:ascii="仿宋" w:eastAsia="仿宋" w:cs="仿宋"/>
          <w:b w:val="0"/>
          <w:bCs w:val="0"/>
          <w:sz w:val="24"/>
          <w:szCs w:val="24"/>
          <w:highlight w:val="none"/>
          <w:u w:val="single"/>
          <w:lang w:val="en-US"/>
        </w:rPr>
        <w:t xml:space="preserve">  20  </w:t>
      </w:r>
      <w:r>
        <w:rPr>
          <w:rFonts w:hint="eastAsia" w:ascii="仿宋" w:eastAsia="仿宋" w:cs="仿宋"/>
          <w:b w:val="0"/>
          <w:bCs w:val="0"/>
          <w:sz w:val="24"/>
          <w:szCs w:val="24"/>
          <w:highlight w:val="none"/>
          <w:lang w:val="en-US"/>
        </w:rPr>
        <w:t>%；迟延交付货物的违约金计算数额达到前述最高限额之日起，甲方有权在要求乙方支付违约金的同时，书面通知乙方解除本合同；</w:t>
      </w:r>
    </w:p>
    <w:p w14:paraId="5A67BD6E">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0.05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14:paraId="5AAF3BC4">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A6FC077">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570E9AA">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C9E2D27">
      <w:pPr>
        <w:spacing w:line="560" w:lineRule="exact"/>
        <w:ind w:right="-420" w:rightChars="-200" w:firstLine="480" w:firstLineChars="200"/>
        <w:rPr>
          <w:rFonts w:ascii="仿宋" w:hAnsi="仿宋" w:eastAsia="仿宋" w:cs="仿宋"/>
          <w:highlight w:val="none"/>
        </w:rPr>
      </w:pPr>
      <w:r>
        <w:rPr>
          <w:rFonts w:hint="eastAsia" w:ascii="仿宋" w:hAnsi="仿宋" w:eastAsia="仿宋" w:cs="仿宋"/>
          <w:sz w:val="24"/>
          <w:highlight w:val="none"/>
        </w:rPr>
        <w:t>1.8.7违约责任</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另有约定的，从其约定。</w:t>
      </w:r>
    </w:p>
    <w:p w14:paraId="5F1CF55C">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1.9合同争议的解决</w:t>
      </w:r>
    </w:p>
    <w:p w14:paraId="6977DCC3">
      <w:pPr>
        <w:spacing w:line="560" w:lineRule="exact"/>
        <w:ind w:left="-61" w:leftChars="-29" w:right="-420" w:rightChars="-200" w:firstLine="240" w:firstLineChars="100"/>
        <w:rPr>
          <w:rFonts w:ascii="仿宋" w:hAnsi="仿宋" w:eastAsia="仿宋" w:cs="仿宋"/>
          <w:sz w:val="24"/>
          <w:highlight w:val="none"/>
        </w:rPr>
      </w:pPr>
      <w:r>
        <w:rPr>
          <w:rFonts w:hint="eastAsia" w:ascii="仿宋" w:hAnsi="仿宋" w:eastAsia="仿宋" w:cs="仿宋"/>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sz w:val="24"/>
          <w:highlight w:val="none"/>
          <w:u w:val="single"/>
        </w:rPr>
        <w:t>1.9.2</w:t>
      </w:r>
      <w:r>
        <w:rPr>
          <w:rFonts w:hint="eastAsia" w:ascii="仿宋" w:hAnsi="仿宋" w:eastAsia="仿宋" w:cs="仿宋"/>
          <w:sz w:val="24"/>
          <w:highlight w:val="none"/>
        </w:rPr>
        <w:t>条款规定的方式解决：</w:t>
      </w:r>
    </w:p>
    <w:p w14:paraId="70AF0019">
      <w:pPr>
        <w:spacing w:line="560" w:lineRule="exact"/>
        <w:ind w:left="-420" w:leftChars="-200" w:right="-420" w:rightChars="-200" w:firstLine="600" w:firstLineChars="250"/>
        <w:rPr>
          <w:rFonts w:ascii="仿宋" w:hAnsi="仿宋" w:eastAsia="仿宋" w:cs="仿宋"/>
          <w:sz w:val="24"/>
          <w:highlight w:val="none"/>
        </w:rPr>
      </w:pPr>
      <w:r>
        <w:rPr>
          <w:rFonts w:hint="eastAsia" w:ascii="仿宋" w:hAnsi="仿宋" w:eastAsia="仿宋" w:cs="仿宋"/>
          <w:sz w:val="24"/>
          <w:highlight w:val="none"/>
        </w:rPr>
        <w:t>1.9.1 将争议提交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仲裁委员会依申请仲裁时其现行有效的仲裁规则裁决；</w:t>
      </w:r>
    </w:p>
    <w:p w14:paraId="6D156146">
      <w:pPr>
        <w:spacing w:line="560" w:lineRule="exact"/>
        <w:ind w:left="-420" w:leftChars="-200" w:right="-420" w:rightChars="-200" w:firstLine="600" w:firstLineChars="250"/>
        <w:rPr>
          <w:rFonts w:ascii="仿宋" w:hAnsi="仿宋" w:eastAsia="仿宋" w:cs="仿宋"/>
          <w:sz w:val="24"/>
          <w:highlight w:val="none"/>
        </w:rPr>
      </w:pPr>
      <w:r>
        <w:rPr>
          <w:rFonts w:hint="eastAsia" w:ascii="仿宋" w:hAnsi="仿宋" w:eastAsia="仿宋" w:cs="仿宋"/>
          <w:sz w:val="24"/>
          <w:highlight w:val="none"/>
        </w:rPr>
        <w:t>1.9.2 向</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人民法院起诉。</w:t>
      </w:r>
    </w:p>
    <w:p w14:paraId="7EE0E03B">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2.0 合同生效</w:t>
      </w:r>
    </w:p>
    <w:p w14:paraId="72050539">
      <w:pPr>
        <w:spacing w:line="560" w:lineRule="exact"/>
        <w:ind w:firstLine="480" w:firstLineChars="200"/>
        <w:rPr>
          <w:rFonts w:ascii="仿宋" w:hAnsi="仿宋" w:eastAsia="仿宋" w:cs="仿宋"/>
          <w:b/>
          <w:sz w:val="24"/>
          <w:highlight w:val="none"/>
        </w:rPr>
      </w:pPr>
      <w:r>
        <w:rPr>
          <w:rFonts w:hint="eastAsia" w:ascii="仿宋" w:hAnsi="仿宋" w:eastAsia="仿宋" w:cs="仿宋"/>
          <w:sz w:val="24"/>
          <w:highlight w:val="none"/>
        </w:rPr>
        <w:t>本合同自双方当事人盖章签字时生效。</w:t>
      </w:r>
    </w:p>
    <w:p w14:paraId="774ADAFF">
      <w:pPr>
        <w:autoSpaceDE w:val="0"/>
        <w:autoSpaceDN w:val="0"/>
        <w:spacing w:line="560" w:lineRule="exact"/>
        <w:rPr>
          <w:rFonts w:ascii="仿宋" w:hAnsi="仿宋" w:eastAsia="仿宋" w:cs="仿宋"/>
          <w:sz w:val="24"/>
          <w:highlight w:val="none"/>
          <w:lang w:val="zh-CN"/>
        </w:rPr>
      </w:pPr>
    </w:p>
    <w:p w14:paraId="2D8C37E0">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乙方</w:t>
      </w:r>
      <w:r>
        <w:rPr>
          <w:rFonts w:hint="eastAsia" w:ascii="仿宋" w:hAnsi="仿宋" w:eastAsia="仿宋" w:cs="仿宋"/>
          <w:sz w:val="24"/>
          <w:highlight w:val="none"/>
          <w:lang w:val="zh-CN"/>
        </w:rPr>
        <w:t>：</w:t>
      </w:r>
    </w:p>
    <w:p w14:paraId="1AE170FD">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14:paraId="452D5708">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住所：                                住所：</w:t>
      </w:r>
    </w:p>
    <w:p w14:paraId="2C8EDE26">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法定代表人或                          法定代表人或</w:t>
      </w:r>
    </w:p>
    <w:p w14:paraId="0D70E2A7">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授权代表（签字）: </w:t>
      </w:r>
    </w:p>
    <w:p w14:paraId="1E0C4B8E">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联系人：                              联系人：</w:t>
      </w:r>
    </w:p>
    <w:p w14:paraId="6ECD0D1A">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14:paraId="5C3F106C">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14:paraId="7F267CEA">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14:paraId="64B0BA00">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传真:                                 传真:</w:t>
      </w:r>
    </w:p>
    <w:p w14:paraId="586B0C4C">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lang w:val="zh-CN"/>
        </w:rPr>
        <w:t>电子邮箱：                            电子邮箱：</w:t>
      </w:r>
    </w:p>
    <w:p w14:paraId="012041D2">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rPr>
        <w:t>开户银行：                            开户银行：</w:t>
      </w:r>
    </w:p>
    <w:p w14:paraId="45A51F29">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rPr>
        <w:t>开户名称：                            开户名称：</w:t>
      </w:r>
    </w:p>
    <w:p w14:paraId="3F824B8E">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rPr>
        <w:t>开户账号：                            开户账号：</w:t>
      </w:r>
    </w:p>
    <w:p w14:paraId="5059FFE8">
      <w:pPr>
        <w:widowControl/>
        <w:spacing w:line="560" w:lineRule="exact"/>
        <w:jc w:val="left"/>
        <w:rPr>
          <w:rFonts w:ascii="仿宋" w:hAnsi="仿宋" w:eastAsia="仿宋" w:cs="仿宋"/>
          <w:b/>
          <w:sz w:val="24"/>
          <w:highlight w:val="none"/>
        </w:rPr>
      </w:pPr>
    </w:p>
    <w:p w14:paraId="46FE8623">
      <w:pPr>
        <w:widowControl/>
        <w:jc w:val="left"/>
        <w:rPr>
          <w:rFonts w:ascii="仿宋" w:hAnsi="仿宋" w:eastAsia="仿宋" w:cs="仿宋"/>
          <w:b/>
          <w:sz w:val="24"/>
          <w:highlight w:val="none"/>
        </w:rPr>
      </w:pPr>
      <w:r>
        <w:rPr>
          <w:rFonts w:hint="eastAsia" w:ascii="仿宋" w:hAnsi="仿宋" w:eastAsia="仿宋" w:cs="仿宋"/>
          <w:b/>
          <w:highlight w:val="none"/>
        </w:rPr>
        <w:br w:type="page"/>
      </w:r>
    </w:p>
    <w:p w14:paraId="6BBAA2FD">
      <w:pPr>
        <w:pStyle w:val="636"/>
        <w:spacing w:line="560" w:lineRule="exact"/>
        <w:ind w:left="420" w:firstLine="482"/>
        <w:jc w:val="center"/>
        <w:rPr>
          <w:rFonts w:ascii="仿宋" w:hAnsi="仿宋" w:eastAsia="仿宋" w:cs="仿宋"/>
          <w:b/>
          <w:szCs w:val="24"/>
          <w:highlight w:val="none"/>
        </w:rPr>
      </w:pPr>
      <w:r>
        <w:rPr>
          <w:rFonts w:hint="eastAsia" w:ascii="仿宋" w:hAnsi="仿宋" w:eastAsia="仿宋" w:cs="仿宋"/>
          <w:b/>
          <w:szCs w:val="24"/>
          <w:highlight w:val="none"/>
        </w:rPr>
        <w:t>第二部分合同一般条款</w:t>
      </w:r>
    </w:p>
    <w:p w14:paraId="58446923">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2.1 定义</w:t>
      </w:r>
    </w:p>
    <w:p w14:paraId="1564A791">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14:paraId="68D138D0">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2.1.1 “合同”系指采购人和中标或成交供应商签订的载明双方当事人所达成的协议，并包括所有的附件、附录和构成合同的其他文件。</w:t>
      </w:r>
    </w:p>
    <w:p w14:paraId="5AC2BBA9">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2.1.2 “合同价”系指根据合同约定，中标或成交供应商在完全履行合同义务后，采购人应支付给中标或成交供应商的价格。</w:t>
      </w:r>
    </w:p>
    <w:p w14:paraId="314D6667">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2.1.3 “服务”系指中标或成交供应商根据合同约定应向采购人履行的除货物和工程以外的其他政府采购对象，包括采购人自身需要的服务和向社会公众提供的公共服务。</w:t>
      </w:r>
    </w:p>
    <w:p w14:paraId="598DA5C5">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2.1.4 “甲方”系指与中标或成交供应商签署合同的采购人；采购人委托采购代理机构代表其与乙方签订合同的，采购人的授权委托书作为合同附件。</w:t>
      </w:r>
    </w:p>
    <w:p w14:paraId="0D560292">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8670626">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2.1.6 “现场”系指合同约定提供服务的地点。</w:t>
      </w:r>
    </w:p>
    <w:p w14:paraId="514F5D9C">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2.2 技术规范</w:t>
      </w:r>
    </w:p>
    <w:p w14:paraId="587689F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EA4C571">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2.3 知识产权</w:t>
      </w:r>
    </w:p>
    <w:p w14:paraId="17C068ED">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C5DA882">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2.3.2 合同涉及技术成果的归属和收益的分成办法的，详见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21C5D0F9">
      <w:pPr>
        <w:spacing w:line="56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2.4 履约检查和问题反馈</w:t>
      </w:r>
    </w:p>
    <w:p w14:paraId="140E50EA">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6B2ADB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2.4.2 合同履行期间，甲方有权将履行过程中出现的问题反馈给乙方，双方当事人应以书面形式约定需要完善和改进的内容。</w:t>
      </w:r>
    </w:p>
    <w:p w14:paraId="5A877FA0">
      <w:pPr>
        <w:spacing w:line="560" w:lineRule="exact"/>
        <w:ind w:firstLine="482" w:firstLineChars="200"/>
        <w:outlineLvl w:val="0"/>
        <w:rPr>
          <w:rFonts w:ascii="仿宋" w:hAnsi="仿宋" w:eastAsia="仿宋" w:cs="仿宋"/>
          <w:b/>
          <w:sz w:val="24"/>
          <w:highlight w:val="none"/>
        </w:rPr>
      </w:pPr>
      <w:bookmarkStart w:id="400" w:name="_Toc32670"/>
      <w:bookmarkStart w:id="401" w:name="_Toc22011"/>
      <w:bookmarkStart w:id="402" w:name="_Toc26555"/>
      <w:bookmarkStart w:id="403" w:name="_Toc15447"/>
      <w:bookmarkStart w:id="404" w:name="_Toc31233"/>
      <w:r>
        <w:rPr>
          <w:rFonts w:hint="eastAsia" w:ascii="仿宋" w:hAnsi="仿宋" w:eastAsia="仿宋" w:cs="仿宋"/>
          <w:b/>
          <w:sz w:val="24"/>
          <w:highlight w:val="none"/>
        </w:rPr>
        <w:t>2.5 结算方式和付款条件</w:t>
      </w:r>
      <w:bookmarkEnd w:id="400"/>
      <w:bookmarkEnd w:id="401"/>
      <w:bookmarkEnd w:id="402"/>
      <w:bookmarkEnd w:id="403"/>
      <w:bookmarkEnd w:id="404"/>
    </w:p>
    <w:p w14:paraId="0C936F9C">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6C4C2C48">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2.6 技术资料和保密义务</w:t>
      </w:r>
    </w:p>
    <w:p w14:paraId="2ED578D6">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14:paraId="2CA93E4E">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14:paraId="08EC1C53">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7086432">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2.7 质量保证</w:t>
      </w:r>
    </w:p>
    <w:p w14:paraId="4BCA5A5D">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14:paraId="74BDD264">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14:paraId="190CE688">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2.8 延迟履行</w:t>
      </w:r>
    </w:p>
    <w:p w14:paraId="4AE70BB0">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529B43A">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2.9 合同变更</w:t>
      </w:r>
    </w:p>
    <w:p w14:paraId="7869FE4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合同继续履行将损害国家利益和社会公共利益的，双方当事人应当以书面形式变更合同。有过错的一方应当承担赔偿责任，双方当事人都有过错的，各自承担相应的责任。</w:t>
      </w:r>
    </w:p>
    <w:p w14:paraId="5F0BEBB0">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2.10 合同转让和分包</w:t>
      </w:r>
    </w:p>
    <w:p w14:paraId="123356A6">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合同的权利义务依法不得转让，但经甲方同意，乙方可以依法采取分包方式履行合同，即：依法可以将合同项下的部分非主体、非关键性工作分包给他人完成，分包内容：</w:t>
      </w:r>
      <w:r>
        <w:rPr>
          <w:rFonts w:hint="eastAsia" w:ascii="仿宋" w:hAnsi="仿宋" w:eastAsia="仿宋" w:cs="仿宋"/>
          <w:sz w:val="24"/>
          <w:highlight w:val="none"/>
          <w:u w:val="single"/>
        </w:rPr>
        <w:t xml:space="preserve">培训 </w:t>
      </w:r>
      <w:r>
        <w:rPr>
          <w:rFonts w:hint="eastAsia" w:ascii="仿宋" w:hAnsi="仿宋" w:eastAsia="仿宋" w:cs="仿宋"/>
          <w:sz w:val="24"/>
          <w:highlight w:val="none"/>
        </w:rPr>
        <w:t>，接受分包的人应当具备相应的资格条件，并不得再次分包，且乙方应就分包项目向甲方负责，并与分包供应商就分包项目向甲方承担连带责任。</w:t>
      </w:r>
    </w:p>
    <w:p w14:paraId="7063BE8D">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2.11 不可抗力</w:t>
      </w:r>
    </w:p>
    <w:p w14:paraId="0646C1C4">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2.11.1如果任何一方遭遇法律规定的不可抗力，致使合同履行受阻时，履行合同的期限应予延长，延长的期限应相当于不可抗力所影响的时间；</w:t>
      </w:r>
    </w:p>
    <w:p w14:paraId="08DD3A03">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2.11.2 因不可抗力致使不能实现合同目的的，当事人可以解除合同；</w:t>
      </w:r>
    </w:p>
    <w:p w14:paraId="5EB59781">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2.11.3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14:paraId="7258771C">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2.11.4受不可抗力影响的一方在不可抗力发生后，应在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14:paraId="6DED730F">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2.12 税费</w:t>
      </w:r>
    </w:p>
    <w:p w14:paraId="60171B1D">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与合同有关的一切税费，均按照中华人民共和国法律的相关规定缴纳。</w:t>
      </w:r>
    </w:p>
    <w:p w14:paraId="0E864B6F">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2.13 乙方破产</w:t>
      </w:r>
    </w:p>
    <w:p w14:paraId="51C551BA">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291F22E">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2.14 合同中止、终止</w:t>
      </w:r>
    </w:p>
    <w:p w14:paraId="4F7F3AAA">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2.14.1 双方当事人不得擅自中止或者终止合同；</w:t>
      </w:r>
    </w:p>
    <w:p w14:paraId="31531BC7">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2.14.2合同继续履行将损害国家利益和社会公共利益的，双方当事人应当中止或者终止合同。有过错的一方应当承担赔偿责任，双方当事人都有过错的，各自承担相应的责任。</w:t>
      </w:r>
    </w:p>
    <w:p w14:paraId="5C0170B5">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2.15 检验和验收</w:t>
      </w:r>
    </w:p>
    <w:p w14:paraId="516614CD">
      <w:pPr>
        <w:tabs>
          <w:tab w:val="left" w:pos="360"/>
          <w:tab w:val="left" w:pos="540"/>
          <w:tab w:val="left" w:pos="1080"/>
        </w:tabs>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2.15.1 乙方按照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的约定，定期提交服务报告，甲方按照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的约定进行定期验收；</w:t>
      </w:r>
    </w:p>
    <w:p w14:paraId="32F53DEA">
      <w:pPr>
        <w:tabs>
          <w:tab w:val="left" w:pos="360"/>
          <w:tab w:val="left" w:pos="540"/>
          <w:tab w:val="left" w:pos="1080"/>
        </w:tabs>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E7F30A6">
      <w:pPr>
        <w:tabs>
          <w:tab w:val="left" w:pos="360"/>
          <w:tab w:val="left" w:pos="540"/>
          <w:tab w:val="left" w:pos="1080"/>
        </w:tabs>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2.15.3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p w14:paraId="62C54789">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2.16 通知和送达</w:t>
      </w:r>
    </w:p>
    <w:p w14:paraId="7176174E">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 w:val="24"/>
          <w:highlight w:val="none"/>
          <w:u w:val="single"/>
        </w:rPr>
        <w:t>3</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p>
    <w:p w14:paraId="7E01B5CC">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04528ACC">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2.17 合同使用的文字和适用的法律</w:t>
      </w:r>
    </w:p>
    <w:p w14:paraId="69736C85">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2.17.1合同使用汉语书就、变更和解释；</w:t>
      </w:r>
    </w:p>
    <w:p w14:paraId="19C1179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2.17.2 合同适用中华人民共和国法律。</w:t>
      </w:r>
    </w:p>
    <w:p w14:paraId="37A5DEA0">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2.18 计量单位</w:t>
      </w:r>
    </w:p>
    <w:p w14:paraId="4342132B">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除技术规范中另有规定外,合同的计量单位均使用国家法定计量单位。</w:t>
      </w:r>
    </w:p>
    <w:p w14:paraId="39E61B8F">
      <w:pPr>
        <w:spacing w:line="56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2.19合同份数</w:t>
      </w:r>
    </w:p>
    <w:p w14:paraId="167F93A2">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p w14:paraId="6A0AB5AD">
      <w:pPr>
        <w:spacing w:line="360" w:lineRule="auto"/>
        <w:jc w:val="center"/>
        <w:outlineLvl w:val="0"/>
        <w:rPr>
          <w:rFonts w:ascii="仿宋" w:hAnsi="仿宋" w:eastAsia="仿宋" w:cs="仿宋"/>
          <w:b/>
          <w:sz w:val="24"/>
          <w:highlight w:val="none"/>
        </w:rPr>
      </w:pPr>
      <w:r>
        <w:rPr>
          <w:rFonts w:hint="eastAsia" w:ascii="仿宋" w:hAnsi="仿宋" w:eastAsia="仿宋" w:cs="仿宋"/>
          <w:kern w:val="0"/>
          <w:highlight w:val="none"/>
        </w:rPr>
        <w:br w:type="page"/>
      </w:r>
      <w:r>
        <w:rPr>
          <w:rFonts w:hint="eastAsia" w:ascii="仿宋" w:hAnsi="仿宋" w:eastAsia="仿宋" w:cs="仿宋"/>
          <w:b/>
          <w:sz w:val="24"/>
          <w:highlight w:val="none"/>
        </w:rPr>
        <w:t>第三部分合同专用条款</w:t>
      </w:r>
    </w:p>
    <w:p w14:paraId="60DAF83E">
      <w:pPr>
        <w:spacing w:line="560" w:lineRule="exact"/>
        <w:ind w:left="-420" w:leftChars="-200" w:right="-420" w:rightChars="-200" w:firstLine="480" w:firstLineChars="200"/>
        <w:rPr>
          <w:rFonts w:ascii="仿宋" w:hAnsi="仿宋" w:eastAsia="仿宋" w:cs="仿宋"/>
          <w:sz w:val="24"/>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4BFD3B9F">
      <w:pPr>
        <w:spacing w:line="560" w:lineRule="exact"/>
        <w:ind w:left="-420" w:leftChars="-200" w:right="-420" w:rightChars="-200" w:firstLine="480" w:firstLineChars="200"/>
        <w:rPr>
          <w:rFonts w:ascii="仿宋" w:hAnsi="仿宋" w:eastAsia="仿宋" w:cs="仿宋"/>
          <w:sz w:val="24"/>
          <w:highlight w:val="none"/>
          <w:u w:val="single"/>
          <w:lang w:val="zh-CN"/>
        </w:rPr>
      </w:pPr>
      <w:r>
        <w:rPr>
          <w:rFonts w:hint="eastAsia" w:ascii="仿宋" w:hAnsi="仿宋" w:eastAsia="仿宋" w:cs="仿宋"/>
          <w:sz w:val="24"/>
          <w:highlight w:val="none"/>
        </w:rPr>
        <w:t>1.3.2服务工作量的计量方式为</w:t>
      </w:r>
      <w:r>
        <w:rPr>
          <w:rFonts w:hint="eastAsia" w:ascii="仿宋" w:hAnsi="仿宋" w:eastAsia="仿宋" w:cs="仿宋"/>
          <w:sz w:val="24"/>
          <w:highlight w:val="none"/>
          <w:u w:val="single"/>
          <w:lang w:val="zh-CN"/>
        </w:rPr>
        <w:t>：</w:t>
      </w:r>
      <w:r>
        <w:rPr>
          <w:rFonts w:hint="eastAsia" w:ascii="仿宋" w:hAnsi="仿宋" w:eastAsia="仿宋" w:cs="仿宋"/>
          <w:sz w:val="24"/>
          <w:highlight w:val="none"/>
          <w:u w:val="single"/>
        </w:rPr>
        <w:t>根据</w:t>
      </w:r>
      <w:r>
        <w:rPr>
          <w:rFonts w:hint="eastAsia" w:ascii="仿宋" w:hAnsi="仿宋" w:eastAsia="仿宋" w:cs="仿宋"/>
          <w:color w:val="FF0000"/>
          <w:sz w:val="24"/>
          <w:highlight w:val="none"/>
          <w:u w:val="single"/>
        </w:rPr>
        <w:t>审计意见</w:t>
      </w:r>
      <w:r>
        <w:rPr>
          <w:rFonts w:hint="eastAsia" w:ascii="仿宋" w:hAnsi="仿宋" w:eastAsia="仿宋" w:cs="仿宋"/>
          <w:sz w:val="24"/>
          <w:highlight w:val="none"/>
          <w:u w:val="single"/>
        </w:rPr>
        <w:t>、实际租用设备数量及服务内容、租赁服务天数</w:t>
      </w:r>
      <w:r>
        <w:rPr>
          <w:rFonts w:hint="eastAsia" w:ascii="仿宋" w:hAnsi="仿宋" w:eastAsia="仿宋" w:cs="仿宋"/>
          <w:sz w:val="24"/>
          <w:highlight w:val="none"/>
          <w:u w:val="single"/>
          <w:lang w:val="zh-CN"/>
        </w:rPr>
        <w:t>及合同单价</w:t>
      </w:r>
      <w:r>
        <w:rPr>
          <w:rFonts w:hint="eastAsia" w:ascii="仿宋" w:hAnsi="仿宋" w:eastAsia="仿宋" w:cs="仿宋"/>
          <w:sz w:val="24"/>
          <w:highlight w:val="none"/>
          <w:u w:val="single"/>
        </w:rPr>
        <w:t>按实结算</w:t>
      </w:r>
      <w:r>
        <w:rPr>
          <w:rFonts w:hint="eastAsia" w:ascii="仿宋" w:hAnsi="仿宋" w:eastAsia="仿宋" w:cs="仿宋"/>
          <w:sz w:val="24"/>
          <w:highlight w:val="none"/>
          <w:u w:val="single"/>
          <w:lang w:val="zh-CN"/>
        </w:rPr>
        <w:t>。</w:t>
      </w:r>
    </w:p>
    <w:p w14:paraId="14748467">
      <w:pPr>
        <w:spacing w:line="560" w:lineRule="exact"/>
        <w:ind w:left="-420" w:leftChars="-200" w:right="-420" w:rightChars="-200" w:firstLine="480" w:firstLineChars="200"/>
        <w:rPr>
          <w:rFonts w:ascii="仿宋" w:hAnsi="仿宋" w:eastAsia="仿宋" w:cs="仿宋"/>
          <w:sz w:val="24"/>
          <w:highlight w:val="none"/>
          <w:u w:val="single"/>
        </w:rPr>
      </w:pPr>
      <w:r>
        <w:rPr>
          <w:rFonts w:hint="eastAsia" w:ascii="仿宋" w:hAnsi="仿宋" w:eastAsia="仿宋" w:cs="仿宋"/>
          <w:sz w:val="24"/>
          <w:highlight w:val="none"/>
        </w:rPr>
        <w:t>1.4.2履约保证金支付方式:</w:t>
      </w:r>
      <w:r>
        <w:rPr>
          <w:rFonts w:hint="eastAsia" w:ascii="仿宋" w:hAnsi="仿宋" w:eastAsia="仿宋" w:cs="仿宋"/>
          <w:sz w:val="24"/>
          <w:highlight w:val="none"/>
          <w:u w:val="single"/>
        </w:rPr>
        <w:t>乙方应在合同签订后5个工作日内，以支票、汇票、本票或者金融机构、担保机构出具的保函等非现金形式提交履约保证金。鼓励和支持乙方以履约保函形式提供履约保证。</w:t>
      </w:r>
    </w:p>
    <w:p w14:paraId="72420022">
      <w:pPr>
        <w:spacing w:line="560" w:lineRule="exact"/>
        <w:ind w:left="-420" w:leftChars="-200" w:right="-420" w:rightChars="-200" w:firstLine="480" w:firstLineChars="200"/>
        <w:rPr>
          <w:rFonts w:ascii="仿宋" w:hAnsi="仿宋" w:eastAsia="仿宋" w:cs="仿宋"/>
          <w:sz w:val="24"/>
          <w:highlight w:val="none"/>
          <w:u w:val="single"/>
          <w:lang w:val="zh-CN"/>
        </w:rPr>
      </w:pPr>
      <w:r>
        <w:rPr>
          <w:rFonts w:hint="eastAsia" w:ascii="仿宋" w:hAnsi="仿宋" w:eastAsia="仿宋" w:cs="仿宋"/>
          <w:sz w:val="24"/>
          <w:highlight w:val="none"/>
        </w:rPr>
        <w:t>1.5.1预付款比例、支付方式、时间:</w:t>
      </w:r>
      <w:r>
        <w:rPr>
          <w:rFonts w:hint="eastAsia" w:ascii="仿宋" w:hAnsi="仿宋" w:eastAsia="仿宋" w:cs="仿宋"/>
          <w:sz w:val="24"/>
          <w:highlight w:val="none"/>
          <w:u w:val="single"/>
          <w:lang w:val="zh-CN"/>
        </w:rPr>
        <w:t>合同签订后5个工作日内，项目具备实施条件后，甲方支付</w:t>
      </w:r>
      <w:r>
        <w:rPr>
          <w:rFonts w:hint="eastAsia" w:ascii="仿宋" w:hAnsi="仿宋" w:eastAsia="仿宋" w:cs="仿宋"/>
          <w:sz w:val="24"/>
          <w:highlight w:val="none"/>
          <w:u w:val="single"/>
        </w:rPr>
        <w:t>合同金额的40%</w:t>
      </w:r>
      <w:r>
        <w:rPr>
          <w:rFonts w:hint="eastAsia" w:ascii="仿宋" w:hAnsi="仿宋" w:eastAsia="仿宋" w:cs="仿宋"/>
          <w:sz w:val="24"/>
          <w:highlight w:val="none"/>
          <w:u w:val="single"/>
          <w:lang w:val="zh-CN"/>
        </w:rPr>
        <w:t>。</w:t>
      </w:r>
    </w:p>
    <w:p w14:paraId="3114B283">
      <w:pPr>
        <w:spacing w:line="560" w:lineRule="exact"/>
        <w:ind w:left="-420" w:leftChars="-200" w:right="-420" w:rightChars="-200" w:firstLine="480" w:firstLineChars="200"/>
        <w:rPr>
          <w:rFonts w:ascii="仿宋" w:hAnsi="仿宋" w:eastAsia="仿宋" w:cs="仿宋"/>
          <w:sz w:val="24"/>
          <w:highlight w:val="none"/>
          <w:u w:val="single"/>
        </w:rPr>
      </w:pPr>
      <w:r>
        <w:rPr>
          <w:rFonts w:hint="eastAsia" w:ascii="仿宋" w:hAnsi="仿宋" w:eastAsia="仿宋" w:cs="仿宋"/>
          <w:sz w:val="24"/>
          <w:highlight w:val="none"/>
        </w:rPr>
        <w:t>1.5.2预付款的扣回方式：</w:t>
      </w:r>
      <w:r>
        <w:rPr>
          <w:rFonts w:hint="eastAsia" w:ascii="仿宋" w:hAnsi="仿宋" w:eastAsia="仿宋" w:cs="仿宋"/>
          <w:sz w:val="24"/>
          <w:highlight w:val="none"/>
          <w:u w:val="single"/>
        </w:rPr>
        <w:t>预付款不扣回，包含在第二期合同款支付内。</w:t>
      </w:r>
    </w:p>
    <w:p w14:paraId="0BC5CEC9">
      <w:pPr>
        <w:spacing w:line="560" w:lineRule="exact"/>
        <w:ind w:left="-420" w:leftChars="-200" w:right="-420" w:rightChars="-200" w:firstLine="480" w:firstLineChars="200"/>
        <w:rPr>
          <w:rFonts w:ascii="仿宋" w:hAnsi="仿宋" w:eastAsia="仿宋" w:cs="仿宋"/>
          <w:sz w:val="24"/>
          <w:highlight w:val="none"/>
        </w:rPr>
      </w:pPr>
      <w:r>
        <w:rPr>
          <w:rFonts w:hint="eastAsia" w:ascii="仿宋" w:hAnsi="仿宋" w:eastAsia="仿宋" w:cs="仿宋"/>
          <w:sz w:val="24"/>
          <w:highlight w:val="none"/>
        </w:rPr>
        <w:t>1.6.2资金支付的方式、时间和条件：</w:t>
      </w:r>
    </w:p>
    <w:tbl>
      <w:tblPr>
        <w:tblStyle w:val="62"/>
        <w:tblW w:w="981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709"/>
        <w:gridCol w:w="7406"/>
        <w:gridCol w:w="1701"/>
      </w:tblGrid>
      <w:tr w14:paraId="4EF02C5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14:paraId="047B4E91">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7406" w:type="dxa"/>
            <w:tcBorders>
              <w:top w:val="single" w:color="808080" w:sz="4" w:space="0"/>
              <w:left w:val="single" w:color="808080" w:sz="4" w:space="0"/>
              <w:bottom w:val="single" w:color="808080" w:sz="4" w:space="0"/>
              <w:right w:val="single" w:color="808080" w:sz="4" w:space="0"/>
            </w:tcBorders>
            <w:noWrap/>
            <w:vAlign w:val="center"/>
          </w:tcPr>
          <w:p w14:paraId="7FDDF355">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付款比例（%）</w:t>
            </w:r>
          </w:p>
        </w:tc>
        <w:tc>
          <w:tcPr>
            <w:tcW w:w="1701" w:type="dxa"/>
            <w:tcBorders>
              <w:top w:val="single" w:color="808080" w:sz="4" w:space="0"/>
              <w:left w:val="single" w:color="808080" w:sz="4" w:space="0"/>
              <w:bottom w:val="single" w:color="808080" w:sz="4" w:space="0"/>
              <w:right w:val="single" w:color="808080" w:sz="4" w:space="0"/>
            </w:tcBorders>
            <w:noWrap/>
            <w:vAlign w:val="center"/>
          </w:tcPr>
          <w:p w14:paraId="55F733AF">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付款方式</w:t>
            </w:r>
          </w:p>
        </w:tc>
      </w:tr>
      <w:tr w14:paraId="0881B54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14:paraId="2BD483FA">
            <w:pPr>
              <w:spacing w:line="360" w:lineRule="auto"/>
              <w:ind w:left="210" w:leftChars="100"/>
              <w:jc w:val="left"/>
              <w:rPr>
                <w:rFonts w:ascii="仿宋" w:hAnsi="仿宋" w:eastAsia="仿宋" w:cs="仿宋"/>
                <w:sz w:val="24"/>
                <w:highlight w:val="none"/>
              </w:rPr>
            </w:pPr>
            <w:r>
              <w:rPr>
                <w:rFonts w:hint="eastAsia" w:ascii="仿宋" w:hAnsi="仿宋" w:eastAsia="仿宋" w:cs="仿宋"/>
                <w:sz w:val="24"/>
                <w:highlight w:val="none"/>
              </w:rPr>
              <w:t>1</w:t>
            </w:r>
          </w:p>
        </w:tc>
        <w:tc>
          <w:tcPr>
            <w:tcW w:w="7406" w:type="dxa"/>
            <w:tcBorders>
              <w:top w:val="single" w:color="808080" w:sz="4" w:space="0"/>
              <w:left w:val="single" w:color="808080" w:sz="4" w:space="0"/>
              <w:bottom w:val="single" w:color="808080" w:sz="4" w:space="0"/>
              <w:right w:val="single" w:color="808080" w:sz="4" w:space="0"/>
            </w:tcBorders>
            <w:noWrap/>
            <w:vAlign w:val="center"/>
          </w:tcPr>
          <w:p w14:paraId="6CBA9028">
            <w:pPr>
              <w:spacing w:line="360" w:lineRule="auto"/>
              <w:rPr>
                <w:rFonts w:ascii="仿宋" w:hAnsi="仿宋" w:eastAsia="仿宋" w:cs="仿宋"/>
                <w:sz w:val="24"/>
                <w:highlight w:val="none"/>
              </w:rPr>
            </w:pPr>
            <w:r>
              <w:rPr>
                <w:rFonts w:hint="eastAsia" w:ascii="仿宋" w:hAnsi="仿宋" w:eastAsia="仿宋" w:cs="仿宋"/>
                <w:sz w:val="24"/>
                <w:highlight w:val="none"/>
              </w:rPr>
              <w:t>第一期付款：</w:t>
            </w:r>
            <w:r>
              <w:rPr>
                <w:rFonts w:hint="eastAsia" w:ascii="仿宋" w:hAnsi="仿宋" w:eastAsia="仿宋" w:cs="仿宋"/>
                <w:sz w:val="24"/>
                <w:highlight w:val="none"/>
                <w:lang w:val="zh-CN"/>
              </w:rPr>
              <w:t>合同签订后5个工作日内，项目</w:t>
            </w:r>
            <w:r>
              <w:rPr>
                <w:rFonts w:hint="eastAsia" w:ascii="仿宋" w:hAnsi="仿宋" w:eastAsia="仿宋" w:cs="仿宋"/>
                <w:sz w:val="24"/>
                <w:highlight w:val="none"/>
              </w:rPr>
              <w:t>具备</w:t>
            </w:r>
            <w:r>
              <w:rPr>
                <w:rFonts w:hint="eastAsia" w:ascii="仿宋" w:hAnsi="仿宋" w:eastAsia="仿宋" w:cs="仿宋"/>
                <w:sz w:val="24"/>
                <w:highlight w:val="none"/>
                <w:lang w:val="zh-CN"/>
              </w:rPr>
              <w:t>实施条件后，甲方支付</w:t>
            </w:r>
            <w:r>
              <w:rPr>
                <w:rFonts w:hint="eastAsia" w:ascii="仿宋" w:hAnsi="仿宋" w:eastAsia="仿宋" w:cs="仿宋"/>
                <w:sz w:val="24"/>
                <w:highlight w:val="none"/>
              </w:rPr>
              <w:t>合同金额的40%</w:t>
            </w:r>
            <w:r>
              <w:rPr>
                <w:rFonts w:hint="eastAsia" w:ascii="仿宋" w:hAnsi="仿宋" w:eastAsia="仿宋" w:cs="仿宋"/>
                <w:sz w:val="24"/>
                <w:highlight w:val="none"/>
                <w:lang w:val="zh-CN"/>
              </w:rPr>
              <w:t>。</w:t>
            </w:r>
            <w:r>
              <w:rPr>
                <w:rFonts w:hint="eastAsia" w:ascii="仿宋" w:hAnsi="仿宋" w:eastAsia="仿宋" w:cs="仿宋"/>
                <w:sz w:val="24"/>
                <w:highlight w:val="none"/>
              </w:rPr>
              <w:t>同时，乙方缴纳合同总价1%的履约保证金。</w:t>
            </w:r>
            <w:r>
              <w:rPr>
                <w:rFonts w:hint="eastAsia" w:ascii="仿宋" w:hAnsi="仿宋" w:eastAsia="仿宋" w:cs="仿宋"/>
                <w:sz w:val="24"/>
                <w:highlight w:val="none"/>
                <w:lang w:val="zh-CN"/>
              </w:rPr>
              <w:t>（鼓励和支持乙方以银行、保险公司出具的保函形式提供履约保证金）</w:t>
            </w:r>
          </w:p>
        </w:tc>
        <w:tc>
          <w:tcPr>
            <w:tcW w:w="1701" w:type="dxa"/>
            <w:tcBorders>
              <w:top w:val="single" w:color="808080" w:sz="4" w:space="0"/>
              <w:left w:val="single" w:color="808080" w:sz="4" w:space="0"/>
              <w:bottom w:val="single" w:color="808080" w:sz="4" w:space="0"/>
              <w:right w:val="single" w:color="808080" w:sz="4" w:space="0"/>
            </w:tcBorders>
            <w:noWrap/>
            <w:vAlign w:val="center"/>
          </w:tcPr>
          <w:p w14:paraId="70CB9229">
            <w:pPr>
              <w:spacing w:line="360" w:lineRule="auto"/>
              <w:jc w:val="left"/>
              <w:rPr>
                <w:rFonts w:ascii="仿宋" w:hAnsi="仿宋" w:eastAsia="仿宋" w:cs="仿宋"/>
                <w:sz w:val="24"/>
                <w:highlight w:val="none"/>
              </w:rPr>
            </w:pPr>
            <w:r>
              <w:rPr>
                <w:rFonts w:hint="eastAsia" w:ascii="仿宋" w:hAnsi="仿宋" w:eastAsia="仿宋" w:cs="仿宋"/>
                <w:sz w:val="24"/>
                <w:highlight w:val="none"/>
              </w:rPr>
              <w:t>国库转账支付</w:t>
            </w:r>
          </w:p>
        </w:tc>
      </w:tr>
      <w:tr w14:paraId="3CD8260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F08E067">
            <w:pPr>
              <w:spacing w:line="360" w:lineRule="auto"/>
              <w:ind w:left="210" w:leftChars="100"/>
              <w:jc w:val="left"/>
              <w:rPr>
                <w:rFonts w:ascii="仿宋" w:hAnsi="仿宋" w:eastAsia="仿宋" w:cs="仿宋"/>
                <w:sz w:val="24"/>
                <w:highlight w:val="none"/>
              </w:rPr>
            </w:pPr>
            <w:r>
              <w:rPr>
                <w:rFonts w:hint="eastAsia" w:ascii="仿宋" w:hAnsi="仿宋" w:eastAsia="仿宋" w:cs="仿宋"/>
                <w:sz w:val="24"/>
                <w:highlight w:val="none"/>
              </w:rPr>
              <w:t>2</w:t>
            </w:r>
          </w:p>
        </w:tc>
        <w:tc>
          <w:tcPr>
            <w:tcW w:w="7406"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7C7B474">
            <w:pPr>
              <w:spacing w:line="360" w:lineRule="auto"/>
              <w:rPr>
                <w:rFonts w:ascii="仿宋" w:hAnsi="仿宋" w:eastAsia="仿宋" w:cs="仿宋"/>
                <w:sz w:val="24"/>
                <w:highlight w:val="none"/>
              </w:rPr>
            </w:pPr>
            <w:r>
              <w:rPr>
                <w:rFonts w:hint="eastAsia" w:ascii="仿宋" w:hAnsi="仿宋" w:eastAsia="仿宋" w:cs="仿宋"/>
                <w:sz w:val="24"/>
                <w:highlight w:val="none"/>
                <w:lang w:val="zh-CN"/>
              </w:rPr>
              <w:t>第二期付款：服务至2025年11月30日，通过验收后，</w:t>
            </w:r>
            <w:r>
              <w:rPr>
                <w:rFonts w:hint="eastAsia" w:ascii="仿宋" w:hAnsi="仿宋" w:eastAsia="仿宋" w:cs="仿宋"/>
                <w:sz w:val="24"/>
                <w:highlight w:val="none"/>
              </w:rPr>
              <w:t>凭双方签字盖章的验收意见、验收小组签字的验收报告、租赁方案审批单、每月巡检记录、</w:t>
            </w:r>
            <w:r>
              <w:rPr>
                <w:rFonts w:hint="eastAsia" w:ascii="仿宋" w:hAnsi="仿宋" w:eastAsia="仿宋" w:cs="仿宋"/>
                <w:bCs/>
                <w:sz w:val="24"/>
                <w:highlight w:val="none"/>
              </w:rPr>
              <w:t>维护记录、</w:t>
            </w:r>
            <w:r>
              <w:rPr>
                <w:rFonts w:hint="eastAsia" w:ascii="仿宋" w:hAnsi="仿宋" w:eastAsia="仿宋" w:cs="仿宋"/>
                <w:sz w:val="24"/>
                <w:highlight w:val="none"/>
              </w:rPr>
              <w:t>租赁月报、项目组人员清单、学历、工作经验证明、驻点人员考勤、每月社保缴纳材料、人员变更审批表（如有）、培训记录、每月考核材料、网络安全保障方案、网络安全事件应急预案、网络安全风险书面报告（如有）、网络安全重大事项书面报告（如有）、信创检测报告、第三方检测报告、等保测评报告、商用密码应用测评报告、信息化建设项目变更审批表（如有）、监理报告、小微企业证明材料、单位保密协议、个人保密承诺书、日常保密教育台账、验收报审表、检测报告证明、产品合格证、质保承诺书等相关资料，最多支付至2025年预算114.975万元</w:t>
            </w:r>
            <w:r>
              <w:rPr>
                <w:rFonts w:hint="eastAsia" w:ascii="仿宋" w:hAnsi="仿宋" w:eastAsia="仿宋" w:cs="仿宋"/>
                <w:sz w:val="24"/>
                <w:highlight w:val="none"/>
                <w:lang w:val="zh-CN"/>
              </w:rPr>
              <w:t>（</w:t>
            </w:r>
            <w:r>
              <w:rPr>
                <w:rFonts w:hint="eastAsia" w:ascii="仿宋" w:hAnsi="仿宋" w:eastAsia="仿宋" w:cs="仿宋"/>
                <w:sz w:val="24"/>
                <w:highlight w:val="none"/>
              </w:rPr>
              <w:t>114.975万元已含甲方已向乙方支付的第一期合同价款</w:t>
            </w:r>
            <w:r>
              <w:rPr>
                <w:rFonts w:hint="eastAsia" w:ascii="仿宋" w:hAnsi="仿宋" w:eastAsia="仿宋" w:cs="仿宋"/>
                <w:sz w:val="24"/>
                <w:highlight w:val="none"/>
                <w:lang w:val="zh-CN"/>
              </w:rPr>
              <w:t>）</w:t>
            </w:r>
          </w:p>
        </w:tc>
        <w:tc>
          <w:tcPr>
            <w:tcW w:w="1701" w:type="dxa"/>
            <w:tcBorders>
              <w:top w:val="single" w:color="808080" w:sz="4" w:space="0"/>
              <w:left w:val="single" w:color="808080" w:sz="4" w:space="0"/>
              <w:bottom w:val="single" w:color="808080" w:sz="4" w:space="0"/>
              <w:right w:val="single" w:color="808080" w:sz="4" w:space="0"/>
            </w:tcBorders>
            <w:noWrap/>
            <w:vAlign w:val="center"/>
          </w:tcPr>
          <w:p w14:paraId="4CFEEE36">
            <w:pPr>
              <w:spacing w:line="360" w:lineRule="auto"/>
              <w:jc w:val="left"/>
              <w:rPr>
                <w:rFonts w:ascii="仿宋" w:hAnsi="仿宋" w:eastAsia="仿宋" w:cs="仿宋"/>
                <w:sz w:val="24"/>
                <w:highlight w:val="none"/>
              </w:rPr>
            </w:pPr>
          </w:p>
        </w:tc>
      </w:tr>
      <w:tr w14:paraId="4350259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EB2A70F">
            <w:pPr>
              <w:spacing w:line="360" w:lineRule="auto"/>
              <w:ind w:left="210" w:leftChars="100"/>
              <w:jc w:val="left"/>
              <w:rPr>
                <w:rFonts w:ascii="仿宋" w:hAnsi="仿宋" w:eastAsia="仿宋" w:cs="仿宋"/>
                <w:sz w:val="24"/>
                <w:highlight w:val="none"/>
              </w:rPr>
            </w:pPr>
            <w:r>
              <w:rPr>
                <w:rFonts w:hint="eastAsia" w:ascii="仿宋" w:hAnsi="仿宋" w:eastAsia="仿宋" w:cs="仿宋"/>
                <w:sz w:val="24"/>
                <w:highlight w:val="none"/>
              </w:rPr>
              <w:t>3</w:t>
            </w:r>
          </w:p>
        </w:tc>
        <w:tc>
          <w:tcPr>
            <w:tcW w:w="7406"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87188D5">
            <w:pPr>
              <w:spacing w:line="360" w:lineRule="auto"/>
              <w:rPr>
                <w:rFonts w:ascii="仿宋" w:hAnsi="仿宋" w:eastAsia="仿宋" w:cs="仿宋"/>
                <w:b/>
                <w:sz w:val="24"/>
                <w:highlight w:val="none"/>
              </w:rPr>
            </w:pPr>
            <w:r>
              <w:rPr>
                <w:rFonts w:hint="eastAsia" w:ascii="仿宋" w:hAnsi="仿宋" w:eastAsia="仿宋" w:cs="仿宋"/>
                <w:sz w:val="24"/>
                <w:highlight w:val="none"/>
              </w:rPr>
              <w:t>第三期付款：服务期结束，无任何服务问题，凭双方签字盖章的验收意见、验收小组签字的验收报告、租赁方案审批单、每月巡检记录、</w:t>
            </w:r>
            <w:r>
              <w:rPr>
                <w:rFonts w:hint="eastAsia" w:ascii="仿宋" w:hAnsi="仿宋" w:eastAsia="仿宋" w:cs="仿宋"/>
                <w:bCs/>
                <w:sz w:val="24"/>
                <w:highlight w:val="none"/>
              </w:rPr>
              <w:t>维护记录、</w:t>
            </w:r>
            <w:r>
              <w:rPr>
                <w:rFonts w:hint="eastAsia" w:ascii="仿宋" w:hAnsi="仿宋" w:eastAsia="仿宋" w:cs="仿宋"/>
                <w:sz w:val="24"/>
                <w:highlight w:val="none"/>
              </w:rPr>
              <w:t>租赁月报、租赁总结报告、项目组人员清单、学历、工作经验证明、驻点人员考勤、每月社保缴纳材料、人员变更审批表（如有）、培训记录、每月考核材料、网络安全保障方案、网络安全事件应急预案、网络安全风险书面报告（如有）、网络安全重大事项书面报告（如有）、信创检测报告、第三方检测报告、等保测评报告、商用密码应用测评报告、网络安全报告、信息化建设项目变更审批表（如有）、监理报告、小微企业证明材料、单位保密协议、个人保密承诺书、日常保密教育台账、验收报审表、检测报告证明、产品合格证、质保承诺书及验收公示截图等相关资料，根据审计意见、实际租用设备数量及服务内容、租赁服务天数</w:t>
            </w:r>
            <w:r>
              <w:rPr>
                <w:rFonts w:hint="eastAsia" w:ascii="仿宋" w:hAnsi="仿宋" w:eastAsia="仿宋" w:cs="仿宋"/>
                <w:sz w:val="24"/>
                <w:highlight w:val="none"/>
                <w:lang w:val="zh-CN"/>
              </w:rPr>
              <w:t>及合同单价</w:t>
            </w:r>
            <w:r>
              <w:rPr>
                <w:rFonts w:hint="eastAsia" w:ascii="仿宋" w:hAnsi="仿宋" w:eastAsia="仿宋" w:cs="仿宋"/>
                <w:sz w:val="24"/>
                <w:highlight w:val="none"/>
              </w:rPr>
              <w:t>按实结算剩余应付的合同款项，同时扣除乙方应向甲方支付的违约金。</w:t>
            </w:r>
          </w:p>
        </w:tc>
        <w:tc>
          <w:tcPr>
            <w:tcW w:w="1701" w:type="dxa"/>
            <w:tcBorders>
              <w:top w:val="single" w:color="808080" w:sz="4" w:space="0"/>
              <w:left w:val="single" w:color="808080" w:sz="4" w:space="0"/>
              <w:bottom w:val="single" w:color="808080" w:sz="4" w:space="0"/>
              <w:right w:val="single" w:color="808080" w:sz="4" w:space="0"/>
            </w:tcBorders>
            <w:noWrap/>
            <w:vAlign w:val="center"/>
          </w:tcPr>
          <w:p w14:paraId="2D2E76C8">
            <w:pPr>
              <w:spacing w:line="360" w:lineRule="auto"/>
              <w:jc w:val="left"/>
              <w:rPr>
                <w:rFonts w:ascii="仿宋" w:hAnsi="仿宋" w:eastAsia="仿宋" w:cs="仿宋"/>
                <w:sz w:val="24"/>
                <w:highlight w:val="none"/>
              </w:rPr>
            </w:pPr>
            <w:r>
              <w:rPr>
                <w:rFonts w:hint="eastAsia" w:ascii="仿宋" w:hAnsi="仿宋" w:eastAsia="仿宋" w:cs="仿宋"/>
                <w:sz w:val="24"/>
                <w:highlight w:val="none"/>
              </w:rPr>
              <w:t>国库转账支付</w:t>
            </w:r>
          </w:p>
        </w:tc>
      </w:tr>
      <w:tr w14:paraId="0721A10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9816" w:type="dxa"/>
            <w:gridSpan w:val="3"/>
            <w:tcBorders>
              <w:top w:val="single" w:color="808080" w:sz="4" w:space="0"/>
              <w:left w:val="single" w:color="808080" w:sz="4" w:space="0"/>
              <w:bottom w:val="single" w:color="808080" w:sz="4" w:space="0"/>
              <w:right w:val="single" w:color="808080" w:sz="4" w:space="0"/>
            </w:tcBorders>
            <w:noWrap/>
            <w:vAlign w:val="center"/>
          </w:tcPr>
          <w:p w14:paraId="477C63F9">
            <w:pPr>
              <w:spacing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双方确认，</w:t>
            </w:r>
            <w:r>
              <w:rPr>
                <w:rFonts w:hint="eastAsia" w:ascii="仿宋" w:hAnsi="仿宋" w:eastAsia="仿宋" w:cs="仿宋"/>
                <w:sz w:val="24"/>
                <w:highlight w:val="none"/>
              </w:rPr>
              <w:t>甲方</w:t>
            </w:r>
            <w:r>
              <w:rPr>
                <w:rFonts w:hint="eastAsia" w:ascii="仿宋" w:hAnsi="仿宋" w:eastAsia="仿宋" w:cs="仿宋"/>
                <w:sz w:val="24"/>
                <w:highlight w:val="none"/>
                <w:lang w:val="zh-CN"/>
              </w:rPr>
              <w:t>按前款结算并向</w:t>
            </w:r>
            <w:r>
              <w:rPr>
                <w:rFonts w:hint="eastAsia" w:ascii="仿宋" w:hAnsi="仿宋" w:eastAsia="仿宋" w:cs="仿宋"/>
                <w:sz w:val="24"/>
                <w:highlight w:val="none"/>
              </w:rPr>
              <w:t>乙方</w:t>
            </w:r>
            <w:r>
              <w:rPr>
                <w:rFonts w:hint="eastAsia" w:ascii="仿宋" w:hAnsi="仿宋" w:eastAsia="仿宋" w:cs="仿宋"/>
                <w:sz w:val="24"/>
                <w:highlight w:val="none"/>
                <w:lang w:val="zh-CN"/>
              </w:rPr>
              <w:t>支付的款项总额不超过合同总价。</w:t>
            </w:r>
          </w:p>
          <w:p w14:paraId="04C50EDE">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前述甲方按乙方实际履行情况结算付款的方式不影响甲方向乙方再行收取因乙方未全面按照合同约定履行而产生的违约金。</w:t>
            </w:r>
          </w:p>
        </w:tc>
      </w:tr>
    </w:tbl>
    <w:p w14:paraId="75B7794E">
      <w:pPr>
        <w:spacing w:line="560" w:lineRule="exact"/>
        <w:ind w:left="-420" w:leftChars="-200" w:right="-420" w:rightChars="-200" w:firstLine="480" w:firstLineChars="200"/>
        <w:rPr>
          <w:rFonts w:hint="eastAsia" w:ascii="仿宋" w:hAnsi="仿宋" w:eastAsia="仿宋" w:cs="仿宋"/>
          <w:sz w:val="24"/>
          <w:highlight w:val="none"/>
        </w:rPr>
      </w:pPr>
      <w:r>
        <w:rPr>
          <w:rFonts w:hint="eastAsia" w:ascii="仿宋" w:hAnsi="仿宋" w:eastAsia="仿宋" w:cs="仿宋"/>
          <w:bCs/>
          <w:sz w:val="24"/>
          <w:highlight w:val="none"/>
          <w:lang w:val="zh-CN"/>
        </w:rPr>
        <w:t>1.7.1服务实施的时间：</w:t>
      </w:r>
      <w:r>
        <w:rPr>
          <w:rFonts w:hint="eastAsia" w:ascii="仿宋" w:hAnsi="仿宋" w:eastAsia="仿宋" w:cs="仿宋"/>
          <w:sz w:val="24"/>
          <w:highlight w:val="none"/>
        </w:rPr>
        <w:t>12个月（2025年8月1日-2026年7月31日）。</w:t>
      </w:r>
    </w:p>
    <w:p w14:paraId="621982CE">
      <w:pPr>
        <w:spacing w:line="560" w:lineRule="exact"/>
        <w:ind w:left="-420" w:leftChars="-200" w:right="-420" w:rightChars="-200" w:firstLine="480" w:firstLineChars="200"/>
        <w:rPr>
          <w:rFonts w:ascii="仿宋" w:hAnsi="仿宋" w:eastAsia="仿宋" w:cs="仿宋"/>
          <w:bCs/>
          <w:sz w:val="24"/>
          <w:highlight w:val="none"/>
          <w:lang w:val="zh-CN"/>
        </w:rPr>
      </w:pPr>
      <w:r>
        <w:rPr>
          <w:rFonts w:hint="eastAsia" w:ascii="仿宋" w:hAnsi="仿宋" w:eastAsia="仿宋" w:cs="仿宋"/>
          <w:bCs/>
          <w:sz w:val="24"/>
          <w:highlight w:val="none"/>
          <w:lang w:val="zh-CN"/>
        </w:rPr>
        <w:t>1.7.2服务实施的地点：杭州市公安局交通警察支队以及直属大队、中队等指定的实施地点。</w:t>
      </w:r>
    </w:p>
    <w:p w14:paraId="201FF436">
      <w:pPr>
        <w:spacing w:line="560" w:lineRule="exact"/>
        <w:ind w:left="-420" w:leftChars="-200" w:right="-420" w:rightChars="-200" w:firstLine="480" w:firstLineChars="200"/>
        <w:rPr>
          <w:rFonts w:ascii="仿宋" w:hAnsi="仿宋" w:eastAsia="仿宋" w:cs="仿宋"/>
          <w:sz w:val="24"/>
          <w:highlight w:val="none"/>
        </w:rPr>
      </w:pPr>
      <w:r>
        <w:rPr>
          <w:rFonts w:hint="eastAsia" w:ascii="仿宋" w:hAnsi="仿宋" w:eastAsia="仿宋" w:cs="仿宋"/>
          <w:sz w:val="24"/>
          <w:highlight w:val="none"/>
        </w:rPr>
        <w:t>1.8.7违约责任：</w:t>
      </w:r>
    </w:p>
    <w:p w14:paraId="1F87E9F6">
      <w:pPr>
        <w:snapToGrid w:val="0"/>
        <w:spacing w:line="360" w:lineRule="auto"/>
        <w:ind w:firstLine="480" w:firstLineChars="200"/>
        <w:jc w:val="left"/>
        <w:rPr>
          <w:rFonts w:ascii="仿宋" w:hAnsi="仿宋" w:eastAsia="仿宋" w:cs="仿宋"/>
          <w:iCs/>
          <w:sz w:val="24"/>
          <w:highlight w:val="none"/>
          <w:u w:val="single"/>
        </w:rPr>
      </w:pPr>
      <w:r>
        <w:rPr>
          <w:rFonts w:hint="eastAsia" w:ascii="仿宋" w:hAnsi="仿宋" w:eastAsia="仿宋" w:cs="仿宋"/>
          <w:iCs/>
          <w:sz w:val="24"/>
          <w:highlight w:val="none"/>
          <w:u w:val="single"/>
        </w:rPr>
        <w:t>（1）乙方应完全按照甲方招标文件的要求和乙方投标文件及相关文件承诺完成本项目，因乙方自身财务、技术、人力等原因导致项目风险的，应承担全部责任。</w:t>
      </w:r>
    </w:p>
    <w:p w14:paraId="42B5658B">
      <w:pPr>
        <w:spacing w:line="360" w:lineRule="auto"/>
        <w:ind w:firstLine="480" w:firstLineChars="200"/>
        <w:jc w:val="left"/>
        <w:rPr>
          <w:rFonts w:ascii="仿宋" w:hAnsi="仿宋" w:eastAsia="仿宋" w:cs="仿宋"/>
          <w:iCs/>
          <w:sz w:val="24"/>
          <w:highlight w:val="none"/>
          <w:u w:val="single"/>
        </w:rPr>
      </w:pPr>
      <w:r>
        <w:rPr>
          <w:rFonts w:hint="eastAsia" w:ascii="仿宋" w:hAnsi="仿宋" w:eastAsia="仿宋" w:cs="仿宋"/>
          <w:iCs/>
          <w:sz w:val="24"/>
          <w:highlight w:val="none"/>
          <w:u w:val="single"/>
        </w:rPr>
        <w:t>（2）甲方有权依据有关法律法规、政府管理的相关职能规定，对本项目进行监督和检查，有权要求乙方按照监督检查情况制定相应措施并加以整改。甲方不因行使该监督和检查权而承担任何责任，也不因此减轻或免除乙方根据合同约定或相关法律法规规定应承担的任何义务或责任。</w:t>
      </w:r>
    </w:p>
    <w:p w14:paraId="42B479CA">
      <w:pPr>
        <w:snapToGrid w:val="0"/>
        <w:spacing w:line="360" w:lineRule="auto"/>
        <w:ind w:firstLine="480" w:firstLineChars="200"/>
        <w:rPr>
          <w:rFonts w:ascii="仿宋" w:hAnsi="仿宋" w:eastAsia="仿宋" w:cs="仿宋"/>
          <w:iCs/>
          <w:sz w:val="24"/>
          <w:highlight w:val="none"/>
          <w:u w:val="single"/>
        </w:rPr>
      </w:pPr>
      <w:r>
        <w:rPr>
          <w:rFonts w:hint="eastAsia" w:ascii="仿宋" w:hAnsi="仿宋" w:eastAsia="仿宋" w:cs="仿宋"/>
          <w:iCs/>
          <w:sz w:val="24"/>
          <w:highlight w:val="none"/>
          <w:u w:val="single"/>
        </w:rPr>
        <w:t>（3）除不可抗力外，如果乙方没有按照本合同约定的期限、地点和方式提供服务，那么甲方可要求乙方支付违约金，违约金按每迟延提供服务一日的应提供而未提供服务价格的0.05%计算，最高限额为本合同总价的20%；迟延提供服务的违约金计算数额达到前述最高限额之日起，甲方有权在要求乙方支付违约金的同时，书面通知乙方解除本合同。</w:t>
      </w:r>
    </w:p>
    <w:p w14:paraId="2A317B74">
      <w:pPr>
        <w:spacing w:line="360" w:lineRule="auto"/>
        <w:ind w:firstLine="480" w:firstLineChars="200"/>
        <w:jc w:val="left"/>
        <w:rPr>
          <w:rFonts w:ascii="仿宋" w:hAnsi="仿宋" w:eastAsia="仿宋" w:cs="仿宋"/>
          <w:iCs/>
          <w:sz w:val="24"/>
          <w:highlight w:val="none"/>
          <w:u w:val="single"/>
        </w:rPr>
      </w:pPr>
      <w:r>
        <w:rPr>
          <w:rFonts w:hint="eastAsia" w:ascii="仿宋" w:hAnsi="仿宋" w:eastAsia="仿宋" w:cs="仿宋"/>
          <w:iCs/>
          <w:sz w:val="24"/>
          <w:highlight w:val="none"/>
          <w:u w:val="single"/>
        </w:rPr>
        <w:t>（4）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02AEB761">
      <w:pPr>
        <w:spacing w:line="360" w:lineRule="auto"/>
        <w:ind w:firstLine="480" w:firstLineChars="200"/>
        <w:jc w:val="left"/>
        <w:rPr>
          <w:rFonts w:ascii="仿宋" w:hAnsi="仿宋" w:eastAsia="仿宋" w:cs="仿宋"/>
          <w:iCs/>
          <w:sz w:val="24"/>
          <w:highlight w:val="none"/>
          <w:u w:val="single"/>
        </w:rPr>
      </w:pPr>
      <w:r>
        <w:rPr>
          <w:rFonts w:hint="eastAsia" w:ascii="仿宋" w:hAnsi="仿宋" w:eastAsia="仿宋" w:cs="仿宋"/>
          <w:iCs/>
          <w:sz w:val="24"/>
          <w:highlight w:val="none"/>
          <w:u w:val="single"/>
        </w:rPr>
        <w:t>（5）合同实施过程中如发生变更，应严格办理变更手续，甲方及乙方填写《信息化建设项目变更审批表》，说明变更理由和内容，并随附相关文件和监理公司意见，按甲方内控要求变更管理措施，否则该变更内容在款项结算时，甲方有权不予认可。合同实施过程中如发生，未办理变更手续的擅自变更，发现一次乙方应向甲方支付5000元违约金，且甲方有权在要求乙方支付违约金的同时，单方面解除合同，并就由此造成的一切损失均由乙方负责赔偿。</w:t>
      </w:r>
    </w:p>
    <w:p w14:paraId="51887091">
      <w:pPr>
        <w:spacing w:line="360" w:lineRule="auto"/>
        <w:ind w:firstLine="480" w:firstLineChars="200"/>
        <w:jc w:val="left"/>
        <w:rPr>
          <w:rFonts w:ascii="仿宋" w:hAnsi="仿宋" w:eastAsia="仿宋" w:cs="仿宋"/>
          <w:iCs/>
          <w:sz w:val="24"/>
          <w:highlight w:val="none"/>
          <w:u w:val="single"/>
        </w:rPr>
      </w:pPr>
      <w:r>
        <w:rPr>
          <w:rFonts w:hint="eastAsia" w:ascii="仿宋" w:hAnsi="仿宋" w:eastAsia="仿宋" w:cs="仿宋"/>
          <w:iCs/>
          <w:sz w:val="24"/>
          <w:highlight w:val="none"/>
          <w:u w:val="single"/>
        </w:rPr>
        <w:t>（6）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服务期满，通过验收，甲方于收到乙方退还履约保证金申请之日起5个工作日内凭双方签字盖章的验收意见，无息退还乙方履约保证金。逾期退还的，乙方可要求甲方支付违约金，违约金按每迟延退还一日的应退还而未退还金额的0.05%计算，最高限额为本合同履约保证金的20%。</w:t>
      </w:r>
    </w:p>
    <w:p w14:paraId="4EEAEED9">
      <w:pPr>
        <w:spacing w:line="360" w:lineRule="auto"/>
        <w:ind w:firstLine="480" w:firstLineChars="200"/>
        <w:jc w:val="left"/>
        <w:rPr>
          <w:rFonts w:ascii="仿宋" w:hAnsi="仿宋" w:eastAsia="仿宋" w:cs="仿宋"/>
          <w:iCs/>
          <w:sz w:val="24"/>
          <w:highlight w:val="none"/>
          <w:u w:val="single"/>
        </w:rPr>
      </w:pPr>
      <w:r>
        <w:rPr>
          <w:rFonts w:hint="eastAsia" w:ascii="仿宋" w:hAnsi="仿宋" w:eastAsia="仿宋" w:cs="仿宋"/>
          <w:iCs/>
          <w:sz w:val="24"/>
          <w:highlight w:val="none"/>
          <w:u w:val="single"/>
        </w:rPr>
        <w:t>（7）乙方未经甲方书面同意，乙方擅自将本合同的全部或部分事务转由第三人承担，甲方可解除本合同，且乙方应按合同总价的30％向甲方支付违约金。如发生损失的，乙方还应赔偿甲方损失。</w:t>
      </w:r>
    </w:p>
    <w:p w14:paraId="68EBE923">
      <w:pPr>
        <w:spacing w:line="360" w:lineRule="auto"/>
        <w:ind w:firstLine="480" w:firstLineChars="200"/>
        <w:jc w:val="left"/>
        <w:rPr>
          <w:rFonts w:ascii="仿宋" w:hAnsi="仿宋" w:eastAsia="仿宋" w:cs="仿宋"/>
          <w:iCs/>
          <w:sz w:val="24"/>
          <w:highlight w:val="none"/>
          <w:u w:val="single"/>
        </w:rPr>
      </w:pPr>
      <w:r>
        <w:rPr>
          <w:rFonts w:hint="eastAsia" w:ascii="仿宋" w:hAnsi="仿宋" w:eastAsia="仿宋" w:cs="仿宋"/>
          <w:iCs/>
          <w:sz w:val="24"/>
          <w:highlight w:val="none"/>
          <w:u w:val="single"/>
        </w:rPr>
        <w:t>（8）服务期间，甲方每月对乙方实施考核，如有违约的，根据考核条款进行处置，直至解除合同。</w:t>
      </w:r>
    </w:p>
    <w:p w14:paraId="716E7C21">
      <w:pPr>
        <w:spacing w:line="360" w:lineRule="auto"/>
        <w:ind w:firstLine="480" w:firstLineChars="200"/>
        <w:jc w:val="left"/>
        <w:rPr>
          <w:rFonts w:ascii="仿宋" w:hAnsi="仿宋" w:eastAsia="仿宋" w:cs="仿宋"/>
          <w:iCs/>
          <w:sz w:val="24"/>
          <w:highlight w:val="none"/>
          <w:u w:val="single"/>
        </w:rPr>
      </w:pPr>
      <w:r>
        <w:rPr>
          <w:rFonts w:hint="eastAsia" w:ascii="仿宋" w:hAnsi="仿宋" w:eastAsia="仿宋" w:cs="仿宋"/>
          <w:iCs/>
          <w:sz w:val="24"/>
          <w:highlight w:val="none"/>
          <w:u w:val="single"/>
        </w:rPr>
        <w:t>（9）因乙方或乙方派遣人员工作过错造成的安全管理事故，乙方自行负全部责任及相关费用。</w:t>
      </w:r>
    </w:p>
    <w:p w14:paraId="484B9D45">
      <w:pPr>
        <w:spacing w:line="360" w:lineRule="auto"/>
        <w:ind w:firstLine="480" w:firstLineChars="200"/>
        <w:jc w:val="left"/>
        <w:rPr>
          <w:rFonts w:ascii="仿宋" w:hAnsi="仿宋" w:eastAsia="仿宋" w:cs="仿宋"/>
          <w:iCs/>
          <w:sz w:val="24"/>
          <w:highlight w:val="none"/>
          <w:u w:val="single"/>
        </w:rPr>
      </w:pPr>
      <w:r>
        <w:rPr>
          <w:rFonts w:hint="eastAsia" w:ascii="仿宋" w:hAnsi="仿宋" w:eastAsia="仿宋" w:cs="仿宋"/>
          <w:iCs/>
          <w:sz w:val="24"/>
          <w:highlight w:val="none"/>
          <w:u w:val="single"/>
        </w:rPr>
        <w:t>（10）乙方未按保密管理条款规定执行的，每发现一次处违约金10000元，如发生泄密事件，除赔偿甲方损失外，还应承担全部法律责任。</w:t>
      </w:r>
    </w:p>
    <w:p w14:paraId="2355983F">
      <w:pPr>
        <w:spacing w:line="360" w:lineRule="auto"/>
        <w:ind w:firstLine="480" w:firstLineChars="200"/>
        <w:jc w:val="left"/>
        <w:rPr>
          <w:rFonts w:ascii="仿宋" w:hAnsi="仿宋" w:eastAsia="仿宋" w:cs="仿宋"/>
          <w:sz w:val="24"/>
          <w:highlight w:val="none"/>
        </w:rPr>
      </w:pPr>
      <w:r>
        <w:rPr>
          <w:rFonts w:hint="eastAsia" w:ascii="仿宋" w:hAnsi="仿宋" w:eastAsia="仿宋" w:cs="仿宋"/>
          <w:iCs/>
          <w:sz w:val="24"/>
          <w:highlight w:val="none"/>
          <w:u w:val="single"/>
        </w:rPr>
        <w:t>（11）</w:t>
      </w:r>
      <w:r>
        <w:rPr>
          <w:rFonts w:hint="eastAsia" w:ascii="仿宋" w:hAnsi="仿宋" w:eastAsia="仿宋" w:cs="仿宋"/>
          <w:iCs/>
          <w:snapToGrid w:val="0"/>
          <w:sz w:val="24"/>
          <w:highlight w:val="none"/>
          <w:u w:val="single"/>
        </w:rPr>
        <w:t>乙方如未按网络安全履行责任和义务，每发生一次扣除违约金10000元。</w:t>
      </w:r>
    </w:p>
    <w:p w14:paraId="19381BC2">
      <w:pPr>
        <w:spacing w:line="360" w:lineRule="auto"/>
        <w:ind w:firstLine="480" w:firstLineChars="200"/>
        <w:jc w:val="left"/>
        <w:rPr>
          <w:rFonts w:ascii="仿宋" w:hAnsi="仿宋" w:eastAsia="仿宋" w:cs="仿宋"/>
          <w:iCs/>
          <w:sz w:val="24"/>
          <w:highlight w:val="none"/>
          <w:u w:val="single"/>
        </w:rPr>
      </w:pPr>
      <w:r>
        <w:rPr>
          <w:rFonts w:hint="eastAsia" w:ascii="仿宋" w:hAnsi="仿宋" w:eastAsia="仿宋" w:cs="仿宋"/>
          <w:iCs/>
          <w:sz w:val="24"/>
          <w:highlight w:val="none"/>
          <w:u w:val="single"/>
        </w:rPr>
        <w:t>（12）</w:t>
      </w:r>
      <w:r>
        <w:rPr>
          <w:rFonts w:hint="eastAsia" w:ascii="仿宋" w:hAnsi="仿宋" w:eastAsia="仿宋" w:cs="仿宋"/>
          <w:sz w:val="24"/>
          <w:highlight w:val="none"/>
          <w:u w:val="single"/>
        </w:rPr>
        <w:t>本项目履约过程中，乙方承诺预留小微企业的比例应达到合同总价的【100】%，若未达到此要求，甲方有权没收全部履约保证金，报送相关采购监管部门，提前列入失信行为记录名单，追究相关责任，且乙方应向甲方支付合同总价30%的违约金。</w:t>
      </w:r>
    </w:p>
    <w:p w14:paraId="17524E8F">
      <w:pPr>
        <w:spacing w:line="360" w:lineRule="auto"/>
        <w:ind w:firstLine="480" w:firstLineChars="200"/>
        <w:jc w:val="left"/>
        <w:rPr>
          <w:rFonts w:ascii="仿宋" w:hAnsi="仿宋" w:eastAsia="仿宋" w:cs="仿宋"/>
          <w:iCs/>
          <w:sz w:val="24"/>
          <w:highlight w:val="none"/>
          <w:u w:val="single"/>
        </w:rPr>
      </w:pPr>
      <w:r>
        <w:rPr>
          <w:rFonts w:hint="eastAsia" w:ascii="仿宋" w:hAnsi="仿宋" w:eastAsia="仿宋" w:cs="仿宋"/>
          <w:iCs/>
          <w:sz w:val="24"/>
          <w:highlight w:val="none"/>
          <w:u w:val="single"/>
        </w:rPr>
        <w:t>（13）违约金在结算合同尾款时一次性扣除。</w:t>
      </w:r>
    </w:p>
    <w:p w14:paraId="1B8CC3CD">
      <w:pPr>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1.9合同争议的解决</w:t>
      </w:r>
    </w:p>
    <w:p w14:paraId="2D18FD3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sz w:val="24"/>
          <w:highlight w:val="none"/>
          <w:u w:val="single"/>
        </w:rPr>
        <w:t xml:space="preserve"> 1.9.2条</w:t>
      </w:r>
      <w:r>
        <w:rPr>
          <w:rFonts w:hint="eastAsia" w:ascii="仿宋" w:hAnsi="仿宋" w:eastAsia="仿宋" w:cs="仿宋"/>
          <w:sz w:val="24"/>
          <w:highlight w:val="none"/>
        </w:rPr>
        <w:t>款规定的方式解决：</w:t>
      </w:r>
    </w:p>
    <w:p w14:paraId="1EA85251">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1.9.1 将争议提交仲裁委员会依申请仲裁时其现行有效的仲裁规则裁决；</w:t>
      </w:r>
    </w:p>
    <w:p w14:paraId="5755CA1E">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1.9.2 向甲方所在地人民法院起诉。</w:t>
      </w:r>
    </w:p>
    <w:p w14:paraId="75D702B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2.3.2合同涉及技术成果的归属和收益的分成办法的</w:t>
      </w:r>
      <w:r>
        <w:rPr>
          <w:rFonts w:hint="eastAsia" w:ascii="仿宋" w:hAnsi="仿宋" w:eastAsia="仿宋" w:cs="仿宋"/>
          <w:sz w:val="24"/>
          <w:highlight w:val="none"/>
          <w:u w:val="single"/>
        </w:rPr>
        <w:t>无</w:t>
      </w:r>
      <w:r>
        <w:rPr>
          <w:rFonts w:hint="eastAsia" w:ascii="仿宋" w:hAnsi="仿宋" w:eastAsia="仿宋" w:cs="仿宋"/>
          <w:sz w:val="24"/>
          <w:highlight w:val="none"/>
        </w:rPr>
        <w:t>。</w:t>
      </w:r>
    </w:p>
    <w:p w14:paraId="58F8574F">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2.5</w:t>
      </w:r>
      <w:r>
        <w:rPr>
          <w:rFonts w:hint="eastAsia" w:ascii="仿宋" w:hAnsi="仿宋" w:eastAsia="仿宋" w:cs="仿宋"/>
          <w:b/>
          <w:sz w:val="24"/>
          <w:highlight w:val="none"/>
        </w:rPr>
        <w:t>结算方式和付款条件：见1.6.2条款。</w:t>
      </w:r>
    </w:p>
    <w:p w14:paraId="2F244D7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2.11.3因不可抗力致使合同有变更必要的，双方当事人应在</w:t>
      </w:r>
      <w:r>
        <w:rPr>
          <w:rFonts w:hint="eastAsia" w:ascii="仿宋" w:hAnsi="仿宋" w:eastAsia="仿宋" w:cs="仿宋"/>
          <w:b/>
          <w:i/>
          <w:sz w:val="24"/>
          <w:highlight w:val="none"/>
          <w:u w:val="single"/>
        </w:rPr>
        <w:t>15个工作日</w:t>
      </w:r>
      <w:r>
        <w:rPr>
          <w:rFonts w:hint="eastAsia" w:ascii="仿宋" w:hAnsi="仿宋" w:eastAsia="仿宋" w:cs="仿宋"/>
          <w:sz w:val="24"/>
          <w:highlight w:val="none"/>
        </w:rPr>
        <w:t>内以书面形式变更合同；</w:t>
      </w:r>
    </w:p>
    <w:p w14:paraId="5B287CB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2.11.4受不可抗力影响的一方在不可抗力发生后，应在</w:t>
      </w:r>
      <w:r>
        <w:rPr>
          <w:rFonts w:hint="eastAsia" w:ascii="仿宋" w:hAnsi="仿宋" w:eastAsia="仿宋" w:cs="仿宋"/>
          <w:b/>
          <w:i/>
          <w:sz w:val="24"/>
          <w:highlight w:val="none"/>
          <w:u w:val="single"/>
        </w:rPr>
        <w:t>7个工作日</w:t>
      </w:r>
      <w:r>
        <w:rPr>
          <w:rFonts w:hint="eastAsia" w:ascii="仿宋" w:hAnsi="仿宋" w:eastAsia="仿宋" w:cs="仿宋"/>
          <w:sz w:val="24"/>
          <w:highlight w:val="none"/>
        </w:rPr>
        <w:t>内以书面形式通知对方当事人，并在</w:t>
      </w:r>
      <w:r>
        <w:rPr>
          <w:rFonts w:hint="eastAsia" w:ascii="仿宋" w:hAnsi="仿宋" w:eastAsia="仿宋" w:cs="仿宋"/>
          <w:b/>
          <w:i/>
          <w:sz w:val="24"/>
          <w:highlight w:val="none"/>
          <w:u w:val="single"/>
        </w:rPr>
        <w:t>10个工作日</w:t>
      </w:r>
      <w:r>
        <w:rPr>
          <w:rFonts w:hint="eastAsia" w:ascii="仿宋" w:hAnsi="仿宋" w:eastAsia="仿宋" w:cs="仿宋"/>
          <w:sz w:val="24"/>
          <w:highlight w:val="none"/>
        </w:rPr>
        <w:t>内，将有关部门出具的证明文件送达对方当事人。</w:t>
      </w:r>
    </w:p>
    <w:p w14:paraId="37814D2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2.15.1履约验收时间：第一期 2025 年11月30 日后，第二期2026年7月31日服务结束后。</w:t>
      </w:r>
      <w:r>
        <w:rPr>
          <w:rFonts w:hint="eastAsia" w:ascii="仿宋" w:hAnsi="仿宋" w:eastAsia="仿宋" w:cs="仿宋"/>
          <w:sz w:val="24"/>
          <w:highlight w:val="none"/>
          <w:u w:val="single"/>
        </w:rPr>
        <w:t>（具体时间以甲方通知为准）</w:t>
      </w:r>
    </w:p>
    <w:p w14:paraId="46C24BB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2.15.3检验和验收标准、程序</w:t>
      </w:r>
    </w:p>
    <w:p w14:paraId="02136F06">
      <w:pPr>
        <w:spacing w:line="360" w:lineRule="auto"/>
        <w:ind w:firstLine="420"/>
        <w:jc w:val="left"/>
        <w:rPr>
          <w:rFonts w:ascii="仿宋" w:hAnsi="仿宋" w:eastAsia="仿宋" w:cs="仿宋"/>
          <w:sz w:val="24"/>
          <w:highlight w:val="none"/>
          <w:u w:val="single"/>
        </w:rPr>
      </w:pPr>
      <w:r>
        <w:rPr>
          <w:rFonts w:hint="eastAsia" w:ascii="仿宋" w:hAnsi="仿宋" w:eastAsia="仿宋" w:cs="仿宋"/>
          <w:sz w:val="24"/>
          <w:highlight w:val="none"/>
          <w:u w:val="single"/>
        </w:rPr>
        <w:t>1）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14:paraId="2250BCF1">
      <w:pPr>
        <w:spacing w:line="360" w:lineRule="auto"/>
        <w:ind w:firstLine="420"/>
        <w:jc w:val="left"/>
        <w:rPr>
          <w:rFonts w:ascii="仿宋" w:hAnsi="仿宋" w:eastAsia="仿宋" w:cs="仿宋"/>
          <w:sz w:val="24"/>
          <w:highlight w:val="none"/>
          <w:u w:val="single"/>
        </w:rPr>
      </w:pPr>
      <w:r>
        <w:rPr>
          <w:rFonts w:hint="eastAsia" w:ascii="仿宋" w:hAnsi="仿宋" w:eastAsia="仿宋" w:cs="仿宋"/>
          <w:sz w:val="24"/>
          <w:highlight w:val="none"/>
          <w:u w:val="single"/>
        </w:rPr>
        <w:t>（2）本项目为信息化项目，根据甲方内控要求,信息化项目服务期满后,项目单位应向市公安局科信局提交《信息化建设项目验收表》及验收所需相应材料,由市公安局科信局按照市政府履约验收相关管理办法的程序,结合市局相关内控制度组织开展终验。</w:t>
      </w:r>
    </w:p>
    <w:p w14:paraId="79481576">
      <w:pPr>
        <w:spacing w:line="360" w:lineRule="auto"/>
        <w:ind w:firstLine="420"/>
        <w:jc w:val="left"/>
        <w:rPr>
          <w:rFonts w:ascii="仿宋" w:hAnsi="仿宋" w:eastAsia="仿宋" w:cs="仿宋"/>
          <w:sz w:val="24"/>
          <w:highlight w:val="none"/>
          <w:u w:val="single"/>
        </w:rPr>
      </w:pPr>
      <w:r>
        <w:rPr>
          <w:rFonts w:hint="eastAsia" w:ascii="仿宋" w:hAnsi="仿宋" w:eastAsia="仿宋" w:cs="仿宋"/>
          <w:sz w:val="24"/>
          <w:highlight w:val="none"/>
          <w:u w:val="single"/>
        </w:rPr>
        <w:t>（3）严格按照采购合同开展履约验收。甲方委托第三方机构组织验收，成立验收小组，验收小组由5人组成：其中甲方1名，专家4名（第三方机构在乐采云专家库相关专业随机抽取），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p w14:paraId="70C22C64">
      <w:pPr>
        <w:spacing w:line="360" w:lineRule="auto"/>
        <w:ind w:firstLine="420"/>
        <w:jc w:val="left"/>
        <w:rPr>
          <w:rFonts w:ascii="仿宋" w:hAnsi="仿宋" w:eastAsia="仿宋" w:cs="仿宋"/>
          <w:sz w:val="24"/>
          <w:highlight w:val="none"/>
          <w:u w:val="single"/>
        </w:rPr>
      </w:pPr>
      <w:r>
        <w:rPr>
          <w:rFonts w:hint="eastAsia" w:ascii="仿宋" w:hAnsi="仿宋" w:eastAsia="仿宋" w:cs="仿宋"/>
          <w:sz w:val="24"/>
          <w:highlight w:val="none"/>
          <w:u w:val="single"/>
        </w:rPr>
        <w:t>（4）验收合格的项目，甲方将根据采购合同的约定及时向乙方支付采购资金、退还履约保证金。验收不合格的项目，甲方将依法及时处理。采购合同的履行、违约责任和解决争议的方式等适用《中华人民共和国民法典》。</w:t>
      </w:r>
    </w:p>
    <w:p w14:paraId="56794FE4">
      <w:pPr>
        <w:spacing w:line="360" w:lineRule="auto"/>
        <w:ind w:firstLine="420"/>
        <w:jc w:val="left"/>
        <w:rPr>
          <w:rFonts w:ascii="仿宋" w:hAnsi="仿宋" w:eastAsia="仿宋" w:cs="仿宋"/>
          <w:sz w:val="24"/>
          <w:highlight w:val="none"/>
          <w:u w:val="single"/>
        </w:rPr>
      </w:pPr>
      <w:r>
        <w:rPr>
          <w:rFonts w:hint="eastAsia" w:ascii="仿宋" w:hAnsi="仿宋" w:eastAsia="仿宋" w:cs="仿宋"/>
          <w:sz w:val="24"/>
          <w:highlight w:val="none"/>
          <w:u w:val="single"/>
        </w:rPr>
        <w:t>（5）验收产生的费用首次验收费用由甲方承担，如首次验收不合格，后续验收费用由乙方支付。</w:t>
      </w:r>
    </w:p>
    <w:p w14:paraId="24E826B4">
      <w:pPr>
        <w:spacing w:line="360" w:lineRule="auto"/>
        <w:ind w:firstLine="420"/>
        <w:jc w:val="left"/>
        <w:rPr>
          <w:rFonts w:ascii="仿宋" w:hAnsi="仿宋" w:eastAsia="仿宋" w:cs="仿宋"/>
          <w:sz w:val="24"/>
          <w:highlight w:val="none"/>
          <w:u w:val="single"/>
        </w:rPr>
      </w:pPr>
      <w:r>
        <w:rPr>
          <w:rFonts w:hint="eastAsia" w:ascii="仿宋" w:hAnsi="仿宋" w:eastAsia="仿宋" w:cs="仿宋"/>
          <w:sz w:val="24"/>
          <w:highlight w:val="none"/>
          <w:u w:val="single"/>
        </w:rPr>
        <w:t>（6）验收内容及资料要求：</w:t>
      </w:r>
    </w:p>
    <w:p w14:paraId="66E19C68">
      <w:pPr>
        <w:spacing w:line="360" w:lineRule="auto"/>
        <w:ind w:firstLine="420"/>
        <w:jc w:val="left"/>
        <w:rPr>
          <w:rFonts w:ascii="仿宋" w:hAnsi="仿宋" w:eastAsia="仿宋" w:cs="仿宋"/>
          <w:sz w:val="24"/>
          <w:highlight w:val="none"/>
          <w:u w:val="single"/>
        </w:rPr>
      </w:pPr>
      <w:r>
        <w:rPr>
          <w:rFonts w:hint="eastAsia" w:ascii="仿宋" w:hAnsi="仿宋" w:eastAsia="仿宋" w:cs="仿宋"/>
          <w:sz w:val="24"/>
          <w:highlight w:val="none"/>
          <w:u w:val="single"/>
        </w:rPr>
        <w:t>根据采购文件确定的技术指标或者服务要求确定验收指标和标准。未进行相应约定的，应当符合国家强制性规定、政策要求、安全标准、行业和企业有关标准等。</w:t>
      </w:r>
    </w:p>
    <w:p w14:paraId="74D8AFF0">
      <w:pPr>
        <w:spacing w:line="360" w:lineRule="auto"/>
        <w:ind w:firstLine="420"/>
        <w:jc w:val="left"/>
        <w:rPr>
          <w:rFonts w:ascii="仿宋" w:hAnsi="仿宋" w:eastAsia="仿宋" w:cs="仿宋"/>
          <w:sz w:val="24"/>
          <w:highlight w:val="none"/>
          <w:u w:val="single"/>
        </w:rPr>
      </w:pPr>
      <w:r>
        <w:rPr>
          <w:rFonts w:hint="eastAsia" w:ascii="仿宋" w:hAnsi="仿宋" w:eastAsia="仿宋" w:cs="仿宋"/>
          <w:sz w:val="24"/>
          <w:highlight w:val="none"/>
          <w:u w:val="single"/>
        </w:rPr>
        <w:t>6.1第一期验收内容</w:t>
      </w:r>
    </w:p>
    <w:tbl>
      <w:tblPr>
        <w:tblStyle w:val="62"/>
        <w:tblW w:w="51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306"/>
        <w:gridCol w:w="7605"/>
      </w:tblGrid>
      <w:tr w14:paraId="6371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4F454C73">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序号</w:t>
            </w:r>
          </w:p>
        </w:tc>
        <w:tc>
          <w:tcPr>
            <w:tcW w:w="678" w:type="pct"/>
            <w:tcBorders>
              <w:top w:val="single" w:color="auto" w:sz="4" w:space="0"/>
              <w:left w:val="single" w:color="auto" w:sz="4" w:space="0"/>
              <w:bottom w:val="single" w:color="auto" w:sz="4" w:space="0"/>
              <w:right w:val="single" w:color="auto" w:sz="4" w:space="0"/>
            </w:tcBorders>
            <w:vAlign w:val="center"/>
          </w:tcPr>
          <w:p w14:paraId="34F36767">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验收内容</w:t>
            </w:r>
          </w:p>
        </w:tc>
        <w:tc>
          <w:tcPr>
            <w:tcW w:w="3947" w:type="pct"/>
            <w:tcBorders>
              <w:top w:val="single" w:color="auto" w:sz="4" w:space="0"/>
              <w:left w:val="single" w:color="auto" w:sz="4" w:space="0"/>
              <w:bottom w:val="single" w:color="auto" w:sz="4" w:space="0"/>
              <w:right w:val="single" w:color="auto" w:sz="4" w:space="0"/>
            </w:tcBorders>
            <w:vAlign w:val="center"/>
          </w:tcPr>
          <w:p w14:paraId="0E98F944">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验收标准</w:t>
            </w:r>
          </w:p>
        </w:tc>
      </w:tr>
      <w:tr w14:paraId="389F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502511C1">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1</w:t>
            </w:r>
          </w:p>
        </w:tc>
        <w:tc>
          <w:tcPr>
            <w:tcW w:w="678" w:type="pct"/>
            <w:tcBorders>
              <w:top w:val="single" w:color="auto" w:sz="4" w:space="0"/>
              <w:left w:val="single" w:color="auto" w:sz="4" w:space="0"/>
              <w:bottom w:val="single" w:color="auto" w:sz="4" w:space="0"/>
              <w:right w:val="single" w:color="auto" w:sz="4" w:space="0"/>
            </w:tcBorders>
            <w:vAlign w:val="center"/>
          </w:tcPr>
          <w:p w14:paraId="56C32D81">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质量</w:t>
            </w:r>
          </w:p>
        </w:tc>
        <w:tc>
          <w:tcPr>
            <w:tcW w:w="3947" w:type="pct"/>
            <w:tcBorders>
              <w:top w:val="single" w:color="auto" w:sz="4" w:space="0"/>
              <w:left w:val="single" w:color="auto" w:sz="4" w:space="0"/>
              <w:bottom w:val="single" w:color="auto" w:sz="4" w:space="0"/>
              <w:right w:val="single" w:color="auto" w:sz="4" w:space="0"/>
            </w:tcBorders>
            <w:vAlign w:val="center"/>
          </w:tcPr>
          <w:p w14:paraId="62FE4B4F">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核对租赁产品品牌、型号、数量等与合同相符，系统设备运行稳定，未发生重大故障，需求设备质量符合公安部GA/T 947-2015标准，性能符合甲方实际使用要求，采集站支持对接现有交警使用的便携式视音频设备品牌且数据符合信创运行环境。</w:t>
            </w:r>
          </w:p>
        </w:tc>
      </w:tr>
      <w:tr w14:paraId="25B8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7DAA9A40">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2</w:t>
            </w:r>
          </w:p>
        </w:tc>
        <w:tc>
          <w:tcPr>
            <w:tcW w:w="678" w:type="pct"/>
            <w:tcBorders>
              <w:top w:val="single" w:color="auto" w:sz="4" w:space="0"/>
              <w:left w:val="single" w:color="auto" w:sz="4" w:space="0"/>
              <w:bottom w:val="single" w:color="auto" w:sz="4" w:space="0"/>
              <w:right w:val="single" w:color="auto" w:sz="4" w:space="0"/>
            </w:tcBorders>
            <w:vAlign w:val="center"/>
          </w:tcPr>
          <w:p w14:paraId="53644BE9">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进度</w:t>
            </w:r>
          </w:p>
        </w:tc>
        <w:tc>
          <w:tcPr>
            <w:tcW w:w="3947" w:type="pct"/>
            <w:tcBorders>
              <w:top w:val="single" w:color="auto" w:sz="4" w:space="0"/>
              <w:left w:val="single" w:color="auto" w:sz="4" w:space="0"/>
              <w:bottom w:val="single" w:color="auto" w:sz="4" w:space="0"/>
              <w:right w:val="single" w:color="auto" w:sz="4" w:space="0"/>
            </w:tcBorders>
            <w:vAlign w:val="center"/>
          </w:tcPr>
          <w:p w14:paraId="5227B890">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项目按合同要求服务时间、故障响应的时间等落实到位。</w:t>
            </w:r>
          </w:p>
        </w:tc>
      </w:tr>
      <w:tr w14:paraId="6513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57ABD5D3">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3</w:t>
            </w:r>
          </w:p>
        </w:tc>
        <w:tc>
          <w:tcPr>
            <w:tcW w:w="678" w:type="pct"/>
            <w:tcBorders>
              <w:top w:val="single" w:color="auto" w:sz="4" w:space="0"/>
              <w:left w:val="single" w:color="auto" w:sz="4" w:space="0"/>
              <w:bottom w:val="single" w:color="auto" w:sz="4" w:space="0"/>
              <w:right w:val="single" w:color="auto" w:sz="4" w:space="0"/>
            </w:tcBorders>
            <w:vAlign w:val="center"/>
          </w:tcPr>
          <w:p w14:paraId="6B501383">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人员培训</w:t>
            </w:r>
          </w:p>
        </w:tc>
        <w:tc>
          <w:tcPr>
            <w:tcW w:w="3947" w:type="pct"/>
            <w:tcBorders>
              <w:top w:val="single" w:color="auto" w:sz="4" w:space="0"/>
              <w:left w:val="single" w:color="auto" w:sz="4" w:space="0"/>
              <w:bottom w:val="single" w:color="auto" w:sz="4" w:space="0"/>
              <w:right w:val="single" w:color="auto" w:sz="4" w:space="0"/>
            </w:tcBorders>
            <w:vAlign w:val="center"/>
          </w:tcPr>
          <w:p w14:paraId="118F71CC">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按合同和甲方需求对甲方指定人员进行培训。</w:t>
            </w:r>
          </w:p>
        </w:tc>
      </w:tr>
      <w:tr w14:paraId="71D7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7C31E434">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4</w:t>
            </w:r>
          </w:p>
        </w:tc>
        <w:tc>
          <w:tcPr>
            <w:tcW w:w="678" w:type="pct"/>
            <w:tcBorders>
              <w:top w:val="single" w:color="auto" w:sz="4" w:space="0"/>
              <w:left w:val="single" w:color="auto" w:sz="4" w:space="0"/>
              <w:bottom w:val="single" w:color="auto" w:sz="4" w:space="0"/>
              <w:right w:val="single" w:color="auto" w:sz="4" w:space="0"/>
            </w:tcBorders>
            <w:vAlign w:val="center"/>
          </w:tcPr>
          <w:p w14:paraId="4DB48066">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人员管理</w:t>
            </w:r>
          </w:p>
        </w:tc>
        <w:tc>
          <w:tcPr>
            <w:tcW w:w="3947" w:type="pct"/>
            <w:tcBorders>
              <w:top w:val="single" w:color="auto" w:sz="4" w:space="0"/>
              <w:left w:val="single" w:color="auto" w:sz="4" w:space="0"/>
              <w:bottom w:val="single" w:color="auto" w:sz="4" w:space="0"/>
              <w:right w:val="single" w:color="auto" w:sz="4" w:space="0"/>
            </w:tcBorders>
            <w:vAlign w:val="center"/>
          </w:tcPr>
          <w:p w14:paraId="7C8A69A3">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在服务期间，按合同和投标文件投入相应资质人员。</w:t>
            </w:r>
          </w:p>
          <w:p w14:paraId="2FB30937">
            <w:pPr>
              <w:snapToGrid w:val="0"/>
              <w:spacing w:line="360" w:lineRule="auto"/>
              <w:rPr>
                <w:rFonts w:ascii="仿宋" w:hAnsi="仿宋" w:eastAsia="仿宋" w:cs="仿宋"/>
                <w:bCs/>
                <w:sz w:val="24"/>
                <w:highlight w:val="none"/>
              </w:rPr>
            </w:pPr>
            <w:r>
              <w:rPr>
                <w:rFonts w:hint="eastAsia" w:ascii="仿宋" w:hAnsi="仿宋" w:eastAsia="仿宋" w:cs="仿宋"/>
                <w:kern w:val="0"/>
                <w:sz w:val="24"/>
                <w:highlight w:val="none"/>
                <w:lang w:bidi="zh-CN"/>
              </w:rPr>
              <w:t>按照实际工作需要，配备不少于1名项目负责人和1名驻点人员。</w:t>
            </w:r>
          </w:p>
        </w:tc>
      </w:tr>
      <w:tr w14:paraId="3FF9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75C24871">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5</w:t>
            </w:r>
          </w:p>
        </w:tc>
        <w:tc>
          <w:tcPr>
            <w:tcW w:w="678" w:type="pct"/>
            <w:tcBorders>
              <w:top w:val="single" w:color="auto" w:sz="4" w:space="0"/>
              <w:left w:val="single" w:color="auto" w:sz="4" w:space="0"/>
              <w:bottom w:val="single" w:color="auto" w:sz="4" w:space="0"/>
              <w:right w:val="single" w:color="auto" w:sz="4" w:space="0"/>
            </w:tcBorders>
            <w:vAlign w:val="center"/>
          </w:tcPr>
          <w:p w14:paraId="6F1443F7">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网络安全</w:t>
            </w:r>
          </w:p>
        </w:tc>
        <w:tc>
          <w:tcPr>
            <w:tcW w:w="3947" w:type="pct"/>
            <w:tcBorders>
              <w:top w:val="single" w:color="auto" w:sz="4" w:space="0"/>
              <w:left w:val="single" w:color="auto" w:sz="4" w:space="0"/>
              <w:bottom w:val="single" w:color="auto" w:sz="4" w:space="0"/>
              <w:right w:val="single" w:color="auto" w:sz="4" w:space="0"/>
            </w:tcBorders>
            <w:vAlign w:val="center"/>
          </w:tcPr>
          <w:p w14:paraId="1A7052A8">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（1）明确乙方法定代表人为合作事项网络安全第一责任人，具体承担合作事项的部门主要负责人为直接责任人。</w:t>
            </w:r>
          </w:p>
          <w:p w14:paraId="3CC5BCF5">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（2）未经允许不得分包，不得转包合同任务。</w:t>
            </w:r>
          </w:p>
          <w:p w14:paraId="35AFEE2B">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（3）乙方应制订与合作事项相关的网络安全保障方案和网络安全事件应急预案。</w:t>
            </w:r>
          </w:p>
          <w:p w14:paraId="19B81022">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（4）乙方发现网络安全漏洞、缺陷或者其他严重网络安全风险，应及时向甲方报告。</w:t>
            </w:r>
          </w:p>
          <w:p w14:paraId="2B6A0EA0">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（5）处理合作事项的信息平台应当优先采用</w:t>
            </w:r>
            <w:r>
              <w:rPr>
                <w:rFonts w:hint="eastAsia" w:ascii="仿宋" w:hAnsi="仿宋" w:eastAsia="仿宋" w:cs="仿宋"/>
                <w:kern w:val="0"/>
                <w:sz w:val="24"/>
                <w:highlight w:val="none"/>
                <w:lang w:bidi="zh-CN"/>
              </w:rPr>
              <w:t>符合安全可靠测评要求</w:t>
            </w:r>
            <w:r>
              <w:rPr>
                <w:rFonts w:hint="eastAsia" w:ascii="仿宋" w:hAnsi="仿宋" w:eastAsia="仿宋" w:cs="仿宋"/>
                <w:bCs/>
                <w:sz w:val="24"/>
                <w:highlight w:val="none"/>
              </w:rPr>
              <w:t>的硬件和软件产品。</w:t>
            </w:r>
          </w:p>
          <w:p w14:paraId="49FEDDD1">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（6）发生可能影响合作事项的网络安全重大事项，包括负责人及重要工作人员变更、业务转型、合并重组和投资并购等，乙方应提前向甲方报告。</w:t>
            </w:r>
          </w:p>
          <w:p w14:paraId="3DA83355">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（7）采用社会公共网络平台实施合作事项时，严禁涉及国家秘密和警务工作秘密。</w:t>
            </w:r>
          </w:p>
          <w:p w14:paraId="5250FC79">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（8）乙方应在2026年8月1日前向甲方提交网络安全报告。</w:t>
            </w:r>
          </w:p>
          <w:p w14:paraId="6C188336">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（9）其他应当落实的网络安全责任和义务。</w:t>
            </w:r>
          </w:p>
        </w:tc>
      </w:tr>
      <w:tr w14:paraId="36EA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2FB33EDA">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6</w:t>
            </w:r>
          </w:p>
        </w:tc>
        <w:tc>
          <w:tcPr>
            <w:tcW w:w="678" w:type="pct"/>
            <w:tcBorders>
              <w:top w:val="single" w:color="auto" w:sz="4" w:space="0"/>
              <w:left w:val="single" w:color="auto" w:sz="4" w:space="0"/>
              <w:bottom w:val="single" w:color="auto" w:sz="4" w:space="0"/>
              <w:right w:val="single" w:color="auto" w:sz="4" w:space="0"/>
            </w:tcBorders>
            <w:vAlign w:val="center"/>
          </w:tcPr>
          <w:p w14:paraId="71CF4D13">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保密要求</w:t>
            </w:r>
          </w:p>
        </w:tc>
        <w:tc>
          <w:tcPr>
            <w:tcW w:w="3947" w:type="pct"/>
            <w:tcBorders>
              <w:top w:val="single" w:color="auto" w:sz="4" w:space="0"/>
              <w:left w:val="single" w:color="auto" w:sz="4" w:space="0"/>
              <w:bottom w:val="single" w:color="auto" w:sz="4" w:space="0"/>
              <w:right w:val="single" w:color="auto" w:sz="4" w:space="0"/>
            </w:tcBorders>
            <w:vAlign w:val="center"/>
          </w:tcPr>
          <w:p w14:paraId="0209BB8D">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满足甲方的保密规定实施，签订单位保密协议、个人保密承诺书。</w:t>
            </w:r>
          </w:p>
        </w:tc>
      </w:tr>
      <w:tr w14:paraId="6175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208F88CD">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7</w:t>
            </w:r>
          </w:p>
        </w:tc>
        <w:tc>
          <w:tcPr>
            <w:tcW w:w="678" w:type="pct"/>
            <w:tcBorders>
              <w:top w:val="single" w:color="auto" w:sz="4" w:space="0"/>
              <w:left w:val="single" w:color="auto" w:sz="4" w:space="0"/>
              <w:bottom w:val="single" w:color="auto" w:sz="4" w:space="0"/>
              <w:right w:val="single" w:color="auto" w:sz="4" w:space="0"/>
            </w:tcBorders>
            <w:vAlign w:val="center"/>
          </w:tcPr>
          <w:p w14:paraId="2A039259">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项目资料</w:t>
            </w:r>
          </w:p>
        </w:tc>
        <w:tc>
          <w:tcPr>
            <w:tcW w:w="3947" w:type="pct"/>
            <w:tcBorders>
              <w:top w:val="single" w:color="auto" w:sz="4" w:space="0"/>
              <w:left w:val="single" w:color="auto" w:sz="4" w:space="0"/>
              <w:bottom w:val="single" w:color="auto" w:sz="4" w:space="0"/>
              <w:right w:val="single" w:color="auto" w:sz="4" w:space="0"/>
            </w:tcBorders>
            <w:vAlign w:val="center"/>
          </w:tcPr>
          <w:p w14:paraId="2E62F06E">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做好</w:t>
            </w:r>
            <w:r>
              <w:rPr>
                <w:rFonts w:hint="eastAsia" w:ascii="仿宋" w:hAnsi="仿宋" w:eastAsia="仿宋" w:cs="仿宋"/>
                <w:sz w:val="24"/>
                <w:highlight w:val="none"/>
              </w:rPr>
              <w:t>每月巡检记录</w:t>
            </w:r>
            <w:r>
              <w:rPr>
                <w:rFonts w:hint="eastAsia" w:ascii="仿宋" w:hAnsi="仿宋" w:eastAsia="仿宋" w:cs="仿宋"/>
                <w:bCs/>
                <w:sz w:val="24"/>
                <w:highlight w:val="none"/>
              </w:rPr>
              <w:t>、维护记录、</w:t>
            </w:r>
            <w:r>
              <w:rPr>
                <w:rFonts w:hint="eastAsia" w:ascii="仿宋" w:hAnsi="仿宋" w:eastAsia="仿宋" w:cs="仿宋"/>
                <w:sz w:val="24"/>
                <w:highlight w:val="none"/>
              </w:rPr>
              <w:t>租赁月报等。</w:t>
            </w:r>
          </w:p>
        </w:tc>
      </w:tr>
      <w:tr w14:paraId="224D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7D52ABCD">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8</w:t>
            </w:r>
          </w:p>
        </w:tc>
        <w:tc>
          <w:tcPr>
            <w:tcW w:w="678" w:type="pct"/>
            <w:tcBorders>
              <w:top w:val="single" w:color="auto" w:sz="4" w:space="0"/>
              <w:left w:val="single" w:color="auto" w:sz="4" w:space="0"/>
              <w:bottom w:val="single" w:color="auto" w:sz="4" w:space="0"/>
              <w:right w:val="single" w:color="auto" w:sz="4" w:space="0"/>
            </w:tcBorders>
            <w:vAlign w:val="center"/>
          </w:tcPr>
          <w:p w14:paraId="6DF1BD81">
            <w:pPr>
              <w:widowControl/>
              <w:spacing w:line="360" w:lineRule="auto"/>
              <w:jc w:val="center"/>
              <w:rPr>
                <w:rFonts w:ascii="仿宋" w:hAnsi="仿宋" w:eastAsia="仿宋" w:cs="仿宋"/>
                <w:bCs/>
                <w:sz w:val="24"/>
                <w:highlight w:val="none"/>
              </w:rPr>
            </w:pPr>
            <w:r>
              <w:rPr>
                <w:rFonts w:hint="eastAsia" w:ascii="仿宋" w:hAnsi="仿宋" w:eastAsia="仿宋" w:cs="仿宋"/>
                <w:sz w:val="24"/>
                <w:highlight w:val="none"/>
              </w:rPr>
              <w:t>中小企业比例</w:t>
            </w:r>
          </w:p>
        </w:tc>
        <w:tc>
          <w:tcPr>
            <w:tcW w:w="3947" w:type="pct"/>
            <w:tcBorders>
              <w:top w:val="single" w:color="auto" w:sz="4" w:space="0"/>
              <w:left w:val="single" w:color="auto" w:sz="4" w:space="0"/>
              <w:bottom w:val="single" w:color="auto" w:sz="4" w:space="0"/>
              <w:right w:val="single" w:color="auto" w:sz="4" w:space="0"/>
            </w:tcBorders>
            <w:vAlign w:val="center"/>
          </w:tcPr>
          <w:p w14:paraId="1F217D72">
            <w:pPr>
              <w:widowControl/>
              <w:spacing w:line="360" w:lineRule="auto"/>
              <w:rPr>
                <w:rFonts w:ascii="仿宋" w:hAnsi="仿宋" w:eastAsia="仿宋" w:cs="仿宋"/>
                <w:bCs/>
                <w:sz w:val="24"/>
                <w:highlight w:val="none"/>
              </w:rPr>
            </w:pPr>
            <w:r>
              <w:rPr>
                <w:rFonts w:hint="eastAsia" w:ascii="仿宋" w:hAnsi="仿宋" w:eastAsia="仿宋" w:cs="仿宋"/>
                <w:sz w:val="24"/>
                <w:highlight w:val="none"/>
              </w:rPr>
              <w:t>本项目履约过程中，不存在转包行为，且确保服务内容100%面向小微企业。</w:t>
            </w:r>
          </w:p>
        </w:tc>
      </w:tr>
      <w:tr w14:paraId="5109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070E3E8C">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9</w:t>
            </w:r>
          </w:p>
        </w:tc>
        <w:tc>
          <w:tcPr>
            <w:tcW w:w="678" w:type="pct"/>
            <w:tcBorders>
              <w:top w:val="single" w:color="auto" w:sz="4" w:space="0"/>
              <w:left w:val="single" w:color="auto" w:sz="4" w:space="0"/>
              <w:bottom w:val="single" w:color="auto" w:sz="4" w:space="0"/>
              <w:right w:val="single" w:color="auto" w:sz="4" w:space="0"/>
            </w:tcBorders>
            <w:vAlign w:val="center"/>
          </w:tcPr>
          <w:p w14:paraId="2E44B96B">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其他工作</w:t>
            </w:r>
          </w:p>
        </w:tc>
        <w:tc>
          <w:tcPr>
            <w:tcW w:w="3947" w:type="pct"/>
            <w:tcBorders>
              <w:top w:val="single" w:color="auto" w:sz="4" w:space="0"/>
              <w:left w:val="single" w:color="auto" w:sz="4" w:space="0"/>
              <w:bottom w:val="single" w:color="auto" w:sz="4" w:space="0"/>
              <w:right w:val="single" w:color="auto" w:sz="4" w:space="0"/>
            </w:tcBorders>
            <w:vAlign w:val="center"/>
          </w:tcPr>
          <w:p w14:paraId="0F2D6DAE">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履行项目采购文件、投标文件、合同条款中涉及的其他承诺的情况。</w:t>
            </w:r>
          </w:p>
        </w:tc>
      </w:tr>
    </w:tbl>
    <w:p w14:paraId="2655E789">
      <w:pPr>
        <w:pStyle w:val="32"/>
        <w:spacing w:line="360" w:lineRule="auto"/>
        <w:ind w:right="-512" w:firstLine="542" w:firstLineChars="225"/>
        <w:rPr>
          <w:rFonts w:ascii="仿宋" w:hAnsi="仿宋" w:eastAsia="仿宋" w:cs="仿宋"/>
          <w:b/>
          <w:sz w:val="24"/>
          <w:szCs w:val="24"/>
          <w:highlight w:val="none"/>
        </w:rPr>
      </w:pPr>
      <w:r>
        <w:rPr>
          <w:rFonts w:hint="eastAsia" w:ascii="仿宋" w:hAnsi="仿宋" w:eastAsia="仿宋" w:cs="仿宋"/>
          <w:b/>
          <w:sz w:val="24"/>
          <w:szCs w:val="24"/>
          <w:highlight w:val="none"/>
        </w:rPr>
        <w:t xml:space="preserve">6.2 </w:t>
      </w:r>
      <w:r>
        <w:rPr>
          <w:rFonts w:hint="eastAsia" w:ascii="仿宋" w:hAnsi="仿宋" w:eastAsia="仿宋" w:cs="仿宋"/>
          <w:sz w:val="24"/>
          <w:highlight w:val="none"/>
          <w:u w:val="single"/>
        </w:rPr>
        <w:t>第一期</w:t>
      </w:r>
      <w:r>
        <w:rPr>
          <w:rFonts w:hint="eastAsia" w:ascii="仿宋" w:hAnsi="仿宋" w:eastAsia="仿宋" w:cs="仿宋"/>
          <w:b/>
          <w:sz w:val="24"/>
          <w:szCs w:val="24"/>
          <w:highlight w:val="none"/>
        </w:rPr>
        <w:t>验收资料：</w:t>
      </w:r>
    </w:p>
    <w:p w14:paraId="2628F2CC">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1）招标文件；</w:t>
      </w:r>
    </w:p>
    <w:p w14:paraId="2117C885">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2）投标文件；</w:t>
      </w:r>
    </w:p>
    <w:p w14:paraId="5DE91D3E">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3）项目合同；</w:t>
      </w:r>
    </w:p>
    <w:p w14:paraId="5C29CCD9">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4）租赁方案审批单：乙方提出申请经服务监理单位及甲方审批；</w:t>
      </w:r>
    </w:p>
    <w:p w14:paraId="6A993188">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5）每月巡检记录</w:t>
      </w:r>
      <w:r>
        <w:rPr>
          <w:rFonts w:hint="eastAsia" w:ascii="仿宋" w:hAnsi="仿宋" w:eastAsia="仿宋" w:cs="仿宋"/>
          <w:bCs/>
          <w:sz w:val="24"/>
          <w:highlight w:val="none"/>
        </w:rPr>
        <w:t>、维护记录</w:t>
      </w:r>
      <w:r>
        <w:rPr>
          <w:rFonts w:hint="eastAsia" w:ascii="仿宋" w:hAnsi="仿宋" w:eastAsia="仿宋" w:cs="仿宋"/>
          <w:sz w:val="24"/>
          <w:highlight w:val="none"/>
        </w:rPr>
        <w:t>；</w:t>
      </w:r>
    </w:p>
    <w:p w14:paraId="7DCE26FE">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6）租赁月报；</w:t>
      </w:r>
    </w:p>
    <w:p w14:paraId="188EE901">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7）项目组人员清单、学历、工作经验证明、每月社保缴纳材料、驻点人员考勤、人员变更审批表（如有）；</w:t>
      </w:r>
    </w:p>
    <w:p w14:paraId="59D72F8E">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8）培训记录：由培训参与人员签字、培训资料；</w:t>
      </w:r>
    </w:p>
    <w:p w14:paraId="10699E46">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9）每月考核材料：需甲方经办人及审核人、乙方、监理单位签字并盖章；</w:t>
      </w:r>
    </w:p>
    <w:p w14:paraId="7F02A976">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10）网络安全保障方案、网络安全事件应急预案、网络安全风险书面报告（如有）、网络安全重大事项书面报告（如有）；</w:t>
      </w:r>
    </w:p>
    <w:p w14:paraId="22853252">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11）单位保密协议、个人保密承诺书、日常保密教育台账；</w:t>
      </w:r>
    </w:p>
    <w:p w14:paraId="3D4EFEF3">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12）验收报审表：由租赁提供单位提交，经监理单位及甲方审批；</w:t>
      </w:r>
    </w:p>
    <w:p w14:paraId="6588E23E">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13）</w:t>
      </w:r>
      <w:r>
        <w:rPr>
          <w:rFonts w:hint="eastAsia" w:ascii="仿宋" w:hAnsi="仿宋" w:eastAsia="仿宋" w:cs="仿宋"/>
          <w:kern w:val="0"/>
          <w:sz w:val="24"/>
          <w:highlight w:val="none"/>
          <w:lang w:bidi="zh-CN"/>
        </w:rPr>
        <w:t>检测报告</w:t>
      </w:r>
      <w:r>
        <w:rPr>
          <w:rFonts w:hint="eastAsia" w:ascii="仿宋" w:hAnsi="仿宋" w:eastAsia="仿宋" w:cs="仿宋"/>
          <w:sz w:val="24"/>
          <w:highlight w:val="none"/>
        </w:rPr>
        <w:t>证明、产品合格证、质保承诺书；</w:t>
      </w:r>
    </w:p>
    <w:p w14:paraId="7EB7D89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14）小微企业证明材料；</w:t>
      </w:r>
    </w:p>
    <w:p w14:paraId="51D08CC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15）信创检测报告；</w:t>
      </w:r>
    </w:p>
    <w:p w14:paraId="1DC2100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16）第三方检测报告；</w:t>
      </w:r>
    </w:p>
    <w:p w14:paraId="44F7EF1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17）等保测评报告：由测评资质机构出具；商用密码应用测评报告；</w:t>
      </w:r>
    </w:p>
    <w:p w14:paraId="5A89564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18）测试方案/计划、测试报告/用例、系统配置手册、用户操作手册；</w:t>
      </w:r>
    </w:p>
    <w:p w14:paraId="4E63368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19）信息化建设项目变更审批表（如有）、监理报告</w:t>
      </w:r>
    </w:p>
    <w:p w14:paraId="4310EBC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20）其他需提供的相关材料。</w:t>
      </w:r>
    </w:p>
    <w:p w14:paraId="2AA61EDB">
      <w:pPr>
        <w:spacing w:line="360" w:lineRule="auto"/>
        <w:ind w:firstLine="420"/>
        <w:jc w:val="left"/>
        <w:rPr>
          <w:rFonts w:ascii="仿宋" w:hAnsi="仿宋" w:eastAsia="仿宋" w:cs="仿宋"/>
          <w:sz w:val="24"/>
          <w:highlight w:val="none"/>
          <w:u w:val="single"/>
        </w:rPr>
      </w:pPr>
      <w:r>
        <w:rPr>
          <w:rFonts w:hint="eastAsia" w:ascii="仿宋" w:hAnsi="仿宋" w:eastAsia="仿宋" w:cs="仿宋"/>
          <w:sz w:val="24"/>
          <w:highlight w:val="none"/>
          <w:u w:val="single"/>
        </w:rPr>
        <w:t>6.3第二期验收内容</w:t>
      </w:r>
    </w:p>
    <w:tbl>
      <w:tblPr>
        <w:tblStyle w:val="62"/>
        <w:tblW w:w="51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306"/>
        <w:gridCol w:w="7605"/>
      </w:tblGrid>
      <w:tr w14:paraId="7F07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6F118100">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序号</w:t>
            </w:r>
          </w:p>
        </w:tc>
        <w:tc>
          <w:tcPr>
            <w:tcW w:w="678" w:type="pct"/>
            <w:tcBorders>
              <w:top w:val="single" w:color="auto" w:sz="4" w:space="0"/>
              <w:left w:val="single" w:color="auto" w:sz="4" w:space="0"/>
              <w:bottom w:val="single" w:color="auto" w:sz="4" w:space="0"/>
              <w:right w:val="single" w:color="auto" w:sz="4" w:space="0"/>
            </w:tcBorders>
            <w:vAlign w:val="center"/>
          </w:tcPr>
          <w:p w14:paraId="2D68A496">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验收内容</w:t>
            </w:r>
          </w:p>
        </w:tc>
        <w:tc>
          <w:tcPr>
            <w:tcW w:w="3947" w:type="pct"/>
            <w:tcBorders>
              <w:top w:val="single" w:color="auto" w:sz="4" w:space="0"/>
              <w:left w:val="single" w:color="auto" w:sz="4" w:space="0"/>
              <w:bottom w:val="single" w:color="auto" w:sz="4" w:space="0"/>
              <w:right w:val="single" w:color="auto" w:sz="4" w:space="0"/>
            </w:tcBorders>
            <w:vAlign w:val="center"/>
          </w:tcPr>
          <w:p w14:paraId="72F68CBB">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验收标准</w:t>
            </w:r>
          </w:p>
        </w:tc>
      </w:tr>
      <w:tr w14:paraId="15F9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523BF23E">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1</w:t>
            </w:r>
          </w:p>
        </w:tc>
        <w:tc>
          <w:tcPr>
            <w:tcW w:w="678" w:type="pct"/>
            <w:tcBorders>
              <w:top w:val="single" w:color="auto" w:sz="4" w:space="0"/>
              <w:left w:val="single" w:color="auto" w:sz="4" w:space="0"/>
              <w:bottom w:val="single" w:color="auto" w:sz="4" w:space="0"/>
              <w:right w:val="single" w:color="auto" w:sz="4" w:space="0"/>
            </w:tcBorders>
            <w:vAlign w:val="center"/>
          </w:tcPr>
          <w:p w14:paraId="3991394A">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质量</w:t>
            </w:r>
          </w:p>
        </w:tc>
        <w:tc>
          <w:tcPr>
            <w:tcW w:w="3947" w:type="pct"/>
            <w:tcBorders>
              <w:top w:val="single" w:color="auto" w:sz="4" w:space="0"/>
              <w:left w:val="single" w:color="auto" w:sz="4" w:space="0"/>
              <w:bottom w:val="single" w:color="auto" w:sz="4" w:space="0"/>
              <w:right w:val="single" w:color="auto" w:sz="4" w:space="0"/>
            </w:tcBorders>
            <w:vAlign w:val="center"/>
          </w:tcPr>
          <w:p w14:paraId="53014C66">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核对租赁产品品牌、型号、数量等与合同相符，系统设备运行稳定，未发生重大故障，需求设备质量符合公安部GA/T 947-2015标准，性能符合甲方实际使用要求，采集站支持对接现有交警使用的便携式视音频设备品牌且数据符合信创运行环境。</w:t>
            </w:r>
          </w:p>
        </w:tc>
      </w:tr>
      <w:tr w14:paraId="5D96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51FF4018">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2</w:t>
            </w:r>
          </w:p>
        </w:tc>
        <w:tc>
          <w:tcPr>
            <w:tcW w:w="678" w:type="pct"/>
            <w:tcBorders>
              <w:top w:val="single" w:color="auto" w:sz="4" w:space="0"/>
              <w:left w:val="single" w:color="auto" w:sz="4" w:space="0"/>
              <w:bottom w:val="single" w:color="auto" w:sz="4" w:space="0"/>
              <w:right w:val="single" w:color="auto" w:sz="4" w:space="0"/>
            </w:tcBorders>
            <w:vAlign w:val="center"/>
          </w:tcPr>
          <w:p w14:paraId="5B9581C4">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进度</w:t>
            </w:r>
          </w:p>
        </w:tc>
        <w:tc>
          <w:tcPr>
            <w:tcW w:w="3947" w:type="pct"/>
            <w:tcBorders>
              <w:top w:val="single" w:color="auto" w:sz="4" w:space="0"/>
              <w:left w:val="single" w:color="auto" w:sz="4" w:space="0"/>
              <w:bottom w:val="single" w:color="auto" w:sz="4" w:space="0"/>
              <w:right w:val="single" w:color="auto" w:sz="4" w:space="0"/>
            </w:tcBorders>
            <w:vAlign w:val="center"/>
          </w:tcPr>
          <w:p w14:paraId="4A2E76C6">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项目按合同要求服务时间、故障响应的时间等落实到位。</w:t>
            </w:r>
          </w:p>
        </w:tc>
      </w:tr>
      <w:tr w14:paraId="18EE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10F5FF64">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3</w:t>
            </w:r>
          </w:p>
        </w:tc>
        <w:tc>
          <w:tcPr>
            <w:tcW w:w="678" w:type="pct"/>
            <w:tcBorders>
              <w:top w:val="single" w:color="auto" w:sz="4" w:space="0"/>
              <w:left w:val="single" w:color="auto" w:sz="4" w:space="0"/>
              <w:bottom w:val="single" w:color="auto" w:sz="4" w:space="0"/>
              <w:right w:val="single" w:color="auto" w:sz="4" w:space="0"/>
            </w:tcBorders>
            <w:vAlign w:val="center"/>
          </w:tcPr>
          <w:p w14:paraId="7C7ACA1F">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人员培训</w:t>
            </w:r>
          </w:p>
        </w:tc>
        <w:tc>
          <w:tcPr>
            <w:tcW w:w="3947" w:type="pct"/>
            <w:tcBorders>
              <w:top w:val="single" w:color="auto" w:sz="4" w:space="0"/>
              <w:left w:val="single" w:color="auto" w:sz="4" w:space="0"/>
              <w:bottom w:val="single" w:color="auto" w:sz="4" w:space="0"/>
              <w:right w:val="single" w:color="auto" w:sz="4" w:space="0"/>
            </w:tcBorders>
            <w:vAlign w:val="center"/>
          </w:tcPr>
          <w:p w14:paraId="78496841">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按合同和甲方需求对甲方指定人员进行培训。</w:t>
            </w:r>
          </w:p>
        </w:tc>
      </w:tr>
      <w:tr w14:paraId="3F75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7C466A7D">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4</w:t>
            </w:r>
          </w:p>
        </w:tc>
        <w:tc>
          <w:tcPr>
            <w:tcW w:w="678" w:type="pct"/>
            <w:tcBorders>
              <w:top w:val="single" w:color="auto" w:sz="4" w:space="0"/>
              <w:left w:val="single" w:color="auto" w:sz="4" w:space="0"/>
              <w:bottom w:val="single" w:color="auto" w:sz="4" w:space="0"/>
              <w:right w:val="single" w:color="auto" w:sz="4" w:space="0"/>
            </w:tcBorders>
            <w:vAlign w:val="center"/>
          </w:tcPr>
          <w:p w14:paraId="47BB08EE">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人员管理</w:t>
            </w:r>
          </w:p>
        </w:tc>
        <w:tc>
          <w:tcPr>
            <w:tcW w:w="3947" w:type="pct"/>
            <w:tcBorders>
              <w:top w:val="single" w:color="auto" w:sz="4" w:space="0"/>
              <w:left w:val="single" w:color="auto" w:sz="4" w:space="0"/>
              <w:bottom w:val="single" w:color="auto" w:sz="4" w:space="0"/>
              <w:right w:val="single" w:color="auto" w:sz="4" w:space="0"/>
            </w:tcBorders>
            <w:vAlign w:val="center"/>
          </w:tcPr>
          <w:p w14:paraId="70472CB2">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在服务期间，按合同和投标文件投入相应资质人员。</w:t>
            </w:r>
          </w:p>
          <w:p w14:paraId="5642A5C1">
            <w:pPr>
              <w:snapToGrid w:val="0"/>
              <w:spacing w:line="360" w:lineRule="auto"/>
              <w:rPr>
                <w:rFonts w:ascii="仿宋" w:hAnsi="仿宋" w:eastAsia="仿宋" w:cs="仿宋"/>
                <w:bCs/>
                <w:sz w:val="24"/>
                <w:highlight w:val="none"/>
              </w:rPr>
            </w:pPr>
            <w:r>
              <w:rPr>
                <w:rFonts w:hint="eastAsia" w:ascii="仿宋" w:hAnsi="仿宋" w:eastAsia="仿宋" w:cs="仿宋"/>
                <w:kern w:val="0"/>
                <w:sz w:val="24"/>
                <w:highlight w:val="none"/>
                <w:lang w:bidi="zh-CN"/>
              </w:rPr>
              <w:t>按照实际工作需要，配备不少于1名项目负责人和1名驻点人员。</w:t>
            </w:r>
          </w:p>
        </w:tc>
      </w:tr>
      <w:tr w14:paraId="6AD7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0FEAC2F7">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5</w:t>
            </w:r>
          </w:p>
        </w:tc>
        <w:tc>
          <w:tcPr>
            <w:tcW w:w="678" w:type="pct"/>
            <w:tcBorders>
              <w:top w:val="single" w:color="auto" w:sz="4" w:space="0"/>
              <w:left w:val="single" w:color="auto" w:sz="4" w:space="0"/>
              <w:bottom w:val="single" w:color="auto" w:sz="4" w:space="0"/>
              <w:right w:val="single" w:color="auto" w:sz="4" w:space="0"/>
            </w:tcBorders>
            <w:vAlign w:val="center"/>
          </w:tcPr>
          <w:p w14:paraId="7B503195">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网络安全</w:t>
            </w:r>
          </w:p>
        </w:tc>
        <w:tc>
          <w:tcPr>
            <w:tcW w:w="3947" w:type="pct"/>
            <w:tcBorders>
              <w:top w:val="single" w:color="auto" w:sz="4" w:space="0"/>
              <w:left w:val="single" w:color="auto" w:sz="4" w:space="0"/>
              <w:bottom w:val="single" w:color="auto" w:sz="4" w:space="0"/>
              <w:right w:val="single" w:color="auto" w:sz="4" w:space="0"/>
            </w:tcBorders>
            <w:vAlign w:val="center"/>
          </w:tcPr>
          <w:p w14:paraId="653A6F3B">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（1）明确乙方法定代表人为合作事项网络安全第一责任人，具体承担合作事项的部门主要负责人为直接责任人。</w:t>
            </w:r>
          </w:p>
          <w:p w14:paraId="6493E860">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（2）未经允许不得分包，不得转包合同任务。</w:t>
            </w:r>
          </w:p>
          <w:p w14:paraId="26EA3636">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（3）乙方应制订与合作事项相关的网络安全保障方案和网络安全事件应急预案。</w:t>
            </w:r>
          </w:p>
          <w:p w14:paraId="453FDA2E">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（4）乙方发现网络安全漏洞、缺陷或者其他严重网络安全风险，应及时向甲方报告。</w:t>
            </w:r>
          </w:p>
          <w:p w14:paraId="16B3BF68">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（5）处理合作事项的信息平台应当优先采用</w:t>
            </w:r>
            <w:r>
              <w:rPr>
                <w:rFonts w:hint="eastAsia" w:ascii="仿宋" w:hAnsi="仿宋" w:eastAsia="仿宋" w:cs="仿宋"/>
                <w:kern w:val="0"/>
                <w:sz w:val="24"/>
                <w:highlight w:val="none"/>
                <w:lang w:bidi="zh-CN"/>
              </w:rPr>
              <w:t>符合安全可靠测评要求</w:t>
            </w:r>
            <w:r>
              <w:rPr>
                <w:rFonts w:hint="eastAsia" w:ascii="仿宋" w:hAnsi="仿宋" w:eastAsia="仿宋" w:cs="仿宋"/>
                <w:bCs/>
                <w:sz w:val="24"/>
                <w:highlight w:val="none"/>
              </w:rPr>
              <w:t>的硬件和软件产品。</w:t>
            </w:r>
          </w:p>
          <w:p w14:paraId="70B208C1">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（6）发生可能影响合作事项的网络安全重大事项，包括负责人及重要工作人员变更、业务转型、合并重组和投资并购等，乙方应提前向甲方报告。</w:t>
            </w:r>
          </w:p>
          <w:p w14:paraId="263AA0D0">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（7）采用社会公共网络平台实施合作事项时，严禁涉及国家秘密和警务工作秘密。</w:t>
            </w:r>
          </w:p>
          <w:p w14:paraId="7C25F0A3">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（8）乙方应在2026年8月1日前向甲方提交网络安全报告。</w:t>
            </w:r>
          </w:p>
          <w:p w14:paraId="0FCF22B0">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（9）其他应当落实的网络安全责任和义务。</w:t>
            </w:r>
          </w:p>
        </w:tc>
      </w:tr>
      <w:tr w14:paraId="7483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2212B255">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6</w:t>
            </w:r>
          </w:p>
        </w:tc>
        <w:tc>
          <w:tcPr>
            <w:tcW w:w="678" w:type="pct"/>
            <w:tcBorders>
              <w:top w:val="single" w:color="auto" w:sz="4" w:space="0"/>
              <w:left w:val="single" w:color="auto" w:sz="4" w:space="0"/>
              <w:bottom w:val="single" w:color="auto" w:sz="4" w:space="0"/>
              <w:right w:val="single" w:color="auto" w:sz="4" w:space="0"/>
            </w:tcBorders>
            <w:vAlign w:val="center"/>
          </w:tcPr>
          <w:p w14:paraId="05BA293C">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保密要求</w:t>
            </w:r>
          </w:p>
        </w:tc>
        <w:tc>
          <w:tcPr>
            <w:tcW w:w="3947" w:type="pct"/>
            <w:tcBorders>
              <w:top w:val="single" w:color="auto" w:sz="4" w:space="0"/>
              <w:left w:val="single" w:color="auto" w:sz="4" w:space="0"/>
              <w:bottom w:val="single" w:color="auto" w:sz="4" w:space="0"/>
              <w:right w:val="single" w:color="auto" w:sz="4" w:space="0"/>
            </w:tcBorders>
            <w:vAlign w:val="center"/>
          </w:tcPr>
          <w:p w14:paraId="19FC3BB4">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满足甲方的保密规定实施，签订单位保密协议、个人保密承诺书。</w:t>
            </w:r>
          </w:p>
        </w:tc>
      </w:tr>
      <w:tr w14:paraId="52FF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06288142">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7</w:t>
            </w:r>
          </w:p>
        </w:tc>
        <w:tc>
          <w:tcPr>
            <w:tcW w:w="678" w:type="pct"/>
            <w:tcBorders>
              <w:top w:val="single" w:color="auto" w:sz="4" w:space="0"/>
              <w:left w:val="single" w:color="auto" w:sz="4" w:space="0"/>
              <w:bottom w:val="single" w:color="auto" w:sz="4" w:space="0"/>
              <w:right w:val="single" w:color="auto" w:sz="4" w:space="0"/>
            </w:tcBorders>
            <w:vAlign w:val="center"/>
          </w:tcPr>
          <w:p w14:paraId="0C479A69">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项目资料</w:t>
            </w:r>
          </w:p>
        </w:tc>
        <w:tc>
          <w:tcPr>
            <w:tcW w:w="3947" w:type="pct"/>
            <w:tcBorders>
              <w:top w:val="single" w:color="auto" w:sz="4" w:space="0"/>
              <w:left w:val="single" w:color="auto" w:sz="4" w:space="0"/>
              <w:bottom w:val="single" w:color="auto" w:sz="4" w:space="0"/>
              <w:right w:val="single" w:color="auto" w:sz="4" w:space="0"/>
            </w:tcBorders>
            <w:vAlign w:val="center"/>
          </w:tcPr>
          <w:p w14:paraId="7E5ED36B">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做好</w:t>
            </w:r>
            <w:r>
              <w:rPr>
                <w:rFonts w:hint="eastAsia" w:ascii="仿宋" w:hAnsi="仿宋" w:eastAsia="仿宋" w:cs="仿宋"/>
                <w:sz w:val="24"/>
                <w:highlight w:val="none"/>
              </w:rPr>
              <w:t>每月巡检记录</w:t>
            </w:r>
            <w:r>
              <w:rPr>
                <w:rFonts w:hint="eastAsia" w:ascii="仿宋" w:hAnsi="仿宋" w:eastAsia="仿宋" w:cs="仿宋"/>
                <w:bCs/>
                <w:sz w:val="24"/>
                <w:highlight w:val="none"/>
              </w:rPr>
              <w:t>、维护记录、</w:t>
            </w:r>
            <w:r>
              <w:rPr>
                <w:rFonts w:hint="eastAsia" w:ascii="仿宋" w:hAnsi="仿宋" w:eastAsia="仿宋" w:cs="仿宋"/>
                <w:sz w:val="24"/>
                <w:highlight w:val="none"/>
              </w:rPr>
              <w:t>租赁月报、租赁总结报告等。</w:t>
            </w:r>
          </w:p>
        </w:tc>
      </w:tr>
      <w:tr w14:paraId="7C01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638085AE">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8</w:t>
            </w:r>
          </w:p>
        </w:tc>
        <w:tc>
          <w:tcPr>
            <w:tcW w:w="678" w:type="pct"/>
            <w:tcBorders>
              <w:top w:val="single" w:color="auto" w:sz="4" w:space="0"/>
              <w:left w:val="single" w:color="auto" w:sz="4" w:space="0"/>
              <w:bottom w:val="single" w:color="auto" w:sz="4" w:space="0"/>
              <w:right w:val="single" w:color="auto" w:sz="4" w:space="0"/>
            </w:tcBorders>
            <w:vAlign w:val="center"/>
          </w:tcPr>
          <w:p w14:paraId="695874B6">
            <w:pPr>
              <w:widowControl/>
              <w:spacing w:line="360" w:lineRule="auto"/>
              <w:jc w:val="center"/>
              <w:rPr>
                <w:rFonts w:ascii="仿宋" w:hAnsi="仿宋" w:eastAsia="仿宋" w:cs="仿宋"/>
                <w:bCs/>
                <w:sz w:val="24"/>
                <w:highlight w:val="none"/>
              </w:rPr>
            </w:pPr>
            <w:r>
              <w:rPr>
                <w:rFonts w:hint="eastAsia" w:ascii="仿宋" w:hAnsi="仿宋" w:eastAsia="仿宋" w:cs="仿宋"/>
                <w:sz w:val="24"/>
                <w:highlight w:val="none"/>
              </w:rPr>
              <w:t>中小企业比例</w:t>
            </w:r>
          </w:p>
        </w:tc>
        <w:tc>
          <w:tcPr>
            <w:tcW w:w="3947" w:type="pct"/>
            <w:tcBorders>
              <w:top w:val="single" w:color="auto" w:sz="4" w:space="0"/>
              <w:left w:val="single" w:color="auto" w:sz="4" w:space="0"/>
              <w:bottom w:val="single" w:color="auto" w:sz="4" w:space="0"/>
              <w:right w:val="single" w:color="auto" w:sz="4" w:space="0"/>
            </w:tcBorders>
            <w:vAlign w:val="center"/>
          </w:tcPr>
          <w:p w14:paraId="1E297827">
            <w:pPr>
              <w:widowControl/>
              <w:spacing w:line="360" w:lineRule="auto"/>
              <w:rPr>
                <w:rFonts w:ascii="仿宋" w:hAnsi="仿宋" w:eastAsia="仿宋" w:cs="仿宋"/>
                <w:bCs/>
                <w:sz w:val="24"/>
                <w:highlight w:val="none"/>
              </w:rPr>
            </w:pPr>
            <w:r>
              <w:rPr>
                <w:rFonts w:hint="eastAsia" w:ascii="仿宋" w:hAnsi="仿宋" w:eastAsia="仿宋" w:cs="仿宋"/>
                <w:sz w:val="24"/>
                <w:highlight w:val="none"/>
              </w:rPr>
              <w:t>本项目履约过程中，不存在转包行为，且确保服务内容100%面向小微企业。</w:t>
            </w:r>
          </w:p>
        </w:tc>
      </w:tr>
      <w:tr w14:paraId="0775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07233D6B">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9</w:t>
            </w:r>
          </w:p>
        </w:tc>
        <w:tc>
          <w:tcPr>
            <w:tcW w:w="678" w:type="pct"/>
            <w:tcBorders>
              <w:top w:val="single" w:color="auto" w:sz="4" w:space="0"/>
              <w:left w:val="single" w:color="auto" w:sz="4" w:space="0"/>
              <w:bottom w:val="single" w:color="auto" w:sz="4" w:space="0"/>
              <w:right w:val="single" w:color="auto" w:sz="4" w:space="0"/>
            </w:tcBorders>
            <w:vAlign w:val="center"/>
          </w:tcPr>
          <w:p w14:paraId="0C74FB99">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其他工作</w:t>
            </w:r>
          </w:p>
        </w:tc>
        <w:tc>
          <w:tcPr>
            <w:tcW w:w="3947" w:type="pct"/>
            <w:tcBorders>
              <w:top w:val="single" w:color="auto" w:sz="4" w:space="0"/>
              <w:left w:val="single" w:color="auto" w:sz="4" w:space="0"/>
              <w:bottom w:val="single" w:color="auto" w:sz="4" w:space="0"/>
              <w:right w:val="single" w:color="auto" w:sz="4" w:space="0"/>
            </w:tcBorders>
            <w:vAlign w:val="center"/>
          </w:tcPr>
          <w:p w14:paraId="05CDF66A">
            <w:pPr>
              <w:widowControl/>
              <w:spacing w:line="360" w:lineRule="auto"/>
              <w:rPr>
                <w:rFonts w:ascii="仿宋" w:hAnsi="仿宋" w:eastAsia="仿宋" w:cs="仿宋"/>
                <w:bCs/>
                <w:sz w:val="24"/>
                <w:highlight w:val="none"/>
              </w:rPr>
            </w:pPr>
            <w:r>
              <w:rPr>
                <w:rFonts w:hint="eastAsia" w:ascii="仿宋" w:hAnsi="仿宋" w:eastAsia="仿宋" w:cs="仿宋"/>
                <w:bCs/>
                <w:sz w:val="24"/>
                <w:highlight w:val="none"/>
              </w:rPr>
              <w:t>履行项目采购文件、投标文件、合同条款中涉及的其他承诺的情况。</w:t>
            </w:r>
          </w:p>
        </w:tc>
      </w:tr>
    </w:tbl>
    <w:p w14:paraId="760FEEEE">
      <w:pPr>
        <w:pStyle w:val="32"/>
        <w:spacing w:line="360" w:lineRule="auto"/>
        <w:ind w:right="-512" w:firstLine="542" w:firstLineChars="225"/>
        <w:rPr>
          <w:rFonts w:ascii="仿宋" w:hAnsi="仿宋" w:eastAsia="仿宋" w:cs="仿宋"/>
          <w:b/>
          <w:sz w:val="24"/>
          <w:szCs w:val="24"/>
          <w:highlight w:val="none"/>
        </w:rPr>
      </w:pPr>
      <w:r>
        <w:rPr>
          <w:rFonts w:hint="eastAsia" w:ascii="仿宋" w:hAnsi="仿宋" w:eastAsia="仿宋" w:cs="仿宋"/>
          <w:b/>
          <w:sz w:val="24"/>
          <w:szCs w:val="24"/>
          <w:highlight w:val="none"/>
        </w:rPr>
        <w:t>6.4第二期验收资料：</w:t>
      </w:r>
    </w:p>
    <w:p w14:paraId="0829A93E">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1）招标文件；</w:t>
      </w:r>
    </w:p>
    <w:p w14:paraId="43CB1A21">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2）投标文件；</w:t>
      </w:r>
    </w:p>
    <w:p w14:paraId="15CE93F8">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3）项目合同；</w:t>
      </w:r>
    </w:p>
    <w:p w14:paraId="44AFDAEB">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4）租赁方案审批单：乙方提出申请经服务监理单位及甲方审批；</w:t>
      </w:r>
    </w:p>
    <w:p w14:paraId="596DDF3D">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5）每月巡检记录</w:t>
      </w:r>
      <w:r>
        <w:rPr>
          <w:rFonts w:hint="eastAsia" w:ascii="仿宋" w:hAnsi="仿宋" w:eastAsia="仿宋" w:cs="仿宋"/>
          <w:bCs/>
          <w:sz w:val="24"/>
          <w:highlight w:val="none"/>
        </w:rPr>
        <w:t>、维护记录</w:t>
      </w:r>
      <w:r>
        <w:rPr>
          <w:rFonts w:hint="eastAsia" w:ascii="仿宋" w:hAnsi="仿宋" w:eastAsia="仿宋" w:cs="仿宋"/>
          <w:sz w:val="24"/>
          <w:highlight w:val="none"/>
        </w:rPr>
        <w:t>；</w:t>
      </w:r>
    </w:p>
    <w:p w14:paraId="6C385AB9">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6）租赁月报、租赁总结报告；</w:t>
      </w:r>
    </w:p>
    <w:p w14:paraId="3BC3758E">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7）项目组人员清单、学历、工作经验证明、每月社保缴纳材料、驻点人员考勤、人员变更审批表（如有）；</w:t>
      </w:r>
    </w:p>
    <w:p w14:paraId="396C8396">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8）培训记录：由培训参与人员签字、培训资料；</w:t>
      </w:r>
    </w:p>
    <w:p w14:paraId="6A40DBE2">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9）每月考核材料：需甲方经办人及审核人、乙方、监理单位签字并盖章；</w:t>
      </w:r>
    </w:p>
    <w:p w14:paraId="70B377EC">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10）网络安全保障方案、网络安全事件应急预案、网络安全风险书面报告（如有）、网络安全重大事项书面报告（如有）、网络安全报告；</w:t>
      </w:r>
    </w:p>
    <w:p w14:paraId="3F60193E">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11）单位保密协议、个人保密承诺书、日常保密教育台账；</w:t>
      </w:r>
    </w:p>
    <w:p w14:paraId="292A0351">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12）验收报审表：由租赁提供单位提交，经监理单位及甲方审批；</w:t>
      </w:r>
    </w:p>
    <w:p w14:paraId="3AF0B90A">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13）</w:t>
      </w:r>
      <w:r>
        <w:rPr>
          <w:rFonts w:hint="eastAsia" w:ascii="仿宋" w:hAnsi="仿宋" w:eastAsia="仿宋" w:cs="仿宋"/>
          <w:kern w:val="0"/>
          <w:sz w:val="24"/>
          <w:highlight w:val="none"/>
          <w:lang w:bidi="zh-CN"/>
        </w:rPr>
        <w:t>检测报告</w:t>
      </w:r>
      <w:r>
        <w:rPr>
          <w:rFonts w:hint="eastAsia" w:ascii="仿宋" w:hAnsi="仿宋" w:eastAsia="仿宋" w:cs="仿宋"/>
          <w:sz w:val="24"/>
          <w:highlight w:val="none"/>
        </w:rPr>
        <w:t>证明、产品合格证、质保承诺书；</w:t>
      </w:r>
    </w:p>
    <w:p w14:paraId="7F16426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14）小微企业证明材料；</w:t>
      </w:r>
    </w:p>
    <w:p w14:paraId="68FE2A9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15）信创检测报告；</w:t>
      </w:r>
    </w:p>
    <w:p w14:paraId="66D4C5A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16）第三方检测报告；</w:t>
      </w:r>
    </w:p>
    <w:p w14:paraId="08CF0AD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17）等保测评报告：由测评资质机构出具；商用密码应用测评报告；</w:t>
      </w:r>
    </w:p>
    <w:p w14:paraId="20887B3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18）测试方案/计划、测试报告/用例、系统配置手册、用户操作手册；</w:t>
      </w:r>
    </w:p>
    <w:p w14:paraId="6586055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19）信息化建设项目变更审批表（如有）、监理报告</w:t>
      </w:r>
    </w:p>
    <w:p w14:paraId="61D6498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20）第一期验收资料</w:t>
      </w:r>
    </w:p>
    <w:p w14:paraId="2EE8735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21）其他需提供的相关材料。</w:t>
      </w:r>
    </w:p>
    <w:p w14:paraId="161D0A0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2.19本合同正本壹式陆份，具有同等法律效力，甲乙双方各执叁份。</w:t>
      </w:r>
    </w:p>
    <w:p w14:paraId="6BB6776C">
      <w:pPr>
        <w:spacing w:line="360" w:lineRule="auto"/>
        <w:ind w:firstLine="241" w:firstLineChars="100"/>
        <w:rPr>
          <w:rFonts w:ascii="仿宋" w:hAnsi="仿宋" w:eastAsia="仿宋" w:cs="仿宋"/>
          <w:b/>
          <w:kern w:val="0"/>
          <w:sz w:val="24"/>
          <w:highlight w:val="none"/>
          <w:lang w:bidi="zh-CN"/>
        </w:rPr>
      </w:pPr>
      <w:r>
        <w:rPr>
          <w:rFonts w:hint="eastAsia" w:ascii="仿宋" w:hAnsi="仿宋" w:eastAsia="仿宋" w:cs="仿宋"/>
          <w:b/>
          <w:kern w:val="0"/>
          <w:sz w:val="24"/>
          <w:highlight w:val="none"/>
          <w:lang w:bidi="zh-CN"/>
        </w:rPr>
        <w:t>3、本次租赁采购技术需求</w:t>
      </w:r>
    </w:p>
    <w:tbl>
      <w:tblPr>
        <w:tblStyle w:val="62"/>
        <w:tblW w:w="0" w:type="auto"/>
        <w:tblInd w:w="118" w:type="dxa"/>
        <w:tblLayout w:type="fixed"/>
        <w:tblCellMar>
          <w:top w:w="0" w:type="dxa"/>
          <w:left w:w="108" w:type="dxa"/>
          <w:bottom w:w="0" w:type="dxa"/>
          <w:right w:w="108" w:type="dxa"/>
        </w:tblCellMar>
      </w:tblPr>
      <w:tblGrid>
        <w:gridCol w:w="659"/>
        <w:gridCol w:w="1199"/>
        <w:gridCol w:w="5929"/>
        <w:gridCol w:w="781"/>
      </w:tblGrid>
      <w:tr w14:paraId="4FA38D77">
        <w:tblPrEx>
          <w:tblCellMar>
            <w:top w:w="0" w:type="dxa"/>
            <w:left w:w="108" w:type="dxa"/>
            <w:bottom w:w="0" w:type="dxa"/>
            <w:right w:w="108" w:type="dxa"/>
          </w:tblCellMar>
        </w:tblPrEx>
        <w:trPr>
          <w:trHeight w:val="340" w:hRule="atLeast"/>
        </w:trPr>
        <w:tc>
          <w:tcPr>
            <w:tcW w:w="659" w:type="dxa"/>
            <w:tcBorders>
              <w:top w:val="single" w:color="auto" w:sz="8" w:space="0"/>
              <w:left w:val="single" w:color="auto" w:sz="8" w:space="0"/>
              <w:bottom w:val="single" w:color="auto" w:sz="8" w:space="0"/>
              <w:right w:val="single" w:color="auto" w:sz="8" w:space="0"/>
            </w:tcBorders>
            <w:vAlign w:val="center"/>
          </w:tcPr>
          <w:p w14:paraId="6584BA7B">
            <w:pPr>
              <w:widowControl/>
              <w:spacing w:line="360" w:lineRule="auto"/>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序号</w:t>
            </w:r>
          </w:p>
        </w:tc>
        <w:tc>
          <w:tcPr>
            <w:tcW w:w="1199" w:type="dxa"/>
            <w:tcBorders>
              <w:top w:val="single" w:color="auto" w:sz="8" w:space="0"/>
              <w:left w:val="nil"/>
              <w:bottom w:val="single" w:color="auto" w:sz="8" w:space="0"/>
              <w:right w:val="single" w:color="auto" w:sz="8" w:space="0"/>
            </w:tcBorders>
            <w:vAlign w:val="center"/>
          </w:tcPr>
          <w:p w14:paraId="4C11BF5E">
            <w:pPr>
              <w:widowControl/>
              <w:spacing w:line="360" w:lineRule="auto"/>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设备名称</w:t>
            </w:r>
          </w:p>
        </w:tc>
        <w:tc>
          <w:tcPr>
            <w:tcW w:w="5929" w:type="dxa"/>
            <w:tcBorders>
              <w:top w:val="single" w:color="auto" w:sz="8" w:space="0"/>
              <w:left w:val="nil"/>
              <w:bottom w:val="single" w:color="auto" w:sz="8" w:space="0"/>
              <w:right w:val="single" w:color="auto" w:sz="8" w:space="0"/>
            </w:tcBorders>
            <w:vAlign w:val="center"/>
          </w:tcPr>
          <w:p w14:paraId="31EED0CC">
            <w:pPr>
              <w:widowControl/>
              <w:spacing w:line="360" w:lineRule="auto"/>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规格配置</w:t>
            </w:r>
          </w:p>
        </w:tc>
        <w:tc>
          <w:tcPr>
            <w:tcW w:w="781" w:type="dxa"/>
            <w:tcBorders>
              <w:top w:val="single" w:color="auto" w:sz="8" w:space="0"/>
              <w:left w:val="nil"/>
              <w:bottom w:val="single" w:color="auto" w:sz="8" w:space="0"/>
              <w:right w:val="single" w:color="auto" w:sz="8" w:space="0"/>
            </w:tcBorders>
            <w:vAlign w:val="center"/>
          </w:tcPr>
          <w:p w14:paraId="48BF918A">
            <w:pPr>
              <w:widowControl/>
              <w:spacing w:line="360" w:lineRule="auto"/>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数量</w:t>
            </w:r>
          </w:p>
        </w:tc>
      </w:tr>
      <w:tr w14:paraId="23DD0147">
        <w:tblPrEx>
          <w:tblCellMar>
            <w:top w:w="0" w:type="dxa"/>
            <w:left w:w="108" w:type="dxa"/>
            <w:bottom w:w="0" w:type="dxa"/>
            <w:right w:w="108" w:type="dxa"/>
          </w:tblCellMar>
        </w:tblPrEx>
        <w:trPr>
          <w:trHeight w:val="340" w:hRule="atLeast"/>
        </w:trPr>
        <w:tc>
          <w:tcPr>
            <w:tcW w:w="659" w:type="dxa"/>
            <w:tcBorders>
              <w:top w:val="nil"/>
              <w:left w:val="single" w:color="auto" w:sz="8" w:space="0"/>
              <w:bottom w:val="single" w:color="000000" w:sz="8" w:space="0"/>
              <w:right w:val="single" w:color="auto" w:sz="8" w:space="0"/>
            </w:tcBorders>
            <w:vAlign w:val="center"/>
          </w:tcPr>
          <w:p w14:paraId="380F28AA">
            <w:pPr>
              <w:widowControl/>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1199" w:type="dxa"/>
            <w:tcBorders>
              <w:top w:val="nil"/>
              <w:left w:val="single" w:color="auto" w:sz="8" w:space="0"/>
              <w:bottom w:val="single" w:color="000000" w:sz="8" w:space="0"/>
              <w:right w:val="single" w:color="auto" w:sz="8" w:space="0"/>
            </w:tcBorders>
            <w:vAlign w:val="center"/>
          </w:tcPr>
          <w:p w14:paraId="7E194851">
            <w:pPr>
              <w:widowControl/>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lang w:bidi="zh-CN"/>
              </w:rPr>
              <w:t>5G便携式视音频设备</w:t>
            </w:r>
          </w:p>
        </w:tc>
        <w:tc>
          <w:tcPr>
            <w:tcW w:w="5929" w:type="dxa"/>
            <w:tcBorders>
              <w:top w:val="nil"/>
              <w:left w:val="nil"/>
              <w:bottom w:val="single" w:color="000000" w:sz="8" w:space="0"/>
              <w:right w:val="single" w:color="000000" w:sz="8" w:space="0"/>
            </w:tcBorders>
            <w:vAlign w:val="center"/>
          </w:tcPr>
          <w:p w14:paraId="1CA4FC0F">
            <w:pPr>
              <w:widowControl/>
              <w:spacing w:line="360" w:lineRule="auto"/>
              <w:rPr>
                <w:rFonts w:ascii="仿宋" w:hAnsi="仿宋" w:eastAsia="仿宋" w:cs="仿宋"/>
                <w:b/>
                <w:bCs/>
                <w:kern w:val="0"/>
                <w:sz w:val="24"/>
                <w:highlight w:val="none"/>
              </w:rPr>
            </w:pPr>
            <w:r>
              <w:rPr>
                <w:rFonts w:hint="eastAsia" w:ascii="仿宋" w:hAnsi="仿宋" w:eastAsia="仿宋" w:cs="仿宋"/>
                <w:kern w:val="0"/>
                <w:sz w:val="24"/>
                <w:highlight w:val="none"/>
              </w:rPr>
              <w:t>操作系统：不低于安卓13</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CPU：≥8核 2.4GHz</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系统内存：≥4G(RAM)+64G（ROM）</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运营商网络：5G全网通，兼容4G/3G/2G，支持移动/联通/电信</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WIFI：支持2.4G、5G双频WiFi</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蓝牙：不低于蓝牙5.1</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 xml:space="preserve">传感器：支持加速度传感器，地磁传感器、陀螺传感器 </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显示屏：彩色触摸屏，屏幕尺寸≥3.1in，显示屏幕亮度≥300cd/㎡，对比度≥400:1</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接口：支持通过type-C进行充电和数据传输，支持通过type-c接口连接高清外置摄像头，并且可以自动开启红外功能</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指示灯：录像红灯闪烁、录音黄灯闪烁、待机绿灯慢闪、图传蓝灯闪烁、激光灯指示</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摄像头：具有≥4个摄像头，主摄像头最大分辨率≥9600×5400,副摄像头最大分辨率≥3120×4160，人像摄像头最大分辨率≥1920×1080，夜视摄像头≥1280×720</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 xml:space="preserve">电池容量：锂聚合物电池，3500mAh </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视频分辨率：4K、2K、1080P、720P、480P</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双码流：最大支持录像 4K（30 帧/秒） ，同时网传 4K（30 帧/秒 ）</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照片分辨率：JPG, 支持5200万像素</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 xml:space="preserve">充电时间：≤2小时 </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工作环境：-20℃~+55℃</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双卡双待：便携式视音频设备应能同时插入两张 5G SIM 卡，可接入中国移动、联通、电信、广电四家运营商 5G网络，用户可以自行切换主 SIM 卡数据网络；</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设备采用可更换电池方式供电，更换一块电池后，1920×1080分辨率录像时间≧18h，单块电池容量≥3500mAh；</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数据分享功能：便携式视音频设备可将本机存储的数据文件，分享给其他的便携式视音频设备，数据文件包括文字短讯、图片和视音频文件，可实现即时通讯；</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远程控制功能：通过管理平台可远程设置便携式视音频设备参数和远程操控便携式视音频设备录像，远程锁定、清除数据、出厂设置、远程升级等功能；</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录像文件加密功能：便携式视音频设备支持录像视音频文件加密功能，加密视频文件通过专用播放器才可播放；</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指令接受和反馈功能：当管理平台下发指令（包括文字信息，图片等）给便携式视音频设备，便携式视音频设备接受指令后，自动反馈给管理平台已阅读指令；</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紧急摄录功能：紧急摄录功能开启状态下，录像过程中发生撞击时，可自动保存录像文件并重新进入摄录模式，在待机状态下发生撞击时，可自动进入录像模式；</w:t>
            </w:r>
          </w:p>
        </w:tc>
        <w:tc>
          <w:tcPr>
            <w:tcW w:w="781" w:type="dxa"/>
            <w:tcBorders>
              <w:top w:val="nil"/>
              <w:left w:val="single" w:color="auto" w:sz="8" w:space="0"/>
              <w:bottom w:val="single" w:color="000000" w:sz="8" w:space="0"/>
              <w:right w:val="single" w:color="auto" w:sz="8" w:space="0"/>
            </w:tcBorders>
            <w:vAlign w:val="center"/>
          </w:tcPr>
          <w:p w14:paraId="59BEDA44">
            <w:pPr>
              <w:widowControl/>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1800</w:t>
            </w:r>
          </w:p>
        </w:tc>
      </w:tr>
      <w:tr w14:paraId="4C449415">
        <w:tblPrEx>
          <w:tblCellMar>
            <w:top w:w="0" w:type="dxa"/>
            <w:left w:w="108" w:type="dxa"/>
            <w:bottom w:w="0" w:type="dxa"/>
            <w:right w:w="108" w:type="dxa"/>
          </w:tblCellMar>
        </w:tblPrEx>
        <w:trPr>
          <w:trHeight w:val="340" w:hRule="atLeast"/>
        </w:trPr>
        <w:tc>
          <w:tcPr>
            <w:tcW w:w="659" w:type="dxa"/>
            <w:tcBorders>
              <w:top w:val="nil"/>
              <w:left w:val="single" w:color="auto" w:sz="8" w:space="0"/>
              <w:bottom w:val="single" w:color="000000" w:sz="8" w:space="0"/>
              <w:right w:val="single" w:color="auto" w:sz="8" w:space="0"/>
            </w:tcBorders>
            <w:vAlign w:val="center"/>
          </w:tcPr>
          <w:p w14:paraId="1896CEC1">
            <w:pPr>
              <w:widowControl/>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c>
          <w:tcPr>
            <w:tcW w:w="1199" w:type="dxa"/>
            <w:tcBorders>
              <w:top w:val="nil"/>
              <w:left w:val="single" w:color="auto" w:sz="8" w:space="0"/>
              <w:bottom w:val="single" w:color="000000" w:sz="8" w:space="0"/>
              <w:right w:val="single" w:color="auto" w:sz="8" w:space="0"/>
            </w:tcBorders>
            <w:vAlign w:val="center"/>
          </w:tcPr>
          <w:p w14:paraId="02AED4E9">
            <w:pPr>
              <w:widowControl/>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国产化采集站</w:t>
            </w:r>
          </w:p>
        </w:tc>
        <w:tc>
          <w:tcPr>
            <w:tcW w:w="5929" w:type="dxa"/>
            <w:tcBorders>
              <w:top w:val="nil"/>
              <w:left w:val="nil"/>
              <w:bottom w:val="single" w:color="000000" w:sz="8" w:space="0"/>
              <w:right w:val="single" w:color="000000" w:sz="8" w:space="0"/>
            </w:tcBorders>
            <w:vAlign w:val="center"/>
          </w:tcPr>
          <w:p w14:paraId="0F1E64CF">
            <w:pPr>
              <w:widowControl/>
              <w:spacing w:line="360" w:lineRule="auto"/>
              <w:rPr>
                <w:rFonts w:ascii="仿宋" w:hAnsi="仿宋" w:eastAsia="仿宋" w:cs="仿宋"/>
                <w:b/>
                <w:bCs/>
                <w:kern w:val="0"/>
                <w:sz w:val="24"/>
                <w:highlight w:val="none"/>
              </w:rPr>
            </w:pPr>
            <w:r>
              <w:rPr>
                <w:rFonts w:hint="eastAsia" w:ascii="仿宋" w:hAnsi="仿宋" w:eastAsia="仿宋" w:cs="仿宋"/>
                <w:kern w:val="0"/>
                <w:sz w:val="24"/>
                <w:highlight w:val="none"/>
              </w:rPr>
              <w:t>主处理器：国产化嵌入式微控制器（≥四核1.15GHz，集成MIPI D-PHY接口，具备多协议视频编解码、处理能力），定制嵌入式操作系统</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操作界面：本地GUI操作/WEB方式</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显示屏：≥13.3英寸电容触摸液晶屏</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摄像头：≥200万CMOS高清摄像头</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支持≥330个用户，每个用户可以录入3个指纹，1张人脸和1个密码；可通过录入的指纹、人脸或密码进行登录；</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支持≥32台设备同时采集，接口为type C</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网络接口：≥2RJ45千兆网口</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USB接口：≥2个（USB2.0和USB3.0各一个）</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RS-232接口：≥1个</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硬盘接口：≥6个6T SATA3.0硬盘</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设备接入状态显示：支持对设备接入的状态显示</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设备升级：支持对设备进行自动或手动升级支持对采集站进行本地或网络升级</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数据自动采集：支持</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数据优先采集：可设置优先采集接口，当此接口接入便携式视音频设备后，其他接口的采集速率应降低，最多可设置8个优先采集接口；</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采集速度：≥128MB/S总带宽</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支持后台配置数据、账户数据和密钥数据采用了AES256加密技术加密存储；</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支持存储空间录满后自动停止或循环覆盖2种存储方式；已标记的重点文件不应被自动删除；未上传平台的文件，可配置不被覆盖；</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当便携式视音频设备接入采集站时，可通过样机对便携式视音频设备进行注册，对未注册的便携式视音频设备只能进行充电；</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单个扩展模块具有8个独立控制仓位，可接入8个便携式视音频设备进行数据采集，每个仓位配有仓门。最多支持4个扩展模块；</w:t>
            </w:r>
          </w:p>
        </w:tc>
        <w:tc>
          <w:tcPr>
            <w:tcW w:w="781" w:type="dxa"/>
            <w:tcBorders>
              <w:top w:val="nil"/>
              <w:left w:val="single" w:color="auto" w:sz="8" w:space="0"/>
              <w:bottom w:val="single" w:color="000000" w:sz="8" w:space="0"/>
              <w:right w:val="single" w:color="auto" w:sz="8" w:space="0"/>
            </w:tcBorders>
            <w:vAlign w:val="center"/>
          </w:tcPr>
          <w:p w14:paraId="07C853F5">
            <w:pPr>
              <w:widowControl/>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87</w:t>
            </w:r>
          </w:p>
        </w:tc>
      </w:tr>
      <w:tr w14:paraId="6AD680DC">
        <w:tblPrEx>
          <w:tblCellMar>
            <w:top w:w="0" w:type="dxa"/>
            <w:left w:w="108" w:type="dxa"/>
            <w:bottom w:w="0" w:type="dxa"/>
            <w:right w:w="108" w:type="dxa"/>
          </w:tblCellMar>
        </w:tblPrEx>
        <w:trPr>
          <w:trHeight w:val="340" w:hRule="atLeast"/>
        </w:trPr>
        <w:tc>
          <w:tcPr>
            <w:tcW w:w="659" w:type="dxa"/>
            <w:tcBorders>
              <w:top w:val="nil"/>
              <w:left w:val="single" w:color="auto" w:sz="8" w:space="0"/>
              <w:bottom w:val="single" w:color="000000" w:sz="8" w:space="0"/>
              <w:right w:val="single" w:color="auto" w:sz="8" w:space="0"/>
            </w:tcBorders>
            <w:vAlign w:val="center"/>
          </w:tcPr>
          <w:p w14:paraId="25C6CE9B">
            <w:pPr>
              <w:widowControl/>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3</w:t>
            </w:r>
          </w:p>
        </w:tc>
        <w:tc>
          <w:tcPr>
            <w:tcW w:w="1199" w:type="dxa"/>
            <w:tcBorders>
              <w:top w:val="nil"/>
              <w:left w:val="single" w:color="auto" w:sz="8" w:space="0"/>
              <w:bottom w:val="single" w:color="000000" w:sz="8" w:space="0"/>
              <w:right w:val="single" w:color="auto" w:sz="8" w:space="0"/>
            </w:tcBorders>
            <w:vAlign w:val="center"/>
          </w:tcPr>
          <w:p w14:paraId="65D1437F">
            <w:pPr>
              <w:widowControl/>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便携式视音频证据管理系统迁移改造</w:t>
            </w:r>
          </w:p>
        </w:tc>
        <w:tc>
          <w:tcPr>
            <w:tcW w:w="5929" w:type="dxa"/>
            <w:tcBorders>
              <w:top w:val="nil"/>
              <w:left w:val="nil"/>
              <w:bottom w:val="single" w:color="000000" w:sz="8" w:space="0"/>
              <w:right w:val="single" w:color="000000" w:sz="8" w:space="0"/>
            </w:tcBorders>
            <w:vAlign w:val="center"/>
          </w:tcPr>
          <w:p w14:paraId="26600FBB">
            <w:pPr>
              <w:widowControl/>
              <w:adjustRightInd/>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服务期内完成迁移改造服务，具体软件功能如下：</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1.前端设备支持手动和按照计划上传文件到平台，支持WiFi和4G/5G网络上传；</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2.支持证据下载，支持大文件下载，支持批量下载；</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3.证据支持评价，评价内容为“无明显异常、执法不文明、违规执法、严重违规执法”四类中一种；</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4.支持重点标记，支持批量重点标记，标记后的证据支持永久存储，不被覆盖删除；</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5.支持证据关联事件；</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6.证据时长统计表，展示内容警员编号、警员姓名、归属部门、统计日期、统计录像时长、统计录音时长、统计图片数量，排序根据录像时长从小到大排序，支持查询导出</w:t>
            </w:r>
          </w:p>
          <w:p w14:paraId="5722A7B5">
            <w:pPr>
              <w:widowControl/>
              <w:adjustRightInd/>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7.基于一张图展示便携式视音频设备的位置信息。</w:t>
            </w:r>
          </w:p>
          <w:p w14:paraId="19EE51C7">
            <w:pPr>
              <w:widowControl/>
              <w:adjustRightInd/>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支持图上调取便携式视音频设备的实时视频画面；支持图上音频呼叫。</w:t>
            </w:r>
          </w:p>
          <w:p w14:paraId="12586DDC">
            <w:pPr>
              <w:widowControl/>
              <w:adjustRightInd/>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8.</w:t>
            </w:r>
            <w:r>
              <w:rPr>
                <w:rFonts w:hint="eastAsia" w:ascii="仿宋" w:hAnsi="仿宋" w:eastAsia="仿宋" w:cs="仿宋"/>
                <w:sz w:val="24"/>
                <w:highlight w:val="none"/>
              </w:rPr>
              <w:t xml:space="preserve"> </w:t>
            </w:r>
            <w:r>
              <w:rPr>
                <w:rFonts w:hint="eastAsia" w:ascii="仿宋" w:hAnsi="仿宋" w:eastAsia="仿宋" w:cs="仿宋"/>
                <w:kern w:val="0"/>
                <w:sz w:val="24"/>
                <w:highlight w:val="none"/>
              </w:rPr>
              <w:t>支持圈选功能，设定区域后，系统智能检索附近便携式视音频设备信息，支持圈选调取便携式视音频设备视频画面，支持多路视频监控同时调取查看，支持图上一键呼叫。支持圈选便携式视音频设备资源一键开启音视频会商。支持圈选资源数量统计。</w:t>
            </w:r>
          </w:p>
          <w:p w14:paraId="3A65C6F2">
            <w:pPr>
              <w:widowControl/>
              <w:adjustRightInd/>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9.支持根据终端编号及时间查询用户的轨迹，并支持轨迹信息的回放；支持过去任意时间内24小时之内的轨迹查询。支持便携式视音频设备历史轨迹回放操作。</w:t>
            </w:r>
          </w:p>
          <w:p w14:paraId="46D0B5D2">
            <w:pPr>
              <w:widowControl/>
              <w:adjustRightInd/>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10.</w:t>
            </w:r>
            <w:r>
              <w:rPr>
                <w:rFonts w:hint="eastAsia" w:ascii="仿宋" w:hAnsi="仿宋" w:eastAsia="仿宋" w:cs="仿宋"/>
                <w:sz w:val="24"/>
                <w:highlight w:val="none"/>
              </w:rPr>
              <w:t xml:space="preserve"> </w:t>
            </w:r>
            <w:r>
              <w:rPr>
                <w:rFonts w:hint="eastAsia" w:ascii="仿宋" w:hAnsi="仿宋" w:eastAsia="仿宋" w:cs="仿宋"/>
                <w:kern w:val="0"/>
                <w:sz w:val="24"/>
                <w:highlight w:val="none"/>
              </w:rPr>
              <w:t>结合一张图，在一张图上完成事件发生地点标注，在辅屏上完成新增事件录入、历史事件导入、历史事件录入、导出。一张图上支持事件数量统计显示，分别以列表形式呈现，事件类型通过不同色块区分，并可通过地图定位显示事件发生位置（事件上报带定位信息）。</w:t>
            </w:r>
          </w:p>
          <w:p w14:paraId="2C116810">
            <w:pPr>
              <w:widowControl/>
              <w:adjustRightInd/>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11.支持事件报送，在通信录中选择报送对象，结合事件报送模板，智能合成核实、报告、通报、呈报的短信息快报内容。</w:t>
            </w:r>
          </w:p>
          <w:p w14:paraId="23E3CB81">
            <w:pPr>
              <w:widowControl/>
              <w:adjustRightInd/>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12.</w:t>
            </w:r>
            <w:r>
              <w:rPr>
                <w:rFonts w:hint="eastAsia" w:ascii="仿宋" w:hAnsi="仿宋" w:eastAsia="仿宋" w:cs="仿宋"/>
                <w:sz w:val="24"/>
                <w:highlight w:val="none"/>
              </w:rPr>
              <w:t xml:space="preserve"> </w:t>
            </w:r>
            <w:r>
              <w:rPr>
                <w:rFonts w:hint="eastAsia" w:ascii="仿宋" w:hAnsi="仿宋" w:eastAsia="仿宋" w:cs="仿宋"/>
                <w:kern w:val="0"/>
                <w:sz w:val="24"/>
                <w:highlight w:val="none"/>
              </w:rPr>
              <w:t>支持突发事件按时间轴回溯完整的处置过程。支持回放事件处置过程中的中心与现场便携式视音频设备的协调会商视频。并可查看绑定的视频、图片、录音的证据；事件回溯窗口的包括：执法指挥、视频证据、图片证据、语音证据、处置记录；其中执法指挥，分为视频连线、图文指令。</w:t>
            </w:r>
          </w:p>
          <w:p w14:paraId="6AC29147">
            <w:pPr>
              <w:widowControl/>
              <w:adjustRightInd/>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13.</w:t>
            </w:r>
            <w:r>
              <w:rPr>
                <w:rFonts w:hint="eastAsia" w:ascii="仿宋" w:hAnsi="仿宋" w:eastAsia="仿宋" w:cs="仿宋"/>
                <w:sz w:val="24"/>
                <w:highlight w:val="none"/>
              </w:rPr>
              <w:t xml:space="preserve"> </w:t>
            </w:r>
            <w:r>
              <w:rPr>
                <w:rFonts w:hint="eastAsia" w:ascii="仿宋" w:hAnsi="仿宋" w:eastAsia="仿宋" w:cs="仿宋"/>
                <w:kern w:val="0"/>
                <w:sz w:val="24"/>
                <w:highlight w:val="none"/>
              </w:rPr>
              <w:t>支持便携式视音频设备终端报警；将报警源与视频监控绑定后，支持1-4路视频监控绑定。绑定视频后，收到配置的报警源后，能够联动弹窗，弹出的视频窗口中能够自动播放配置的视频。</w:t>
            </w:r>
          </w:p>
          <w:p w14:paraId="42A9F517">
            <w:pPr>
              <w:widowControl/>
              <w:adjustRightInd/>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14. 支持在PC端查询、回放、下载、删除，单兵、采集站上传的录像、录音、抓图。</w:t>
            </w:r>
          </w:p>
          <w:p w14:paraId="0878BD20">
            <w:pPr>
              <w:widowControl/>
              <w:adjustRightInd/>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可以通过录制时间、用户名、设备名进行录像列表模糊查询。删除操作，将会保留操作日志，能够通过管理端的日志管理模块查看；</w:t>
            </w:r>
          </w:p>
          <w:p w14:paraId="24573C20">
            <w:pPr>
              <w:widowControl/>
              <w:adjustRightInd/>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便携式视音频设备证据管理抓图，可显示设备名称、警员名称、抓图时间，及相关图片的信息。</w:t>
            </w:r>
          </w:p>
          <w:p w14:paraId="3E2506DB">
            <w:pPr>
              <w:widowControl/>
              <w:adjustRightInd/>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便携式视音频设备证据管理可显示设备名称、警员名称、录音开始结束时间，及录音时长，可进行下载、播放、删除操作。</w:t>
            </w:r>
          </w:p>
          <w:p w14:paraId="6098BDF4">
            <w:pPr>
              <w:widowControl/>
              <w:adjustRightInd/>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服务期内完成信创改造服务，定制化软件，功能如下：</w:t>
            </w:r>
          </w:p>
          <w:p w14:paraId="4E4667FF">
            <w:pPr>
              <w:widowControl/>
              <w:adjustRightInd/>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 前端设备支持手动和按照计划上传文件到平台，支持WiFi和4G/5G网络上传；</w:t>
            </w:r>
          </w:p>
          <w:p w14:paraId="72B6B3A5">
            <w:pPr>
              <w:widowControl/>
              <w:adjustRightInd/>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 证据下载：支持证据下载，支持大文件下载，支持批量下载；</w:t>
            </w:r>
          </w:p>
          <w:p w14:paraId="23816D69">
            <w:pPr>
              <w:widowControl/>
              <w:adjustRightInd/>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 证据评价：评价内容为“无明显异常、执法不文明、违规执法、严重违规执法”四类中一种；</w:t>
            </w:r>
          </w:p>
          <w:p w14:paraId="31B82D56">
            <w:pPr>
              <w:widowControl/>
              <w:adjustRightInd/>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 证据标记：支持重点标记，支持批量重点标记，标记后的证据支持永久存储，不被覆盖删除；</w:t>
            </w:r>
          </w:p>
          <w:p w14:paraId="2A82CDFC">
            <w:pPr>
              <w:widowControl/>
              <w:adjustRightInd/>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 证据关联：支持证据关联事件</w:t>
            </w:r>
          </w:p>
          <w:p w14:paraId="762180C6">
            <w:pPr>
              <w:widowControl/>
              <w:adjustRightInd/>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 事件录入：支持事件录入、事件下发</w:t>
            </w:r>
          </w:p>
          <w:p w14:paraId="3650CBDC">
            <w:pPr>
              <w:widowControl/>
              <w:adjustRightInd/>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 事件任务管理：支持可快速创建任务，并指派给相关事件和相关人员；已创建任务的查看：可根据待处理、处理中、已完成三个状态进行任务查看，可查看创建任务的全部处理过程。</w:t>
            </w:r>
          </w:p>
          <w:p w14:paraId="0B0E5413">
            <w:pPr>
              <w:widowControl/>
              <w:adjustRightInd/>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 事件报送：在通信录中选择报送对象，结合事件报送模板，智能合成核实、报告、通报、呈报的短信息快报内容。</w:t>
            </w:r>
          </w:p>
          <w:p w14:paraId="6AA22FD1">
            <w:pPr>
              <w:widowControl/>
              <w:adjustRightInd/>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 事件回溯：支持突发事件按时间轴回溯完整的处置过程。支持回放事件处置过程中的中心与现场便携式视音频设备的协调会商视频。并可查看绑定的视频、图片、录音的证据；事件回溯窗口的包括：执法指挥、视频证据、图片证据、语音证据、处置记录；其中执法指挥，分为视频连线、图文指令。</w:t>
            </w:r>
          </w:p>
          <w:p w14:paraId="52FD8F69">
            <w:pPr>
              <w:widowControl/>
              <w:adjustRightInd/>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 事件标注：在辅屏上完成新增事件录入、历史事件导入、历史事件录入、导出。一张图上支持事件数量统计显示，分别以列表形式呈现，事件类型通过不同色块区分，并可通过地图定位显示事件发生位置（事件上报带定位信息）。</w:t>
            </w:r>
          </w:p>
          <w:p w14:paraId="04ED4083">
            <w:pPr>
              <w:widowControl/>
              <w:adjustRightInd/>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 任务管理评价：支持添加评价任务，任务信息包含任务标题、时间范围、抽取样本数；支持查看评价任务详情，所有任务评价完成后，任务状态自动更新为已完成</w:t>
            </w:r>
          </w:p>
          <w:p w14:paraId="0844F95B">
            <w:pPr>
              <w:widowControl/>
              <w:adjustRightInd/>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 证据时长统计：展示内容警员编号、警员姓名、归属部门、统计日期、统计录像时长、统计录音时长、统计图片数量，排序根据录像时长从小到大排序，支持查询导出</w:t>
            </w:r>
          </w:p>
          <w:p w14:paraId="1B0C1055">
            <w:pPr>
              <w:widowControl/>
              <w:adjustRightInd/>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 指挥一张图：基于一张图展示便携式视音频设备设备的位置信息。支持图上调取便携式视音频设备的实时视频画面；支持图上音频呼叫。</w:t>
            </w:r>
          </w:p>
          <w:p w14:paraId="377EEEF5">
            <w:pPr>
              <w:widowControl/>
              <w:adjustRightInd/>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 支持圈选功能，设定区域后，系统智能检索附近便携式视音频设备信息，支持圈选调取便携式视音频设备视频画面，支持多路视频监控同时调取查看，支持图上一键呼叫。支持圈选便携式视音频设备资源一键开启音视频会商。支持圈选资源数量统计。</w:t>
            </w:r>
          </w:p>
          <w:p w14:paraId="0ED5C3EE">
            <w:pPr>
              <w:widowControl/>
              <w:adjustRightInd/>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 支持根据终端编号及时间查询用户的轨迹，并支持轨迹信息的回放；支持过去任意时间内24小时之内的轨迹查询。支持便携式视音频设备历史轨迹回放操作。</w:t>
            </w:r>
          </w:p>
          <w:p w14:paraId="0F2DAC30">
            <w:pPr>
              <w:widowControl/>
              <w:adjustRightInd/>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 支持便携式视音频设备终端报警；将报警源与视频监控绑定后，支持1-4路视频监控绑定。绑定视频后，收到配置的报警源后，能够联动弹窗，弹出的视频窗口中能够自动播放配置的视频。</w:t>
            </w:r>
          </w:p>
          <w:p w14:paraId="2DF80BF3">
            <w:pPr>
              <w:widowControl/>
              <w:adjustRightInd/>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 支持在PC端查询、回放、下载、删除，单兵、采集站上传的录像、录音、抓图。可以通过录制时间、用户名、设备名进行录像列表模糊查询。删除操作，将会保留操作日志，能够通过管理端的日志管理模块查看；执法仪证据管理抓图，可显示设备名称、警员名称、抓图时间，及相关图片的信息。</w:t>
            </w:r>
          </w:p>
          <w:p w14:paraId="5B8CCF24">
            <w:pPr>
              <w:widowControl/>
              <w:adjustRightInd/>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18. 数据对接：支持便携式视音频设备数据推送至110接处警系统，与警情关联。</w:t>
            </w:r>
          </w:p>
          <w:p w14:paraId="2A00D747">
            <w:pPr>
              <w:widowControl/>
              <w:adjustRightInd/>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19. 签到管理：支持添加签到任务，通过地图划定签到区域，用于人员签到签出，支持签到方案名称、签到的时间范围、选择需要签到的人员。</w:t>
            </w:r>
          </w:p>
          <w:p w14:paraId="4A18AF70">
            <w:pPr>
              <w:widowControl/>
              <w:adjustRightInd/>
              <w:spacing w:line="360" w:lineRule="auto"/>
              <w:rPr>
                <w:highlight w:val="none"/>
              </w:rPr>
            </w:pPr>
            <w:r>
              <w:rPr>
                <w:rFonts w:hint="eastAsia" w:ascii="仿宋" w:hAnsi="仿宋" w:eastAsia="仿宋" w:cs="仿宋"/>
                <w:kern w:val="0"/>
                <w:sz w:val="24"/>
                <w:szCs w:val="24"/>
                <w:highlight w:val="none"/>
              </w:rPr>
              <w:t>20. 签到记录：.支持展示签到记录，展示包含签到名称、签到日期、人员、部门、签入时间、签出时间、异常情况。</w:t>
            </w:r>
          </w:p>
        </w:tc>
        <w:tc>
          <w:tcPr>
            <w:tcW w:w="781" w:type="dxa"/>
            <w:tcBorders>
              <w:top w:val="nil"/>
              <w:left w:val="single" w:color="auto" w:sz="8" w:space="0"/>
              <w:bottom w:val="single" w:color="000000" w:sz="8" w:space="0"/>
              <w:right w:val="single" w:color="auto" w:sz="8" w:space="0"/>
            </w:tcBorders>
            <w:vAlign w:val="center"/>
          </w:tcPr>
          <w:p w14:paraId="401C5CD9">
            <w:pPr>
              <w:widowControl/>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r>
      <w:tr w14:paraId="265A0C4C">
        <w:tblPrEx>
          <w:tblCellMar>
            <w:top w:w="0" w:type="dxa"/>
            <w:left w:w="108" w:type="dxa"/>
            <w:bottom w:w="0" w:type="dxa"/>
            <w:right w:w="108" w:type="dxa"/>
          </w:tblCellMar>
        </w:tblPrEx>
        <w:trPr>
          <w:trHeight w:val="340" w:hRule="atLeast"/>
        </w:trPr>
        <w:tc>
          <w:tcPr>
            <w:tcW w:w="659" w:type="dxa"/>
            <w:tcBorders>
              <w:top w:val="nil"/>
              <w:left w:val="single" w:color="auto" w:sz="8" w:space="0"/>
              <w:bottom w:val="single" w:color="000000" w:sz="8" w:space="0"/>
              <w:right w:val="single" w:color="auto" w:sz="8" w:space="0"/>
            </w:tcBorders>
            <w:vAlign w:val="center"/>
          </w:tcPr>
          <w:p w14:paraId="7D53D0B6">
            <w:pPr>
              <w:widowControl/>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4</w:t>
            </w:r>
          </w:p>
        </w:tc>
        <w:tc>
          <w:tcPr>
            <w:tcW w:w="1199" w:type="dxa"/>
            <w:tcBorders>
              <w:top w:val="nil"/>
              <w:left w:val="single" w:color="auto" w:sz="8" w:space="0"/>
              <w:bottom w:val="single" w:color="000000" w:sz="8" w:space="0"/>
              <w:right w:val="single" w:color="auto" w:sz="8" w:space="0"/>
            </w:tcBorders>
            <w:vAlign w:val="center"/>
          </w:tcPr>
          <w:p w14:paraId="058CD7C5">
            <w:pPr>
              <w:widowControl/>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服务器</w:t>
            </w:r>
          </w:p>
        </w:tc>
        <w:tc>
          <w:tcPr>
            <w:tcW w:w="5929" w:type="dxa"/>
            <w:tcBorders>
              <w:top w:val="nil"/>
              <w:left w:val="nil"/>
              <w:bottom w:val="single" w:color="000000" w:sz="8" w:space="0"/>
              <w:right w:val="single" w:color="000000" w:sz="8" w:space="0"/>
            </w:tcBorders>
            <w:vAlign w:val="center"/>
          </w:tcPr>
          <w:p w14:paraId="2955C8C0">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主处理器：≥2颗国产化CPU，24核，主频≥2.5GHz</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外观高度：2U机架式服务器机箱</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内存：≥4条16GB/DDR4 RDIMM内存-2933MT/s</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网口：≥8个GE网口</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接口：后面板提供≥2个USB 3.0端口、≥1个DB15 VGA端口、≥1个RJ45串 口、≥1个RJ45系统管理端口。</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电源：≥2个900W交流电源模块</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功耗：≤900W</w:t>
            </w:r>
          </w:p>
          <w:p w14:paraId="482A73D8">
            <w:pPr>
              <w:widowControl/>
              <w:spacing w:line="360" w:lineRule="auto"/>
              <w:rPr>
                <w:rFonts w:ascii="仿宋" w:hAnsi="仿宋" w:eastAsia="仿宋" w:cs="仿宋"/>
                <w:b/>
                <w:bCs/>
                <w:kern w:val="0"/>
                <w:sz w:val="24"/>
                <w:highlight w:val="none"/>
              </w:rPr>
            </w:pPr>
            <w:r>
              <w:rPr>
                <w:rFonts w:hint="eastAsia" w:ascii="仿宋" w:hAnsi="仿宋" w:eastAsia="仿宋" w:cs="仿宋"/>
                <w:sz w:val="24"/>
                <w:highlight w:val="none"/>
              </w:rPr>
              <w:t>详细参数见“便携式视音频设备证据管理系统国产化服务器具体参数需求”</w:t>
            </w:r>
          </w:p>
        </w:tc>
        <w:tc>
          <w:tcPr>
            <w:tcW w:w="781" w:type="dxa"/>
            <w:tcBorders>
              <w:top w:val="nil"/>
              <w:left w:val="single" w:color="auto" w:sz="8" w:space="0"/>
              <w:bottom w:val="single" w:color="000000" w:sz="8" w:space="0"/>
              <w:right w:val="single" w:color="auto" w:sz="8" w:space="0"/>
            </w:tcBorders>
            <w:vAlign w:val="center"/>
          </w:tcPr>
          <w:p w14:paraId="41983820">
            <w:pPr>
              <w:widowControl/>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r>
    </w:tbl>
    <w:p w14:paraId="59A79B61">
      <w:pPr>
        <w:ind w:firstLine="482"/>
        <w:rPr>
          <w:rFonts w:ascii="仿宋" w:hAnsi="仿宋" w:eastAsia="仿宋" w:cs="仿宋"/>
          <w:b/>
          <w:bCs/>
          <w:sz w:val="24"/>
          <w:highlight w:val="none"/>
        </w:rPr>
      </w:pPr>
      <w:r>
        <w:rPr>
          <w:rFonts w:hint="eastAsia" w:ascii="仿宋" w:hAnsi="仿宋" w:eastAsia="仿宋" w:cs="仿宋"/>
          <w:b/>
          <w:bCs/>
          <w:sz w:val="24"/>
          <w:highlight w:val="none"/>
        </w:rPr>
        <w:t>便携式视音频设备证据管理系统国产化服务器具体参数需求：</w:t>
      </w:r>
    </w:p>
    <w:tbl>
      <w:tblPr>
        <w:tblStyle w:val="62"/>
        <w:tblW w:w="5000" w:type="pct"/>
        <w:jc w:val="center"/>
        <w:tblLayout w:type="fixed"/>
        <w:tblCellMar>
          <w:top w:w="0" w:type="dxa"/>
          <w:left w:w="108" w:type="dxa"/>
          <w:bottom w:w="0" w:type="dxa"/>
          <w:right w:w="108" w:type="dxa"/>
        </w:tblCellMar>
      </w:tblPr>
      <w:tblGrid>
        <w:gridCol w:w="1027"/>
        <w:gridCol w:w="1481"/>
        <w:gridCol w:w="1501"/>
        <w:gridCol w:w="5277"/>
      </w:tblGrid>
      <w:tr w14:paraId="3C2AD003">
        <w:tblPrEx>
          <w:tblCellMar>
            <w:top w:w="0" w:type="dxa"/>
            <w:left w:w="108" w:type="dxa"/>
            <w:bottom w:w="0" w:type="dxa"/>
            <w:right w:w="108" w:type="dxa"/>
          </w:tblCellMar>
        </w:tblPrEx>
        <w:trPr>
          <w:trHeight w:val="636" w:hRule="atLeast"/>
          <w:jc w:val="center"/>
        </w:trPr>
        <w:tc>
          <w:tcPr>
            <w:tcW w:w="1027" w:type="dxa"/>
            <w:tcBorders>
              <w:top w:val="single" w:color="auto" w:sz="8" w:space="0"/>
              <w:left w:val="single" w:color="auto" w:sz="8" w:space="0"/>
              <w:bottom w:val="single" w:color="auto" w:sz="8" w:space="0"/>
              <w:right w:val="single" w:color="auto" w:sz="8" w:space="0"/>
            </w:tcBorders>
            <w:shd w:val="clear" w:color="000000" w:fill="D9D9D9"/>
            <w:vAlign w:val="center"/>
          </w:tcPr>
          <w:p w14:paraId="56790434">
            <w:pPr>
              <w:pStyle w:val="209"/>
              <w:rPr>
                <w:rFonts w:ascii="仿宋" w:hAnsi="仿宋" w:eastAsia="仿宋" w:cs="仿宋"/>
                <w:color w:val="auto"/>
                <w:highlight w:val="none"/>
              </w:rPr>
            </w:pPr>
            <w:r>
              <w:rPr>
                <w:rFonts w:hint="eastAsia" w:ascii="仿宋" w:hAnsi="仿宋" w:eastAsia="仿宋" w:cs="仿宋"/>
                <w:color w:val="auto"/>
                <w:highlight w:val="none"/>
              </w:rPr>
              <w:t>序号</w:t>
            </w:r>
          </w:p>
        </w:tc>
        <w:tc>
          <w:tcPr>
            <w:tcW w:w="1481" w:type="dxa"/>
            <w:tcBorders>
              <w:top w:val="single" w:color="auto" w:sz="8" w:space="0"/>
              <w:left w:val="nil"/>
              <w:bottom w:val="single" w:color="auto" w:sz="8" w:space="0"/>
              <w:right w:val="single" w:color="auto" w:sz="8" w:space="0"/>
            </w:tcBorders>
            <w:shd w:val="clear" w:color="000000" w:fill="D9D9D9"/>
            <w:vAlign w:val="center"/>
          </w:tcPr>
          <w:p w14:paraId="7C5E0643">
            <w:pPr>
              <w:pStyle w:val="209"/>
              <w:rPr>
                <w:rFonts w:ascii="仿宋" w:hAnsi="仿宋" w:eastAsia="仿宋" w:cs="仿宋"/>
                <w:color w:val="auto"/>
                <w:highlight w:val="none"/>
              </w:rPr>
            </w:pPr>
            <w:r>
              <w:rPr>
                <w:rFonts w:hint="eastAsia" w:ascii="仿宋" w:hAnsi="仿宋" w:eastAsia="仿宋" w:cs="仿宋"/>
                <w:color w:val="auto"/>
                <w:highlight w:val="none"/>
              </w:rPr>
              <w:t>一级性能参数指标</w:t>
            </w:r>
          </w:p>
        </w:tc>
        <w:tc>
          <w:tcPr>
            <w:tcW w:w="1501" w:type="dxa"/>
            <w:tcBorders>
              <w:top w:val="single" w:color="auto" w:sz="8" w:space="0"/>
              <w:left w:val="nil"/>
              <w:bottom w:val="single" w:color="auto" w:sz="8" w:space="0"/>
              <w:right w:val="single" w:color="auto" w:sz="8" w:space="0"/>
            </w:tcBorders>
            <w:shd w:val="clear" w:color="000000" w:fill="D9D9D9"/>
            <w:vAlign w:val="center"/>
          </w:tcPr>
          <w:p w14:paraId="43B661D3">
            <w:pPr>
              <w:pStyle w:val="209"/>
              <w:rPr>
                <w:rFonts w:ascii="仿宋" w:hAnsi="仿宋" w:eastAsia="仿宋" w:cs="仿宋"/>
                <w:color w:val="auto"/>
                <w:highlight w:val="none"/>
              </w:rPr>
            </w:pPr>
            <w:r>
              <w:rPr>
                <w:rFonts w:hint="eastAsia" w:ascii="仿宋" w:hAnsi="仿宋" w:eastAsia="仿宋" w:cs="仿宋"/>
                <w:color w:val="auto"/>
                <w:highlight w:val="none"/>
              </w:rPr>
              <w:t>二级性能参数指标</w:t>
            </w:r>
          </w:p>
        </w:tc>
        <w:tc>
          <w:tcPr>
            <w:tcW w:w="5277" w:type="dxa"/>
            <w:tcBorders>
              <w:top w:val="single" w:color="auto" w:sz="8" w:space="0"/>
              <w:left w:val="nil"/>
              <w:bottom w:val="single" w:color="auto" w:sz="8" w:space="0"/>
              <w:right w:val="single" w:color="auto" w:sz="8" w:space="0"/>
            </w:tcBorders>
            <w:shd w:val="clear" w:color="000000" w:fill="D9D9D9"/>
            <w:vAlign w:val="center"/>
          </w:tcPr>
          <w:p w14:paraId="1DB8AF75">
            <w:pPr>
              <w:pStyle w:val="209"/>
              <w:rPr>
                <w:rFonts w:ascii="仿宋" w:hAnsi="仿宋" w:eastAsia="仿宋" w:cs="仿宋"/>
                <w:color w:val="auto"/>
                <w:highlight w:val="none"/>
              </w:rPr>
            </w:pPr>
            <w:r>
              <w:rPr>
                <w:rFonts w:hint="eastAsia" w:ascii="仿宋" w:hAnsi="仿宋" w:eastAsia="仿宋" w:cs="仿宋"/>
                <w:color w:val="auto"/>
                <w:highlight w:val="none"/>
              </w:rPr>
              <w:t>指标要求</w:t>
            </w:r>
          </w:p>
        </w:tc>
      </w:tr>
      <w:tr w14:paraId="13CDD603">
        <w:tblPrEx>
          <w:tblCellMar>
            <w:top w:w="0" w:type="dxa"/>
            <w:left w:w="108" w:type="dxa"/>
            <w:bottom w:w="0" w:type="dxa"/>
            <w:right w:w="108" w:type="dxa"/>
          </w:tblCellMar>
        </w:tblPrEx>
        <w:trPr>
          <w:trHeight w:val="624" w:hRule="atLeast"/>
          <w:jc w:val="center"/>
        </w:trPr>
        <w:tc>
          <w:tcPr>
            <w:tcW w:w="1027" w:type="dxa"/>
            <w:vMerge w:val="restart"/>
            <w:tcBorders>
              <w:top w:val="nil"/>
              <w:left w:val="single" w:color="auto" w:sz="8" w:space="0"/>
              <w:bottom w:val="single" w:color="000000" w:sz="8" w:space="0"/>
              <w:right w:val="single" w:color="auto" w:sz="8" w:space="0"/>
            </w:tcBorders>
            <w:vAlign w:val="center"/>
          </w:tcPr>
          <w:p w14:paraId="56BA53E0">
            <w:pPr>
              <w:pStyle w:val="209"/>
              <w:rPr>
                <w:rFonts w:ascii="仿宋" w:hAnsi="仿宋" w:eastAsia="仿宋" w:cs="仿宋"/>
                <w:color w:val="auto"/>
                <w:highlight w:val="none"/>
              </w:rPr>
            </w:pPr>
            <w:r>
              <w:rPr>
                <w:rFonts w:hint="eastAsia" w:ascii="仿宋" w:hAnsi="仿宋" w:eastAsia="仿宋" w:cs="仿宋"/>
                <w:color w:val="auto"/>
                <w:highlight w:val="none"/>
              </w:rPr>
              <w:t>1</w:t>
            </w:r>
          </w:p>
        </w:tc>
        <w:tc>
          <w:tcPr>
            <w:tcW w:w="1481" w:type="dxa"/>
            <w:vMerge w:val="restart"/>
            <w:tcBorders>
              <w:top w:val="nil"/>
              <w:left w:val="single" w:color="auto" w:sz="8" w:space="0"/>
              <w:bottom w:val="single" w:color="000000" w:sz="8" w:space="0"/>
              <w:right w:val="single" w:color="auto" w:sz="8" w:space="0"/>
            </w:tcBorders>
            <w:vAlign w:val="center"/>
          </w:tcPr>
          <w:p w14:paraId="2859962F">
            <w:pPr>
              <w:pStyle w:val="209"/>
              <w:rPr>
                <w:rFonts w:ascii="仿宋" w:hAnsi="仿宋" w:eastAsia="仿宋" w:cs="仿宋"/>
                <w:color w:val="auto"/>
                <w:highlight w:val="none"/>
              </w:rPr>
            </w:pPr>
            <w:r>
              <w:rPr>
                <w:rFonts w:hint="eastAsia" w:ascii="仿宋" w:hAnsi="仿宋" w:eastAsia="仿宋" w:cs="仿宋"/>
                <w:color w:val="auto"/>
                <w:highlight w:val="none"/>
              </w:rPr>
              <w:t>CPU规格</w:t>
            </w:r>
          </w:p>
        </w:tc>
        <w:tc>
          <w:tcPr>
            <w:tcW w:w="1501" w:type="dxa"/>
            <w:vMerge w:val="restart"/>
            <w:tcBorders>
              <w:top w:val="nil"/>
              <w:left w:val="single" w:color="auto" w:sz="8" w:space="0"/>
              <w:bottom w:val="single" w:color="000000" w:sz="8" w:space="0"/>
              <w:right w:val="single" w:color="auto" w:sz="8" w:space="0"/>
            </w:tcBorders>
            <w:vAlign w:val="center"/>
          </w:tcPr>
          <w:p w14:paraId="2D3C5C1A">
            <w:pPr>
              <w:pStyle w:val="209"/>
              <w:rPr>
                <w:rFonts w:ascii="仿宋" w:hAnsi="仿宋" w:eastAsia="仿宋" w:cs="仿宋"/>
                <w:color w:val="auto"/>
                <w:highlight w:val="none"/>
              </w:rPr>
            </w:pPr>
            <w:r>
              <w:rPr>
                <w:rFonts w:hint="eastAsia" w:ascii="仿宋" w:hAnsi="仿宋" w:eastAsia="仿宋" w:cs="仿宋"/>
                <w:color w:val="auto"/>
                <w:highlight w:val="none"/>
              </w:rPr>
              <w:t>CPU信息</w:t>
            </w:r>
          </w:p>
        </w:tc>
        <w:tc>
          <w:tcPr>
            <w:tcW w:w="5277" w:type="dxa"/>
            <w:tcBorders>
              <w:top w:val="single" w:color="auto" w:sz="8" w:space="0"/>
              <w:left w:val="single" w:color="auto" w:sz="8" w:space="0"/>
              <w:bottom w:val="single" w:color="auto" w:sz="8" w:space="0"/>
              <w:right w:val="single" w:color="auto" w:sz="8" w:space="0"/>
            </w:tcBorders>
            <w:vAlign w:val="center"/>
          </w:tcPr>
          <w:p w14:paraId="5C331D6D">
            <w:pPr>
              <w:pStyle w:val="209"/>
              <w:rPr>
                <w:rFonts w:ascii="仿宋" w:hAnsi="仿宋" w:eastAsia="仿宋" w:cs="仿宋"/>
                <w:color w:val="auto"/>
                <w:highlight w:val="none"/>
              </w:rPr>
            </w:pPr>
            <w:r>
              <w:rPr>
                <w:rFonts w:hint="eastAsia" w:ascii="仿宋" w:hAnsi="仿宋" w:eastAsia="仿宋" w:cs="仿宋"/>
                <w:color w:val="auto"/>
                <w:highlight w:val="none"/>
              </w:rPr>
              <w:t>（1）配置国产架构处理器，支持超线程技术和睿频技术；</w:t>
            </w:r>
          </w:p>
        </w:tc>
      </w:tr>
      <w:tr w14:paraId="17324519">
        <w:tblPrEx>
          <w:tblCellMar>
            <w:top w:w="0" w:type="dxa"/>
            <w:left w:w="108" w:type="dxa"/>
            <w:bottom w:w="0" w:type="dxa"/>
            <w:right w:w="108" w:type="dxa"/>
          </w:tblCellMar>
        </w:tblPrEx>
        <w:trPr>
          <w:trHeight w:val="1884" w:hRule="atLeast"/>
          <w:jc w:val="center"/>
        </w:trPr>
        <w:tc>
          <w:tcPr>
            <w:tcW w:w="1027" w:type="dxa"/>
            <w:vMerge w:val="continue"/>
            <w:tcBorders>
              <w:top w:val="nil"/>
              <w:left w:val="single" w:color="auto" w:sz="8" w:space="0"/>
              <w:bottom w:val="single" w:color="000000" w:sz="8" w:space="0"/>
              <w:right w:val="single" w:color="auto" w:sz="8" w:space="0"/>
            </w:tcBorders>
            <w:vAlign w:val="center"/>
          </w:tcPr>
          <w:p w14:paraId="050DC84D">
            <w:pPr>
              <w:rPr>
                <w:highlight w:val="none"/>
              </w:rPr>
            </w:pPr>
          </w:p>
        </w:tc>
        <w:tc>
          <w:tcPr>
            <w:tcW w:w="1481" w:type="dxa"/>
            <w:vMerge w:val="continue"/>
            <w:tcBorders>
              <w:top w:val="nil"/>
              <w:left w:val="single" w:color="auto" w:sz="8" w:space="0"/>
              <w:bottom w:val="single" w:color="000000" w:sz="8" w:space="0"/>
              <w:right w:val="single" w:color="auto" w:sz="8" w:space="0"/>
            </w:tcBorders>
            <w:vAlign w:val="center"/>
          </w:tcPr>
          <w:p w14:paraId="091B535C">
            <w:pPr>
              <w:rPr>
                <w:highlight w:val="none"/>
              </w:rPr>
            </w:pPr>
          </w:p>
        </w:tc>
        <w:tc>
          <w:tcPr>
            <w:tcW w:w="1501" w:type="dxa"/>
            <w:vMerge w:val="continue"/>
            <w:tcBorders>
              <w:top w:val="nil"/>
              <w:left w:val="single" w:color="auto" w:sz="8" w:space="0"/>
              <w:bottom w:val="single" w:color="000000" w:sz="8" w:space="0"/>
              <w:right w:val="single" w:color="auto" w:sz="8" w:space="0"/>
            </w:tcBorders>
            <w:vAlign w:val="center"/>
          </w:tcPr>
          <w:p w14:paraId="4D141156">
            <w:pPr>
              <w:rPr>
                <w:highlight w:val="none"/>
              </w:rPr>
            </w:pPr>
          </w:p>
        </w:tc>
        <w:tc>
          <w:tcPr>
            <w:tcW w:w="5277" w:type="dxa"/>
            <w:tcBorders>
              <w:top w:val="single" w:color="auto" w:sz="8" w:space="0"/>
              <w:left w:val="nil"/>
              <w:bottom w:val="single" w:color="auto" w:sz="8" w:space="0"/>
              <w:right w:val="single" w:color="auto" w:sz="8" w:space="0"/>
            </w:tcBorders>
            <w:vAlign w:val="center"/>
          </w:tcPr>
          <w:p w14:paraId="33DD8BBD">
            <w:pPr>
              <w:pStyle w:val="209"/>
              <w:rPr>
                <w:rFonts w:ascii="仿宋" w:hAnsi="仿宋" w:eastAsia="仿宋" w:cs="仿宋"/>
                <w:color w:val="auto"/>
                <w:highlight w:val="none"/>
              </w:rPr>
            </w:pPr>
            <w:r>
              <w:rPr>
                <w:rFonts w:hint="eastAsia" w:ascii="仿宋" w:hAnsi="仿宋" w:eastAsia="仿宋" w:cs="仿宋"/>
                <w:color w:val="auto"/>
                <w:highlight w:val="none"/>
              </w:rPr>
              <w:t>（2）单颗CPU物理核心数≥24核、主频≥2.5GHz、末级缓存容量≥24MB、线程数≥24、热设计功耗≥95W、支持内存的最高速率≥2933MHz、通道数≥4、位宽≥64位；</w:t>
            </w:r>
          </w:p>
          <w:p w14:paraId="6DEE8FDC">
            <w:pPr>
              <w:pStyle w:val="209"/>
              <w:rPr>
                <w:rFonts w:ascii="仿宋" w:hAnsi="仿宋" w:eastAsia="仿宋" w:cs="仿宋"/>
                <w:color w:val="auto"/>
                <w:highlight w:val="none"/>
              </w:rPr>
            </w:pPr>
            <w:r>
              <w:rPr>
                <w:rFonts w:hint="eastAsia" w:ascii="仿宋" w:hAnsi="仿宋" w:eastAsia="仿宋" w:cs="仿宋"/>
                <w:color w:val="auto"/>
                <w:highlight w:val="none"/>
              </w:rPr>
              <w:t>乙方应在投标时给出CPU型号；</w:t>
            </w:r>
          </w:p>
        </w:tc>
      </w:tr>
      <w:tr w14:paraId="71111E0F">
        <w:tblPrEx>
          <w:tblCellMar>
            <w:top w:w="0" w:type="dxa"/>
            <w:left w:w="108" w:type="dxa"/>
            <w:bottom w:w="0" w:type="dxa"/>
            <w:right w:w="108" w:type="dxa"/>
          </w:tblCellMar>
        </w:tblPrEx>
        <w:trPr>
          <w:trHeight w:val="1260" w:hRule="atLeast"/>
          <w:jc w:val="center"/>
        </w:trPr>
        <w:tc>
          <w:tcPr>
            <w:tcW w:w="1027" w:type="dxa"/>
            <w:tcBorders>
              <w:top w:val="nil"/>
              <w:left w:val="single" w:color="auto" w:sz="8" w:space="0"/>
              <w:bottom w:val="single" w:color="auto" w:sz="8" w:space="0"/>
              <w:right w:val="single" w:color="auto" w:sz="8" w:space="0"/>
            </w:tcBorders>
            <w:vAlign w:val="center"/>
          </w:tcPr>
          <w:p w14:paraId="28FD5D59">
            <w:pPr>
              <w:pStyle w:val="209"/>
              <w:rPr>
                <w:rFonts w:ascii="仿宋" w:hAnsi="仿宋" w:eastAsia="仿宋" w:cs="仿宋"/>
                <w:color w:val="auto"/>
                <w:highlight w:val="none"/>
              </w:rPr>
            </w:pPr>
            <w:r>
              <w:rPr>
                <w:rFonts w:hint="eastAsia" w:ascii="仿宋" w:hAnsi="仿宋" w:eastAsia="仿宋" w:cs="仿宋"/>
                <w:color w:val="auto"/>
                <w:highlight w:val="none"/>
              </w:rPr>
              <w:t>2</w:t>
            </w:r>
          </w:p>
        </w:tc>
        <w:tc>
          <w:tcPr>
            <w:tcW w:w="1481" w:type="dxa"/>
            <w:vMerge w:val="restart"/>
            <w:tcBorders>
              <w:top w:val="nil"/>
              <w:left w:val="single" w:color="auto" w:sz="8" w:space="0"/>
              <w:bottom w:val="single" w:color="000000" w:sz="8" w:space="0"/>
              <w:right w:val="single" w:color="auto" w:sz="8" w:space="0"/>
            </w:tcBorders>
            <w:vAlign w:val="center"/>
          </w:tcPr>
          <w:p w14:paraId="3299B128">
            <w:pPr>
              <w:pStyle w:val="209"/>
              <w:rPr>
                <w:rFonts w:ascii="仿宋" w:hAnsi="仿宋" w:eastAsia="仿宋" w:cs="仿宋"/>
                <w:color w:val="auto"/>
                <w:highlight w:val="none"/>
              </w:rPr>
            </w:pPr>
            <w:r>
              <w:rPr>
                <w:rFonts w:hint="eastAsia" w:ascii="仿宋" w:hAnsi="仿宋" w:eastAsia="仿宋" w:cs="仿宋"/>
                <w:color w:val="auto"/>
                <w:highlight w:val="none"/>
              </w:rPr>
              <w:t>主板规格</w:t>
            </w:r>
          </w:p>
        </w:tc>
        <w:tc>
          <w:tcPr>
            <w:tcW w:w="1501" w:type="dxa"/>
            <w:tcBorders>
              <w:top w:val="nil"/>
              <w:left w:val="nil"/>
              <w:bottom w:val="single" w:color="auto" w:sz="8" w:space="0"/>
              <w:right w:val="single" w:color="auto" w:sz="8" w:space="0"/>
            </w:tcBorders>
            <w:vAlign w:val="center"/>
          </w:tcPr>
          <w:p w14:paraId="5C0C39EC">
            <w:pPr>
              <w:pStyle w:val="209"/>
              <w:rPr>
                <w:rFonts w:ascii="仿宋" w:hAnsi="仿宋" w:eastAsia="仿宋" w:cs="仿宋"/>
                <w:color w:val="auto"/>
                <w:highlight w:val="none"/>
              </w:rPr>
            </w:pPr>
            <w:r>
              <w:rPr>
                <w:rFonts w:hint="eastAsia" w:ascii="仿宋" w:hAnsi="仿宋" w:eastAsia="仿宋" w:cs="仿宋"/>
                <w:color w:val="auto"/>
                <w:highlight w:val="none"/>
              </w:rPr>
              <w:t>主板支持的CPU 和内存情况</w:t>
            </w:r>
          </w:p>
        </w:tc>
        <w:tc>
          <w:tcPr>
            <w:tcW w:w="5277" w:type="dxa"/>
            <w:tcBorders>
              <w:top w:val="nil"/>
              <w:left w:val="nil"/>
              <w:bottom w:val="single" w:color="auto" w:sz="8" w:space="0"/>
              <w:right w:val="single" w:color="auto" w:sz="8" w:space="0"/>
            </w:tcBorders>
            <w:vAlign w:val="center"/>
          </w:tcPr>
          <w:p w14:paraId="2E1D7043">
            <w:pPr>
              <w:pStyle w:val="209"/>
              <w:rPr>
                <w:rFonts w:ascii="仿宋" w:hAnsi="仿宋" w:eastAsia="仿宋" w:cs="仿宋"/>
                <w:color w:val="auto"/>
                <w:highlight w:val="none"/>
              </w:rPr>
            </w:pPr>
            <w:r>
              <w:rPr>
                <w:rFonts w:hint="eastAsia" w:ascii="仿宋" w:hAnsi="仿宋" w:eastAsia="仿宋" w:cs="仿宋"/>
                <w:color w:val="auto"/>
                <w:highlight w:val="none"/>
              </w:rPr>
              <w:t>主板支持CPU ≥2颗，内存数量支持≥ 16个，</w:t>
            </w:r>
          </w:p>
          <w:p w14:paraId="439B9FE8">
            <w:pPr>
              <w:pStyle w:val="209"/>
              <w:rPr>
                <w:rFonts w:ascii="仿宋" w:hAnsi="仿宋" w:eastAsia="仿宋" w:cs="仿宋"/>
                <w:color w:val="auto"/>
                <w:highlight w:val="none"/>
              </w:rPr>
            </w:pPr>
            <w:r>
              <w:rPr>
                <w:rFonts w:hint="eastAsia" w:ascii="仿宋" w:hAnsi="仿宋" w:eastAsia="仿宋" w:cs="仿宋"/>
                <w:color w:val="auto"/>
                <w:highlight w:val="none"/>
              </w:rPr>
              <w:t>乙方应在投标时给出主板支持的CPU型号；</w:t>
            </w:r>
          </w:p>
        </w:tc>
      </w:tr>
      <w:tr w14:paraId="2204DF77">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4" w:space="0"/>
              <w:right w:val="single" w:color="auto" w:sz="8" w:space="0"/>
            </w:tcBorders>
            <w:vAlign w:val="center"/>
          </w:tcPr>
          <w:p w14:paraId="16515A68">
            <w:pPr>
              <w:pStyle w:val="209"/>
              <w:rPr>
                <w:rFonts w:ascii="仿宋" w:hAnsi="仿宋" w:eastAsia="仿宋" w:cs="仿宋"/>
                <w:color w:val="auto"/>
                <w:highlight w:val="none"/>
              </w:rPr>
            </w:pPr>
            <w:r>
              <w:rPr>
                <w:rFonts w:hint="eastAsia" w:ascii="仿宋" w:hAnsi="仿宋" w:eastAsia="仿宋" w:cs="仿宋"/>
                <w:color w:val="auto"/>
                <w:highlight w:val="none"/>
              </w:rPr>
              <w:t>3</w:t>
            </w:r>
          </w:p>
        </w:tc>
        <w:tc>
          <w:tcPr>
            <w:tcW w:w="1481" w:type="dxa"/>
            <w:vMerge w:val="continue"/>
            <w:tcBorders>
              <w:top w:val="nil"/>
              <w:left w:val="single" w:color="auto" w:sz="8" w:space="0"/>
              <w:bottom w:val="single" w:color="auto" w:sz="4" w:space="0"/>
              <w:right w:val="single" w:color="auto" w:sz="8" w:space="0"/>
            </w:tcBorders>
            <w:vAlign w:val="center"/>
          </w:tcPr>
          <w:p w14:paraId="395B87F9">
            <w:pPr>
              <w:rPr>
                <w:highlight w:val="none"/>
              </w:rPr>
            </w:pPr>
          </w:p>
        </w:tc>
        <w:tc>
          <w:tcPr>
            <w:tcW w:w="1501" w:type="dxa"/>
            <w:tcBorders>
              <w:top w:val="nil"/>
              <w:left w:val="nil"/>
              <w:bottom w:val="single" w:color="auto" w:sz="4" w:space="0"/>
              <w:right w:val="single" w:color="auto" w:sz="8" w:space="0"/>
            </w:tcBorders>
            <w:vAlign w:val="center"/>
          </w:tcPr>
          <w:p w14:paraId="78DC0F89">
            <w:pPr>
              <w:pStyle w:val="209"/>
              <w:rPr>
                <w:rFonts w:ascii="仿宋" w:hAnsi="仿宋" w:eastAsia="仿宋" w:cs="仿宋"/>
                <w:color w:val="auto"/>
                <w:highlight w:val="none"/>
              </w:rPr>
            </w:pPr>
            <w:r>
              <w:rPr>
                <w:rFonts w:hint="eastAsia" w:ascii="仿宋" w:hAnsi="仿宋" w:eastAsia="仿宋" w:cs="仿宋"/>
                <w:color w:val="auto"/>
                <w:highlight w:val="none"/>
              </w:rPr>
              <w:t>主板内存槽数量</w:t>
            </w:r>
          </w:p>
        </w:tc>
        <w:tc>
          <w:tcPr>
            <w:tcW w:w="5277" w:type="dxa"/>
            <w:tcBorders>
              <w:top w:val="nil"/>
              <w:left w:val="nil"/>
              <w:bottom w:val="single" w:color="auto" w:sz="4" w:space="0"/>
              <w:right w:val="single" w:color="auto" w:sz="8" w:space="0"/>
            </w:tcBorders>
            <w:vAlign w:val="center"/>
          </w:tcPr>
          <w:p w14:paraId="65CDF730">
            <w:pPr>
              <w:pStyle w:val="209"/>
              <w:rPr>
                <w:rFonts w:ascii="仿宋" w:hAnsi="仿宋" w:eastAsia="仿宋" w:cs="仿宋"/>
                <w:color w:val="auto"/>
                <w:highlight w:val="none"/>
              </w:rPr>
            </w:pPr>
            <w:r>
              <w:rPr>
                <w:rFonts w:hint="eastAsia" w:ascii="仿宋" w:hAnsi="仿宋" w:eastAsia="仿宋" w:cs="仿宋"/>
                <w:color w:val="auto"/>
                <w:highlight w:val="none"/>
              </w:rPr>
              <w:t>主板内存槽数量≥16个</w:t>
            </w:r>
          </w:p>
        </w:tc>
      </w:tr>
      <w:tr w14:paraId="28A4E273">
        <w:tblPrEx>
          <w:tblCellMar>
            <w:top w:w="0" w:type="dxa"/>
            <w:left w:w="108" w:type="dxa"/>
            <w:bottom w:w="0" w:type="dxa"/>
            <w:right w:w="108" w:type="dxa"/>
          </w:tblCellMar>
        </w:tblPrEx>
        <w:trPr>
          <w:trHeight w:val="624" w:hRule="atLeast"/>
          <w:jc w:val="center"/>
        </w:trPr>
        <w:tc>
          <w:tcPr>
            <w:tcW w:w="1027" w:type="dxa"/>
            <w:tcBorders>
              <w:top w:val="single" w:color="auto" w:sz="4" w:space="0"/>
              <w:left w:val="single" w:color="auto" w:sz="4" w:space="0"/>
              <w:bottom w:val="single" w:color="auto" w:sz="4" w:space="0"/>
              <w:right w:val="single" w:color="auto" w:sz="8" w:space="0"/>
            </w:tcBorders>
            <w:vAlign w:val="center"/>
          </w:tcPr>
          <w:p w14:paraId="3350E754">
            <w:pPr>
              <w:pStyle w:val="209"/>
              <w:rPr>
                <w:rFonts w:ascii="仿宋" w:hAnsi="仿宋" w:eastAsia="仿宋" w:cs="仿宋"/>
                <w:color w:val="auto"/>
                <w:highlight w:val="none"/>
              </w:rPr>
            </w:pPr>
            <w:r>
              <w:rPr>
                <w:rFonts w:hint="eastAsia" w:ascii="仿宋" w:hAnsi="仿宋" w:eastAsia="仿宋" w:cs="仿宋"/>
                <w:color w:val="auto"/>
                <w:highlight w:val="none"/>
              </w:rPr>
              <w:t>4</w:t>
            </w:r>
          </w:p>
        </w:tc>
        <w:tc>
          <w:tcPr>
            <w:tcW w:w="1481" w:type="dxa"/>
            <w:vMerge w:val="continue"/>
            <w:tcBorders>
              <w:top w:val="single" w:color="auto" w:sz="4" w:space="0"/>
              <w:left w:val="single" w:color="auto" w:sz="8" w:space="0"/>
              <w:bottom w:val="single" w:color="auto" w:sz="4" w:space="0"/>
              <w:right w:val="single" w:color="auto" w:sz="8" w:space="0"/>
            </w:tcBorders>
            <w:vAlign w:val="center"/>
          </w:tcPr>
          <w:p w14:paraId="547DE42A">
            <w:pPr>
              <w:rPr>
                <w:highlight w:val="none"/>
              </w:rPr>
            </w:pPr>
          </w:p>
        </w:tc>
        <w:tc>
          <w:tcPr>
            <w:tcW w:w="1501" w:type="dxa"/>
            <w:tcBorders>
              <w:top w:val="single" w:color="auto" w:sz="4" w:space="0"/>
              <w:left w:val="nil"/>
              <w:bottom w:val="single" w:color="auto" w:sz="4" w:space="0"/>
              <w:right w:val="single" w:color="auto" w:sz="8" w:space="0"/>
            </w:tcBorders>
            <w:vAlign w:val="center"/>
          </w:tcPr>
          <w:p w14:paraId="6D5D9B3D">
            <w:pPr>
              <w:pStyle w:val="209"/>
              <w:rPr>
                <w:rFonts w:ascii="仿宋" w:hAnsi="仿宋" w:eastAsia="仿宋" w:cs="仿宋"/>
                <w:color w:val="auto"/>
                <w:highlight w:val="none"/>
              </w:rPr>
            </w:pPr>
            <w:r>
              <w:rPr>
                <w:rFonts w:hint="eastAsia" w:ascii="仿宋" w:hAnsi="仿宋" w:eastAsia="仿宋" w:cs="仿宋"/>
                <w:color w:val="auto"/>
                <w:highlight w:val="none"/>
              </w:rPr>
              <w:t>主板存储接口</w:t>
            </w:r>
          </w:p>
        </w:tc>
        <w:tc>
          <w:tcPr>
            <w:tcW w:w="5277" w:type="dxa"/>
            <w:tcBorders>
              <w:top w:val="single" w:color="auto" w:sz="4" w:space="0"/>
              <w:left w:val="nil"/>
              <w:bottom w:val="single" w:color="auto" w:sz="4" w:space="0"/>
              <w:right w:val="single" w:color="auto" w:sz="4" w:space="0"/>
            </w:tcBorders>
            <w:vAlign w:val="center"/>
          </w:tcPr>
          <w:p w14:paraId="559C6FF9">
            <w:pPr>
              <w:pStyle w:val="209"/>
              <w:rPr>
                <w:rFonts w:ascii="仿宋" w:hAnsi="仿宋" w:eastAsia="仿宋" w:cs="仿宋"/>
                <w:color w:val="auto"/>
                <w:highlight w:val="none"/>
              </w:rPr>
            </w:pPr>
            <w:r>
              <w:rPr>
                <w:rFonts w:hint="eastAsia" w:ascii="仿宋" w:hAnsi="仿宋" w:eastAsia="仿宋" w:cs="仿宋"/>
                <w:color w:val="auto"/>
                <w:highlight w:val="none"/>
              </w:rPr>
              <w:t>主板支持SAS/SATA/NVMe SSD存储接口；</w:t>
            </w:r>
          </w:p>
        </w:tc>
      </w:tr>
      <w:tr w14:paraId="08D0047A">
        <w:tblPrEx>
          <w:tblCellMar>
            <w:top w:w="0" w:type="dxa"/>
            <w:left w:w="108" w:type="dxa"/>
            <w:bottom w:w="0" w:type="dxa"/>
            <w:right w:w="108" w:type="dxa"/>
          </w:tblCellMar>
        </w:tblPrEx>
        <w:trPr>
          <w:trHeight w:val="636" w:hRule="atLeast"/>
          <w:jc w:val="center"/>
        </w:trPr>
        <w:tc>
          <w:tcPr>
            <w:tcW w:w="1027" w:type="dxa"/>
            <w:tcBorders>
              <w:top w:val="single" w:color="auto" w:sz="4" w:space="0"/>
              <w:left w:val="single" w:color="auto" w:sz="8" w:space="0"/>
              <w:bottom w:val="single" w:color="auto" w:sz="8" w:space="0"/>
              <w:right w:val="single" w:color="auto" w:sz="8" w:space="0"/>
            </w:tcBorders>
            <w:vAlign w:val="center"/>
          </w:tcPr>
          <w:p w14:paraId="6AB24A88">
            <w:pPr>
              <w:pStyle w:val="209"/>
              <w:rPr>
                <w:rFonts w:ascii="仿宋" w:hAnsi="仿宋" w:eastAsia="仿宋" w:cs="仿宋"/>
                <w:color w:val="auto"/>
                <w:highlight w:val="none"/>
              </w:rPr>
            </w:pPr>
            <w:r>
              <w:rPr>
                <w:rFonts w:hint="eastAsia" w:ascii="仿宋" w:hAnsi="仿宋" w:eastAsia="仿宋" w:cs="仿宋"/>
                <w:color w:val="auto"/>
                <w:highlight w:val="none"/>
              </w:rPr>
              <w:t>5</w:t>
            </w:r>
          </w:p>
        </w:tc>
        <w:tc>
          <w:tcPr>
            <w:tcW w:w="1481" w:type="dxa"/>
            <w:vMerge w:val="continue"/>
            <w:tcBorders>
              <w:top w:val="single" w:color="auto" w:sz="4" w:space="0"/>
              <w:left w:val="single" w:color="auto" w:sz="8" w:space="0"/>
              <w:bottom w:val="single" w:color="000000" w:sz="8" w:space="0"/>
              <w:right w:val="single" w:color="auto" w:sz="8" w:space="0"/>
            </w:tcBorders>
            <w:vAlign w:val="center"/>
          </w:tcPr>
          <w:p w14:paraId="00C3A9AD">
            <w:pPr>
              <w:rPr>
                <w:highlight w:val="none"/>
              </w:rPr>
            </w:pPr>
          </w:p>
        </w:tc>
        <w:tc>
          <w:tcPr>
            <w:tcW w:w="1501" w:type="dxa"/>
            <w:tcBorders>
              <w:top w:val="single" w:color="auto" w:sz="4" w:space="0"/>
              <w:left w:val="nil"/>
              <w:bottom w:val="single" w:color="auto" w:sz="8" w:space="0"/>
              <w:right w:val="single" w:color="auto" w:sz="8" w:space="0"/>
            </w:tcBorders>
            <w:vAlign w:val="center"/>
          </w:tcPr>
          <w:p w14:paraId="702ABF82">
            <w:pPr>
              <w:pStyle w:val="209"/>
              <w:rPr>
                <w:rFonts w:ascii="仿宋" w:hAnsi="仿宋" w:eastAsia="仿宋" w:cs="仿宋"/>
                <w:color w:val="auto"/>
                <w:highlight w:val="none"/>
              </w:rPr>
            </w:pPr>
            <w:r>
              <w:rPr>
                <w:rFonts w:hint="eastAsia" w:ascii="仿宋" w:hAnsi="仿宋" w:eastAsia="仿宋" w:cs="仿宋"/>
                <w:color w:val="auto"/>
                <w:highlight w:val="none"/>
              </w:rPr>
              <w:t>PCIe 插槽接口</w:t>
            </w:r>
          </w:p>
        </w:tc>
        <w:tc>
          <w:tcPr>
            <w:tcW w:w="5277" w:type="dxa"/>
            <w:tcBorders>
              <w:top w:val="single" w:color="auto" w:sz="4" w:space="0"/>
              <w:left w:val="nil"/>
              <w:bottom w:val="single" w:color="auto" w:sz="8" w:space="0"/>
              <w:right w:val="single" w:color="auto" w:sz="8" w:space="0"/>
            </w:tcBorders>
            <w:vAlign w:val="center"/>
          </w:tcPr>
          <w:p w14:paraId="79C7DE9F">
            <w:pPr>
              <w:pStyle w:val="209"/>
              <w:rPr>
                <w:rFonts w:ascii="仿宋" w:hAnsi="仿宋" w:eastAsia="仿宋" w:cs="仿宋"/>
                <w:color w:val="auto"/>
                <w:highlight w:val="none"/>
              </w:rPr>
            </w:pPr>
            <w:r>
              <w:rPr>
                <w:rFonts w:hint="eastAsia" w:ascii="仿宋" w:hAnsi="仿宋" w:eastAsia="仿宋" w:cs="仿宋"/>
                <w:color w:val="auto"/>
                <w:highlight w:val="none"/>
              </w:rPr>
              <w:t>符合 PCIe3.0 或以上的高速串行计</w:t>
            </w:r>
          </w:p>
          <w:p w14:paraId="0E498AC9">
            <w:pPr>
              <w:pStyle w:val="209"/>
              <w:rPr>
                <w:rFonts w:ascii="仿宋" w:hAnsi="仿宋" w:eastAsia="仿宋" w:cs="仿宋"/>
                <w:color w:val="auto"/>
                <w:highlight w:val="none"/>
              </w:rPr>
            </w:pPr>
            <w:r>
              <w:rPr>
                <w:rFonts w:hint="eastAsia" w:ascii="仿宋" w:hAnsi="仿宋" w:eastAsia="仿宋" w:cs="仿宋"/>
                <w:color w:val="auto"/>
                <w:highlight w:val="none"/>
              </w:rPr>
              <w:t>算机扩展总线标准，PCIe 的接口速</w:t>
            </w:r>
          </w:p>
          <w:p w14:paraId="6FB9F4D0">
            <w:pPr>
              <w:pStyle w:val="209"/>
              <w:rPr>
                <w:rFonts w:ascii="仿宋" w:hAnsi="仿宋" w:eastAsia="仿宋" w:cs="仿宋"/>
                <w:color w:val="auto"/>
                <w:highlight w:val="none"/>
              </w:rPr>
            </w:pPr>
            <w:r>
              <w:rPr>
                <w:rFonts w:hint="eastAsia" w:ascii="仿宋" w:hAnsi="仿宋" w:eastAsia="仿宋" w:cs="仿宋"/>
                <w:color w:val="auto"/>
                <w:highlight w:val="none"/>
              </w:rPr>
              <w:t>率与位宽需保证向下兼容</w:t>
            </w:r>
          </w:p>
        </w:tc>
      </w:tr>
      <w:tr w14:paraId="3E2B2051">
        <w:tblPrEx>
          <w:tblCellMar>
            <w:top w:w="0" w:type="dxa"/>
            <w:left w:w="108" w:type="dxa"/>
            <w:bottom w:w="0" w:type="dxa"/>
            <w:right w:w="108" w:type="dxa"/>
          </w:tblCellMar>
        </w:tblPrEx>
        <w:trPr>
          <w:trHeight w:val="948" w:hRule="atLeast"/>
          <w:jc w:val="center"/>
        </w:trPr>
        <w:tc>
          <w:tcPr>
            <w:tcW w:w="1027" w:type="dxa"/>
            <w:tcBorders>
              <w:top w:val="nil"/>
              <w:left w:val="single" w:color="auto" w:sz="8" w:space="0"/>
              <w:bottom w:val="single" w:color="auto" w:sz="8" w:space="0"/>
              <w:right w:val="single" w:color="auto" w:sz="8" w:space="0"/>
            </w:tcBorders>
            <w:vAlign w:val="center"/>
          </w:tcPr>
          <w:p w14:paraId="5F0AC710">
            <w:pPr>
              <w:pStyle w:val="209"/>
              <w:rPr>
                <w:rFonts w:ascii="仿宋" w:hAnsi="仿宋" w:eastAsia="仿宋" w:cs="仿宋"/>
                <w:color w:val="auto"/>
                <w:highlight w:val="none"/>
              </w:rPr>
            </w:pPr>
            <w:r>
              <w:rPr>
                <w:rFonts w:hint="eastAsia" w:ascii="仿宋" w:hAnsi="仿宋" w:eastAsia="仿宋" w:cs="仿宋"/>
                <w:color w:val="auto"/>
                <w:highlight w:val="none"/>
              </w:rPr>
              <w:t>6</w:t>
            </w:r>
          </w:p>
        </w:tc>
        <w:tc>
          <w:tcPr>
            <w:tcW w:w="1481" w:type="dxa"/>
            <w:vMerge w:val="continue"/>
            <w:tcBorders>
              <w:top w:val="nil"/>
              <w:left w:val="single" w:color="auto" w:sz="8" w:space="0"/>
              <w:bottom w:val="single" w:color="000000" w:sz="8" w:space="0"/>
              <w:right w:val="single" w:color="auto" w:sz="8" w:space="0"/>
            </w:tcBorders>
            <w:vAlign w:val="center"/>
          </w:tcPr>
          <w:p w14:paraId="19DFB354">
            <w:pPr>
              <w:rPr>
                <w:highlight w:val="none"/>
              </w:rPr>
            </w:pPr>
          </w:p>
        </w:tc>
        <w:tc>
          <w:tcPr>
            <w:tcW w:w="1501" w:type="dxa"/>
            <w:tcBorders>
              <w:top w:val="nil"/>
              <w:left w:val="nil"/>
              <w:bottom w:val="single" w:color="auto" w:sz="8" w:space="0"/>
              <w:right w:val="single" w:color="auto" w:sz="8" w:space="0"/>
            </w:tcBorders>
            <w:vAlign w:val="center"/>
          </w:tcPr>
          <w:p w14:paraId="532F2261">
            <w:pPr>
              <w:pStyle w:val="209"/>
              <w:rPr>
                <w:rFonts w:ascii="仿宋" w:hAnsi="仿宋" w:eastAsia="仿宋" w:cs="仿宋"/>
                <w:color w:val="auto"/>
                <w:highlight w:val="none"/>
              </w:rPr>
            </w:pPr>
            <w:r>
              <w:rPr>
                <w:rFonts w:hint="eastAsia" w:ascii="仿宋" w:hAnsi="仿宋" w:eastAsia="仿宋" w:cs="仿宋"/>
                <w:color w:val="auto"/>
                <w:highlight w:val="none"/>
              </w:rPr>
              <w:t>主板 PCIe 插槽数量及规格</w:t>
            </w:r>
          </w:p>
        </w:tc>
        <w:tc>
          <w:tcPr>
            <w:tcW w:w="5277" w:type="dxa"/>
            <w:tcBorders>
              <w:top w:val="nil"/>
              <w:left w:val="nil"/>
              <w:bottom w:val="single" w:color="auto" w:sz="8" w:space="0"/>
              <w:right w:val="single" w:color="auto" w:sz="8" w:space="0"/>
            </w:tcBorders>
            <w:vAlign w:val="center"/>
          </w:tcPr>
          <w:p w14:paraId="32918FEB">
            <w:pPr>
              <w:pStyle w:val="209"/>
              <w:rPr>
                <w:rFonts w:ascii="仿宋" w:hAnsi="仿宋" w:eastAsia="仿宋" w:cs="仿宋"/>
                <w:color w:val="auto"/>
                <w:highlight w:val="none"/>
              </w:rPr>
            </w:pPr>
            <w:r>
              <w:rPr>
                <w:rFonts w:hint="eastAsia" w:ascii="仿宋" w:hAnsi="仿宋" w:eastAsia="仿宋" w:cs="仿宋"/>
                <w:color w:val="auto"/>
                <w:highlight w:val="none"/>
              </w:rPr>
              <w:t>PCIe插槽≥5，可通过扩展卡进行插</w:t>
            </w:r>
          </w:p>
          <w:p w14:paraId="5477EE28">
            <w:pPr>
              <w:pStyle w:val="209"/>
              <w:rPr>
                <w:rFonts w:ascii="仿宋" w:hAnsi="仿宋" w:eastAsia="仿宋" w:cs="仿宋"/>
                <w:color w:val="auto"/>
                <w:highlight w:val="none"/>
              </w:rPr>
            </w:pPr>
            <w:r>
              <w:rPr>
                <w:rFonts w:hint="eastAsia" w:ascii="仿宋" w:hAnsi="仿宋" w:eastAsia="仿宋" w:cs="仿宋"/>
                <w:color w:val="auto"/>
                <w:highlight w:val="none"/>
              </w:rPr>
              <w:t>槽扩展；</w:t>
            </w:r>
          </w:p>
        </w:tc>
      </w:tr>
      <w:tr w14:paraId="4285FF45">
        <w:tblPrEx>
          <w:tblCellMar>
            <w:top w:w="0" w:type="dxa"/>
            <w:left w:w="108" w:type="dxa"/>
            <w:bottom w:w="0" w:type="dxa"/>
            <w:right w:w="108" w:type="dxa"/>
          </w:tblCellMar>
        </w:tblPrEx>
        <w:trPr>
          <w:trHeight w:val="324" w:hRule="atLeast"/>
          <w:jc w:val="center"/>
        </w:trPr>
        <w:tc>
          <w:tcPr>
            <w:tcW w:w="1027" w:type="dxa"/>
            <w:tcBorders>
              <w:top w:val="nil"/>
              <w:left w:val="single" w:color="auto" w:sz="8" w:space="0"/>
              <w:bottom w:val="single" w:color="auto" w:sz="8" w:space="0"/>
              <w:right w:val="single" w:color="auto" w:sz="8" w:space="0"/>
            </w:tcBorders>
            <w:vAlign w:val="center"/>
          </w:tcPr>
          <w:p w14:paraId="4B989436">
            <w:pPr>
              <w:pStyle w:val="209"/>
              <w:rPr>
                <w:rFonts w:ascii="仿宋" w:hAnsi="仿宋" w:eastAsia="仿宋" w:cs="仿宋"/>
                <w:color w:val="auto"/>
                <w:highlight w:val="none"/>
              </w:rPr>
            </w:pPr>
            <w:r>
              <w:rPr>
                <w:rFonts w:hint="eastAsia" w:ascii="仿宋" w:hAnsi="仿宋" w:eastAsia="仿宋" w:cs="仿宋"/>
                <w:color w:val="auto"/>
                <w:highlight w:val="none"/>
              </w:rPr>
              <w:t>7</w:t>
            </w:r>
          </w:p>
        </w:tc>
        <w:tc>
          <w:tcPr>
            <w:tcW w:w="1481" w:type="dxa"/>
            <w:vMerge w:val="restart"/>
            <w:tcBorders>
              <w:top w:val="nil"/>
              <w:left w:val="single" w:color="auto" w:sz="8" w:space="0"/>
              <w:bottom w:val="single" w:color="000000" w:sz="8" w:space="0"/>
              <w:right w:val="single" w:color="auto" w:sz="8" w:space="0"/>
            </w:tcBorders>
            <w:vAlign w:val="center"/>
          </w:tcPr>
          <w:p w14:paraId="3C4AE029">
            <w:pPr>
              <w:pStyle w:val="209"/>
              <w:rPr>
                <w:rFonts w:ascii="仿宋" w:hAnsi="仿宋" w:eastAsia="仿宋" w:cs="仿宋"/>
                <w:color w:val="auto"/>
                <w:highlight w:val="none"/>
              </w:rPr>
            </w:pPr>
            <w:r>
              <w:rPr>
                <w:rFonts w:hint="eastAsia" w:ascii="仿宋" w:hAnsi="仿宋" w:eastAsia="仿宋" w:cs="仿宋"/>
                <w:color w:val="auto"/>
                <w:highlight w:val="none"/>
              </w:rPr>
              <w:t>内存规格</w:t>
            </w:r>
          </w:p>
        </w:tc>
        <w:tc>
          <w:tcPr>
            <w:tcW w:w="1501" w:type="dxa"/>
            <w:tcBorders>
              <w:top w:val="nil"/>
              <w:left w:val="nil"/>
              <w:bottom w:val="single" w:color="auto" w:sz="8" w:space="0"/>
              <w:right w:val="single" w:color="auto" w:sz="8" w:space="0"/>
            </w:tcBorders>
            <w:vAlign w:val="center"/>
          </w:tcPr>
          <w:p w14:paraId="7DAE0539">
            <w:pPr>
              <w:pStyle w:val="209"/>
              <w:rPr>
                <w:rFonts w:ascii="仿宋" w:hAnsi="仿宋" w:eastAsia="仿宋" w:cs="仿宋"/>
                <w:color w:val="auto"/>
                <w:highlight w:val="none"/>
              </w:rPr>
            </w:pPr>
            <w:r>
              <w:rPr>
                <w:rFonts w:hint="eastAsia" w:ascii="仿宋" w:hAnsi="仿宋" w:eastAsia="仿宋" w:cs="仿宋"/>
                <w:color w:val="auto"/>
                <w:highlight w:val="none"/>
              </w:rPr>
              <w:t>内存数量</w:t>
            </w:r>
          </w:p>
        </w:tc>
        <w:tc>
          <w:tcPr>
            <w:tcW w:w="5277" w:type="dxa"/>
            <w:tcBorders>
              <w:top w:val="nil"/>
              <w:left w:val="nil"/>
              <w:bottom w:val="single" w:color="auto" w:sz="8" w:space="0"/>
              <w:right w:val="single" w:color="auto" w:sz="8" w:space="0"/>
            </w:tcBorders>
            <w:vAlign w:val="center"/>
          </w:tcPr>
          <w:p w14:paraId="122BBCCB">
            <w:pPr>
              <w:pStyle w:val="209"/>
              <w:rPr>
                <w:rFonts w:ascii="仿宋" w:hAnsi="仿宋" w:eastAsia="仿宋" w:cs="仿宋"/>
                <w:color w:val="auto"/>
                <w:highlight w:val="none"/>
              </w:rPr>
            </w:pPr>
            <w:r>
              <w:rPr>
                <w:rFonts w:hint="eastAsia" w:ascii="仿宋" w:hAnsi="仿宋" w:eastAsia="仿宋" w:cs="仿宋"/>
                <w:color w:val="auto"/>
                <w:highlight w:val="none"/>
              </w:rPr>
              <w:t>内存数量≥4</w:t>
            </w:r>
          </w:p>
        </w:tc>
      </w:tr>
      <w:tr w14:paraId="065E9B05">
        <w:tblPrEx>
          <w:tblCellMar>
            <w:top w:w="0" w:type="dxa"/>
            <w:left w:w="108" w:type="dxa"/>
            <w:bottom w:w="0" w:type="dxa"/>
            <w:right w:w="108" w:type="dxa"/>
          </w:tblCellMar>
        </w:tblPrEx>
        <w:trPr>
          <w:trHeight w:val="324" w:hRule="atLeast"/>
          <w:jc w:val="center"/>
        </w:trPr>
        <w:tc>
          <w:tcPr>
            <w:tcW w:w="1027" w:type="dxa"/>
            <w:tcBorders>
              <w:top w:val="nil"/>
              <w:left w:val="single" w:color="auto" w:sz="8" w:space="0"/>
              <w:bottom w:val="single" w:color="auto" w:sz="8" w:space="0"/>
              <w:right w:val="single" w:color="auto" w:sz="8" w:space="0"/>
            </w:tcBorders>
            <w:vAlign w:val="center"/>
          </w:tcPr>
          <w:p w14:paraId="6628E6F9">
            <w:pPr>
              <w:pStyle w:val="209"/>
              <w:rPr>
                <w:rFonts w:ascii="仿宋" w:hAnsi="仿宋" w:eastAsia="仿宋" w:cs="仿宋"/>
                <w:color w:val="auto"/>
                <w:highlight w:val="none"/>
              </w:rPr>
            </w:pPr>
            <w:r>
              <w:rPr>
                <w:rFonts w:hint="eastAsia" w:ascii="仿宋" w:hAnsi="仿宋" w:eastAsia="仿宋" w:cs="仿宋"/>
                <w:color w:val="auto"/>
                <w:highlight w:val="none"/>
              </w:rPr>
              <w:t>8</w:t>
            </w:r>
          </w:p>
        </w:tc>
        <w:tc>
          <w:tcPr>
            <w:tcW w:w="1481" w:type="dxa"/>
            <w:vMerge w:val="continue"/>
            <w:tcBorders>
              <w:top w:val="nil"/>
              <w:left w:val="single" w:color="auto" w:sz="8" w:space="0"/>
              <w:bottom w:val="single" w:color="000000" w:sz="8" w:space="0"/>
              <w:right w:val="single" w:color="auto" w:sz="8" w:space="0"/>
            </w:tcBorders>
            <w:vAlign w:val="center"/>
          </w:tcPr>
          <w:p w14:paraId="3E5AD774">
            <w:pPr>
              <w:rPr>
                <w:highlight w:val="none"/>
              </w:rPr>
            </w:pPr>
          </w:p>
        </w:tc>
        <w:tc>
          <w:tcPr>
            <w:tcW w:w="1501" w:type="dxa"/>
            <w:tcBorders>
              <w:top w:val="nil"/>
              <w:left w:val="nil"/>
              <w:bottom w:val="single" w:color="auto" w:sz="8" w:space="0"/>
              <w:right w:val="single" w:color="auto" w:sz="8" w:space="0"/>
            </w:tcBorders>
            <w:vAlign w:val="center"/>
          </w:tcPr>
          <w:p w14:paraId="6FD9E5BC">
            <w:pPr>
              <w:pStyle w:val="209"/>
              <w:rPr>
                <w:rFonts w:ascii="仿宋" w:hAnsi="仿宋" w:eastAsia="仿宋" w:cs="仿宋"/>
                <w:color w:val="auto"/>
                <w:highlight w:val="none"/>
              </w:rPr>
            </w:pPr>
            <w:r>
              <w:rPr>
                <w:rFonts w:hint="eastAsia" w:ascii="仿宋" w:hAnsi="仿宋" w:eastAsia="仿宋" w:cs="仿宋"/>
                <w:color w:val="auto"/>
                <w:highlight w:val="none"/>
              </w:rPr>
              <w:t>内存规格</w:t>
            </w:r>
          </w:p>
        </w:tc>
        <w:tc>
          <w:tcPr>
            <w:tcW w:w="5277" w:type="dxa"/>
            <w:tcBorders>
              <w:top w:val="nil"/>
              <w:left w:val="nil"/>
              <w:bottom w:val="single" w:color="auto" w:sz="8" w:space="0"/>
              <w:right w:val="single" w:color="auto" w:sz="8" w:space="0"/>
            </w:tcBorders>
            <w:vAlign w:val="center"/>
          </w:tcPr>
          <w:p w14:paraId="58ED11B5">
            <w:pPr>
              <w:pStyle w:val="209"/>
              <w:rPr>
                <w:rFonts w:ascii="仿宋" w:hAnsi="仿宋" w:eastAsia="仿宋" w:cs="仿宋"/>
                <w:color w:val="auto"/>
                <w:highlight w:val="none"/>
              </w:rPr>
            </w:pPr>
            <w:r>
              <w:rPr>
                <w:rFonts w:hint="eastAsia" w:ascii="仿宋" w:hAnsi="仿宋" w:eastAsia="仿宋" w:cs="仿宋"/>
                <w:color w:val="auto"/>
                <w:highlight w:val="none"/>
              </w:rPr>
              <w:t>实配≥16GB DDR4*4</w:t>
            </w:r>
          </w:p>
        </w:tc>
      </w:tr>
      <w:tr w14:paraId="75B4E852">
        <w:tblPrEx>
          <w:tblCellMar>
            <w:top w:w="0" w:type="dxa"/>
            <w:left w:w="108" w:type="dxa"/>
            <w:bottom w:w="0" w:type="dxa"/>
            <w:right w:w="108" w:type="dxa"/>
          </w:tblCellMar>
        </w:tblPrEx>
        <w:trPr>
          <w:trHeight w:val="324" w:hRule="atLeast"/>
          <w:jc w:val="center"/>
        </w:trPr>
        <w:tc>
          <w:tcPr>
            <w:tcW w:w="1027" w:type="dxa"/>
            <w:tcBorders>
              <w:top w:val="nil"/>
              <w:left w:val="single" w:color="auto" w:sz="8" w:space="0"/>
              <w:bottom w:val="single" w:color="auto" w:sz="8" w:space="0"/>
              <w:right w:val="single" w:color="auto" w:sz="8" w:space="0"/>
            </w:tcBorders>
            <w:vAlign w:val="center"/>
          </w:tcPr>
          <w:p w14:paraId="696645D7">
            <w:pPr>
              <w:pStyle w:val="209"/>
              <w:rPr>
                <w:rFonts w:ascii="仿宋" w:hAnsi="仿宋" w:eastAsia="仿宋" w:cs="仿宋"/>
                <w:color w:val="auto"/>
                <w:highlight w:val="none"/>
              </w:rPr>
            </w:pPr>
            <w:r>
              <w:rPr>
                <w:rFonts w:hint="eastAsia" w:ascii="仿宋" w:hAnsi="仿宋" w:eastAsia="仿宋" w:cs="仿宋"/>
                <w:color w:val="auto"/>
                <w:highlight w:val="none"/>
              </w:rPr>
              <w:t>9</w:t>
            </w:r>
          </w:p>
        </w:tc>
        <w:tc>
          <w:tcPr>
            <w:tcW w:w="1481" w:type="dxa"/>
            <w:vMerge w:val="continue"/>
            <w:tcBorders>
              <w:top w:val="nil"/>
              <w:left w:val="single" w:color="auto" w:sz="8" w:space="0"/>
              <w:bottom w:val="single" w:color="000000" w:sz="8" w:space="0"/>
              <w:right w:val="single" w:color="auto" w:sz="8" w:space="0"/>
            </w:tcBorders>
            <w:vAlign w:val="center"/>
          </w:tcPr>
          <w:p w14:paraId="69076F68">
            <w:pPr>
              <w:rPr>
                <w:highlight w:val="none"/>
              </w:rPr>
            </w:pPr>
          </w:p>
        </w:tc>
        <w:tc>
          <w:tcPr>
            <w:tcW w:w="1501" w:type="dxa"/>
            <w:tcBorders>
              <w:top w:val="nil"/>
              <w:left w:val="nil"/>
              <w:bottom w:val="single" w:color="auto" w:sz="8" w:space="0"/>
              <w:right w:val="single" w:color="auto" w:sz="8" w:space="0"/>
            </w:tcBorders>
            <w:vAlign w:val="center"/>
          </w:tcPr>
          <w:p w14:paraId="0C329E6E">
            <w:pPr>
              <w:pStyle w:val="209"/>
              <w:rPr>
                <w:rFonts w:ascii="仿宋" w:hAnsi="仿宋" w:eastAsia="仿宋" w:cs="仿宋"/>
                <w:color w:val="auto"/>
                <w:highlight w:val="none"/>
              </w:rPr>
            </w:pPr>
            <w:r>
              <w:rPr>
                <w:rFonts w:hint="eastAsia" w:ascii="仿宋" w:hAnsi="仿宋" w:eastAsia="仿宋" w:cs="仿宋"/>
                <w:color w:val="auto"/>
                <w:highlight w:val="none"/>
              </w:rPr>
              <w:t>内存通道</w:t>
            </w:r>
          </w:p>
        </w:tc>
        <w:tc>
          <w:tcPr>
            <w:tcW w:w="5277" w:type="dxa"/>
            <w:tcBorders>
              <w:top w:val="nil"/>
              <w:left w:val="nil"/>
              <w:bottom w:val="single" w:color="auto" w:sz="8" w:space="0"/>
              <w:right w:val="single" w:color="auto" w:sz="8" w:space="0"/>
            </w:tcBorders>
            <w:vAlign w:val="center"/>
          </w:tcPr>
          <w:p w14:paraId="572EEB3B">
            <w:pPr>
              <w:pStyle w:val="209"/>
              <w:rPr>
                <w:rFonts w:ascii="仿宋" w:hAnsi="仿宋" w:eastAsia="仿宋" w:cs="仿宋"/>
                <w:color w:val="auto"/>
                <w:highlight w:val="none"/>
              </w:rPr>
            </w:pPr>
            <w:r>
              <w:rPr>
                <w:rFonts w:hint="eastAsia" w:ascii="仿宋" w:hAnsi="仿宋" w:eastAsia="仿宋" w:cs="仿宋"/>
                <w:color w:val="auto"/>
                <w:highlight w:val="none"/>
              </w:rPr>
              <w:t>支持≥4个内存接口通道</w:t>
            </w:r>
          </w:p>
        </w:tc>
      </w:tr>
      <w:tr w14:paraId="408110DB">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7BB47A8C">
            <w:pPr>
              <w:pStyle w:val="209"/>
              <w:rPr>
                <w:rFonts w:ascii="仿宋" w:hAnsi="仿宋" w:eastAsia="仿宋" w:cs="仿宋"/>
                <w:color w:val="auto"/>
                <w:highlight w:val="none"/>
              </w:rPr>
            </w:pPr>
            <w:r>
              <w:rPr>
                <w:rFonts w:hint="eastAsia" w:ascii="仿宋" w:hAnsi="仿宋" w:eastAsia="仿宋" w:cs="仿宋"/>
                <w:color w:val="auto"/>
                <w:highlight w:val="none"/>
              </w:rPr>
              <w:t>10</w:t>
            </w:r>
          </w:p>
        </w:tc>
        <w:tc>
          <w:tcPr>
            <w:tcW w:w="1481" w:type="dxa"/>
            <w:vMerge w:val="restart"/>
            <w:tcBorders>
              <w:top w:val="nil"/>
              <w:left w:val="single" w:color="auto" w:sz="8" w:space="0"/>
              <w:bottom w:val="nil"/>
              <w:right w:val="single" w:color="auto" w:sz="8" w:space="0"/>
            </w:tcBorders>
            <w:vAlign w:val="center"/>
          </w:tcPr>
          <w:p w14:paraId="68A5B090">
            <w:pPr>
              <w:pStyle w:val="209"/>
              <w:rPr>
                <w:rFonts w:ascii="仿宋" w:hAnsi="仿宋" w:eastAsia="仿宋" w:cs="仿宋"/>
                <w:color w:val="auto"/>
                <w:highlight w:val="none"/>
              </w:rPr>
            </w:pPr>
            <w:r>
              <w:rPr>
                <w:rFonts w:hint="eastAsia" w:ascii="仿宋" w:hAnsi="仿宋" w:eastAsia="仿宋" w:cs="仿宋"/>
                <w:color w:val="auto"/>
                <w:highlight w:val="none"/>
              </w:rPr>
              <w:t>存储规格</w:t>
            </w:r>
          </w:p>
        </w:tc>
        <w:tc>
          <w:tcPr>
            <w:tcW w:w="1501" w:type="dxa"/>
            <w:tcBorders>
              <w:top w:val="nil"/>
              <w:left w:val="nil"/>
              <w:bottom w:val="single" w:color="auto" w:sz="8" w:space="0"/>
              <w:right w:val="single" w:color="auto" w:sz="8" w:space="0"/>
            </w:tcBorders>
            <w:vAlign w:val="center"/>
          </w:tcPr>
          <w:p w14:paraId="7647B600">
            <w:pPr>
              <w:pStyle w:val="209"/>
              <w:rPr>
                <w:rFonts w:ascii="仿宋" w:hAnsi="仿宋" w:eastAsia="仿宋" w:cs="仿宋"/>
                <w:color w:val="auto"/>
                <w:highlight w:val="none"/>
              </w:rPr>
            </w:pPr>
            <w:r>
              <w:rPr>
                <w:rFonts w:hint="eastAsia" w:ascii="仿宋" w:hAnsi="仿宋" w:eastAsia="仿宋" w:cs="仿宋"/>
                <w:color w:val="auto"/>
                <w:highlight w:val="none"/>
              </w:rPr>
              <w:t>硬磁盘实配容量</w:t>
            </w:r>
          </w:p>
        </w:tc>
        <w:tc>
          <w:tcPr>
            <w:tcW w:w="5277" w:type="dxa"/>
            <w:tcBorders>
              <w:top w:val="nil"/>
              <w:left w:val="nil"/>
              <w:bottom w:val="single" w:color="auto" w:sz="8" w:space="0"/>
              <w:right w:val="single" w:color="auto" w:sz="8" w:space="0"/>
            </w:tcBorders>
            <w:vAlign w:val="center"/>
          </w:tcPr>
          <w:p w14:paraId="004FC1CE">
            <w:pPr>
              <w:pStyle w:val="209"/>
              <w:rPr>
                <w:rFonts w:ascii="仿宋" w:hAnsi="仿宋" w:eastAsia="仿宋" w:cs="仿宋"/>
                <w:color w:val="auto"/>
                <w:highlight w:val="none"/>
              </w:rPr>
            </w:pPr>
            <w:r>
              <w:rPr>
                <w:rFonts w:hint="eastAsia" w:ascii="仿宋" w:hAnsi="仿宋" w:eastAsia="仿宋" w:cs="仿宋"/>
                <w:color w:val="auto"/>
                <w:highlight w:val="none"/>
              </w:rPr>
              <w:t>实配≥4T</w:t>
            </w:r>
          </w:p>
        </w:tc>
      </w:tr>
      <w:tr w14:paraId="56B42EBC">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772D9988">
            <w:pPr>
              <w:pStyle w:val="209"/>
              <w:rPr>
                <w:rFonts w:ascii="仿宋" w:hAnsi="仿宋" w:eastAsia="仿宋" w:cs="仿宋"/>
                <w:color w:val="auto"/>
                <w:highlight w:val="none"/>
              </w:rPr>
            </w:pPr>
            <w:r>
              <w:rPr>
                <w:rFonts w:hint="eastAsia" w:ascii="仿宋" w:hAnsi="仿宋" w:eastAsia="仿宋" w:cs="仿宋"/>
                <w:color w:val="auto"/>
                <w:highlight w:val="none"/>
              </w:rPr>
              <w:t>11</w:t>
            </w:r>
          </w:p>
        </w:tc>
        <w:tc>
          <w:tcPr>
            <w:tcW w:w="1481" w:type="dxa"/>
            <w:vMerge w:val="continue"/>
            <w:tcBorders>
              <w:top w:val="nil"/>
              <w:left w:val="single" w:color="auto" w:sz="8" w:space="0"/>
              <w:bottom w:val="single" w:color="auto" w:sz="8" w:space="0"/>
              <w:right w:val="single" w:color="auto" w:sz="8" w:space="0"/>
            </w:tcBorders>
            <w:vAlign w:val="center"/>
          </w:tcPr>
          <w:p w14:paraId="1DC7FBB8">
            <w:pPr>
              <w:rPr>
                <w:highlight w:val="none"/>
              </w:rPr>
            </w:pPr>
          </w:p>
        </w:tc>
        <w:tc>
          <w:tcPr>
            <w:tcW w:w="1501" w:type="dxa"/>
            <w:tcBorders>
              <w:top w:val="nil"/>
              <w:left w:val="nil"/>
              <w:bottom w:val="single" w:color="auto" w:sz="8" w:space="0"/>
              <w:right w:val="single" w:color="auto" w:sz="8" w:space="0"/>
            </w:tcBorders>
            <w:vAlign w:val="center"/>
          </w:tcPr>
          <w:p w14:paraId="6A887819">
            <w:pPr>
              <w:pStyle w:val="209"/>
              <w:rPr>
                <w:rFonts w:ascii="仿宋" w:hAnsi="仿宋" w:eastAsia="仿宋" w:cs="仿宋"/>
                <w:color w:val="auto"/>
                <w:highlight w:val="none"/>
              </w:rPr>
            </w:pPr>
            <w:r>
              <w:rPr>
                <w:rFonts w:hint="eastAsia" w:ascii="仿宋" w:hAnsi="仿宋" w:eastAsia="仿宋" w:cs="仿宋"/>
                <w:color w:val="auto"/>
                <w:highlight w:val="none"/>
              </w:rPr>
              <w:t>硬盘实配数量</w:t>
            </w:r>
          </w:p>
        </w:tc>
        <w:tc>
          <w:tcPr>
            <w:tcW w:w="5277" w:type="dxa"/>
            <w:tcBorders>
              <w:top w:val="nil"/>
              <w:left w:val="nil"/>
              <w:bottom w:val="single" w:color="auto" w:sz="8" w:space="0"/>
              <w:right w:val="single" w:color="auto" w:sz="8" w:space="0"/>
            </w:tcBorders>
            <w:vAlign w:val="center"/>
          </w:tcPr>
          <w:p w14:paraId="1587DF92">
            <w:pPr>
              <w:pStyle w:val="209"/>
              <w:rPr>
                <w:rFonts w:ascii="仿宋" w:hAnsi="仿宋" w:eastAsia="仿宋" w:cs="仿宋"/>
                <w:color w:val="auto"/>
                <w:highlight w:val="none"/>
              </w:rPr>
            </w:pPr>
            <w:r>
              <w:rPr>
                <w:rFonts w:hint="eastAsia" w:ascii="仿宋" w:hAnsi="仿宋" w:eastAsia="仿宋" w:cs="仿宋"/>
                <w:color w:val="auto"/>
                <w:highlight w:val="none"/>
              </w:rPr>
              <w:t>实配≥2块；</w:t>
            </w:r>
          </w:p>
        </w:tc>
      </w:tr>
      <w:tr w14:paraId="6062C727">
        <w:tblPrEx>
          <w:tblCellMar>
            <w:top w:w="0" w:type="dxa"/>
            <w:left w:w="108" w:type="dxa"/>
            <w:bottom w:w="0" w:type="dxa"/>
            <w:right w:w="108" w:type="dxa"/>
          </w:tblCellMar>
        </w:tblPrEx>
        <w:trPr>
          <w:trHeight w:val="624" w:hRule="atLeast"/>
          <w:jc w:val="center"/>
        </w:trPr>
        <w:tc>
          <w:tcPr>
            <w:tcW w:w="1027" w:type="dxa"/>
            <w:tcBorders>
              <w:top w:val="single" w:color="auto" w:sz="8" w:space="0"/>
              <w:left w:val="single" w:color="auto" w:sz="8" w:space="0"/>
              <w:bottom w:val="single" w:color="auto" w:sz="8" w:space="0"/>
              <w:right w:val="single" w:color="auto" w:sz="8" w:space="0"/>
            </w:tcBorders>
            <w:vAlign w:val="center"/>
          </w:tcPr>
          <w:p w14:paraId="4C50A2AC">
            <w:pPr>
              <w:pStyle w:val="209"/>
              <w:rPr>
                <w:rFonts w:ascii="仿宋" w:hAnsi="仿宋" w:eastAsia="仿宋" w:cs="仿宋"/>
                <w:color w:val="auto"/>
                <w:highlight w:val="none"/>
              </w:rPr>
            </w:pPr>
            <w:r>
              <w:rPr>
                <w:rFonts w:hint="eastAsia" w:ascii="仿宋" w:hAnsi="仿宋" w:eastAsia="仿宋" w:cs="仿宋"/>
                <w:color w:val="auto"/>
                <w:highlight w:val="none"/>
              </w:rPr>
              <w:t>12</w:t>
            </w:r>
          </w:p>
        </w:tc>
        <w:tc>
          <w:tcPr>
            <w:tcW w:w="1481" w:type="dxa"/>
            <w:vMerge w:val="continue"/>
            <w:tcBorders>
              <w:top w:val="single" w:color="auto" w:sz="8" w:space="0"/>
              <w:left w:val="single" w:color="auto" w:sz="8" w:space="0"/>
              <w:bottom w:val="single" w:color="auto" w:sz="8" w:space="0"/>
              <w:right w:val="single" w:color="auto" w:sz="8" w:space="0"/>
            </w:tcBorders>
            <w:vAlign w:val="center"/>
          </w:tcPr>
          <w:p w14:paraId="4D32755F">
            <w:pPr>
              <w:rPr>
                <w:highlight w:val="none"/>
              </w:rPr>
            </w:pPr>
          </w:p>
        </w:tc>
        <w:tc>
          <w:tcPr>
            <w:tcW w:w="1501" w:type="dxa"/>
            <w:tcBorders>
              <w:top w:val="single" w:color="auto" w:sz="8" w:space="0"/>
              <w:left w:val="single" w:color="auto" w:sz="8" w:space="0"/>
              <w:bottom w:val="single" w:color="auto" w:sz="8" w:space="0"/>
              <w:right w:val="single" w:color="auto" w:sz="8" w:space="0"/>
            </w:tcBorders>
            <w:vAlign w:val="center"/>
          </w:tcPr>
          <w:p w14:paraId="2B2C278C">
            <w:pPr>
              <w:pStyle w:val="209"/>
              <w:rPr>
                <w:rFonts w:ascii="仿宋" w:hAnsi="仿宋" w:eastAsia="仿宋" w:cs="仿宋"/>
                <w:color w:val="auto"/>
                <w:highlight w:val="none"/>
              </w:rPr>
            </w:pPr>
            <w:r>
              <w:rPr>
                <w:rFonts w:hint="eastAsia" w:ascii="仿宋" w:hAnsi="仿宋" w:eastAsia="仿宋" w:cs="仿宋"/>
                <w:color w:val="auto"/>
                <w:highlight w:val="none"/>
              </w:rPr>
              <w:t>硬盘插槽数量及规格</w:t>
            </w:r>
          </w:p>
        </w:tc>
        <w:tc>
          <w:tcPr>
            <w:tcW w:w="5277" w:type="dxa"/>
            <w:tcBorders>
              <w:top w:val="single" w:color="auto" w:sz="8" w:space="0"/>
              <w:left w:val="single" w:color="auto" w:sz="8" w:space="0"/>
              <w:bottom w:val="single" w:color="auto" w:sz="8" w:space="0"/>
              <w:right w:val="single" w:color="auto" w:sz="8" w:space="0"/>
            </w:tcBorders>
            <w:vAlign w:val="center"/>
          </w:tcPr>
          <w:p w14:paraId="7896AE0E">
            <w:pPr>
              <w:pStyle w:val="209"/>
              <w:rPr>
                <w:rFonts w:ascii="仿宋" w:hAnsi="仿宋" w:eastAsia="仿宋" w:cs="仿宋"/>
                <w:color w:val="auto"/>
                <w:highlight w:val="none"/>
              </w:rPr>
            </w:pPr>
            <w:r>
              <w:rPr>
                <w:rFonts w:hint="eastAsia" w:ascii="仿宋" w:hAnsi="仿宋" w:eastAsia="仿宋" w:cs="仿宋"/>
                <w:color w:val="auto"/>
                <w:highlight w:val="none"/>
              </w:rPr>
              <w:t>支持≥4个热插拔3.5硬盘或2.5硬盘</w:t>
            </w:r>
          </w:p>
        </w:tc>
      </w:tr>
      <w:tr w14:paraId="2EEB69E6">
        <w:tblPrEx>
          <w:tblCellMar>
            <w:top w:w="0" w:type="dxa"/>
            <w:left w:w="108" w:type="dxa"/>
            <w:bottom w:w="0" w:type="dxa"/>
            <w:right w:w="108" w:type="dxa"/>
          </w:tblCellMar>
        </w:tblPrEx>
        <w:trPr>
          <w:trHeight w:val="636" w:hRule="atLeast"/>
          <w:jc w:val="center"/>
        </w:trPr>
        <w:tc>
          <w:tcPr>
            <w:tcW w:w="1027" w:type="dxa"/>
            <w:tcBorders>
              <w:top w:val="single" w:color="auto" w:sz="8" w:space="0"/>
              <w:left w:val="single" w:color="auto" w:sz="8" w:space="0"/>
              <w:bottom w:val="single" w:color="auto" w:sz="8" w:space="0"/>
              <w:right w:val="single" w:color="auto" w:sz="8" w:space="0"/>
            </w:tcBorders>
            <w:vAlign w:val="center"/>
          </w:tcPr>
          <w:p w14:paraId="1CECD3C9">
            <w:pPr>
              <w:pStyle w:val="209"/>
              <w:rPr>
                <w:rFonts w:ascii="仿宋" w:hAnsi="仿宋" w:eastAsia="仿宋" w:cs="仿宋"/>
                <w:color w:val="auto"/>
                <w:highlight w:val="none"/>
              </w:rPr>
            </w:pPr>
            <w:r>
              <w:rPr>
                <w:rFonts w:hint="eastAsia" w:ascii="仿宋" w:hAnsi="仿宋" w:eastAsia="仿宋" w:cs="仿宋"/>
                <w:color w:val="auto"/>
                <w:highlight w:val="none"/>
              </w:rPr>
              <w:t>13</w:t>
            </w:r>
          </w:p>
        </w:tc>
        <w:tc>
          <w:tcPr>
            <w:tcW w:w="1481" w:type="dxa"/>
            <w:tcBorders>
              <w:top w:val="single" w:color="auto" w:sz="8" w:space="0"/>
              <w:left w:val="single" w:color="auto" w:sz="8" w:space="0"/>
              <w:bottom w:val="single" w:color="auto" w:sz="8" w:space="0"/>
              <w:right w:val="single" w:color="auto" w:sz="8" w:space="0"/>
            </w:tcBorders>
            <w:vAlign w:val="center"/>
          </w:tcPr>
          <w:p w14:paraId="2872DF87">
            <w:pPr>
              <w:pStyle w:val="209"/>
              <w:rPr>
                <w:rFonts w:ascii="仿宋" w:hAnsi="仿宋" w:eastAsia="仿宋" w:cs="仿宋"/>
                <w:color w:val="auto"/>
                <w:highlight w:val="none"/>
              </w:rPr>
            </w:pPr>
            <w:r>
              <w:rPr>
                <w:rFonts w:hint="eastAsia" w:ascii="仿宋" w:hAnsi="仿宋" w:eastAsia="仿宋" w:cs="仿宋"/>
                <w:color w:val="auto"/>
                <w:highlight w:val="none"/>
              </w:rPr>
              <w:t>网络规格</w:t>
            </w:r>
          </w:p>
        </w:tc>
        <w:tc>
          <w:tcPr>
            <w:tcW w:w="1501" w:type="dxa"/>
            <w:tcBorders>
              <w:top w:val="single" w:color="auto" w:sz="8" w:space="0"/>
              <w:left w:val="single" w:color="auto" w:sz="8" w:space="0"/>
              <w:bottom w:val="single" w:color="auto" w:sz="8" w:space="0"/>
              <w:right w:val="single" w:color="auto" w:sz="8" w:space="0"/>
            </w:tcBorders>
            <w:vAlign w:val="center"/>
          </w:tcPr>
          <w:p w14:paraId="451F599E">
            <w:pPr>
              <w:pStyle w:val="209"/>
              <w:rPr>
                <w:rFonts w:ascii="仿宋" w:hAnsi="仿宋" w:eastAsia="仿宋" w:cs="仿宋"/>
                <w:color w:val="auto"/>
                <w:highlight w:val="none"/>
              </w:rPr>
            </w:pPr>
            <w:r>
              <w:rPr>
                <w:rFonts w:hint="eastAsia" w:ascii="仿宋" w:hAnsi="仿宋" w:eastAsia="仿宋" w:cs="仿宋"/>
                <w:color w:val="auto"/>
                <w:highlight w:val="none"/>
              </w:rPr>
              <w:t>网口速率和数量</w:t>
            </w:r>
          </w:p>
        </w:tc>
        <w:tc>
          <w:tcPr>
            <w:tcW w:w="5277" w:type="dxa"/>
            <w:tcBorders>
              <w:top w:val="single" w:color="auto" w:sz="8" w:space="0"/>
              <w:left w:val="single" w:color="auto" w:sz="8" w:space="0"/>
              <w:bottom w:val="single" w:color="auto" w:sz="8" w:space="0"/>
              <w:right w:val="single" w:color="auto" w:sz="8" w:space="0"/>
            </w:tcBorders>
            <w:vAlign w:val="center"/>
          </w:tcPr>
          <w:p w14:paraId="706F5E51">
            <w:pPr>
              <w:pStyle w:val="209"/>
              <w:rPr>
                <w:rFonts w:ascii="仿宋" w:hAnsi="仿宋" w:eastAsia="仿宋" w:cs="仿宋"/>
                <w:color w:val="auto"/>
                <w:highlight w:val="none"/>
              </w:rPr>
            </w:pPr>
            <w:r>
              <w:rPr>
                <w:rFonts w:hint="eastAsia" w:ascii="仿宋" w:hAnsi="仿宋" w:eastAsia="仿宋" w:cs="仿宋"/>
                <w:color w:val="auto"/>
                <w:highlight w:val="none"/>
              </w:rPr>
              <w:t>≥8个千兆网口</w:t>
            </w:r>
          </w:p>
        </w:tc>
      </w:tr>
      <w:tr w14:paraId="4A1317C8">
        <w:tblPrEx>
          <w:tblCellMar>
            <w:top w:w="0" w:type="dxa"/>
            <w:left w:w="108" w:type="dxa"/>
            <w:bottom w:w="0" w:type="dxa"/>
            <w:right w:w="108" w:type="dxa"/>
          </w:tblCellMar>
        </w:tblPrEx>
        <w:trPr>
          <w:trHeight w:val="324" w:hRule="atLeast"/>
          <w:jc w:val="center"/>
        </w:trPr>
        <w:tc>
          <w:tcPr>
            <w:tcW w:w="1027" w:type="dxa"/>
            <w:tcBorders>
              <w:top w:val="single" w:color="auto" w:sz="8" w:space="0"/>
              <w:left w:val="single" w:color="auto" w:sz="8" w:space="0"/>
              <w:bottom w:val="single" w:color="auto" w:sz="8" w:space="0"/>
              <w:right w:val="single" w:color="auto" w:sz="8" w:space="0"/>
            </w:tcBorders>
            <w:vAlign w:val="center"/>
          </w:tcPr>
          <w:p w14:paraId="67FBFD52">
            <w:pPr>
              <w:pStyle w:val="209"/>
              <w:rPr>
                <w:rFonts w:ascii="仿宋" w:hAnsi="仿宋" w:eastAsia="仿宋" w:cs="仿宋"/>
                <w:color w:val="auto"/>
                <w:highlight w:val="none"/>
              </w:rPr>
            </w:pPr>
            <w:r>
              <w:rPr>
                <w:rFonts w:hint="eastAsia" w:ascii="仿宋" w:hAnsi="仿宋" w:eastAsia="仿宋" w:cs="仿宋"/>
                <w:color w:val="auto"/>
                <w:highlight w:val="none"/>
              </w:rPr>
              <w:t>14</w:t>
            </w:r>
          </w:p>
        </w:tc>
        <w:tc>
          <w:tcPr>
            <w:tcW w:w="1481" w:type="dxa"/>
            <w:vMerge w:val="restart"/>
            <w:tcBorders>
              <w:top w:val="single" w:color="auto" w:sz="8" w:space="0"/>
              <w:left w:val="single" w:color="auto" w:sz="8" w:space="0"/>
              <w:bottom w:val="single" w:color="000000" w:sz="8" w:space="0"/>
              <w:right w:val="single" w:color="auto" w:sz="8" w:space="0"/>
            </w:tcBorders>
            <w:vAlign w:val="center"/>
          </w:tcPr>
          <w:p w14:paraId="32336047">
            <w:pPr>
              <w:pStyle w:val="209"/>
              <w:rPr>
                <w:rFonts w:ascii="仿宋" w:hAnsi="仿宋" w:eastAsia="仿宋" w:cs="仿宋"/>
                <w:color w:val="auto"/>
                <w:highlight w:val="none"/>
              </w:rPr>
            </w:pPr>
            <w:r>
              <w:rPr>
                <w:rFonts w:hint="eastAsia" w:ascii="仿宋" w:hAnsi="仿宋" w:eastAsia="仿宋" w:cs="仿宋"/>
                <w:color w:val="auto"/>
                <w:highlight w:val="none"/>
              </w:rPr>
              <w:t>外部接口规格</w:t>
            </w:r>
          </w:p>
        </w:tc>
        <w:tc>
          <w:tcPr>
            <w:tcW w:w="1501" w:type="dxa"/>
            <w:tcBorders>
              <w:top w:val="single" w:color="auto" w:sz="8" w:space="0"/>
              <w:left w:val="nil"/>
              <w:bottom w:val="single" w:color="auto" w:sz="8" w:space="0"/>
              <w:right w:val="single" w:color="auto" w:sz="8" w:space="0"/>
            </w:tcBorders>
            <w:vAlign w:val="center"/>
          </w:tcPr>
          <w:p w14:paraId="21C14FAA">
            <w:pPr>
              <w:pStyle w:val="209"/>
              <w:rPr>
                <w:rFonts w:ascii="仿宋" w:hAnsi="仿宋" w:eastAsia="仿宋" w:cs="仿宋"/>
                <w:color w:val="auto"/>
                <w:highlight w:val="none"/>
              </w:rPr>
            </w:pPr>
            <w:r>
              <w:rPr>
                <w:rFonts w:hint="eastAsia" w:ascii="仿宋" w:hAnsi="仿宋" w:eastAsia="仿宋" w:cs="仿宋"/>
                <w:color w:val="auto"/>
                <w:highlight w:val="none"/>
              </w:rPr>
              <w:t>显示接口</w:t>
            </w:r>
          </w:p>
        </w:tc>
        <w:tc>
          <w:tcPr>
            <w:tcW w:w="5277" w:type="dxa"/>
            <w:tcBorders>
              <w:top w:val="single" w:color="auto" w:sz="8" w:space="0"/>
              <w:left w:val="nil"/>
              <w:bottom w:val="single" w:color="auto" w:sz="8" w:space="0"/>
              <w:right w:val="single" w:color="auto" w:sz="8" w:space="0"/>
            </w:tcBorders>
            <w:vAlign w:val="center"/>
          </w:tcPr>
          <w:p w14:paraId="775D6292">
            <w:pPr>
              <w:pStyle w:val="209"/>
              <w:rPr>
                <w:rFonts w:ascii="仿宋" w:hAnsi="仿宋" w:eastAsia="仿宋" w:cs="仿宋"/>
                <w:color w:val="auto"/>
                <w:highlight w:val="none"/>
              </w:rPr>
            </w:pPr>
            <w:r>
              <w:rPr>
                <w:rFonts w:hint="eastAsia" w:ascii="仿宋" w:hAnsi="仿宋" w:eastAsia="仿宋" w:cs="仿宋"/>
                <w:color w:val="auto"/>
                <w:highlight w:val="none"/>
              </w:rPr>
              <w:t>配置≥1个DB15 VGA端口</w:t>
            </w:r>
          </w:p>
        </w:tc>
      </w:tr>
      <w:tr w14:paraId="3F263694">
        <w:tblPrEx>
          <w:tblCellMar>
            <w:top w:w="0" w:type="dxa"/>
            <w:left w:w="108" w:type="dxa"/>
            <w:bottom w:w="0" w:type="dxa"/>
            <w:right w:w="108" w:type="dxa"/>
          </w:tblCellMar>
        </w:tblPrEx>
        <w:trPr>
          <w:trHeight w:val="324" w:hRule="atLeast"/>
          <w:jc w:val="center"/>
        </w:trPr>
        <w:tc>
          <w:tcPr>
            <w:tcW w:w="1027" w:type="dxa"/>
            <w:tcBorders>
              <w:top w:val="nil"/>
              <w:left w:val="single" w:color="auto" w:sz="8" w:space="0"/>
              <w:bottom w:val="single" w:color="auto" w:sz="8" w:space="0"/>
              <w:right w:val="single" w:color="auto" w:sz="8" w:space="0"/>
            </w:tcBorders>
            <w:vAlign w:val="center"/>
          </w:tcPr>
          <w:p w14:paraId="07D47106">
            <w:pPr>
              <w:pStyle w:val="209"/>
              <w:rPr>
                <w:rFonts w:ascii="仿宋" w:hAnsi="仿宋" w:eastAsia="仿宋" w:cs="仿宋"/>
                <w:color w:val="auto"/>
                <w:highlight w:val="none"/>
              </w:rPr>
            </w:pPr>
            <w:r>
              <w:rPr>
                <w:rFonts w:hint="eastAsia" w:ascii="仿宋" w:hAnsi="仿宋" w:eastAsia="仿宋" w:cs="仿宋"/>
                <w:color w:val="auto"/>
                <w:highlight w:val="none"/>
              </w:rPr>
              <w:t>15</w:t>
            </w:r>
          </w:p>
        </w:tc>
        <w:tc>
          <w:tcPr>
            <w:tcW w:w="1481" w:type="dxa"/>
            <w:vMerge w:val="continue"/>
            <w:tcBorders>
              <w:top w:val="nil"/>
              <w:left w:val="single" w:color="auto" w:sz="8" w:space="0"/>
              <w:bottom w:val="single" w:color="000000" w:sz="8" w:space="0"/>
              <w:right w:val="single" w:color="auto" w:sz="8" w:space="0"/>
            </w:tcBorders>
            <w:vAlign w:val="center"/>
          </w:tcPr>
          <w:p w14:paraId="656732AA">
            <w:pPr>
              <w:rPr>
                <w:highlight w:val="none"/>
              </w:rPr>
            </w:pPr>
          </w:p>
        </w:tc>
        <w:tc>
          <w:tcPr>
            <w:tcW w:w="1501" w:type="dxa"/>
            <w:tcBorders>
              <w:top w:val="nil"/>
              <w:left w:val="nil"/>
              <w:bottom w:val="single" w:color="auto" w:sz="8" w:space="0"/>
              <w:right w:val="single" w:color="auto" w:sz="8" w:space="0"/>
            </w:tcBorders>
            <w:vAlign w:val="center"/>
          </w:tcPr>
          <w:p w14:paraId="754CFF6D">
            <w:pPr>
              <w:pStyle w:val="209"/>
              <w:rPr>
                <w:rFonts w:ascii="仿宋" w:hAnsi="仿宋" w:eastAsia="仿宋" w:cs="仿宋"/>
                <w:color w:val="auto"/>
                <w:highlight w:val="none"/>
              </w:rPr>
            </w:pPr>
            <w:r>
              <w:rPr>
                <w:rFonts w:hint="eastAsia" w:ascii="仿宋" w:hAnsi="仿宋" w:eastAsia="仿宋" w:cs="仿宋"/>
                <w:color w:val="auto"/>
                <w:highlight w:val="none"/>
              </w:rPr>
              <w:t>USB 接口</w:t>
            </w:r>
          </w:p>
        </w:tc>
        <w:tc>
          <w:tcPr>
            <w:tcW w:w="5277" w:type="dxa"/>
            <w:tcBorders>
              <w:top w:val="nil"/>
              <w:left w:val="nil"/>
              <w:bottom w:val="single" w:color="auto" w:sz="8" w:space="0"/>
              <w:right w:val="single" w:color="auto" w:sz="8" w:space="0"/>
            </w:tcBorders>
            <w:vAlign w:val="center"/>
          </w:tcPr>
          <w:p w14:paraId="5CD2B2A9">
            <w:pPr>
              <w:pStyle w:val="209"/>
              <w:rPr>
                <w:rFonts w:ascii="仿宋" w:hAnsi="仿宋" w:eastAsia="仿宋" w:cs="仿宋"/>
                <w:color w:val="auto"/>
                <w:highlight w:val="none"/>
              </w:rPr>
            </w:pPr>
            <w:r>
              <w:rPr>
                <w:rFonts w:hint="eastAsia" w:ascii="仿宋" w:hAnsi="仿宋" w:eastAsia="仿宋" w:cs="仿宋"/>
                <w:color w:val="auto"/>
                <w:highlight w:val="none"/>
              </w:rPr>
              <w:t>配置≥2个USB3.0接口</w:t>
            </w:r>
          </w:p>
        </w:tc>
      </w:tr>
      <w:tr w14:paraId="2E569280">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00659AF3">
            <w:pPr>
              <w:pStyle w:val="209"/>
              <w:rPr>
                <w:rFonts w:ascii="仿宋" w:hAnsi="仿宋" w:eastAsia="仿宋" w:cs="仿宋"/>
                <w:color w:val="auto"/>
                <w:highlight w:val="none"/>
              </w:rPr>
            </w:pPr>
            <w:r>
              <w:rPr>
                <w:rFonts w:hint="eastAsia" w:ascii="仿宋" w:hAnsi="仿宋" w:eastAsia="仿宋" w:cs="仿宋"/>
                <w:color w:val="auto"/>
                <w:highlight w:val="none"/>
              </w:rPr>
              <w:t>16</w:t>
            </w:r>
          </w:p>
        </w:tc>
        <w:tc>
          <w:tcPr>
            <w:tcW w:w="1481" w:type="dxa"/>
            <w:vMerge w:val="restart"/>
            <w:tcBorders>
              <w:top w:val="nil"/>
              <w:left w:val="single" w:color="auto" w:sz="8" w:space="0"/>
              <w:bottom w:val="single" w:color="000000" w:sz="8" w:space="0"/>
              <w:right w:val="single" w:color="auto" w:sz="8" w:space="0"/>
            </w:tcBorders>
            <w:vAlign w:val="center"/>
          </w:tcPr>
          <w:p w14:paraId="6E7DF589">
            <w:pPr>
              <w:pStyle w:val="209"/>
              <w:rPr>
                <w:rFonts w:ascii="仿宋" w:hAnsi="仿宋" w:eastAsia="仿宋" w:cs="仿宋"/>
                <w:color w:val="auto"/>
                <w:highlight w:val="none"/>
              </w:rPr>
            </w:pPr>
            <w:r>
              <w:rPr>
                <w:rFonts w:hint="eastAsia" w:ascii="仿宋" w:hAnsi="仿宋" w:eastAsia="仿宋" w:cs="仿宋"/>
                <w:color w:val="auto"/>
                <w:highlight w:val="none"/>
              </w:rPr>
              <w:t>电源规格</w:t>
            </w:r>
          </w:p>
        </w:tc>
        <w:tc>
          <w:tcPr>
            <w:tcW w:w="1501" w:type="dxa"/>
            <w:tcBorders>
              <w:top w:val="nil"/>
              <w:left w:val="nil"/>
              <w:bottom w:val="single" w:color="auto" w:sz="8" w:space="0"/>
              <w:right w:val="single" w:color="auto" w:sz="8" w:space="0"/>
            </w:tcBorders>
            <w:vAlign w:val="center"/>
          </w:tcPr>
          <w:p w14:paraId="1AE46E5F">
            <w:pPr>
              <w:pStyle w:val="209"/>
              <w:rPr>
                <w:rFonts w:ascii="仿宋" w:hAnsi="仿宋" w:eastAsia="仿宋" w:cs="仿宋"/>
                <w:color w:val="auto"/>
                <w:highlight w:val="none"/>
              </w:rPr>
            </w:pPr>
            <w:r>
              <w:rPr>
                <w:rFonts w:hint="eastAsia" w:ascii="仿宋" w:hAnsi="仿宋" w:eastAsia="仿宋" w:cs="仿宋"/>
                <w:color w:val="auto"/>
                <w:highlight w:val="none"/>
              </w:rPr>
              <w:t>电源模块数量</w:t>
            </w:r>
          </w:p>
        </w:tc>
        <w:tc>
          <w:tcPr>
            <w:tcW w:w="5277" w:type="dxa"/>
            <w:tcBorders>
              <w:top w:val="nil"/>
              <w:left w:val="nil"/>
              <w:bottom w:val="single" w:color="auto" w:sz="8" w:space="0"/>
              <w:right w:val="single" w:color="auto" w:sz="8" w:space="0"/>
            </w:tcBorders>
            <w:vAlign w:val="center"/>
          </w:tcPr>
          <w:p w14:paraId="6EA10AC5">
            <w:pPr>
              <w:pStyle w:val="209"/>
              <w:rPr>
                <w:rFonts w:ascii="仿宋" w:hAnsi="仿宋" w:eastAsia="仿宋" w:cs="仿宋"/>
                <w:color w:val="auto"/>
                <w:highlight w:val="none"/>
              </w:rPr>
            </w:pPr>
            <w:r>
              <w:rPr>
                <w:rFonts w:hint="eastAsia" w:ascii="仿宋" w:hAnsi="仿宋" w:eastAsia="仿宋" w:cs="仿宋"/>
                <w:color w:val="auto"/>
                <w:highlight w:val="none"/>
              </w:rPr>
              <w:t>≥2</w:t>
            </w:r>
          </w:p>
        </w:tc>
      </w:tr>
      <w:tr w14:paraId="5A120E39">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538FA5DF">
            <w:pPr>
              <w:pStyle w:val="209"/>
              <w:rPr>
                <w:rFonts w:ascii="仿宋" w:hAnsi="仿宋" w:eastAsia="仿宋" w:cs="仿宋"/>
                <w:color w:val="auto"/>
                <w:highlight w:val="none"/>
              </w:rPr>
            </w:pPr>
            <w:r>
              <w:rPr>
                <w:rFonts w:hint="eastAsia" w:ascii="仿宋" w:hAnsi="仿宋" w:eastAsia="仿宋" w:cs="仿宋"/>
                <w:color w:val="auto"/>
                <w:highlight w:val="none"/>
              </w:rPr>
              <w:t>17</w:t>
            </w:r>
          </w:p>
        </w:tc>
        <w:tc>
          <w:tcPr>
            <w:tcW w:w="1481" w:type="dxa"/>
            <w:vMerge w:val="continue"/>
            <w:tcBorders>
              <w:top w:val="nil"/>
              <w:left w:val="single" w:color="auto" w:sz="8" w:space="0"/>
              <w:bottom w:val="single" w:color="000000" w:sz="8" w:space="0"/>
              <w:right w:val="single" w:color="auto" w:sz="8" w:space="0"/>
            </w:tcBorders>
            <w:vAlign w:val="center"/>
          </w:tcPr>
          <w:p w14:paraId="2F6F646B">
            <w:pPr>
              <w:rPr>
                <w:highlight w:val="none"/>
              </w:rPr>
            </w:pPr>
          </w:p>
        </w:tc>
        <w:tc>
          <w:tcPr>
            <w:tcW w:w="1501" w:type="dxa"/>
            <w:tcBorders>
              <w:top w:val="nil"/>
              <w:left w:val="nil"/>
              <w:bottom w:val="single" w:color="auto" w:sz="8" w:space="0"/>
              <w:right w:val="single" w:color="auto" w:sz="8" w:space="0"/>
            </w:tcBorders>
            <w:vAlign w:val="center"/>
          </w:tcPr>
          <w:p w14:paraId="19871C48">
            <w:pPr>
              <w:pStyle w:val="209"/>
              <w:rPr>
                <w:rFonts w:ascii="仿宋" w:hAnsi="仿宋" w:eastAsia="仿宋" w:cs="仿宋"/>
                <w:color w:val="auto"/>
                <w:highlight w:val="none"/>
              </w:rPr>
            </w:pPr>
            <w:r>
              <w:rPr>
                <w:rFonts w:hint="eastAsia" w:ascii="仿宋" w:hAnsi="仿宋" w:eastAsia="仿宋" w:cs="仿宋"/>
                <w:color w:val="auto"/>
                <w:highlight w:val="none"/>
              </w:rPr>
              <w:t>电源功率</w:t>
            </w:r>
          </w:p>
        </w:tc>
        <w:tc>
          <w:tcPr>
            <w:tcW w:w="5277" w:type="dxa"/>
            <w:tcBorders>
              <w:top w:val="nil"/>
              <w:left w:val="nil"/>
              <w:bottom w:val="single" w:color="auto" w:sz="8" w:space="0"/>
              <w:right w:val="single" w:color="auto" w:sz="8" w:space="0"/>
            </w:tcBorders>
            <w:vAlign w:val="center"/>
          </w:tcPr>
          <w:p w14:paraId="79651100">
            <w:pPr>
              <w:pStyle w:val="209"/>
              <w:rPr>
                <w:rFonts w:ascii="仿宋" w:hAnsi="仿宋" w:eastAsia="仿宋" w:cs="仿宋"/>
                <w:color w:val="auto"/>
                <w:highlight w:val="none"/>
              </w:rPr>
            </w:pPr>
            <w:r>
              <w:rPr>
                <w:rFonts w:hint="eastAsia" w:ascii="仿宋" w:hAnsi="仿宋" w:eastAsia="仿宋" w:cs="仿宋"/>
                <w:color w:val="auto"/>
                <w:highlight w:val="none"/>
              </w:rPr>
              <w:t>≥900W，电源模块功率应有一定冗余， 满足处理器满载时的需求</w:t>
            </w:r>
          </w:p>
        </w:tc>
      </w:tr>
      <w:tr w14:paraId="4FD0A171">
        <w:tblPrEx>
          <w:tblCellMar>
            <w:top w:w="0" w:type="dxa"/>
            <w:left w:w="108" w:type="dxa"/>
            <w:bottom w:w="0" w:type="dxa"/>
            <w:right w:w="108" w:type="dxa"/>
          </w:tblCellMar>
        </w:tblPrEx>
        <w:trPr>
          <w:trHeight w:val="1248" w:hRule="atLeast"/>
          <w:jc w:val="center"/>
        </w:trPr>
        <w:tc>
          <w:tcPr>
            <w:tcW w:w="1027" w:type="dxa"/>
            <w:vMerge w:val="restart"/>
            <w:tcBorders>
              <w:top w:val="nil"/>
              <w:left w:val="single" w:color="auto" w:sz="8" w:space="0"/>
              <w:bottom w:val="single" w:color="000000" w:sz="8" w:space="0"/>
              <w:right w:val="single" w:color="auto" w:sz="8" w:space="0"/>
            </w:tcBorders>
            <w:vAlign w:val="center"/>
          </w:tcPr>
          <w:p w14:paraId="27A27C17">
            <w:pPr>
              <w:pStyle w:val="209"/>
              <w:rPr>
                <w:rFonts w:ascii="仿宋" w:hAnsi="仿宋" w:eastAsia="仿宋" w:cs="仿宋"/>
                <w:color w:val="auto"/>
                <w:highlight w:val="none"/>
              </w:rPr>
            </w:pPr>
            <w:r>
              <w:rPr>
                <w:rFonts w:hint="eastAsia" w:ascii="仿宋" w:hAnsi="仿宋" w:eastAsia="仿宋" w:cs="仿宋"/>
                <w:color w:val="auto"/>
                <w:highlight w:val="none"/>
              </w:rPr>
              <w:t>18</w:t>
            </w:r>
          </w:p>
        </w:tc>
        <w:tc>
          <w:tcPr>
            <w:tcW w:w="1481" w:type="dxa"/>
            <w:vMerge w:val="restart"/>
            <w:tcBorders>
              <w:top w:val="nil"/>
              <w:left w:val="single" w:color="auto" w:sz="8" w:space="0"/>
              <w:bottom w:val="single" w:color="000000" w:sz="8" w:space="0"/>
              <w:right w:val="single" w:color="auto" w:sz="8" w:space="0"/>
            </w:tcBorders>
            <w:vAlign w:val="center"/>
          </w:tcPr>
          <w:p w14:paraId="44A9FD58">
            <w:pPr>
              <w:pStyle w:val="209"/>
              <w:rPr>
                <w:rFonts w:ascii="仿宋" w:hAnsi="仿宋" w:eastAsia="仿宋" w:cs="仿宋"/>
                <w:color w:val="auto"/>
                <w:highlight w:val="none"/>
              </w:rPr>
            </w:pPr>
            <w:r>
              <w:rPr>
                <w:rFonts w:hint="eastAsia" w:ascii="仿宋" w:hAnsi="仿宋" w:eastAsia="仿宋" w:cs="仿宋"/>
                <w:color w:val="auto"/>
                <w:highlight w:val="none"/>
              </w:rPr>
              <w:t>整机规格</w:t>
            </w:r>
          </w:p>
        </w:tc>
        <w:tc>
          <w:tcPr>
            <w:tcW w:w="1501" w:type="dxa"/>
            <w:vMerge w:val="restart"/>
            <w:tcBorders>
              <w:top w:val="nil"/>
              <w:left w:val="single" w:color="auto" w:sz="8" w:space="0"/>
              <w:bottom w:val="single" w:color="000000" w:sz="8" w:space="0"/>
              <w:right w:val="single" w:color="auto" w:sz="8" w:space="0"/>
            </w:tcBorders>
            <w:vAlign w:val="center"/>
          </w:tcPr>
          <w:p w14:paraId="543A28B4">
            <w:pPr>
              <w:pStyle w:val="209"/>
              <w:rPr>
                <w:rFonts w:ascii="仿宋" w:hAnsi="仿宋" w:eastAsia="仿宋" w:cs="仿宋"/>
                <w:color w:val="auto"/>
                <w:highlight w:val="none"/>
              </w:rPr>
            </w:pPr>
            <w:r>
              <w:rPr>
                <w:rFonts w:hint="eastAsia" w:ascii="仿宋" w:hAnsi="仿宋" w:eastAsia="仿宋" w:cs="仿宋"/>
                <w:color w:val="auto"/>
                <w:highlight w:val="none"/>
              </w:rPr>
              <w:t>外观和结构</w:t>
            </w:r>
          </w:p>
        </w:tc>
        <w:tc>
          <w:tcPr>
            <w:tcW w:w="5277" w:type="dxa"/>
            <w:tcBorders>
              <w:top w:val="single" w:color="auto" w:sz="8" w:space="0"/>
              <w:left w:val="single" w:color="auto" w:sz="8" w:space="0"/>
              <w:bottom w:val="single" w:color="auto" w:sz="8" w:space="0"/>
              <w:right w:val="single" w:color="auto" w:sz="8" w:space="0"/>
            </w:tcBorders>
            <w:vAlign w:val="center"/>
          </w:tcPr>
          <w:p w14:paraId="321DC1E2">
            <w:pPr>
              <w:pStyle w:val="209"/>
              <w:rPr>
                <w:rFonts w:ascii="仿宋" w:hAnsi="仿宋" w:eastAsia="仿宋" w:cs="仿宋"/>
                <w:color w:val="auto"/>
                <w:highlight w:val="none"/>
              </w:rPr>
            </w:pPr>
            <w:r>
              <w:rPr>
                <w:rFonts w:hint="eastAsia" w:ascii="仿宋" w:hAnsi="仿宋" w:eastAsia="仿宋" w:cs="仿宋"/>
                <w:color w:val="auto"/>
                <w:highlight w:val="none"/>
              </w:rPr>
              <w:t>a)服务器的零部件应紧固无松动，可插拔部件应可靠连接，开关、按钮和其它控制部件应灵活可靠，布局应方便使用；</w:t>
            </w:r>
          </w:p>
        </w:tc>
      </w:tr>
      <w:tr w14:paraId="2AAEE4C5">
        <w:tblPrEx>
          <w:tblCellMar>
            <w:top w:w="0" w:type="dxa"/>
            <w:left w:w="108" w:type="dxa"/>
            <w:bottom w:w="0" w:type="dxa"/>
            <w:right w:w="108" w:type="dxa"/>
          </w:tblCellMar>
        </w:tblPrEx>
        <w:trPr>
          <w:trHeight w:val="1248" w:hRule="atLeast"/>
          <w:jc w:val="center"/>
        </w:trPr>
        <w:tc>
          <w:tcPr>
            <w:tcW w:w="1027" w:type="dxa"/>
            <w:vMerge w:val="continue"/>
            <w:tcBorders>
              <w:top w:val="nil"/>
              <w:left w:val="single" w:color="auto" w:sz="8" w:space="0"/>
              <w:bottom w:val="single" w:color="000000" w:sz="8" w:space="0"/>
              <w:right w:val="single" w:color="auto" w:sz="8" w:space="0"/>
            </w:tcBorders>
            <w:vAlign w:val="center"/>
          </w:tcPr>
          <w:p w14:paraId="251F4E0D">
            <w:pPr>
              <w:rPr>
                <w:highlight w:val="none"/>
              </w:rPr>
            </w:pPr>
          </w:p>
        </w:tc>
        <w:tc>
          <w:tcPr>
            <w:tcW w:w="1481" w:type="dxa"/>
            <w:vMerge w:val="continue"/>
            <w:tcBorders>
              <w:top w:val="nil"/>
              <w:left w:val="single" w:color="auto" w:sz="8" w:space="0"/>
              <w:bottom w:val="single" w:color="000000" w:sz="8" w:space="0"/>
              <w:right w:val="single" w:color="auto" w:sz="8" w:space="0"/>
            </w:tcBorders>
            <w:vAlign w:val="center"/>
          </w:tcPr>
          <w:p w14:paraId="4C768348">
            <w:pPr>
              <w:rPr>
                <w:highlight w:val="none"/>
              </w:rPr>
            </w:pPr>
          </w:p>
        </w:tc>
        <w:tc>
          <w:tcPr>
            <w:tcW w:w="1501" w:type="dxa"/>
            <w:vMerge w:val="continue"/>
            <w:tcBorders>
              <w:top w:val="nil"/>
              <w:left w:val="single" w:color="auto" w:sz="8" w:space="0"/>
              <w:bottom w:val="single" w:color="000000" w:sz="8" w:space="0"/>
              <w:right w:val="single" w:color="auto" w:sz="8" w:space="0"/>
            </w:tcBorders>
            <w:vAlign w:val="center"/>
          </w:tcPr>
          <w:p w14:paraId="5C04FDDB">
            <w:pPr>
              <w:rPr>
                <w:highlight w:val="none"/>
              </w:rPr>
            </w:pPr>
          </w:p>
        </w:tc>
        <w:tc>
          <w:tcPr>
            <w:tcW w:w="5277" w:type="dxa"/>
            <w:tcBorders>
              <w:top w:val="single" w:color="auto" w:sz="8" w:space="0"/>
              <w:left w:val="single" w:color="auto" w:sz="8" w:space="0"/>
              <w:bottom w:val="single" w:color="auto" w:sz="8" w:space="0"/>
              <w:right w:val="single" w:color="auto" w:sz="8" w:space="0"/>
            </w:tcBorders>
            <w:vAlign w:val="center"/>
          </w:tcPr>
          <w:p w14:paraId="451989F6">
            <w:pPr>
              <w:pStyle w:val="209"/>
              <w:rPr>
                <w:rFonts w:ascii="仿宋" w:hAnsi="仿宋" w:eastAsia="仿宋" w:cs="仿宋"/>
                <w:color w:val="auto"/>
                <w:highlight w:val="none"/>
              </w:rPr>
            </w:pPr>
            <w:r>
              <w:rPr>
                <w:rFonts w:hint="eastAsia" w:ascii="仿宋" w:hAnsi="仿宋" w:eastAsia="仿宋" w:cs="仿宋"/>
                <w:color w:val="auto"/>
                <w:highlight w:val="none"/>
              </w:rPr>
              <w:t>b) 产品表面不应有明显的凹痕、划伤、裂缝、变形和污染等。表面涂层均匀，不应起泡、龟裂、脱落和磨损，金属零部件无锈蚀及其它机械损伤；</w:t>
            </w:r>
          </w:p>
        </w:tc>
      </w:tr>
      <w:tr w14:paraId="6254A4D9">
        <w:tblPrEx>
          <w:tblCellMar>
            <w:top w:w="0" w:type="dxa"/>
            <w:left w:w="108" w:type="dxa"/>
            <w:bottom w:w="0" w:type="dxa"/>
            <w:right w:w="108" w:type="dxa"/>
          </w:tblCellMar>
        </w:tblPrEx>
        <w:trPr>
          <w:trHeight w:val="624" w:hRule="atLeast"/>
          <w:jc w:val="center"/>
        </w:trPr>
        <w:tc>
          <w:tcPr>
            <w:tcW w:w="1027" w:type="dxa"/>
            <w:vMerge w:val="continue"/>
            <w:tcBorders>
              <w:top w:val="nil"/>
              <w:left w:val="single" w:color="auto" w:sz="8" w:space="0"/>
              <w:bottom w:val="single" w:color="000000" w:sz="8" w:space="0"/>
              <w:right w:val="single" w:color="auto" w:sz="8" w:space="0"/>
            </w:tcBorders>
            <w:vAlign w:val="center"/>
          </w:tcPr>
          <w:p w14:paraId="54E7FC42">
            <w:pPr>
              <w:rPr>
                <w:highlight w:val="none"/>
              </w:rPr>
            </w:pPr>
          </w:p>
        </w:tc>
        <w:tc>
          <w:tcPr>
            <w:tcW w:w="1481" w:type="dxa"/>
            <w:vMerge w:val="continue"/>
            <w:tcBorders>
              <w:top w:val="nil"/>
              <w:left w:val="single" w:color="auto" w:sz="8" w:space="0"/>
              <w:bottom w:val="single" w:color="000000" w:sz="8" w:space="0"/>
              <w:right w:val="single" w:color="auto" w:sz="8" w:space="0"/>
            </w:tcBorders>
            <w:vAlign w:val="center"/>
          </w:tcPr>
          <w:p w14:paraId="28DAA0B5">
            <w:pPr>
              <w:rPr>
                <w:highlight w:val="none"/>
              </w:rPr>
            </w:pPr>
          </w:p>
        </w:tc>
        <w:tc>
          <w:tcPr>
            <w:tcW w:w="1501" w:type="dxa"/>
            <w:vMerge w:val="continue"/>
            <w:tcBorders>
              <w:top w:val="nil"/>
              <w:left w:val="single" w:color="auto" w:sz="8" w:space="0"/>
              <w:bottom w:val="single" w:color="000000" w:sz="8" w:space="0"/>
              <w:right w:val="single" w:color="auto" w:sz="8" w:space="0"/>
            </w:tcBorders>
            <w:vAlign w:val="center"/>
          </w:tcPr>
          <w:p w14:paraId="3650F5B9">
            <w:pPr>
              <w:rPr>
                <w:highlight w:val="none"/>
              </w:rPr>
            </w:pPr>
          </w:p>
        </w:tc>
        <w:tc>
          <w:tcPr>
            <w:tcW w:w="5277" w:type="dxa"/>
            <w:tcBorders>
              <w:top w:val="single" w:color="auto" w:sz="8" w:space="0"/>
              <w:left w:val="single" w:color="auto" w:sz="8" w:space="0"/>
              <w:bottom w:val="single" w:color="auto" w:sz="8" w:space="0"/>
              <w:right w:val="single" w:color="auto" w:sz="8" w:space="0"/>
            </w:tcBorders>
            <w:vAlign w:val="center"/>
          </w:tcPr>
          <w:p w14:paraId="4D5E038A">
            <w:pPr>
              <w:pStyle w:val="209"/>
              <w:rPr>
                <w:rFonts w:ascii="仿宋" w:hAnsi="仿宋" w:eastAsia="仿宋" w:cs="仿宋"/>
                <w:color w:val="auto"/>
                <w:highlight w:val="none"/>
              </w:rPr>
            </w:pPr>
            <w:r>
              <w:rPr>
                <w:rFonts w:hint="eastAsia" w:ascii="仿宋" w:hAnsi="仿宋" w:eastAsia="仿宋" w:cs="仿宋"/>
                <w:color w:val="auto"/>
                <w:highlight w:val="none"/>
              </w:rPr>
              <w:t>c) 产品表面说明功能的文字、符号和标志应清晰、端正且牢固；</w:t>
            </w:r>
          </w:p>
        </w:tc>
      </w:tr>
      <w:tr w14:paraId="66F05AE3">
        <w:tblPrEx>
          <w:tblCellMar>
            <w:top w:w="0" w:type="dxa"/>
            <w:left w:w="108" w:type="dxa"/>
            <w:bottom w:w="0" w:type="dxa"/>
            <w:right w:w="108" w:type="dxa"/>
          </w:tblCellMar>
        </w:tblPrEx>
        <w:trPr>
          <w:trHeight w:val="936" w:hRule="atLeast"/>
          <w:jc w:val="center"/>
        </w:trPr>
        <w:tc>
          <w:tcPr>
            <w:tcW w:w="1027" w:type="dxa"/>
            <w:vMerge w:val="continue"/>
            <w:tcBorders>
              <w:top w:val="nil"/>
              <w:left w:val="single" w:color="auto" w:sz="8" w:space="0"/>
              <w:bottom w:val="single" w:color="000000" w:sz="8" w:space="0"/>
              <w:right w:val="single" w:color="auto" w:sz="8" w:space="0"/>
            </w:tcBorders>
            <w:vAlign w:val="center"/>
          </w:tcPr>
          <w:p w14:paraId="7595C316">
            <w:pPr>
              <w:rPr>
                <w:highlight w:val="none"/>
              </w:rPr>
            </w:pPr>
          </w:p>
        </w:tc>
        <w:tc>
          <w:tcPr>
            <w:tcW w:w="1481" w:type="dxa"/>
            <w:vMerge w:val="continue"/>
            <w:tcBorders>
              <w:top w:val="nil"/>
              <w:left w:val="single" w:color="auto" w:sz="8" w:space="0"/>
              <w:bottom w:val="single" w:color="000000" w:sz="8" w:space="0"/>
              <w:right w:val="single" w:color="auto" w:sz="8" w:space="0"/>
            </w:tcBorders>
            <w:vAlign w:val="center"/>
          </w:tcPr>
          <w:p w14:paraId="06ED93A6">
            <w:pPr>
              <w:rPr>
                <w:highlight w:val="none"/>
              </w:rPr>
            </w:pPr>
          </w:p>
        </w:tc>
        <w:tc>
          <w:tcPr>
            <w:tcW w:w="1501" w:type="dxa"/>
            <w:vMerge w:val="continue"/>
            <w:tcBorders>
              <w:top w:val="nil"/>
              <w:left w:val="single" w:color="auto" w:sz="8" w:space="0"/>
              <w:bottom w:val="single" w:color="000000" w:sz="8" w:space="0"/>
              <w:right w:val="single" w:color="auto" w:sz="8" w:space="0"/>
            </w:tcBorders>
            <w:vAlign w:val="center"/>
          </w:tcPr>
          <w:p w14:paraId="1325C39E">
            <w:pPr>
              <w:rPr>
                <w:highlight w:val="none"/>
              </w:rPr>
            </w:pPr>
          </w:p>
        </w:tc>
        <w:tc>
          <w:tcPr>
            <w:tcW w:w="5277" w:type="dxa"/>
            <w:tcBorders>
              <w:top w:val="single" w:color="auto" w:sz="8" w:space="0"/>
              <w:left w:val="single" w:color="auto" w:sz="8" w:space="0"/>
              <w:bottom w:val="single" w:color="auto" w:sz="8" w:space="0"/>
              <w:right w:val="single" w:color="auto" w:sz="8" w:space="0"/>
            </w:tcBorders>
            <w:vAlign w:val="center"/>
          </w:tcPr>
          <w:p w14:paraId="5906EF93">
            <w:pPr>
              <w:pStyle w:val="209"/>
              <w:rPr>
                <w:rFonts w:ascii="仿宋" w:hAnsi="仿宋" w:eastAsia="仿宋" w:cs="仿宋"/>
                <w:color w:val="auto"/>
                <w:highlight w:val="none"/>
              </w:rPr>
            </w:pPr>
            <w:r>
              <w:rPr>
                <w:rFonts w:hint="eastAsia" w:ascii="仿宋" w:hAnsi="仿宋" w:eastAsia="仿宋" w:cs="仿宋"/>
                <w:color w:val="auto"/>
                <w:highlight w:val="none"/>
              </w:rPr>
              <w:t>d) 应在服务器的显著位置提供运行状态的指示功能，并在随机文件中明确具体含义；</w:t>
            </w:r>
          </w:p>
        </w:tc>
      </w:tr>
      <w:tr w14:paraId="15D800FD">
        <w:tblPrEx>
          <w:tblCellMar>
            <w:top w:w="0" w:type="dxa"/>
            <w:left w:w="108" w:type="dxa"/>
            <w:bottom w:w="0" w:type="dxa"/>
            <w:right w:w="108" w:type="dxa"/>
          </w:tblCellMar>
        </w:tblPrEx>
        <w:trPr>
          <w:trHeight w:val="1560" w:hRule="atLeast"/>
          <w:jc w:val="center"/>
        </w:trPr>
        <w:tc>
          <w:tcPr>
            <w:tcW w:w="1027" w:type="dxa"/>
            <w:vMerge w:val="continue"/>
            <w:tcBorders>
              <w:top w:val="nil"/>
              <w:left w:val="single" w:color="auto" w:sz="8" w:space="0"/>
              <w:bottom w:val="single" w:color="000000" w:sz="8" w:space="0"/>
              <w:right w:val="single" w:color="auto" w:sz="8" w:space="0"/>
            </w:tcBorders>
            <w:vAlign w:val="center"/>
          </w:tcPr>
          <w:p w14:paraId="441164C7">
            <w:pPr>
              <w:rPr>
                <w:highlight w:val="none"/>
              </w:rPr>
            </w:pPr>
          </w:p>
        </w:tc>
        <w:tc>
          <w:tcPr>
            <w:tcW w:w="1481" w:type="dxa"/>
            <w:vMerge w:val="continue"/>
            <w:tcBorders>
              <w:top w:val="nil"/>
              <w:left w:val="single" w:color="auto" w:sz="8" w:space="0"/>
              <w:bottom w:val="single" w:color="000000" w:sz="8" w:space="0"/>
              <w:right w:val="single" w:color="auto" w:sz="8" w:space="0"/>
            </w:tcBorders>
            <w:vAlign w:val="center"/>
          </w:tcPr>
          <w:p w14:paraId="53B7C3DD">
            <w:pPr>
              <w:rPr>
                <w:highlight w:val="none"/>
              </w:rPr>
            </w:pPr>
          </w:p>
        </w:tc>
        <w:tc>
          <w:tcPr>
            <w:tcW w:w="1501" w:type="dxa"/>
            <w:vMerge w:val="continue"/>
            <w:tcBorders>
              <w:top w:val="nil"/>
              <w:left w:val="single" w:color="auto" w:sz="8" w:space="0"/>
              <w:bottom w:val="single" w:color="000000" w:sz="8" w:space="0"/>
              <w:right w:val="single" w:color="auto" w:sz="8" w:space="0"/>
            </w:tcBorders>
            <w:vAlign w:val="center"/>
          </w:tcPr>
          <w:p w14:paraId="6EB24AB8">
            <w:pPr>
              <w:rPr>
                <w:highlight w:val="none"/>
              </w:rPr>
            </w:pPr>
          </w:p>
        </w:tc>
        <w:tc>
          <w:tcPr>
            <w:tcW w:w="5277" w:type="dxa"/>
            <w:tcBorders>
              <w:top w:val="single" w:color="auto" w:sz="8" w:space="0"/>
              <w:left w:val="single" w:color="auto" w:sz="8" w:space="0"/>
              <w:bottom w:val="single" w:color="auto" w:sz="8" w:space="0"/>
              <w:right w:val="single" w:color="auto" w:sz="8" w:space="0"/>
            </w:tcBorders>
            <w:vAlign w:val="center"/>
          </w:tcPr>
          <w:p w14:paraId="7650C962">
            <w:pPr>
              <w:pStyle w:val="209"/>
              <w:rPr>
                <w:rFonts w:ascii="仿宋" w:hAnsi="仿宋" w:eastAsia="仿宋" w:cs="仿宋"/>
                <w:color w:val="auto"/>
                <w:highlight w:val="none"/>
              </w:rPr>
            </w:pPr>
            <w:r>
              <w:rPr>
                <w:rFonts w:hint="eastAsia" w:ascii="仿宋" w:hAnsi="仿宋" w:eastAsia="仿宋" w:cs="仿宋"/>
                <w:color w:val="auto"/>
                <w:highlight w:val="none"/>
              </w:rPr>
              <w:t>e) 机架、机箱的尺寸应符合通用机柜的安装要求，插入总线插座的电路板接口外形尺寸应符合有关总线标准的规定，将机箱固定在机柜上，机箱底面最大下垂变形不得干涉相邻机体；</w:t>
            </w:r>
          </w:p>
        </w:tc>
      </w:tr>
      <w:tr w14:paraId="73C79322">
        <w:tblPrEx>
          <w:tblCellMar>
            <w:top w:w="0" w:type="dxa"/>
            <w:left w:w="108" w:type="dxa"/>
            <w:bottom w:w="0" w:type="dxa"/>
            <w:right w:w="108" w:type="dxa"/>
          </w:tblCellMar>
        </w:tblPrEx>
        <w:trPr>
          <w:trHeight w:val="624" w:hRule="atLeast"/>
          <w:jc w:val="center"/>
        </w:trPr>
        <w:tc>
          <w:tcPr>
            <w:tcW w:w="1027" w:type="dxa"/>
            <w:vMerge w:val="continue"/>
            <w:tcBorders>
              <w:top w:val="nil"/>
              <w:left w:val="single" w:color="auto" w:sz="8" w:space="0"/>
              <w:bottom w:val="single" w:color="000000" w:sz="8" w:space="0"/>
              <w:right w:val="single" w:color="auto" w:sz="8" w:space="0"/>
            </w:tcBorders>
            <w:vAlign w:val="center"/>
          </w:tcPr>
          <w:p w14:paraId="7EF0AED5">
            <w:pPr>
              <w:rPr>
                <w:highlight w:val="none"/>
              </w:rPr>
            </w:pPr>
          </w:p>
        </w:tc>
        <w:tc>
          <w:tcPr>
            <w:tcW w:w="1481" w:type="dxa"/>
            <w:vMerge w:val="continue"/>
            <w:tcBorders>
              <w:top w:val="nil"/>
              <w:left w:val="single" w:color="auto" w:sz="8" w:space="0"/>
              <w:bottom w:val="single" w:color="000000" w:sz="8" w:space="0"/>
              <w:right w:val="single" w:color="auto" w:sz="8" w:space="0"/>
            </w:tcBorders>
            <w:vAlign w:val="center"/>
          </w:tcPr>
          <w:p w14:paraId="1A327E27">
            <w:pPr>
              <w:rPr>
                <w:highlight w:val="none"/>
              </w:rPr>
            </w:pPr>
          </w:p>
        </w:tc>
        <w:tc>
          <w:tcPr>
            <w:tcW w:w="1501" w:type="dxa"/>
            <w:vMerge w:val="continue"/>
            <w:tcBorders>
              <w:top w:val="nil"/>
              <w:left w:val="single" w:color="auto" w:sz="8" w:space="0"/>
              <w:bottom w:val="single" w:color="000000" w:sz="8" w:space="0"/>
              <w:right w:val="single" w:color="auto" w:sz="8" w:space="0"/>
            </w:tcBorders>
            <w:vAlign w:val="center"/>
          </w:tcPr>
          <w:p w14:paraId="37840C62">
            <w:pPr>
              <w:rPr>
                <w:highlight w:val="none"/>
              </w:rPr>
            </w:pPr>
          </w:p>
        </w:tc>
        <w:tc>
          <w:tcPr>
            <w:tcW w:w="5277" w:type="dxa"/>
            <w:tcBorders>
              <w:top w:val="single" w:color="auto" w:sz="8" w:space="0"/>
              <w:left w:val="single" w:color="auto" w:sz="8" w:space="0"/>
              <w:bottom w:val="single" w:color="auto" w:sz="8" w:space="0"/>
              <w:right w:val="single" w:color="auto" w:sz="8" w:space="0"/>
            </w:tcBorders>
            <w:vAlign w:val="center"/>
          </w:tcPr>
          <w:p w14:paraId="3EEBD3A7">
            <w:pPr>
              <w:pStyle w:val="209"/>
              <w:rPr>
                <w:rFonts w:ascii="仿宋" w:hAnsi="仿宋" w:eastAsia="仿宋" w:cs="仿宋"/>
                <w:color w:val="auto"/>
                <w:highlight w:val="none"/>
              </w:rPr>
            </w:pPr>
            <w:r>
              <w:rPr>
                <w:rFonts w:hint="eastAsia" w:ascii="仿宋" w:hAnsi="仿宋" w:eastAsia="仿宋" w:cs="仿宋"/>
                <w:color w:val="auto"/>
                <w:highlight w:val="none"/>
              </w:rPr>
              <w:t>f) 高密度服务器应给出 CPU 个数与机柜高度；</w:t>
            </w:r>
          </w:p>
        </w:tc>
      </w:tr>
      <w:tr w14:paraId="0CA81D73">
        <w:tblPrEx>
          <w:tblCellMar>
            <w:top w:w="0" w:type="dxa"/>
            <w:left w:w="108" w:type="dxa"/>
            <w:bottom w:w="0" w:type="dxa"/>
            <w:right w:w="108" w:type="dxa"/>
          </w:tblCellMar>
        </w:tblPrEx>
        <w:trPr>
          <w:trHeight w:val="636" w:hRule="atLeast"/>
          <w:jc w:val="center"/>
        </w:trPr>
        <w:tc>
          <w:tcPr>
            <w:tcW w:w="1027" w:type="dxa"/>
            <w:vMerge w:val="continue"/>
            <w:tcBorders>
              <w:top w:val="nil"/>
              <w:left w:val="single" w:color="auto" w:sz="8" w:space="0"/>
              <w:bottom w:val="single" w:color="000000" w:sz="8" w:space="0"/>
              <w:right w:val="single" w:color="auto" w:sz="8" w:space="0"/>
            </w:tcBorders>
            <w:vAlign w:val="center"/>
          </w:tcPr>
          <w:p w14:paraId="62FDEAF0">
            <w:pPr>
              <w:rPr>
                <w:highlight w:val="none"/>
              </w:rPr>
            </w:pPr>
          </w:p>
        </w:tc>
        <w:tc>
          <w:tcPr>
            <w:tcW w:w="1481" w:type="dxa"/>
            <w:vMerge w:val="continue"/>
            <w:tcBorders>
              <w:top w:val="nil"/>
              <w:left w:val="single" w:color="auto" w:sz="8" w:space="0"/>
              <w:bottom w:val="single" w:color="000000" w:sz="8" w:space="0"/>
              <w:right w:val="single" w:color="auto" w:sz="8" w:space="0"/>
            </w:tcBorders>
            <w:vAlign w:val="center"/>
          </w:tcPr>
          <w:p w14:paraId="1D7310A5">
            <w:pPr>
              <w:rPr>
                <w:highlight w:val="none"/>
              </w:rPr>
            </w:pPr>
          </w:p>
        </w:tc>
        <w:tc>
          <w:tcPr>
            <w:tcW w:w="1501" w:type="dxa"/>
            <w:vMerge w:val="continue"/>
            <w:tcBorders>
              <w:top w:val="nil"/>
              <w:left w:val="single" w:color="auto" w:sz="8" w:space="0"/>
              <w:bottom w:val="single" w:color="000000" w:sz="8" w:space="0"/>
              <w:right w:val="single" w:color="auto" w:sz="8" w:space="0"/>
            </w:tcBorders>
            <w:vAlign w:val="center"/>
          </w:tcPr>
          <w:p w14:paraId="1F842F78">
            <w:pPr>
              <w:rPr>
                <w:highlight w:val="none"/>
              </w:rPr>
            </w:pPr>
          </w:p>
        </w:tc>
        <w:tc>
          <w:tcPr>
            <w:tcW w:w="5277" w:type="dxa"/>
            <w:tcBorders>
              <w:top w:val="single" w:color="auto" w:sz="8" w:space="0"/>
              <w:left w:val="single" w:color="auto" w:sz="8" w:space="0"/>
              <w:bottom w:val="single" w:color="auto" w:sz="8" w:space="0"/>
              <w:right w:val="single" w:color="auto" w:sz="8" w:space="0"/>
            </w:tcBorders>
            <w:vAlign w:val="center"/>
          </w:tcPr>
          <w:p w14:paraId="2D506648">
            <w:pPr>
              <w:pStyle w:val="209"/>
              <w:rPr>
                <w:rFonts w:ascii="仿宋" w:hAnsi="仿宋" w:eastAsia="仿宋" w:cs="仿宋"/>
                <w:color w:val="auto"/>
                <w:highlight w:val="none"/>
              </w:rPr>
            </w:pPr>
            <w:r>
              <w:rPr>
                <w:rFonts w:hint="eastAsia" w:ascii="仿宋" w:hAnsi="仿宋" w:eastAsia="仿宋" w:cs="仿宋"/>
                <w:color w:val="auto"/>
                <w:highlight w:val="none"/>
              </w:rPr>
              <w:t>g) 服务器尺寸具体要求在随机文件中明确</w:t>
            </w:r>
          </w:p>
        </w:tc>
      </w:tr>
      <w:tr w14:paraId="02D831BA">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0C524AEB">
            <w:pPr>
              <w:pStyle w:val="209"/>
              <w:rPr>
                <w:rFonts w:ascii="仿宋" w:hAnsi="仿宋" w:eastAsia="仿宋" w:cs="仿宋"/>
                <w:color w:val="auto"/>
                <w:highlight w:val="none"/>
              </w:rPr>
            </w:pPr>
            <w:r>
              <w:rPr>
                <w:rFonts w:hint="eastAsia" w:ascii="仿宋" w:hAnsi="仿宋" w:eastAsia="仿宋" w:cs="仿宋"/>
                <w:color w:val="auto"/>
                <w:highlight w:val="none"/>
              </w:rPr>
              <w:t>19</w:t>
            </w:r>
          </w:p>
        </w:tc>
        <w:tc>
          <w:tcPr>
            <w:tcW w:w="1481" w:type="dxa"/>
            <w:vMerge w:val="continue"/>
            <w:tcBorders>
              <w:top w:val="nil"/>
              <w:left w:val="single" w:color="auto" w:sz="8" w:space="0"/>
              <w:bottom w:val="single" w:color="000000" w:sz="8" w:space="0"/>
              <w:right w:val="single" w:color="auto" w:sz="8" w:space="0"/>
            </w:tcBorders>
            <w:vAlign w:val="center"/>
          </w:tcPr>
          <w:p w14:paraId="1AB41A75">
            <w:pPr>
              <w:rPr>
                <w:highlight w:val="none"/>
              </w:rPr>
            </w:pPr>
          </w:p>
        </w:tc>
        <w:tc>
          <w:tcPr>
            <w:tcW w:w="1501" w:type="dxa"/>
            <w:tcBorders>
              <w:top w:val="nil"/>
              <w:left w:val="nil"/>
              <w:bottom w:val="single" w:color="auto" w:sz="8" w:space="0"/>
              <w:right w:val="single" w:color="auto" w:sz="8" w:space="0"/>
            </w:tcBorders>
            <w:vAlign w:val="center"/>
          </w:tcPr>
          <w:p w14:paraId="06BF15B8">
            <w:pPr>
              <w:pStyle w:val="209"/>
              <w:rPr>
                <w:rFonts w:ascii="仿宋" w:hAnsi="仿宋" w:eastAsia="仿宋" w:cs="仿宋"/>
                <w:color w:val="auto"/>
                <w:highlight w:val="none"/>
              </w:rPr>
            </w:pPr>
            <w:r>
              <w:rPr>
                <w:rFonts w:hint="eastAsia" w:ascii="仿宋" w:hAnsi="仿宋" w:eastAsia="仿宋" w:cs="仿宋"/>
                <w:color w:val="auto"/>
                <w:highlight w:val="none"/>
              </w:rPr>
              <w:t>尺寸（高×宽×深）</w:t>
            </w:r>
          </w:p>
        </w:tc>
        <w:tc>
          <w:tcPr>
            <w:tcW w:w="5277" w:type="dxa"/>
            <w:tcBorders>
              <w:top w:val="single" w:color="auto" w:sz="8" w:space="0"/>
              <w:left w:val="nil"/>
              <w:bottom w:val="single" w:color="auto" w:sz="8" w:space="0"/>
              <w:right w:val="single" w:color="auto" w:sz="8" w:space="0"/>
            </w:tcBorders>
            <w:vAlign w:val="center"/>
          </w:tcPr>
          <w:p w14:paraId="1E525AD6">
            <w:pPr>
              <w:pStyle w:val="209"/>
              <w:rPr>
                <w:rFonts w:ascii="仿宋" w:hAnsi="仿宋" w:eastAsia="仿宋" w:cs="仿宋"/>
                <w:color w:val="auto"/>
                <w:highlight w:val="none"/>
              </w:rPr>
            </w:pPr>
            <w:r>
              <w:rPr>
                <w:rFonts w:hint="eastAsia" w:ascii="仿宋" w:hAnsi="仿宋" w:eastAsia="仿宋" w:cs="仿宋"/>
                <w:color w:val="auto"/>
                <w:highlight w:val="none"/>
              </w:rPr>
              <w:t>乙方应在投标时给出产品尺寸；</w:t>
            </w:r>
          </w:p>
        </w:tc>
      </w:tr>
      <w:tr w14:paraId="3B114834">
        <w:tblPrEx>
          <w:tblCellMar>
            <w:top w:w="0" w:type="dxa"/>
            <w:left w:w="108" w:type="dxa"/>
            <w:bottom w:w="0" w:type="dxa"/>
            <w:right w:w="108" w:type="dxa"/>
          </w:tblCellMar>
        </w:tblPrEx>
        <w:trPr>
          <w:trHeight w:val="1572" w:hRule="atLeast"/>
          <w:jc w:val="center"/>
        </w:trPr>
        <w:tc>
          <w:tcPr>
            <w:tcW w:w="1027" w:type="dxa"/>
            <w:tcBorders>
              <w:top w:val="nil"/>
              <w:left w:val="single" w:color="auto" w:sz="8" w:space="0"/>
              <w:bottom w:val="single" w:color="auto" w:sz="8" w:space="0"/>
              <w:right w:val="single" w:color="auto" w:sz="8" w:space="0"/>
            </w:tcBorders>
            <w:vAlign w:val="center"/>
          </w:tcPr>
          <w:p w14:paraId="5E118D23">
            <w:pPr>
              <w:pStyle w:val="209"/>
              <w:rPr>
                <w:rFonts w:ascii="仿宋" w:hAnsi="仿宋" w:eastAsia="仿宋" w:cs="仿宋"/>
                <w:color w:val="auto"/>
                <w:highlight w:val="none"/>
              </w:rPr>
            </w:pPr>
            <w:r>
              <w:rPr>
                <w:rFonts w:hint="eastAsia" w:ascii="仿宋" w:hAnsi="仿宋" w:eastAsia="仿宋" w:cs="仿宋"/>
                <w:color w:val="auto"/>
                <w:highlight w:val="none"/>
              </w:rPr>
              <w:t>20</w:t>
            </w:r>
          </w:p>
        </w:tc>
        <w:tc>
          <w:tcPr>
            <w:tcW w:w="1481" w:type="dxa"/>
            <w:vMerge w:val="continue"/>
            <w:tcBorders>
              <w:top w:val="nil"/>
              <w:left w:val="single" w:color="auto" w:sz="8" w:space="0"/>
              <w:bottom w:val="single" w:color="000000" w:sz="8" w:space="0"/>
              <w:right w:val="single" w:color="auto" w:sz="8" w:space="0"/>
            </w:tcBorders>
            <w:vAlign w:val="center"/>
          </w:tcPr>
          <w:p w14:paraId="71EF1337">
            <w:pPr>
              <w:rPr>
                <w:highlight w:val="none"/>
              </w:rPr>
            </w:pPr>
          </w:p>
        </w:tc>
        <w:tc>
          <w:tcPr>
            <w:tcW w:w="1501" w:type="dxa"/>
            <w:tcBorders>
              <w:top w:val="nil"/>
              <w:left w:val="nil"/>
              <w:bottom w:val="single" w:color="auto" w:sz="8" w:space="0"/>
              <w:right w:val="single" w:color="auto" w:sz="8" w:space="0"/>
            </w:tcBorders>
            <w:vAlign w:val="center"/>
          </w:tcPr>
          <w:p w14:paraId="619803E8">
            <w:pPr>
              <w:pStyle w:val="209"/>
              <w:rPr>
                <w:rFonts w:ascii="仿宋" w:hAnsi="仿宋" w:eastAsia="仿宋" w:cs="仿宋"/>
                <w:color w:val="auto"/>
                <w:highlight w:val="none"/>
              </w:rPr>
            </w:pPr>
            <w:r>
              <w:rPr>
                <w:rFonts w:hint="eastAsia" w:ascii="仿宋" w:hAnsi="仿宋" w:eastAsia="仿宋" w:cs="仿宋"/>
                <w:color w:val="auto"/>
                <w:highlight w:val="none"/>
              </w:rPr>
              <w:t>环境适应性</w:t>
            </w:r>
          </w:p>
        </w:tc>
        <w:tc>
          <w:tcPr>
            <w:tcW w:w="5277" w:type="dxa"/>
            <w:tcBorders>
              <w:top w:val="nil"/>
              <w:left w:val="nil"/>
              <w:bottom w:val="single" w:color="auto" w:sz="8" w:space="0"/>
              <w:right w:val="single" w:color="auto" w:sz="8" w:space="0"/>
            </w:tcBorders>
            <w:vAlign w:val="center"/>
          </w:tcPr>
          <w:p w14:paraId="55CECD83">
            <w:pPr>
              <w:pStyle w:val="209"/>
              <w:rPr>
                <w:rFonts w:ascii="仿宋" w:hAnsi="仿宋" w:eastAsia="仿宋" w:cs="仿宋"/>
                <w:color w:val="auto"/>
                <w:highlight w:val="none"/>
              </w:rPr>
            </w:pPr>
            <w:r>
              <w:rPr>
                <w:rFonts w:hint="eastAsia" w:ascii="仿宋" w:hAnsi="仿宋" w:eastAsia="仿宋" w:cs="仿宋"/>
                <w:color w:val="auto"/>
                <w:highlight w:val="none"/>
              </w:rPr>
              <w:t>气候环境适应性应符合 GB/T9813.3 的有关规定，工作温度 10～35℃，贮存运输温度-40～55℃；工作相对湿度 35%～80%，贮存运输相对湿度 20％～93%（40℃）；大气压86～106kPa</w:t>
            </w:r>
          </w:p>
        </w:tc>
      </w:tr>
      <w:tr w14:paraId="3E8AC71B">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24E81423">
            <w:pPr>
              <w:pStyle w:val="209"/>
              <w:rPr>
                <w:rFonts w:ascii="仿宋" w:hAnsi="仿宋" w:eastAsia="仿宋" w:cs="仿宋"/>
                <w:color w:val="auto"/>
                <w:highlight w:val="none"/>
              </w:rPr>
            </w:pPr>
            <w:r>
              <w:rPr>
                <w:rFonts w:hint="eastAsia" w:ascii="仿宋" w:hAnsi="仿宋" w:eastAsia="仿宋" w:cs="仿宋"/>
                <w:color w:val="auto"/>
                <w:highlight w:val="none"/>
              </w:rPr>
              <w:t>21</w:t>
            </w:r>
          </w:p>
        </w:tc>
        <w:tc>
          <w:tcPr>
            <w:tcW w:w="1481" w:type="dxa"/>
            <w:vMerge w:val="continue"/>
            <w:tcBorders>
              <w:top w:val="nil"/>
              <w:left w:val="single" w:color="auto" w:sz="8" w:space="0"/>
              <w:bottom w:val="single" w:color="000000" w:sz="8" w:space="0"/>
              <w:right w:val="single" w:color="auto" w:sz="8" w:space="0"/>
            </w:tcBorders>
            <w:vAlign w:val="center"/>
          </w:tcPr>
          <w:p w14:paraId="4E1F3657">
            <w:pPr>
              <w:rPr>
                <w:highlight w:val="none"/>
              </w:rPr>
            </w:pPr>
          </w:p>
        </w:tc>
        <w:tc>
          <w:tcPr>
            <w:tcW w:w="1501" w:type="dxa"/>
            <w:tcBorders>
              <w:top w:val="nil"/>
              <w:left w:val="nil"/>
              <w:bottom w:val="single" w:color="auto" w:sz="8" w:space="0"/>
              <w:right w:val="single" w:color="auto" w:sz="8" w:space="0"/>
            </w:tcBorders>
            <w:vAlign w:val="center"/>
          </w:tcPr>
          <w:p w14:paraId="2D3C6C6B">
            <w:pPr>
              <w:pStyle w:val="209"/>
              <w:rPr>
                <w:rFonts w:ascii="仿宋" w:hAnsi="仿宋" w:eastAsia="仿宋" w:cs="仿宋"/>
                <w:color w:val="auto"/>
                <w:highlight w:val="none"/>
              </w:rPr>
            </w:pPr>
            <w:r>
              <w:rPr>
                <w:rFonts w:hint="eastAsia" w:ascii="仿宋" w:hAnsi="仿宋" w:eastAsia="仿宋" w:cs="仿宋"/>
                <w:color w:val="auto"/>
                <w:highlight w:val="none"/>
              </w:rPr>
              <w:t>机械环境适应性</w:t>
            </w:r>
          </w:p>
        </w:tc>
        <w:tc>
          <w:tcPr>
            <w:tcW w:w="5277" w:type="dxa"/>
            <w:tcBorders>
              <w:top w:val="nil"/>
              <w:left w:val="nil"/>
              <w:bottom w:val="single" w:color="auto" w:sz="8" w:space="0"/>
              <w:right w:val="single" w:color="auto" w:sz="8" w:space="0"/>
            </w:tcBorders>
            <w:vAlign w:val="center"/>
          </w:tcPr>
          <w:p w14:paraId="6F6A0EFE">
            <w:pPr>
              <w:pStyle w:val="209"/>
              <w:rPr>
                <w:rFonts w:ascii="仿宋" w:hAnsi="仿宋" w:eastAsia="仿宋" w:cs="仿宋"/>
                <w:color w:val="auto"/>
                <w:highlight w:val="none"/>
              </w:rPr>
            </w:pPr>
            <w:r>
              <w:rPr>
                <w:rFonts w:hint="eastAsia" w:ascii="仿宋" w:hAnsi="仿宋" w:eastAsia="仿宋" w:cs="仿宋"/>
                <w:color w:val="auto"/>
                <w:highlight w:val="none"/>
              </w:rPr>
              <w:t>机械环境适应性应符合 GB/T9813.3 的有关规定</w:t>
            </w:r>
          </w:p>
        </w:tc>
      </w:tr>
      <w:tr w14:paraId="316EE961">
        <w:tblPrEx>
          <w:tblCellMar>
            <w:top w:w="0" w:type="dxa"/>
            <w:left w:w="108" w:type="dxa"/>
            <w:bottom w:w="0" w:type="dxa"/>
            <w:right w:w="108" w:type="dxa"/>
          </w:tblCellMar>
        </w:tblPrEx>
        <w:trPr>
          <w:trHeight w:val="948" w:hRule="atLeast"/>
          <w:jc w:val="center"/>
        </w:trPr>
        <w:tc>
          <w:tcPr>
            <w:tcW w:w="1027" w:type="dxa"/>
            <w:tcBorders>
              <w:top w:val="nil"/>
              <w:left w:val="single" w:color="auto" w:sz="8" w:space="0"/>
              <w:bottom w:val="single" w:color="auto" w:sz="8" w:space="0"/>
              <w:right w:val="single" w:color="auto" w:sz="8" w:space="0"/>
            </w:tcBorders>
            <w:vAlign w:val="center"/>
          </w:tcPr>
          <w:p w14:paraId="623851AA">
            <w:pPr>
              <w:pStyle w:val="209"/>
              <w:rPr>
                <w:rFonts w:ascii="仿宋" w:hAnsi="仿宋" w:eastAsia="仿宋" w:cs="仿宋"/>
                <w:color w:val="auto"/>
                <w:highlight w:val="none"/>
              </w:rPr>
            </w:pPr>
            <w:r>
              <w:rPr>
                <w:rFonts w:hint="eastAsia" w:ascii="仿宋" w:hAnsi="仿宋" w:eastAsia="仿宋" w:cs="仿宋"/>
                <w:color w:val="auto"/>
                <w:highlight w:val="none"/>
              </w:rPr>
              <w:t>22</w:t>
            </w:r>
          </w:p>
        </w:tc>
        <w:tc>
          <w:tcPr>
            <w:tcW w:w="1481" w:type="dxa"/>
            <w:vMerge w:val="continue"/>
            <w:tcBorders>
              <w:top w:val="nil"/>
              <w:left w:val="single" w:color="auto" w:sz="8" w:space="0"/>
              <w:bottom w:val="single" w:color="000000" w:sz="8" w:space="0"/>
              <w:right w:val="single" w:color="auto" w:sz="8" w:space="0"/>
            </w:tcBorders>
            <w:vAlign w:val="center"/>
          </w:tcPr>
          <w:p w14:paraId="22532AD4">
            <w:pPr>
              <w:rPr>
                <w:highlight w:val="none"/>
              </w:rPr>
            </w:pPr>
          </w:p>
        </w:tc>
        <w:tc>
          <w:tcPr>
            <w:tcW w:w="1501" w:type="dxa"/>
            <w:tcBorders>
              <w:top w:val="nil"/>
              <w:left w:val="nil"/>
              <w:bottom w:val="single" w:color="auto" w:sz="8" w:space="0"/>
              <w:right w:val="single" w:color="auto" w:sz="8" w:space="0"/>
            </w:tcBorders>
            <w:vAlign w:val="center"/>
          </w:tcPr>
          <w:p w14:paraId="72C04F57">
            <w:pPr>
              <w:pStyle w:val="209"/>
              <w:rPr>
                <w:rFonts w:ascii="仿宋" w:hAnsi="仿宋" w:eastAsia="仿宋" w:cs="仿宋"/>
                <w:color w:val="auto"/>
                <w:highlight w:val="none"/>
              </w:rPr>
            </w:pPr>
            <w:r>
              <w:rPr>
                <w:rFonts w:hint="eastAsia" w:ascii="仿宋" w:hAnsi="仿宋" w:eastAsia="仿宋" w:cs="仿宋"/>
                <w:color w:val="auto"/>
                <w:highlight w:val="none"/>
              </w:rPr>
              <w:t>噪声</w:t>
            </w:r>
          </w:p>
        </w:tc>
        <w:tc>
          <w:tcPr>
            <w:tcW w:w="5277" w:type="dxa"/>
            <w:tcBorders>
              <w:top w:val="nil"/>
              <w:left w:val="nil"/>
              <w:bottom w:val="single" w:color="auto" w:sz="8" w:space="0"/>
              <w:right w:val="single" w:color="auto" w:sz="8" w:space="0"/>
            </w:tcBorders>
            <w:vAlign w:val="center"/>
          </w:tcPr>
          <w:p w14:paraId="4EF3FAF5">
            <w:pPr>
              <w:pStyle w:val="209"/>
              <w:rPr>
                <w:rFonts w:ascii="仿宋" w:hAnsi="仿宋" w:eastAsia="仿宋" w:cs="仿宋"/>
                <w:color w:val="auto"/>
                <w:highlight w:val="none"/>
              </w:rPr>
            </w:pPr>
            <w:r>
              <w:rPr>
                <w:rFonts w:hint="eastAsia" w:ascii="仿宋" w:hAnsi="仿宋" w:eastAsia="仿宋" w:cs="仿宋"/>
                <w:color w:val="auto"/>
                <w:highlight w:val="none"/>
              </w:rPr>
              <w:t>符合 GB/T 9813.3 的有关规定，在产品说明中给出具体测试值塔式服务器噪声在空闲状态下不大于 50dB</w:t>
            </w:r>
          </w:p>
        </w:tc>
      </w:tr>
      <w:tr w14:paraId="6BC52BD0">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0E381835">
            <w:pPr>
              <w:pStyle w:val="209"/>
              <w:rPr>
                <w:rFonts w:ascii="仿宋" w:hAnsi="仿宋" w:eastAsia="仿宋" w:cs="仿宋"/>
                <w:color w:val="auto"/>
                <w:highlight w:val="none"/>
              </w:rPr>
            </w:pPr>
            <w:r>
              <w:rPr>
                <w:rFonts w:hint="eastAsia" w:ascii="仿宋" w:hAnsi="仿宋" w:eastAsia="仿宋" w:cs="仿宋"/>
                <w:color w:val="auto"/>
                <w:highlight w:val="none"/>
              </w:rPr>
              <w:t>23</w:t>
            </w:r>
          </w:p>
        </w:tc>
        <w:tc>
          <w:tcPr>
            <w:tcW w:w="1481" w:type="dxa"/>
            <w:tcBorders>
              <w:top w:val="nil"/>
              <w:left w:val="nil"/>
              <w:bottom w:val="single" w:color="auto" w:sz="8" w:space="0"/>
              <w:right w:val="single" w:color="auto" w:sz="8" w:space="0"/>
            </w:tcBorders>
            <w:vAlign w:val="center"/>
          </w:tcPr>
          <w:p w14:paraId="1C2FFFFE">
            <w:pPr>
              <w:pStyle w:val="209"/>
              <w:rPr>
                <w:rFonts w:ascii="仿宋" w:hAnsi="仿宋" w:eastAsia="仿宋" w:cs="仿宋"/>
                <w:color w:val="auto"/>
                <w:highlight w:val="none"/>
              </w:rPr>
            </w:pPr>
            <w:r>
              <w:rPr>
                <w:rFonts w:hint="eastAsia" w:ascii="仿宋" w:hAnsi="仿宋" w:eastAsia="仿宋" w:cs="仿宋"/>
                <w:color w:val="auto"/>
                <w:highlight w:val="none"/>
              </w:rPr>
              <w:t>机柜规格</w:t>
            </w:r>
          </w:p>
        </w:tc>
        <w:tc>
          <w:tcPr>
            <w:tcW w:w="1501" w:type="dxa"/>
            <w:tcBorders>
              <w:top w:val="nil"/>
              <w:left w:val="nil"/>
              <w:bottom w:val="single" w:color="auto" w:sz="8" w:space="0"/>
              <w:right w:val="single" w:color="auto" w:sz="8" w:space="0"/>
            </w:tcBorders>
            <w:vAlign w:val="center"/>
          </w:tcPr>
          <w:p w14:paraId="70C6D9DD">
            <w:pPr>
              <w:pStyle w:val="209"/>
              <w:rPr>
                <w:rFonts w:ascii="仿宋" w:hAnsi="仿宋" w:eastAsia="仿宋" w:cs="仿宋"/>
                <w:color w:val="auto"/>
                <w:highlight w:val="none"/>
              </w:rPr>
            </w:pPr>
            <w:r>
              <w:rPr>
                <w:rFonts w:hint="eastAsia" w:ascii="仿宋" w:hAnsi="仿宋" w:eastAsia="仿宋" w:cs="仿宋"/>
                <w:color w:val="auto"/>
                <w:highlight w:val="none"/>
              </w:rPr>
              <w:t>机柜尺寸</w:t>
            </w:r>
          </w:p>
        </w:tc>
        <w:tc>
          <w:tcPr>
            <w:tcW w:w="5277" w:type="dxa"/>
            <w:tcBorders>
              <w:top w:val="nil"/>
              <w:left w:val="nil"/>
              <w:bottom w:val="single" w:color="auto" w:sz="8" w:space="0"/>
              <w:right w:val="single" w:color="auto" w:sz="8" w:space="0"/>
            </w:tcBorders>
            <w:vAlign w:val="center"/>
          </w:tcPr>
          <w:p w14:paraId="6AB345D4">
            <w:pPr>
              <w:pStyle w:val="209"/>
              <w:rPr>
                <w:rFonts w:ascii="仿宋" w:hAnsi="仿宋" w:eastAsia="仿宋" w:cs="仿宋"/>
                <w:color w:val="auto"/>
                <w:highlight w:val="none"/>
              </w:rPr>
            </w:pPr>
            <w:r>
              <w:rPr>
                <w:rFonts w:hint="eastAsia" w:ascii="仿宋" w:hAnsi="仿宋" w:eastAsia="仿宋" w:cs="仿宋"/>
                <w:color w:val="auto"/>
                <w:highlight w:val="none"/>
              </w:rPr>
              <w:t>乙方在投标时给出长度、高度和深度；</w:t>
            </w:r>
          </w:p>
        </w:tc>
      </w:tr>
      <w:tr w14:paraId="291075D8">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4697E1DA">
            <w:pPr>
              <w:pStyle w:val="209"/>
              <w:rPr>
                <w:rFonts w:ascii="仿宋" w:hAnsi="仿宋" w:eastAsia="仿宋" w:cs="仿宋"/>
                <w:color w:val="auto"/>
                <w:highlight w:val="none"/>
              </w:rPr>
            </w:pPr>
            <w:r>
              <w:rPr>
                <w:rFonts w:hint="eastAsia" w:ascii="仿宋" w:hAnsi="仿宋" w:eastAsia="仿宋" w:cs="仿宋"/>
                <w:color w:val="auto"/>
                <w:highlight w:val="none"/>
              </w:rPr>
              <w:t>24</w:t>
            </w:r>
          </w:p>
        </w:tc>
        <w:tc>
          <w:tcPr>
            <w:tcW w:w="1481" w:type="dxa"/>
            <w:tcBorders>
              <w:top w:val="nil"/>
              <w:left w:val="nil"/>
              <w:bottom w:val="single" w:color="auto" w:sz="8" w:space="0"/>
              <w:right w:val="single" w:color="auto" w:sz="8" w:space="0"/>
            </w:tcBorders>
            <w:vAlign w:val="center"/>
          </w:tcPr>
          <w:p w14:paraId="7071BF03">
            <w:pPr>
              <w:pStyle w:val="209"/>
              <w:rPr>
                <w:rFonts w:ascii="仿宋" w:hAnsi="仿宋" w:eastAsia="仿宋" w:cs="仿宋"/>
                <w:color w:val="auto"/>
                <w:highlight w:val="none"/>
              </w:rPr>
            </w:pPr>
            <w:r>
              <w:rPr>
                <w:rFonts w:hint="eastAsia" w:ascii="仿宋" w:hAnsi="仿宋" w:eastAsia="仿宋" w:cs="仿宋"/>
                <w:color w:val="auto"/>
                <w:highlight w:val="none"/>
              </w:rPr>
              <w:t>主板</w:t>
            </w:r>
          </w:p>
        </w:tc>
        <w:tc>
          <w:tcPr>
            <w:tcW w:w="1501" w:type="dxa"/>
            <w:tcBorders>
              <w:top w:val="nil"/>
              <w:left w:val="nil"/>
              <w:bottom w:val="single" w:color="auto" w:sz="8" w:space="0"/>
              <w:right w:val="single" w:color="auto" w:sz="8" w:space="0"/>
            </w:tcBorders>
            <w:vAlign w:val="center"/>
          </w:tcPr>
          <w:p w14:paraId="146B6F5F">
            <w:pPr>
              <w:pStyle w:val="209"/>
              <w:rPr>
                <w:rFonts w:ascii="仿宋" w:hAnsi="仿宋" w:eastAsia="仿宋" w:cs="仿宋"/>
                <w:color w:val="auto"/>
                <w:highlight w:val="none"/>
              </w:rPr>
            </w:pPr>
            <w:r>
              <w:rPr>
                <w:rFonts w:hint="eastAsia" w:ascii="仿宋" w:hAnsi="仿宋" w:eastAsia="仿宋" w:cs="仿宋"/>
                <w:color w:val="auto"/>
                <w:highlight w:val="none"/>
              </w:rPr>
              <w:t>主板外部接口种类</w:t>
            </w:r>
          </w:p>
        </w:tc>
        <w:tc>
          <w:tcPr>
            <w:tcW w:w="5277" w:type="dxa"/>
            <w:tcBorders>
              <w:top w:val="nil"/>
              <w:left w:val="nil"/>
              <w:bottom w:val="single" w:color="auto" w:sz="8" w:space="0"/>
              <w:right w:val="single" w:color="auto" w:sz="8" w:space="0"/>
            </w:tcBorders>
            <w:vAlign w:val="center"/>
          </w:tcPr>
          <w:p w14:paraId="58DF7047">
            <w:pPr>
              <w:pStyle w:val="209"/>
              <w:rPr>
                <w:rFonts w:ascii="仿宋" w:hAnsi="仿宋" w:eastAsia="仿宋" w:cs="仿宋"/>
                <w:color w:val="auto"/>
                <w:highlight w:val="none"/>
              </w:rPr>
            </w:pPr>
            <w:r>
              <w:rPr>
                <w:rFonts w:hint="eastAsia" w:ascii="仿宋" w:hAnsi="仿宋" w:eastAsia="仿宋" w:cs="仿宋"/>
                <w:color w:val="auto"/>
                <w:highlight w:val="none"/>
              </w:rPr>
              <w:t>支持 USB、显示、管理等接口</w:t>
            </w:r>
          </w:p>
        </w:tc>
      </w:tr>
      <w:tr w14:paraId="5B33D415">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392B18E7">
            <w:pPr>
              <w:pStyle w:val="209"/>
              <w:rPr>
                <w:rFonts w:ascii="仿宋" w:hAnsi="仿宋" w:eastAsia="仿宋" w:cs="仿宋"/>
                <w:color w:val="auto"/>
                <w:highlight w:val="none"/>
              </w:rPr>
            </w:pPr>
            <w:r>
              <w:rPr>
                <w:rFonts w:hint="eastAsia" w:ascii="仿宋" w:hAnsi="仿宋" w:eastAsia="仿宋" w:cs="仿宋"/>
                <w:color w:val="auto"/>
                <w:highlight w:val="none"/>
              </w:rPr>
              <w:t>25</w:t>
            </w:r>
          </w:p>
        </w:tc>
        <w:tc>
          <w:tcPr>
            <w:tcW w:w="1481" w:type="dxa"/>
            <w:tcBorders>
              <w:top w:val="nil"/>
              <w:left w:val="nil"/>
              <w:bottom w:val="single" w:color="auto" w:sz="8" w:space="0"/>
              <w:right w:val="single" w:color="auto" w:sz="8" w:space="0"/>
            </w:tcBorders>
            <w:vAlign w:val="center"/>
          </w:tcPr>
          <w:p w14:paraId="4CAB59B0">
            <w:pPr>
              <w:pStyle w:val="209"/>
              <w:rPr>
                <w:rFonts w:ascii="仿宋" w:hAnsi="仿宋" w:eastAsia="仿宋" w:cs="仿宋"/>
                <w:color w:val="auto"/>
                <w:highlight w:val="none"/>
              </w:rPr>
            </w:pPr>
            <w:r>
              <w:rPr>
                <w:rFonts w:hint="eastAsia" w:ascii="仿宋" w:hAnsi="仿宋" w:eastAsia="仿宋" w:cs="仿宋"/>
                <w:color w:val="auto"/>
                <w:highlight w:val="none"/>
              </w:rPr>
              <w:t>网络功能</w:t>
            </w:r>
          </w:p>
        </w:tc>
        <w:tc>
          <w:tcPr>
            <w:tcW w:w="1501" w:type="dxa"/>
            <w:tcBorders>
              <w:top w:val="nil"/>
              <w:left w:val="nil"/>
              <w:bottom w:val="single" w:color="auto" w:sz="8" w:space="0"/>
              <w:right w:val="single" w:color="auto" w:sz="8" w:space="0"/>
            </w:tcBorders>
            <w:vAlign w:val="center"/>
          </w:tcPr>
          <w:p w14:paraId="699A9AAF">
            <w:pPr>
              <w:pStyle w:val="209"/>
              <w:rPr>
                <w:rFonts w:ascii="仿宋" w:hAnsi="仿宋" w:eastAsia="仿宋" w:cs="仿宋"/>
                <w:color w:val="auto"/>
                <w:highlight w:val="none"/>
              </w:rPr>
            </w:pPr>
            <w:r>
              <w:rPr>
                <w:rFonts w:hint="eastAsia" w:ascii="仿宋" w:hAnsi="仿宋" w:eastAsia="仿宋" w:cs="仿宋"/>
                <w:color w:val="auto"/>
                <w:highlight w:val="none"/>
              </w:rPr>
              <w:t>网络功能</w:t>
            </w:r>
          </w:p>
        </w:tc>
        <w:tc>
          <w:tcPr>
            <w:tcW w:w="5277" w:type="dxa"/>
            <w:tcBorders>
              <w:top w:val="nil"/>
              <w:left w:val="nil"/>
              <w:bottom w:val="single" w:color="auto" w:sz="8" w:space="0"/>
              <w:right w:val="single" w:color="auto" w:sz="8" w:space="0"/>
            </w:tcBorders>
            <w:vAlign w:val="center"/>
          </w:tcPr>
          <w:p w14:paraId="64C62ACD">
            <w:pPr>
              <w:pStyle w:val="209"/>
              <w:rPr>
                <w:rFonts w:ascii="仿宋" w:hAnsi="仿宋" w:eastAsia="仿宋" w:cs="仿宋"/>
                <w:color w:val="auto"/>
                <w:highlight w:val="none"/>
              </w:rPr>
            </w:pPr>
            <w:r>
              <w:rPr>
                <w:rFonts w:hint="eastAsia" w:ascii="仿宋" w:hAnsi="仿宋" w:eastAsia="仿宋" w:cs="仿宋"/>
                <w:color w:val="auto"/>
                <w:highlight w:val="none"/>
              </w:rPr>
              <w:t>支持网络连接、网络访问、数据交换和网络管控功能</w:t>
            </w:r>
          </w:p>
        </w:tc>
      </w:tr>
      <w:tr w14:paraId="4711B702">
        <w:tblPrEx>
          <w:tblCellMar>
            <w:top w:w="0" w:type="dxa"/>
            <w:left w:w="108" w:type="dxa"/>
            <w:bottom w:w="0" w:type="dxa"/>
            <w:right w:w="108" w:type="dxa"/>
          </w:tblCellMar>
        </w:tblPrEx>
        <w:trPr>
          <w:trHeight w:val="1884" w:hRule="atLeast"/>
          <w:jc w:val="center"/>
        </w:trPr>
        <w:tc>
          <w:tcPr>
            <w:tcW w:w="1027" w:type="dxa"/>
            <w:tcBorders>
              <w:top w:val="nil"/>
              <w:left w:val="single" w:color="auto" w:sz="8" w:space="0"/>
              <w:bottom w:val="single" w:color="auto" w:sz="8" w:space="0"/>
              <w:right w:val="single" w:color="auto" w:sz="8" w:space="0"/>
            </w:tcBorders>
            <w:vAlign w:val="center"/>
          </w:tcPr>
          <w:p w14:paraId="59F5CB6E">
            <w:pPr>
              <w:pStyle w:val="209"/>
              <w:rPr>
                <w:rFonts w:ascii="仿宋" w:hAnsi="仿宋" w:eastAsia="仿宋" w:cs="仿宋"/>
                <w:color w:val="auto"/>
                <w:highlight w:val="none"/>
              </w:rPr>
            </w:pPr>
            <w:r>
              <w:rPr>
                <w:rFonts w:hint="eastAsia" w:ascii="仿宋" w:hAnsi="仿宋" w:eastAsia="仿宋" w:cs="仿宋"/>
                <w:color w:val="auto"/>
                <w:highlight w:val="none"/>
              </w:rPr>
              <w:t>26</w:t>
            </w:r>
          </w:p>
        </w:tc>
        <w:tc>
          <w:tcPr>
            <w:tcW w:w="1481" w:type="dxa"/>
            <w:vMerge w:val="restart"/>
            <w:tcBorders>
              <w:top w:val="nil"/>
              <w:left w:val="single" w:color="auto" w:sz="8" w:space="0"/>
              <w:bottom w:val="single" w:color="000000" w:sz="8" w:space="0"/>
              <w:right w:val="single" w:color="auto" w:sz="8" w:space="0"/>
            </w:tcBorders>
            <w:vAlign w:val="center"/>
          </w:tcPr>
          <w:p w14:paraId="24BCDD35">
            <w:pPr>
              <w:pStyle w:val="209"/>
              <w:rPr>
                <w:rFonts w:ascii="仿宋" w:hAnsi="仿宋" w:eastAsia="仿宋" w:cs="仿宋"/>
                <w:color w:val="auto"/>
                <w:highlight w:val="none"/>
              </w:rPr>
            </w:pPr>
            <w:r>
              <w:rPr>
                <w:rFonts w:hint="eastAsia" w:ascii="仿宋" w:hAnsi="仿宋" w:eastAsia="仿宋" w:cs="仿宋"/>
                <w:color w:val="auto"/>
                <w:highlight w:val="none"/>
              </w:rPr>
              <w:t>CPU功能</w:t>
            </w:r>
          </w:p>
        </w:tc>
        <w:tc>
          <w:tcPr>
            <w:tcW w:w="1501" w:type="dxa"/>
            <w:tcBorders>
              <w:top w:val="nil"/>
              <w:left w:val="nil"/>
              <w:bottom w:val="single" w:color="auto" w:sz="8" w:space="0"/>
              <w:right w:val="single" w:color="auto" w:sz="8" w:space="0"/>
            </w:tcBorders>
            <w:vAlign w:val="center"/>
          </w:tcPr>
          <w:p w14:paraId="12D7C6D8">
            <w:pPr>
              <w:pStyle w:val="209"/>
              <w:rPr>
                <w:rFonts w:ascii="仿宋" w:hAnsi="仿宋" w:eastAsia="仿宋" w:cs="仿宋"/>
                <w:color w:val="auto"/>
                <w:highlight w:val="none"/>
              </w:rPr>
            </w:pPr>
            <w:r>
              <w:rPr>
                <w:rFonts w:hint="eastAsia" w:ascii="仿宋" w:hAnsi="仿宋" w:eastAsia="仿宋" w:cs="仿宋"/>
                <w:color w:val="auto"/>
                <w:highlight w:val="none"/>
              </w:rPr>
              <w:t>计算处理</w:t>
            </w:r>
          </w:p>
        </w:tc>
        <w:tc>
          <w:tcPr>
            <w:tcW w:w="5277" w:type="dxa"/>
            <w:tcBorders>
              <w:top w:val="nil"/>
              <w:left w:val="nil"/>
              <w:bottom w:val="single" w:color="auto" w:sz="8" w:space="0"/>
              <w:right w:val="single" w:color="auto" w:sz="8" w:space="0"/>
            </w:tcBorders>
            <w:vAlign w:val="center"/>
          </w:tcPr>
          <w:p w14:paraId="2E2931CE">
            <w:pPr>
              <w:pStyle w:val="209"/>
              <w:rPr>
                <w:rFonts w:ascii="仿宋" w:hAnsi="仿宋" w:eastAsia="仿宋" w:cs="仿宋"/>
                <w:color w:val="auto"/>
                <w:highlight w:val="none"/>
              </w:rPr>
            </w:pPr>
            <w:r>
              <w:rPr>
                <w:rFonts w:hint="eastAsia" w:ascii="仿宋" w:hAnsi="仿宋" w:eastAsia="仿宋" w:cs="仿宋"/>
                <w:color w:val="auto"/>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3E827C60">
        <w:tblPrEx>
          <w:tblCellMar>
            <w:top w:w="0" w:type="dxa"/>
            <w:left w:w="108" w:type="dxa"/>
            <w:bottom w:w="0" w:type="dxa"/>
            <w:right w:w="108" w:type="dxa"/>
          </w:tblCellMar>
        </w:tblPrEx>
        <w:trPr>
          <w:trHeight w:val="948" w:hRule="atLeast"/>
          <w:jc w:val="center"/>
        </w:trPr>
        <w:tc>
          <w:tcPr>
            <w:tcW w:w="1027" w:type="dxa"/>
            <w:tcBorders>
              <w:top w:val="nil"/>
              <w:left w:val="single" w:color="auto" w:sz="8" w:space="0"/>
              <w:bottom w:val="single" w:color="auto" w:sz="8" w:space="0"/>
              <w:right w:val="single" w:color="auto" w:sz="8" w:space="0"/>
            </w:tcBorders>
            <w:vAlign w:val="center"/>
          </w:tcPr>
          <w:p w14:paraId="4D7AD777">
            <w:pPr>
              <w:pStyle w:val="209"/>
              <w:rPr>
                <w:rFonts w:ascii="仿宋" w:hAnsi="仿宋" w:eastAsia="仿宋" w:cs="仿宋"/>
                <w:color w:val="auto"/>
                <w:highlight w:val="none"/>
              </w:rPr>
            </w:pPr>
            <w:r>
              <w:rPr>
                <w:rFonts w:hint="eastAsia" w:ascii="仿宋" w:hAnsi="仿宋" w:eastAsia="仿宋" w:cs="仿宋"/>
                <w:color w:val="auto"/>
                <w:highlight w:val="none"/>
              </w:rPr>
              <w:t>27</w:t>
            </w:r>
          </w:p>
        </w:tc>
        <w:tc>
          <w:tcPr>
            <w:tcW w:w="1481" w:type="dxa"/>
            <w:vMerge w:val="continue"/>
            <w:tcBorders>
              <w:top w:val="nil"/>
              <w:left w:val="single" w:color="auto" w:sz="8" w:space="0"/>
              <w:bottom w:val="single" w:color="000000" w:sz="8" w:space="0"/>
              <w:right w:val="single" w:color="auto" w:sz="8" w:space="0"/>
            </w:tcBorders>
            <w:vAlign w:val="center"/>
          </w:tcPr>
          <w:p w14:paraId="47E44E41">
            <w:pPr>
              <w:rPr>
                <w:highlight w:val="none"/>
              </w:rPr>
            </w:pPr>
          </w:p>
        </w:tc>
        <w:tc>
          <w:tcPr>
            <w:tcW w:w="1501" w:type="dxa"/>
            <w:tcBorders>
              <w:top w:val="nil"/>
              <w:left w:val="nil"/>
              <w:bottom w:val="single" w:color="auto" w:sz="8" w:space="0"/>
              <w:right w:val="single" w:color="auto" w:sz="8" w:space="0"/>
            </w:tcBorders>
            <w:vAlign w:val="center"/>
          </w:tcPr>
          <w:p w14:paraId="40BBEF1B">
            <w:pPr>
              <w:pStyle w:val="209"/>
              <w:rPr>
                <w:rFonts w:ascii="仿宋" w:hAnsi="仿宋" w:eastAsia="仿宋" w:cs="仿宋"/>
                <w:color w:val="auto"/>
                <w:highlight w:val="none"/>
              </w:rPr>
            </w:pPr>
            <w:r>
              <w:rPr>
                <w:rFonts w:hint="eastAsia" w:ascii="仿宋" w:hAnsi="仿宋" w:eastAsia="仿宋" w:cs="仿宋"/>
                <w:color w:val="auto"/>
                <w:highlight w:val="none"/>
              </w:rPr>
              <w:t>密码算法实现</w:t>
            </w:r>
          </w:p>
        </w:tc>
        <w:tc>
          <w:tcPr>
            <w:tcW w:w="5277" w:type="dxa"/>
            <w:tcBorders>
              <w:top w:val="nil"/>
              <w:left w:val="nil"/>
              <w:bottom w:val="single" w:color="auto" w:sz="8" w:space="0"/>
              <w:right w:val="single" w:color="auto" w:sz="8" w:space="0"/>
            </w:tcBorders>
            <w:vAlign w:val="center"/>
          </w:tcPr>
          <w:p w14:paraId="5D6B29D6">
            <w:pPr>
              <w:pStyle w:val="209"/>
              <w:rPr>
                <w:rFonts w:ascii="仿宋" w:hAnsi="仿宋" w:eastAsia="仿宋" w:cs="仿宋"/>
                <w:color w:val="auto"/>
                <w:highlight w:val="none"/>
              </w:rPr>
            </w:pPr>
            <w:r>
              <w:rPr>
                <w:rFonts w:hint="eastAsia" w:ascii="仿宋" w:hAnsi="仿宋" w:eastAsia="仿宋" w:cs="仿宋"/>
                <w:color w:val="auto"/>
                <w:highlight w:val="none"/>
              </w:rPr>
              <w:t>CPU 芯片应符合 GM/T 0008 的相关规定，或芯片密码模块应符合 GB/T37092 或 GM/T 0028 的相关规定</w:t>
            </w:r>
          </w:p>
        </w:tc>
      </w:tr>
      <w:tr w14:paraId="40347773">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43AD44C0">
            <w:pPr>
              <w:pStyle w:val="209"/>
              <w:rPr>
                <w:rFonts w:ascii="仿宋" w:hAnsi="仿宋" w:eastAsia="仿宋" w:cs="仿宋"/>
                <w:color w:val="auto"/>
                <w:highlight w:val="none"/>
              </w:rPr>
            </w:pPr>
            <w:r>
              <w:rPr>
                <w:rFonts w:hint="eastAsia" w:ascii="仿宋" w:hAnsi="仿宋" w:eastAsia="仿宋" w:cs="仿宋"/>
                <w:color w:val="auto"/>
                <w:highlight w:val="none"/>
              </w:rPr>
              <w:t>28</w:t>
            </w:r>
          </w:p>
        </w:tc>
        <w:tc>
          <w:tcPr>
            <w:tcW w:w="1481" w:type="dxa"/>
            <w:vMerge w:val="restart"/>
            <w:tcBorders>
              <w:top w:val="nil"/>
              <w:left w:val="single" w:color="auto" w:sz="8" w:space="0"/>
              <w:bottom w:val="single" w:color="000000" w:sz="8" w:space="0"/>
              <w:right w:val="single" w:color="auto" w:sz="8" w:space="0"/>
            </w:tcBorders>
            <w:vAlign w:val="center"/>
          </w:tcPr>
          <w:p w14:paraId="672AFBC6">
            <w:pPr>
              <w:pStyle w:val="209"/>
              <w:rPr>
                <w:rFonts w:ascii="仿宋" w:hAnsi="仿宋" w:eastAsia="仿宋" w:cs="仿宋"/>
                <w:color w:val="auto"/>
                <w:highlight w:val="none"/>
              </w:rPr>
            </w:pPr>
            <w:r>
              <w:rPr>
                <w:rFonts w:hint="eastAsia" w:ascii="仿宋" w:hAnsi="仿宋" w:eastAsia="仿宋" w:cs="仿宋"/>
                <w:color w:val="auto"/>
                <w:highlight w:val="none"/>
              </w:rPr>
              <w:t>电源功能</w:t>
            </w:r>
          </w:p>
        </w:tc>
        <w:tc>
          <w:tcPr>
            <w:tcW w:w="1501" w:type="dxa"/>
            <w:tcBorders>
              <w:top w:val="nil"/>
              <w:left w:val="nil"/>
              <w:bottom w:val="single" w:color="auto" w:sz="8" w:space="0"/>
              <w:right w:val="single" w:color="auto" w:sz="8" w:space="0"/>
            </w:tcBorders>
            <w:vAlign w:val="center"/>
          </w:tcPr>
          <w:p w14:paraId="55C0F516">
            <w:pPr>
              <w:pStyle w:val="209"/>
              <w:rPr>
                <w:rFonts w:ascii="仿宋" w:hAnsi="仿宋" w:eastAsia="仿宋" w:cs="仿宋"/>
                <w:color w:val="auto"/>
                <w:highlight w:val="none"/>
              </w:rPr>
            </w:pPr>
            <w:r>
              <w:rPr>
                <w:rFonts w:hint="eastAsia" w:ascii="仿宋" w:hAnsi="仿宋" w:eastAsia="仿宋" w:cs="仿宋"/>
                <w:color w:val="auto"/>
                <w:highlight w:val="none"/>
              </w:rPr>
              <w:t>电源热插拔</w:t>
            </w:r>
          </w:p>
        </w:tc>
        <w:tc>
          <w:tcPr>
            <w:tcW w:w="5277" w:type="dxa"/>
            <w:tcBorders>
              <w:top w:val="nil"/>
              <w:left w:val="nil"/>
              <w:bottom w:val="single" w:color="auto" w:sz="8" w:space="0"/>
              <w:right w:val="single" w:color="auto" w:sz="8" w:space="0"/>
            </w:tcBorders>
            <w:vAlign w:val="center"/>
          </w:tcPr>
          <w:p w14:paraId="726BFFB5">
            <w:pPr>
              <w:pStyle w:val="209"/>
              <w:rPr>
                <w:rFonts w:ascii="仿宋" w:hAnsi="仿宋" w:eastAsia="仿宋" w:cs="仿宋"/>
                <w:color w:val="auto"/>
                <w:highlight w:val="none"/>
              </w:rPr>
            </w:pPr>
            <w:r>
              <w:rPr>
                <w:rFonts w:hint="eastAsia" w:ascii="仿宋" w:hAnsi="仿宋" w:eastAsia="仿宋" w:cs="仿宋"/>
                <w:color w:val="auto"/>
                <w:highlight w:val="none"/>
              </w:rPr>
              <w:t>整机电源模块应具备热插拔功能</w:t>
            </w:r>
          </w:p>
        </w:tc>
      </w:tr>
      <w:tr w14:paraId="74F23989">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119C5E43">
            <w:pPr>
              <w:pStyle w:val="209"/>
              <w:rPr>
                <w:rFonts w:ascii="仿宋" w:hAnsi="仿宋" w:eastAsia="仿宋" w:cs="仿宋"/>
                <w:color w:val="auto"/>
                <w:highlight w:val="none"/>
              </w:rPr>
            </w:pPr>
            <w:r>
              <w:rPr>
                <w:rFonts w:hint="eastAsia" w:ascii="仿宋" w:hAnsi="仿宋" w:eastAsia="仿宋" w:cs="仿宋"/>
                <w:color w:val="auto"/>
                <w:highlight w:val="none"/>
              </w:rPr>
              <w:t>29</w:t>
            </w:r>
          </w:p>
        </w:tc>
        <w:tc>
          <w:tcPr>
            <w:tcW w:w="1481" w:type="dxa"/>
            <w:vMerge w:val="continue"/>
            <w:tcBorders>
              <w:top w:val="nil"/>
              <w:left w:val="single" w:color="auto" w:sz="8" w:space="0"/>
              <w:bottom w:val="single" w:color="000000" w:sz="8" w:space="0"/>
              <w:right w:val="single" w:color="auto" w:sz="8" w:space="0"/>
            </w:tcBorders>
            <w:vAlign w:val="center"/>
          </w:tcPr>
          <w:p w14:paraId="6315D601">
            <w:pPr>
              <w:rPr>
                <w:highlight w:val="none"/>
              </w:rPr>
            </w:pPr>
          </w:p>
        </w:tc>
        <w:tc>
          <w:tcPr>
            <w:tcW w:w="1501" w:type="dxa"/>
            <w:tcBorders>
              <w:top w:val="nil"/>
              <w:left w:val="nil"/>
              <w:bottom w:val="single" w:color="auto" w:sz="8" w:space="0"/>
              <w:right w:val="single" w:color="auto" w:sz="8" w:space="0"/>
            </w:tcBorders>
            <w:vAlign w:val="center"/>
          </w:tcPr>
          <w:p w14:paraId="4FF4DCCE">
            <w:pPr>
              <w:pStyle w:val="209"/>
              <w:rPr>
                <w:rFonts w:ascii="仿宋" w:hAnsi="仿宋" w:eastAsia="仿宋" w:cs="仿宋"/>
                <w:color w:val="auto"/>
                <w:highlight w:val="none"/>
              </w:rPr>
            </w:pPr>
            <w:r>
              <w:rPr>
                <w:rFonts w:hint="eastAsia" w:ascii="仿宋" w:hAnsi="仿宋" w:eastAsia="仿宋" w:cs="仿宋"/>
                <w:color w:val="auto"/>
                <w:highlight w:val="none"/>
              </w:rPr>
              <w:t>电源过流保护</w:t>
            </w:r>
          </w:p>
        </w:tc>
        <w:tc>
          <w:tcPr>
            <w:tcW w:w="5277" w:type="dxa"/>
            <w:tcBorders>
              <w:top w:val="nil"/>
              <w:left w:val="nil"/>
              <w:bottom w:val="single" w:color="auto" w:sz="8" w:space="0"/>
              <w:right w:val="single" w:color="auto" w:sz="8" w:space="0"/>
            </w:tcBorders>
            <w:vAlign w:val="center"/>
          </w:tcPr>
          <w:p w14:paraId="3646C920">
            <w:pPr>
              <w:pStyle w:val="209"/>
              <w:rPr>
                <w:rFonts w:ascii="仿宋" w:hAnsi="仿宋" w:eastAsia="仿宋" w:cs="仿宋"/>
                <w:color w:val="auto"/>
                <w:highlight w:val="none"/>
              </w:rPr>
            </w:pPr>
            <w:r>
              <w:rPr>
                <w:rFonts w:hint="eastAsia" w:ascii="仿宋" w:hAnsi="仿宋" w:eastAsia="仿宋" w:cs="仿宋"/>
                <w:color w:val="auto"/>
                <w:highlight w:val="none"/>
              </w:rPr>
              <w:t>支持过流及短路保护的功能</w:t>
            </w:r>
          </w:p>
        </w:tc>
      </w:tr>
      <w:tr w14:paraId="586C1594">
        <w:tblPrEx>
          <w:tblCellMar>
            <w:top w:w="0" w:type="dxa"/>
            <w:left w:w="108" w:type="dxa"/>
            <w:bottom w:w="0" w:type="dxa"/>
            <w:right w:w="108" w:type="dxa"/>
          </w:tblCellMar>
        </w:tblPrEx>
        <w:trPr>
          <w:trHeight w:val="324" w:hRule="atLeast"/>
          <w:jc w:val="center"/>
        </w:trPr>
        <w:tc>
          <w:tcPr>
            <w:tcW w:w="1027" w:type="dxa"/>
            <w:tcBorders>
              <w:top w:val="nil"/>
              <w:left w:val="single" w:color="auto" w:sz="8" w:space="0"/>
              <w:bottom w:val="single" w:color="auto" w:sz="8" w:space="0"/>
              <w:right w:val="single" w:color="auto" w:sz="8" w:space="0"/>
            </w:tcBorders>
            <w:vAlign w:val="center"/>
          </w:tcPr>
          <w:p w14:paraId="3CC08FD7">
            <w:pPr>
              <w:pStyle w:val="209"/>
              <w:rPr>
                <w:rFonts w:ascii="仿宋" w:hAnsi="仿宋" w:eastAsia="仿宋" w:cs="仿宋"/>
                <w:color w:val="auto"/>
                <w:highlight w:val="none"/>
              </w:rPr>
            </w:pPr>
            <w:r>
              <w:rPr>
                <w:rFonts w:hint="eastAsia" w:ascii="仿宋" w:hAnsi="仿宋" w:eastAsia="仿宋" w:cs="仿宋"/>
                <w:color w:val="auto"/>
                <w:highlight w:val="none"/>
              </w:rPr>
              <w:t>30</w:t>
            </w:r>
          </w:p>
        </w:tc>
        <w:tc>
          <w:tcPr>
            <w:tcW w:w="1481" w:type="dxa"/>
            <w:tcBorders>
              <w:top w:val="nil"/>
              <w:left w:val="nil"/>
              <w:bottom w:val="single" w:color="auto" w:sz="8" w:space="0"/>
              <w:right w:val="single" w:color="auto" w:sz="8" w:space="0"/>
            </w:tcBorders>
            <w:vAlign w:val="center"/>
          </w:tcPr>
          <w:p w14:paraId="0D0F108C">
            <w:pPr>
              <w:pStyle w:val="209"/>
              <w:rPr>
                <w:rFonts w:ascii="仿宋" w:hAnsi="仿宋" w:eastAsia="仿宋" w:cs="仿宋"/>
                <w:color w:val="auto"/>
                <w:highlight w:val="none"/>
              </w:rPr>
            </w:pPr>
            <w:r>
              <w:rPr>
                <w:rFonts w:hint="eastAsia" w:ascii="仿宋" w:hAnsi="仿宋" w:eastAsia="仿宋" w:cs="仿宋"/>
                <w:color w:val="auto"/>
                <w:highlight w:val="none"/>
              </w:rPr>
              <w:t>整机功能</w:t>
            </w:r>
          </w:p>
        </w:tc>
        <w:tc>
          <w:tcPr>
            <w:tcW w:w="1501" w:type="dxa"/>
            <w:tcBorders>
              <w:top w:val="nil"/>
              <w:left w:val="nil"/>
              <w:bottom w:val="single" w:color="auto" w:sz="8" w:space="0"/>
              <w:right w:val="single" w:color="auto" w:sz="8" w:space="0"/>
            </w:tcBorders>
            <w:vAlign w:val="center"/>
          </w:tcPr>
          <w:p w14:paraId="0116240C">
            <w:pPr>
              <w:pStyle w:val="209"/>
              <w:rPr>
                <w:rFonts w:ascii="仿宋" w:hAnsi="仿宋" w:eastAsia="仿宋" w:cs="仿宋"/>
                <w:color w:val="auto"/>
                <w:highlight w:val="none"/>
              </w:rPr>
            </w:pPr>
            <w:r>
              <w:rPr>
                <w:rFonts w:hint="eastAsia" w:ascii="仿宋" w:hAnsi="仿宋" w:eastAsia="仿宋" w:cs="仿宋"/>
                <w:color w:val="auto"/>
                <w:highlight w:val="none"/>
              </w:rPr>
              <w:t>散热方式</w:t>
            </w:r>
          </w:p>
        </w:tc>
        <w:tc>
          <w:tcPr>
            <w:tcW w:w="5277" w:type="dxa"/>
            <w:tcBorders>
              <w:top w:val="nil"/>
              <w:left w:val="nil"/>
              <w:bottom w:val="single" w:color="auto" w:sz="8" w:space="0"/>
              <w:right w:val="single" w:color="auto" w:sz="8" w:space="0"/>
            </w:tcBorders>
            <w:vAlign w:val="center"/>
          </w:tcPr>
          <w:p w14:paraId="41AC9009">
            <w:pPr>
              <w:pStyle w:val="209"/>
              <w:rPr>
                <w:rFonts w:ascii="仿宋" w:hAnsi="仿宋" w:eastAsia="仿宋" w:cs="仿宋"/>
                <w:color w:val="auto"/>
                <w:highlight w:val="none"/>
              </w:rPr>
            </w:pPr>
            <w:r>
              <w:rPr>
                <w:rFonts w:hint="eastAsia" w:ascii="仿宋" w:hAnsi="仿宋" w:eastAsia="仿宋" w:cs="仿宋"/>
                <w:color w:val="auto"/>
                <w:highlight w:val="none"/>
              </w:rPr>
              <w:t>支持风冷或液冷等散热方式</w:t>
            </w:r>
          </w:p>
        </w:tc>
      </w:tr>
      <w:tr w14:paraId="6CDAADE2">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5B71BAF3">
            <w:pPr>
              <w:pStyle w:val="209"/>
              <w:rPr>
                <w:rFonts w:ascii="仿宋" w:hAnsi="仿宋" w:eastAsia="仿宋" w:cs="仿宋"/>
                <w:color w:val="auto"/>
                <w:highlight w:val="none"/>
              </w:rPr>
            </w:pPr>
            <w:r>
              <w:rPr>
                <w:rFonts w:hint="eastAsia" w:ascii="仿宋" w:hAnsi="仿宋" w:eastAsia="仿宋" w:cs="仿宋"/>
                <w:color w:val="auto"/>
                <w:highlight w:val="none"/>
              </w:rPr>
              <w:t>31</w:t>
            </w:r>
          </w:p>
        </w:tc>
        <w:tc>
          <w:tcPr>
            <w:tcW w:w="1481" w:type="dxa"/>
            <w:vMerge w:val="restart"/>
            <w:tcBorders>
              <w:top w:val="nil"/>
              <w:left w:val="single" w:color="auto" w:sz="8" w:space="0"/>
              <w:bottom w:val="single" w:color="000000" w:sz="8" w:space="0"/>
              <w:right w:val="single" w:color="auto" w:sz="8" w:space="0"/>
            </w:tcBorders>
            <w:vAlign w:val="center"/>
          </w:tcPr>
          <w:p w14:paraId="0CCFB6A3">
            <w:pPr>
              <w:pStyle w:val="209"/>
              <w:rPr>
                <w:rFonts w:ascii="仿宋" w:hAnsi="仿宋" w:eastAsia="仿宋" w:cs="仿宋"/>
                <w:color w:val="auto"/>
                <w:highlight w:val="none"/>
              </w:rPr>
            </w:pPr>
            <w:r>
              <w:rPr>
                <w:rFonts w:hint="eastAsia" w:ascii="仿宋" w:hAnsi="仿宋" w:eastAsia="仿宋" w:cs="仿宋"/>
                <w:color w:val="auto"/>
                <w:highlight w:val="none"/>
              </w:rPr>
              <w:t>管理系统功能</w:t>
            </w:r>
          </w:p>
        </w:tc>
        <w:tc>
          <w:tcPr>
            <w:tcW w:w="1501" w:type="dxa"/>
            <w:tcBorders>
              <w:top w:val="nil"/>
              <w:left w:val="nil"/>
              <w:bottom w:val="single" w:color="auto" w:sz="8" w:space="0"/>
              <w:right w:val="single" w:color="auto" w:sz="8" w:space="0"/>
            </w:tcBorders>
            <w:vAlign w:val="center"/>
          </w:tcPr>
          <w:p w14:paraId="51177661">
            <w:pPr>
              <w:pStyle w:val="209"/>
              <w:rPr>
                <w:rFonts w:ascii="仿宋" w:hAnsi="仿宋" w:eastAsia="仿宋" w:cs="仿宋"/>
                <w:color w:val="auto"/>
                <w:highlight w:val="none"/>
              </w:rPr>
            </w:pPr>
            <w:r>
              <w:rPr>
                <w:rFonts w:hint="eastAsia" w:ascii="仿宋" w:hAnsi="仿宋" w:eastAsia="仿宋" w:cs="仿宋"/>
                <w:color w:val="auto"/>
                <w:highlight w:val="none"/>
              </w:rPr>
              <w:t>BMC 固件基础功能</w:t>
            </w:r>
          </w:p>
        </w:tc>
        <w:tc>
          <w:tcPr>
            <w:tcW w:w="5277" w:type="dxa"/>
            <w:tcBorders>
              <w:top w:val="nil"/>
              <w:left w:val="nil"/>
              <w:bottom w:val="single" w:color="auto" w:sz="8" w:space="0"/>
              <w:right w:val="single" w:color="auto" w:sz="8" w:space="0"/>
            </w:tcBorders>
            <w:vAlign w:val="center"/>
          </w:tcPr>
          <w:p w14:paraId="5697DF3A">
            <w:pPr>
              <w:pStyle w:val="209"/>
              <w:rPr>
                <w:rFonts w:ascii="仿宋" w:hAnsi="仿宋" w:eastAsia="仿宋" w:cs="仿宋"/>
                <w:color w:val="auto"/>
                <w:highlight w:val="none"/>
              </w:rPr>
            </w:pPr>
            <w:r>
              <w:rPr>
                <w:rFonts w:hint="eastAsia" w:ascii="仿宋" w:hAnsi="仿宋" w:eastAsia="仿宋" w:cs="仿宋"/>
                <w:color w:val="auto"/>
                <w:highlight w:val="none"/>
              </w:rPr>
              <w:t>1) 支持 DHCP 设置网络功能；</w:t>
            </w:r>
          </w:p>
          <w:p w14:paraId="178836C7">
            <w:pPr>
              <w:pStyle w:val="209"/>
              <w:rPr>
                <w:rFonts w:ascii="仿宋" w:hAnsi="仿宋" w:eastAsia="仿宋" w:cs="仿宋"/>
                <w:color w:val="auto"/>
                <w:highlight w:val="none"/>
              </w:rPr>
            </w:pPr>
            <w:r>
              <w:rPr>
                <w:rFonts w:hint="eastAsia" w:ascii="仿宋" w:hAnsi="仿宋" w:eastAsia="仿宋" w:cs="仿宋"/>
                <w:color w:val="auto"/>
                <w:highlight w:val="none"/>
              </w:rPr>
              <w:t>2)支持静态 IP 设置网络功能；</w:t>
            </w:r>
          </w:p>
          <w:p w14:paraId="7092A680">
            <w:pPr>
              <w:pStyle w:val="209"/>
              <w:rPr>
                <w:rFonts w:ascii="仿宋" w:hAnsi="仿宋" w:eastAsia="仿宋" w:cs="仿宋"/>
                <w:color w:val="auto"/>
                <w:highlight w:val="none"/>
              </w:rPr>
            </w:pPr>
            <w:r>
              <w:rPr>
                <w:rFonts w:hint="eastAsia" w:ascii="仿宋" w:hAnsi="仿宋" w:eastAsia="仿宋" w:cs="仿宋"/>
                <w:color w:val="auto"/>
                <w:highlight w:val="none"/>
              </w:rPr>
              <w:t>3)支持设备日志记录，包括但不限于登录日志、操作日志和报警日志等功能；</w:t>
            </w:r>
          </w:p>
          <w:p w14:paraId="3DF68970">
            <w:pPr>
              <w:pStyle w:val="209"/>
              <w:rPr>
                <w:rFonts w:ascii="仿宋" w:hAnsi="仿宋" w:eastAsia="仿宋" w:cs="仿宋"/>
                <w:color w:val="auto"/>
                <w:highlight w:val="none"/>
              </w:rPr>
            </w:pPr>
            <w:r>
              <w:rPr>
                <w:rFonts w:hint="eastAsia" w:ascii="仿宋" w:hAnsi="仿宋" w:eastAsia="仿宋" w:cs="仿宋"/>
                <w:color w:val="auto"/>
                <w:highlight w:val="none"/>
              </w:rPr>
              <w:t>4)支持日志信息导出和记录删除功能；</w:t>
            </w:r>
          </w:p>
          <w:p w14:paraId="27661E16">
            <w:pPr>
              <w:pStyle w:val="209"/>
              <w:rPr>
                <w:rFonts w:ascii="仿宋" w:hAnsi="仿宋" w:eastAsia="仿宋" w:cs="仿宋"/>
                <w:color w:val="auto"/>
                <w:highlight w:val="none"/>
              </w:rPr>
            </w:pPr>
            <w:r>
              <w:rPr>
                <w:rFonts w:hint="eastAsia" w:ascii="仿宋" w:hAnsi="仿宋" w:eastAsia="仿宋" w:cs="仿宋"/>
                <w:color w:val="auto"/>
                <w:highlight w:val="none"/>
              </w:rPr>
              <w:t>5)支持通过管理接口向外输出准确的报警信息功能；</w:t>
            </w:r>
          </w:p>
          <w:p w14:paraId="66188CF1">
            <w:pPr>
              <w:pStyle w:val="209"/>
              <w:rPr>
                <w:rFonts w:ascii="仿宋" w:hAnsi="仿宋" w:eastAsia="仿宋" w:cs="仿宋"/>
                <w:color w:val="auto"/>
                <w:highlight w:val="none"/>
              </w:rPr>
            </w:pPr>
            <w:r>
              <w:rPr>
                <w:rFonts w:hint="eastAsia" w:ascii="仿宋" w:hAnsi="仿宋" w:eastAsia="仿宋" w:cs="仿宋"/>
                <w:color w:val="auto"/>
                <w:highlight w:val="none"/>
              </w:rPr>
              <w:t>6)设备的 BMC 管理软件应能够按报警的严重程度进行区分；</w:t>
            </w:r>
          </w:p>
          <w:p w14:paraId="3F32DE75">
            <w:pPr>
              <w:pStyle w:val="209"/>
              <w:rPr>
                <w:rFonts w:ascii="仿宋" w:hAnsi="仿宋" w:eastAsia="仿宋" w:cs="仿宋"/>
                <w:color w:val="auto"/>
                <w:highlight w:val="none"/>
              </w:rPr>
            </w:pPr>
            <w:r>
              <w:rPr>
                <w:rFonts w:hint="eastAsia" w:ascii="仿宋" w:hAnsi="仿宋" w:eastAsia="仿宋" w:cs="仿宋"/>
                <w:color w:val="auto"/>
                <w:highlight w:val="none"/>
              </w:rPr>
              <w:t>7)支持 IPMI2.0、SNMP 或 Redfish等接口功能；</w:t>
            </w:r>
          </w:p>
          <w:p w14:paraId="1532E735">
            <w:pPr>
              <w:pStyle w:val="209"/>
              <w:rPr>
                <w:rFonts w:ascii="仿宋" w:hAnsi="仿宋" w:eastAsia="仿宋" w:cs="仿宋"/>
                <w:color w:val="auto"/>
                <w:highlight w:val="none"/>
              </w:rPr>
            </w:pPr>
            <w:r>
              <w:rPr>
                <w:rFonts w:hint="eastAsia" w:ascii="仿宋" w:hAnsi="仿宋" w:eastAsia="仿宋" w:cs="仿宋"/>
                <w:color w:val="auto"/>
                <w:highlight w:val="none"/>
              </w:rPr>
              <w:t>8)支持键盘、鼠标和视频的重定向、文本控制台的重定向、远程虚拟媒体、高可靠的硬件监控和管理功能；</w:t>
            </w:r>
          </w:p>
          <w:p w14:paraId="08895A05">
            <w:pPr>
              <w:pStyle w:val="209"/>
              <w:rPr>
                <w:rFonts w:ascii="仿宋" w:hAnsi="仿宋" w:eastAsia="仿宋" w:cs="仿宋"/>
                <w:color w:val="auto"/>
                <w:highlight w:val="none"/>
              </w:rPr>
            </w:pPr>
            <w:r>
              <w:rPr>
                <w:rFonts w:hint="eastAsia" w:ascii="仿宋" w:hAnsi="仿宋" w:eastAsia="仿宋" w:cs="仿宋"/>
                <w:color w:val="auto"/>
                <w:highlight w:val="none"/>
              </w:rPr>
              <w:t>9)支持基于网络开启、关闭和重启设备的功能，并查询当前设备开机运行状态；</w:t>
            </w:r>
          </w:p>
          <w:p w14:paraId="0E3EE98C">
            <w:pPr>
              <w:pStyle w:val="209"/>
              <w:rPr>
                <w:rFonts w:ascii="仿宋" w:hAnsi="仿宋" w:eastAsia="仿宋" w:cs="仿宋"/>
                <w:color w:val="auto"/>
                <w:highlight w:val="none"/>
              </w:rPr>
            </w:pPr>
            <w:r>
              <w:rPr>
                <w:rFonts w:hint="eastAsia" w:ascii="仿宋" w:hAnsi="仿宋" w:eastAsia="仿宋" w:cs="仿宋"/>
                <w:color w:val="auto"/>
                <w:highlight w:val="none"/>
              </w:rPr>
              <w:t>10)支持故障提示功能，并可通过接口读取服务器故障信息；</w:t>
            </w:r>
          </w:p>
          <w:p w14:paraId="1B99908A">
            <w:pPr>
              <w:pStyle w:val="209"/>
              <w:rPr>
                <w:rFonts w:ascii="仿宋" w:hAnsi="仿宋" w:eastAsia="仿宋" w:cs="仿宋"/>
                <w:color w:val="auto"/>
                <w:highlight w:val="none"/>
              </w:rPr>
            </w:pPr>
            <w:r>
              <w:rPr>
                <w:rFonts w:hint="eastAsia" w:ascii="仿宋" w:hAnsi="仿宋" w:eastAsia="仿宋" w:cs="仿宋"/>
                <w:color w:val="auto"/>
                <w:highlight w:val="none"/>
              </w:rPr>
              <w:t>11)支持基于网络的固件更新功能，包括 BMC 和 BIOS 等；</w:t>
            </w:r>
          </w:p>
          <w:p w14:paraId="1A0CD4F6">
            <w:pPr>
              <w:pStyle w:val="209"/>
              <w:rPr>
                <w:rFonts w:ascii="仿宋" w:hAnsi="仿宋" w:eastAsia="仿宋" w:cs="仿宋"/>
                <w:color w:val="auto"/>
                <w:highlight w:val="none"/>
              </w:rPr>
            </w:pPr>
            <w:r>
              <w:rPr>
                <w:rFonts w:hint="eastAsia" w:ascii="仿宋" w:hAnsi="仿宋" w:eastAsia="仿宋" w:cs="仿宋"/>
                <w:color w:val="auto"/>
                <w:highlight w:val="none"/>
              </w:rPr>
              <w:t>12)支持基于网络安装操作系统的功能，并可通过网络控制台访问设备；</w:t>
            </w:r>
          </w:p>
          <w:p w14:paraId="2810E9CA">
            <w:pPr>
              <w:pStyle w:val="209"/>
              <w:rPr>
                <w:rFonts w:ascii="仿宋" w:hAnsi="仿宋" w:eastAsia="仿宋" w:cs="仿宋"/>
                <w:color w:val="auto"/>
                <w:highlight w:val="none"/>
              </w:rPr>
            </w:pPr>
            <w:r>
              <w:rPr>
                <w:rFonts w:hint="eastAsia" w:ascii="仿宋" w:hAnsi="仿宋" w:eastAsia="仿宋" w:cs="仿宋"/>
                <w:color w:val="auto"/>
                <w:highlight w:val="none"/>
              </w:rPr>
              <w:t>13)支持通过本地的硬盘或光驱等存储设备，基于网络完成设备的操作系统安装功能；</w:t>
            </w:r>
          </w:p>
          <w:p w14:paraId="5DD6A21E">
            <w:pPr>
              <w:pStyle w:val="209"/>
              <w:rPr>
                <w:rFonts w:ascii="仿宋" w:hAnsi="仿宋" w:eastAsia="仿宋" w:cs="仿宋"/>
                <w:color w:val="auto"/>
                <w:highlight w:val="none"/>
              </w:rPr>
            </w:pPr>
            <w:r>
              <w:rPr>
                <w:rFonts w:hint="eastAsia" w:ascii="仿宋" w:hAnsi="仿宋" w:eastAsia="仿宋" w:cs="仿宋"/>
                <w:color w:val="auto"/>
                <w:highlight w:val="none"/>
              </w:rPr>
              <w:t>14)支持通过浏览器打开管理界面并登录功能；</w:t>
            </w:r>
          </w:p>
          <w:p w14:paraId="1843FF71">
            <w:pPr>
              <w:pStyle w:val="209"/>
              <w:rPr>
                <w:rFonts w:ascii="仿宋" w:hAnsi="仿宋" w:eastAsia="仿宋" w:cs="仿宋"/>
                <w:color w:val="auto"/>
                <w:highlight w:val="none"/>
              </w:rPr>
            </w:pPr>
            <w:r>
              <w:rPr>
                <w:rFonts w:hint="eastAsia" w:ascii="仿宋" w:hAnsi="仿宋" w:eastAsia="仿宋" w:cs="仿宋"/>
                <w:color w:val="auto"/>
                <w:highlight w:val="none"/>
              </w:rPr>
              <w:t>15)支持设置口令策略功能；</w:t>
            </w:r>
          </w:p>
          <w:p w14:paraId="51353B50">
            <w:pPr>
              <w:pStyle w:val="209"/>
              <w:rPr>
                <w:rFonts w:ascii="仿宋" w:hAnsi="仿宋" w:eastAsia="仿宋" w:cs="仿宋"/>
                <w:color w:val="auto"/>
                <w:highlight w:val="none"/>
              </w:rPr>
            </w:pPr>
            <w:r>
              <w:rPr>
                <w:rFonts w:hint="eastAsia" w:ascii="仿宋" w:hAnsi="仿宋" w:eastAsia="仿宋" w:cs="仿宋"/>
                <w:color w:val="auto"/>
                <w:highlight w:val="none"/>
              </w:rPr>
              <w:t>16)支持访问权限设置功能，并通过日志记录访问事件；</w:t>
            </w:r>
          </w:p>
          <w:p w14:paraId="020BEECC">
            <w:pPr>
              <w:pStyle w:val="209"/>
              <w:rPr>
                <w:rFonts w:ascii="仿宋" w:hAnsi="仿宋" w:eastAsia="仿宋" w:cs="仿宋"/>
                <w:color w:val="auto"/>
                <w:highlight w:val="none"/>
              </w:rPr>
            </w:pPr>
            <w:r>
              <w:rPr>
                <w:rFonts w:hint="eastAsia" w:ascii="仿宋" w:hAnsi="仿宋" w:eastAsia="仿宋" w:cs="仿宋"/>
                <w:color w:val="auto"/>
                <w:highlight w:val="none"/>
              </w:rPr>
              <w:t>17)支持对出厂默认的用户名及口令进行安全保护功能，并提供默认口令修改提示；</w:t>
            </w:r>
          </w:p>
          <w:p w14:paraId="232299E6">
            <w:pPr>
              <w:pStyle w:val="209"/>
              <w:rPr>
                <w:rFonts w:ascii="仿宋" w:hAnsi="仿宋" w:eastAsia="仿宋" w:cs="仿宋"/>
                <w:color w:val="auto"/>
                <w:highlight w:val="none"/>
              </w:rPr>
            </w:pPr>
            <w:r>
              <w:rPr>
                <w:rFonts w:hint="eastAsia" w:ascii="仿宋" w:hAnsi="仿宋" w:eastAsia="仿宋" w:cs="仿宋"/>
                <w:color w:val="auto"/>
                <w:highlight w:val="none"/>
              </w:rPr>
              <w:t>18)支持读取设备主板的工作环境温度功能；</w:t>
            </w:r>
          </w:p>
          <w:p w14:paraId="42D10E33">
            <w:pPr>
              <w:pStyle w:val="209"/>
              <w:rPr>
                <w:rFonts w:ascii="仿宋" w:hAnsi="仿宋" w:eastAsia="仿宋" w:cs="仿宋"/>
                <w:color w:val="auto"/>
                <w:highlight w:val="none"/>
              </w:rPr>
            </w:pPr>
            <w:r>
              <w:rPr>
                <w:rFonts w:hint="eastAsia" w:ascii="仿宋" w:hAnsi="仿宋" w:eastAsia="仿宋" w:cs="仿宋"/>
                <w:color w:val="auto"/>
                <w:highlight w:val="none"/>
              </w:rPr>
              <w:t>19)支持读取服务器 CPU 等核心器件的温度功能；</w:t>
            </w:r>
          </w:p>
          <w:p w14:paraId="4474F89B">
            <w:pPr>
              <w:pStyle w:val="209"/>
              <w:rPr>
                <w:rFonts w:ascii="仿宋" w:hAnsi="仿宋" w:eastAsia="仿宋" w:cs="仿宋"/>
                <w:color w:val="auto"/>
                <w:highlight w:val="none"/>
              </w:rPr>
            </w:pPr>
            <w:r>
              <w:rPr>
                <w:rFonts w:hint="eastAsia" w:ascii="仿宋" w:hAnsi="仿宋" w:eastAsia="仿宋" w:cs="仿宋"/>
                <w:color w:val="auto"/>
                <w:highlight w:val="none"/>
              </w:rPr>
              <w:t>20)支持通过外部管理工具进行 BMC参数设置的功能，并可基于网络通过外部管理工具对 BMC 进行管理；</w:t>
            </w:r>
          </w:p>
          <w:p w14:paraId="076CDB9A">
            <w:pPr>
              <w:pStyle w:val="209"/>
              <w:rPr>
                <w:rFonts w:ascii="仿宋" w:hAnsi="仿宋" w:eastAsia="仿宋" w:cs="仿宋"/>
                <w:color w:val="auto"/>
                <w:highlight w:val="none"/>
              </w:rPr>
            </w:pPr>
            <w:r>
              <w:rPr>
                <w:rFonts w:hint="eastAsia" w:ascii="仿宋" w:hAnsi="仿宋" w:eastAsia="仿宋" w:cs="仿宋"/>
                <w:color w:val="auto"/>
                <w:highlight w:val="none"/>
              </w:rPr>
              <w:t>21)应支持固件版本查询、固件升级</w:t>
            </w:r>
          </w:p>
          <w:p w14:paraId="50BE959A">
            <w:pPr>
              <w:pStyle w:val="209"/>
              <w:rPr>
                <w:rFonts w:ascii="仿宋" w:hAnsi="仿宋" w:eastAsia="仿宋" w:cs="仿宋"/>
                <w:color w:val="auto"/>
                <w:highlight w:val="none"/>
              </w:rPr>
            </w:pPr>
            <w:r>
              <w:rPr>
                <w:rFonts w:hint="eastAsia" w:ascii="仿宋" w:hAnsi="仿宋" w:eastAsia="仿宋" w:cs="仿宋"/>
                <w:color w:val="auto"/>
                <w:highlight w:val="none"/>
              </w:rPr>
              <w:t>22)支持基于网络实现开关机和复</w:t>
            </w:r>
          </w:p>
          <w:p w14:paraId="375B93BA">
            <w:pPr>
              <w:pStyle w:val="209"/>
              <w:rPr>
                <w:rFonts w:ascii="仿宋" w:hAnsi="仿宋" w:eastAsia="仿宋" w:cs="仿宋"/>
                <w:color w:val="auto"/>
                <w:highlight w:val="none"/>
              </w:rPr>
            </w:pPr>
            <w:r>
              <w:rPr>
                <w:rFonts w:hint="eastAsia" w:ascii="仿宋" w:hAnsi="仿宋" w:eastAsia="仿宋" w:cs="仿宋"/>
                <w:color w:val="auto"/>
                <w:highlight w:val="none"/>
              </w:rPr>
              <w:t>位控制的功能；</w:t>
            </w:r>
          </w:p>
          <w:p w14:paraId="1163BE9D">
            <w:pPr>
              <w:pStyle w:val="209"/>
              <w:rPr>
                <w:rFonts w:ascii="仿宋" w:hAnsi="仿宋" w:eastAsia="仿宋" w:cs="仿宋"/>
                <w:color w:val="auto"/>
                <w:highlight w:val="none"/>
              </w:rPr>
            </w:pPr>
            <w:r>
              <w:rPr>
                <w:rFonts w:hint="eastAsia" w:ascii="仿宋" w:hAnsi="仿宋" w:eastAsia="仿宋" w:cs="仿宋"/>
                <w:color w:val="auto"/>
                <w:highlight w:val="none"/>
              </w:rPr>
              <w:t>23)BMC 启动时间应不超过 180s，实现功能包括网络、IPMI、散热、传感器服务可用；</w:t>
            </w:r>
          </w:p>
          <w:p w14:paraId="1A83EC21">
            <w:pPr>
              <w:pStyle w:val="209"/>
              <w:rPr>
                <w:rFonts w:ascii="仿宋" w:hAnsi="仿宋" w:eastAsia="仿宋" w:cs="仿宋"/>
                <w:color w:val="auto"/>
                <w:highlight w:val="none"/>
              </w:rPr>
            </w:pPr>
            <w:r>
              <w:rPr>
                <w:rFonts w:hint="eastAsia" w:ascii="仿宋" w:hAnsi="仿宋" w:eastAsia="仿宋" w:cs="仿宋"/>
                <w:color w:val="auto"/>
                <w:highlight w:val="none"/>
              </w:rPr>
              <w:t>24)支持 BMC 固件设置的恢复出厂功能</w:t>
            </w:r>
          </w:p>
        </w:tc>
      </w:tr>
      <w:tr w14:paraId="2FA5F896">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02A68773">
            <w:pPr>
              <w:pStyle w:val="209"/>
              <w:rPr>
                <w:rFonts w:ascii="仿宋" w:hAnsi="仿宋" w:eastAsia="仿宋" w:cs="仿宋"/>
                <w:color w:val="auto"/>
                <w:highlight w:val="none"/>
              </w:rPr>
            </w:pPr>
            <w:r>
              <w:rPr>
                <w:rFonts w:hint="eastAsia" w:ascii="仿宋" w:hAnsi="仿宋" w:eastAsia="仿宋" w:cs="仿宋"/>
                <w:color w:val="auto"/>
                <w:highlight w:val="none"/>
              </w:rPr>
              <w:t>32</w:t>
            </w:r>
          </w:p>
        </w:tc>
        <w:tc>
          <w:tcPr>
            <w:tcW w:w="1481" w:type="dxa"/>
            <w:vMerge w:val="continue"/>
            <w:tcBorders>
              <w:top w:val="nil"/>
              <w:left w:val="single" w:color="auto" w:sz="8" w:space="0"/>
              <w:bottom w:val="single" w:color="000000" w:sz="8" w:space="0"/>
              <w:right w:val="single" w:color="auto" w:sz="8" w:space="0"/>
            </w:tcBorders>
            <w:vAlign w:val="center"/>
          </w:tcPr>
          <w:p w14:paraId="0531F669">
            <w:pPr>
              <w:rPr>
                <w:highlight w:val="none"/>
              </w:rPr>
            </w:pPr>
          </w:p>
        </w:tc>
        <w:tc>
          <w:tcPr>
            <w:tcW w:w="1501" w:type="dxa"/>
            <w:tcBorders>
              <w:top w:val="nil"/>
              <w:left w:val="nil"/>
              <w:bottom w:val="single" w:color="auto" w:sz="8" w:space="0"/>
              <w:right w:val="single" w:color="auto" w:sz="8" w:space="0"/>
            </w:tcBorders>
            <w:vAlign w:val="center"/>
          </w:tcPr>
          <w:p w14:paraId="10B5211D">
            <w:pPr>
              <w:pStyle w:val="209"/>
              <w:rPr>
                <w:rFonts w:ascii="仿宋" w:hAnsi="仿宋" w:eastAsia="仿宋" w:cs="仿宋"/>
                <w:color w:val="auto"/>
                <w:highlight w:val="none"/>
              </w:rPr>
            </w:pPr>
            <w:r>
              <w:rPr>
                <w:rFonts w:hint="eastAsia" w:ascii="仿宋" w:hAnsi="仿宋" w:eastAsia="仿宋" w:cs="仿宋"/>
                <w:color w:val="auto"/>
                <w:highlight w:val="none"/>
              </w:rPr>
              <w:t>BIOS 固件基础功能</w:t>
            </w:r>
          </w:p>
        </w:tc>
        <w:tc>
          <w:tcPr>
            <w:tcW w:w="5277" w:type="dxa"/>
            <w:tcBorders>
              <w:top w:val="nil"/>
              <w:left w:val="nil"/>
              <w:bottom w:val="single" w:color="auto" w:sz="8" w:space="0"/>
              <w:right w:val="single" w:color="auto" w:sz="8" w:space="0"/>
            </w:tcBorders>
            <w:vAlign w:val="center"/>
          </w:tcPr>
          <w:p w14:paraId="68A8F6B8">
            <w:pPr>
              <w:pStyle w:val="209"/>
              <w:rPr>
                <w:rFonts w:ascii="仿宋" w:hAnsi="仿宋" w:eastAsia="仿宋" w:cs="仿宋"/>
                <w:color w:val="auto"/>
                <w:highlight w:val="none"/>
              </w:rPr>
            </w:pPr>
            <w:r>
              <w:rPr>
                <w:rFonts w:hint="eastAsia" w:ascii="仿宋" w:hAnsi="仿宋" w:eastAsia="仿宋" w:cs="仿宋"/>
                <w:color w:val="auto"/>
                <w:highlight w:val="none"/>
              </w:rPr>
              <w:t>a）支持查看固件版本、内存信息、主板信息、处理器信息和系统时间信息功能；</w:t>
            </w:r>
          </w:p>
          <w:p w14:paraId="5A7F3078">
            <w:pPr>
              <w:pStyle w:val="209"/>
              <w:rPr>
                <w:rFonts w:ascii="仿宋" w:hAnsi="仿宋" w:eastAsia="仿宋" w:cs="仿宋"/>
                <w:color w:val="auto"/>
                <w:highlight w:val="none"/>
              </w:rPr>
            </w:pPr>
            <w:r>
              <w:rPr>
                <w:rFonts w:hint="eastAsia" w:ascii="仿宋" w:hAnsi="仿宋" w:eastAsia="仿宋" w:cs="仿宋"/>
                <w:color w:val="auto"/>
                <w:highlight w:val="none"/>
              </w:rPr>
              <w:t>b）支持上电初始化界面显示 CPU 信息、内存信息、固件版本和部分快捷键信息功能；</w:t>
            </w:r>
          </w:p>
          <w:p w14:paraId="5ECAB3AB">
            <w:pPr>
              <w:pStyle w:val="209"/>
              <w:rPr>
                <w:rFonts w:ascii="仿宋" w:hAnsi="仿宋" w:eastAsia="仿宋" w:cs="仿宋"/>
                <w:color w:val="auto"/>
                <w:highlight w:val="none"/>
              </w:rPr>
            </w:pPr>
            <w:r>
              <w:rPr>
                <w:rFonts w:hint="eastAsia" w:ascii="仿宋" w:hAnsi="仿宋" w:eastAsia="仿宋" w:cs="仿宋"/>
                <w:color w:val="auto"/>
                <w:highlight w:val="none"/>
              </w:rPr>
              <w:t>c）支持设置界面中英文显示切换功能；</w:t>
            </w:r>
          </w:p>
          <w:p w14:paraId="7B343C72">
            <w:pPr>
              <w:pStyle w:val="209"/>
              <w:rPr>
                <w:rFonts w:ascii="仿宋" w:hAnsi="仿宋" w:eastAsia="仿宋" w:cs="仿宋"/>
                <w:color w:val="auto"/>
                <w:highlight w:val="none"/>
              </w:rPr>
            </w:pPr>
            <w:r>
              <w:rPr>
                <w:rFonts w:hint="eastAsia" w:ascii="仿宋" w:hAnsi="仿宋" w:eastAsia="仿宋" w:cs="仿宋"/>
                <w:color w:val="auto"/>
                <w:highlight w:val="none"/>
              </w:rPr>
              <w:t>d）支持查看 PCIe 设备信息，SATA</w:t>
            </w:r>
          </w:p>
          <w:p w14:paraId="055D225C">
            <w:pPr>
              <w:pStyle w:val="209"/>
              <w:rPr>
                <w:rFonts w:ascii="仿宋" w:hAnsi="仿宋" w:eastAsia="仿宋" w:cs="仿宋"/>
                <w:color w:val="auto"/>
                <w:highlight w:val="none"/>
              </w:rPr>
            </w:pPr>
            <w:r>
              <w:rPr>
                <w:rFonts w:hint="eastAsia" w:ascii="仿宋" w:hAnsi="仿宋" w:eastAsia="仿宋" w:cs="仿宋"/>
                <w:color w:val="auto"/>
                <w:highlight w:val="none"/>
              </w:rPr>
              <w:t>设备信息功能；</w:t>
            </w:r>
          </w:p>
          <w:p w14:paraId="4055B6D6">
            <w:pPr>
              <w:pStyle w:val="209"/>
              <w:rPr>
                <w:rFonts w:ascii="仿宋" w:hAnsi="仿宋" w:eastAsia="仿宋" w:cs="仿宋"/>
                <w:color w:val="auto"/>
                <w:highlight w:val="none"/>
              </w:rPr>
            </w:pPr>
            <w:r>
              <w:rPr>
                <w:rFonts w:hint="eastAsia" w:ascii="仿宋" w:hAnsi="仿宋" w:eastAsia="仿宋" w:cs="仿宋"/>
                <w:color w:val="auto"/>
                <w:highlight w:val="none"/>
              </w:rPr>
              <w:t>e）支持操作系统安装和引导功能，应并向操作系统提供计算机主板信息和服务接口；</w:t>
            </w:r>
          </w:p>
          <w:p w14:paraId="3DAB6E36">
            <w:pPr>
              <w:pStyle w:val="209"/>
              <w:rPr>
                <w:rFonts w:ascii="仿宋" w:hAnsi="仿宋" w:eastAsia="仿宋" w:cs="仿宋"/>
                <w:color w:val="auto"/>
                <w:highlight w:val="none"/>
              </w:rPr>
            </w:pPr>
            <w:r>
              <w:rPr>
                <w:rFonts w:hint="eastAsia" w:ascii="仿宋" w:hAnsi="仿宋" w:eastAsia="仿宋" w:cs="仿宋"/>
                <w:color w:val="auto"/>
                <w:highlight w:val="none"/>
              </w:rPr>
              <w:t>f）支持设置启动顺序，并按照设置的启动顺序启动功能；</w:t>
            </w:r>
          </w:p>
          <w:p w14:paraId="5789BCEC">
            <w:pPr>
              <w:pStyle w:val="209"/>
              <w:rPr>
                <w:rFonts w:ascii="仿宋" w:hAnsi="仿宋" w:eastAsia="仿宋" w:cs="仿宋"/>
                <w:color w:val="auto"/>
                <w:highlight w:val="none"/>
              </w:rPr>
            </w:pPr>
            <w:r>
              <w:rPr>
                <w:rFonts w:hint="eastAsia" w:ascii="仿宋" w:hAnsi="仿宋" w:eastAsia="仿宋" w:cs="仿宋"/>
                <w:color w:val="auto"/>
                <w:highlight w:val="none"/>
              </w:rPr>
              <w:t>g）支持安全启动功能；</w:t>
            </w:r>
          </w:p>
          <w:p w14:paraId="40E60479">
            <w:pPr>
              <w:pStyle w:val="209"/>
              <w:rPr>
                <w:rFonts w:ascii="仿宋" w:hAnsi="仿宋" w:eastAsia="仿宋" w:cs="仿宋"/>
                <w:color w:val="auto"/>
                <w:highlight w:val="none"/>
              </w:rPr>
            </w:pPr>
            <w:r>
              <w:rPr>
                <w:rFonts w:hint="eastAsia" w:ascii="仿宋" w:hAnsi="仿宋" w:eastAsia="仿宋" w:cs="仿宋"/>
                <w:color w:val="auto"/>
                <w:highlight w:val="none"/>
              </w:rPr>
              <w:t>h）支持设置口令、修改口令、验证口令功能；</w:t>
            </w:r>
          </w:p>
          <w:p w14:paraId="4644B630">
            <w:pPr>
              <w:pStyle w:val="209"/>
              <w:rPr>
                <w:rFonts w:ascii="仿宋" w:hAnsi="仿宋" w:eastAsia="仿宋" w:cs="仿宋"/>
                <w:color w:val="auto"/>
                <w:highlight w:val="none"/>
              </w:rPr>
            </w:pPr>
            <w:r>
              <w:rPr>
                <w:rFonts w:hint="eastAsia" w:ascii="仿宋" w:hAnsi="仿宋" w:eastAsia="仿宋" w:cs="仿宋"/>
                <w:color w:val="auto"/>
                <w:highlight w:val="none"/>
              </w:rPr>
              <w:t>i）支持板载显示控制或独立显卡的显示控制功能；</w:t>
            </w:r>
          </w:p>
          <w:p w14:paraId="313F7E4B">
            <w:pPr>
              <w:pStyle w:val="209"/>
              <w:rPr>
                <w:rFonts w:ascii="仿宋" w:hAnsi="仿宋" w:eastAsia="仿宋" w:cs="仿宋"/>
                <w:color w:val="auto"/>
                <w:highlight w:val="none"/>
              </w:rPr>
            </w:pPr>
            <w:r>
              <w:rPr>
                <w:rFonts w:hint="eastAsia" w:ascii="仿宋" w:hAnsi="仿宋" w:eastAsia="仿宋" w:cs="仿宋"/>
                <w:color w:val="auto"/>
                <w:highlight w:val="none"/>
              </w:rPr>
              <w:t>j）支持 RAID 识别和启动功能；k）支持串口重定向功能；</w:t>
            </w:r>
          </w:p>
          <w:p w14:paraId="6A65C196">
            <w:pPr>
              <w:pStyle w:val="209"/>
              <w:rPr>
                <w:rFonts w:ascii="仿宋" w:hAnsi="仿宋" w:eastAsia="仿宋" w:cs="仿宋"/>
                <w:color w:val="auto"/>
                <w:highlight w:val="none"/>
              </w:rPr>
            </w:pPr>
            <w:r>
              <w:rPr>
                <w:rFonts w:hint="eastAsia" w:ascii="仿宋" w:hAnsi="仿宋" w:eastAsia="仿宋" w:cs="仿宋"/>
                <w:color w:val="auto"/>
                <w:highlight w:val="none"/>
              </w:rPr>
              <w:t>l）支持固件更新功能；</w:t>
            </w:r>
          </w:p>
          <w:p w14:paraId="4B1DAB00">
            <w:pPr>
              <w:pStyle w:val="209"/>
              <w:rPr>
                <w:rFonts w:ascii="仿宋" w:hAnsi="仿宋" w:eastAsia="仿宋" w:cs="仿宋"/>
                <w:color w:val="auto"/>
                <w:highlight w:val="none"/>
              </w:rPr>
            </w:pPr>
            <w:r>
              <w:rPr>
                <w:rFonts w:hint="eastAsia" w:ascii="仿宋" w:hAnsi="仿宋" w:eastAsia="仿宋" w:cs="仿宋"/>
                <w:color w:val="auto"/>
                <w:highlight w:val="none"/>
              </w:rPr>
              <w:t>m）支持 BIOS 固件设置的恢复出厂功能；</w:t>
            </w:r>
          </w:p>
          <w:p w14:paraId="246FD3F0">
            <w:pPr>
              <w:pStyle w:val="209"/>
              <w:rPr>
                <w:rFonts w:ascii="仿宋" w:hAnsi="仿宋" w:eastAsia="仿宋" w:cs="仿宋"/>
                <w:color w:val="auto"/>
                <w:highlight w:val="none"/>
              </w:rPr>
            </w:pPr>
            <w:r>
              <w:rPr>
                <w:rFonts w:hint="eastAsia" w:ascii="仿宋" w:hAnsi="仿宋" w:eastAsia="仿宋" w:cs="仿宋"/>
                <w:color w:val="auto"/>
                <w:highlight w:val="none"/>
              </w:rPr>
              <w:t>n）支持网络引导启用和关闭功能</w:t>
            </w:r>
          </w:p>
        </w:tc>
      </w:tr>
      <w:tr w14:paraId="07CCB208">
        <w:tblPrEx>
          <w:tblCellMar>
            <w:top w:w="0" w:type="dxa"/>
            <w:left w:w="108" w:type="dxa"/>
            <w:bottom w:w="0" w:type="dxa"/>
            <w:right w:w="108" w:type="dxa"/>
          </w:tblCellMar>
        </w:tblPrEx>
        <w:trPr>
          <w:trHeight w:val="324" w:hRule="atLeast"/>
          <w:jc w:val="center"/>
        </w:trPr>
        <w:tc>
          <w:tcPr>
            <w:tcW w:w="1027" w:type="dxa"/>
            <w:tcBorders>
              <w:top w:val="nil"/>
              <w:left w:val="single" w:color="auto" w:sz="8" w:space="0"/>
              <w:bottom w:val="single" w:color="auto" w:sz="8" w:space="0"/>
              <w:right w:val="single" w:color="auto" w:sz="8" w:space="0"/>
            </w:tcBorders>
            <w:vAlign w:val="center"/>
          </w:tcPr>
          <w:p w14:paraId="0BB85BD0">
            <w:pPr>
              <w:pStyle w:val="209"/>
              <w:rPr>
                <w:rFonts w:ascii="仿宋" w:hAnsi="仿宋" w:eastAsia="仿宋" w:cs="仿宋"/>
                <w:color w:val="auto"/>
                <w:highlight w:val="none"/>
              </w:rPr>
            </w:pPr>
            <w:r>
              <w:rPr>
                <w:rFonts w:hint="eastAsia" w:ascii="仿宋" w:hAnsi="仿宋" w:eastAsia="仿宋" w:cs="仿宋"/>
                <w:color w:val="auto"/>
                <w:highlight w:val="none"/>
              </w:rPr>
              <w:t>33</w:t>
            </w:r>
          </w:p>
        </w:tc>
        <w:tc>
          <w:tcPr>
            <w:tcW w:w="1481" w:type="dxa"/>
            <w:vMerge w:val="continue"/>
            <w:tcBorders>
              <w:top w:val="nil"/>
              <w:left w:val="single" w:color="auto" w:sz="8" w:space="0"/>
              <w:bottom w:val="single" w:color="000000" w:sz="8" w:space="0"/>
              <w:right w:val="single" w:color="auto" w:sz="8" w:space="0"/>
            </w:tcBorders>
            <w:vAlign w:val="center"/>
          </w:tcPr>
          <w:p w14:paraId="7DE825A9">
            <w:pPr>
              <w:rPr>
                <w:highlight w:val="none"/>
              </w:rPr>
            </w:pPr>
          </w:p>
        </w:tc>
        <w:tc>
          <w:tcPr>
            <w:tcW w:w="1501" w:type="dxa"/>
            <w:tcBorders>
              <w:top w:val="nil"/>
              <w:left w:val="nil"/>
              <w:bottom w:val="single" w:color="auto" w:sz="8" w:space="0"/>
              <w:right w:val="single" w:color="auto" w:sz="8" w:space="0"/>
            </w:tcBorders>
            <w:vAlign w:val="center"/>
          </w:tcPr>
          <w:p w14:paraId="4E2CF44A">
            <w:pPr>
              <w:pStyle w:val="209"/>
              <w:rPr>
                <w:rFonts w:ascii="仿宋" w:hAnsi="仿宋" w:eastAsia="仿宋" w:cs="仿宋"/>
                <w:color w:val="auto"/>
                <w:highlight w:val="none"/>
              </w:rPr>
            </w:pPr>
            <w:r>
              <w:rPr>
                <w:rFonts w:hint="eastAsia" w:ascii="仿宋" w:hAnsi="仿宋" w:eastAsia="仿宋" w:cs="仿宋"/>
                <w:color w:val="auto"/>
                <w:highlight w:val="none"/>
              </w:rPr>
              <w:t>远程控制</w:t>
            </w:r>
          </w:p>
        </w:tc>
        <w:tc>
          <w:tcPr>
            <w:tcW w:w="5277" w:type="dxa"/>
            <w:tcBorders>
              <w:top w:val="nil"/>
              <w:left w:val="nil"/>
              <w:bottom w:val="single" w:color="auto" w:sz="8" w:space="0"/>
              <w:right w:val="single" w:color="auto" w:sz="8" w:space="0"/>
            </w:tcBorders>
            <w:vAlign w:val="center"/>
          </w:tcPr>
          <w:p w14:paraId="40BD27F7">
            <w:pPr>
              <w:pStyle w:val="209"/>
              <w:rPr>
                <w:rFonts w:ascii="仿宋" w:hAnsi="仿宋" w:eastAsia="仿宋" w:cs="仿宋"/>
                <w:color w:val="auto"/>
                <w:highlight w:val="none"/>
              </w:rPr>
            </w:pPr>
            <w:r>
              <w:rPr>
                <w:rFonts w:hint="eastAsia" w:ascii="仿宋" w:hAnsi="仿宋" w:eastAsia="仿宋" w:cs="仿宋"/>
                <w:color w:val="auto"/>
                <w:highlight w:val="none"/>
              </w:rPr>
              <w:t>支持远程关机和重新启动功能</w:t>
            </w:r>
          </w:p>
        </w:tc>
      </w:tr>
      <w:tr w14:paraId="5FCD4883">
        <w:tblPrEx>
          <w:tblCellMar>
            <w:top w:w="0" w:type="dxa"/>
            <w:left w:w="108" w:type="dxa"/>
            <w:bottom w:w="0" w:type="dxa"/>
            <w:right w:w="108" w:type="dxa"/>
          </w:tblCellMar>
        </w:tblPrEx>
        <w:trPr>
          <w:trHeight w:val="948" w:hRule="atLeast"/>
          <w:jc w:val="center"/>
        </w:trPr>
        <w:tc>
          <w:tcPr>
            <w:tcW w:w="1027" w:type="dxa"/>
            <w:tcBorders>
              <w:top w:val="nil"/>
              <w:left w:val="single" w:color="auto" w:sz="8" w:space="0"/>
              <w:bottom w:val="single" w:color="auto" w:sz="8" w:space="0"/>
              <w:right w:val="single" w:color="auto" w:sz="8" w:space="0"/>
            </w:tcBorders>
            <w:vAlign w:val="center"/>
          </w:tcPr>
          <w:p w14:paraId="56C22806">
            <w:pPr>
              <w:pStyle w:val="209"/>
              <w:rPr>
                <w:rFonts w:ascii="仿宋" w:hAnsi="仿宋" w:eastAsia="仿宋" w:cs="仿宋"/>
                <w:color w:val="auto"/>
                <w:highlight w:val="none"/>
              </w:rPr>
            </w:pPr>
            <w:r>
              <w:rPr>
                <w:rFonts w:hint="eastAsia" w:ascii="仿宋" w:hAnsi="仿宋" w:eastAsia="仿宋" w:cs="仿宋"/>
                <w:color w:val="auto"/>
                <w:highlight w:val="none"/>
              </w:rPr>
              <w:t>34</w:t>
            </w:r>
          </w:p>
        </w:tc>
        <w:tc>
          <w:tcPr>
            <w:tcW w:w="1481" w:type="dxa"/>
            <w:vMerge w:val="restart"/>
            <w:tcBorders>
              <w:top w:val="nil"/>
              <w:left w:val="single" w:color="auto" w:sz="8" w:space="0"/>
              <w:bottom w:val="single" w:color="000000" w:sz="8" w:space="0"/>
              <w:right w:val="single" w:color="auto" w:sz="8" w:space="0"/>
            </w:tcBorders>
            <w:vAlign w:val="center"/>
          </w:tcPr>
          <w:p w14:paraId="72D228D7">
            <w:pPr>
              <w:pStyle w:val="209"/>
              <w:rPr>
                <w:rFonts w:ascii="仿宋" w:hAnsi="仿宋" w:eastAsia="仿宋" w:cs="仿宋"/>
                <w:color w:val="auto"/>
                <w:highlight w:val="none"/>
              </w:rPr>
            </w:pPr>
            <w:r>
              <w:rPr>
                <w:rFonts w:hint="eastAsia" w:ascii="仿宋" w:hAnsi="仿宋" w:eastAsia="仿宋" w:cs="仿宋"/>
                <w:color w:val="auto"/>
                <w:highlight w:val="none"/>
              </w:rPr>
              <w:t>操作系统及驱动功能</w:t>
            </w:r>
          </w:p>
        </w:tc>
        <w:tc>
          <w:tcPr>
            <w:tcW w:w="1501" w:type="dxa"/>
            <w:tcBorders>
              <w:top w:val="nil"/>
              <w:left w:val="nil"/>
              <w:bottom w:val="single" w:color="auto" w:sz="8" w:space="0"/>
              <w:right w:val="single" w:color="auto" w:sz="8" w:space="0"/>
            </w:tcBorders>
            <w:vAlign w:val="center"/>
          </w:tcPr>
          <w:p w14:paraId="06117FDB">
            <w:pPr>
              <w:pStyle w:val="209"/>
              <w:rPr>
                <w:rFonts w:ascii="仿宋" w:hAnsi="仿宋" w:eastAsia="仿宋" w:cs="仿宋"/>
                <w:color w:val="auto"/>
                <w:highlight w:val="none"/>
              </w:rPr>
            </w:pPr>
            <w:r>
              <w:rPr>
                <w:rFonts w:hint="eastAsia" w:ascii="仿宋" w:hAnsi="仿宋" w:eastAsia="仿宋" w:cs="仿宋"/>
                <w:color w:val="auto"/>
                <w:highlight w:val="none"/>
              </w:rPr>
              <w:t>操作系统及驱动的升级</w:t>
            </w:r>
          </w:p>
        </w:tc>
        <w:tc>
          <w:tcPr>
            <w:tcW w:w="5277" w:type="dxa"/>
            <w:tcBorders>
              <w:top w:val="nil"/>
              <w:left w:val="nil"/>
              <w:bottom w:val="single" w:color="auto" w:sz="8" w:space="0"/>
              <w:right w:val="single" w:color="auto" w:sz="8" w:space="0"/>
            </w:tcBorders>
            <w:vAlign w:val="center"/>
          </w:tcPr>
          <w:p w14:paraId="46C8D70B">
            <w:pPr>
              <w:pStyle w:val="209"/>
              <w:rPr>
                <w:rFonts w:ascii="仿宋" w:hAnsi="仿宋" w:eastAsia="仿宋" w:cs="仿宋"/>
                <w:color w:val="auto"/>
                <w:highlight w:val="none"/>
              </w:rPr>
            </w:pPr>
            <w:r>
              <w:rPr>
                <w:rFonts w:hint="eastAsia" w:ascii="仿宋" w:hAnsi="仿宋" w:eastAsia="仿宋" w:cs="仿宋"/>
                <w:color w:val="auto"/>
                <w:highlight w:val="none"/>
              </w:rPr>
              <w:t>支持通过网络、闪存盘对操作系统、驱动进行升级</w:t>
            </w:r>
          </w:p>
        </w:tc>
      </w:tr>
      <w:tr w14:paraId="6E248CF6">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3F91992D">
            <w:pPr>
              <w:pStyle w:val="209"/>
              <w:rPr>
                <w:rFonts w:ascii="仿宋" w:hAnsi="仿宋" w:eastAsia="仿宋" w:cs="仿宋"/>
                <w:color w:val="auto"/>
                <w:highlight w:val="none"/>
              </w:rPr>
            </w:pPr>
            <w:r>
              <w:rPr>
                <w:rFonts w:hint="eastAsia" w:ascii="仿宋" w:hAnsi="仿宋" w:eastAsia="仿宋" w:cs="仿宋"/>
                <w:color w:val="auto"/>
                <w:highlight w:val="none"/>
              </w:rPr>
              <w:t>35</w:t>
            </w:r>
          </w:p>
        </w:tc>
        <w:tc>
          <w:tcPr>
            <w:tcW w:w="1481" w:type="dxa"/>
            <w:vMerge w:val="continue"/>
            <w:tcBorders>
              <w:top w:val="nil"/>
              <w:left w:val="single" w:color="auto" w:sz="8" w:space="0"/>
              <w:bottom w:val="single" w:color="000000" w:sz="8" w:space="0"/>
              <w:right w:val="single" w:color="auto" w:sz="8" w:space="0"/>
            </w:tcBorders>
            <w:vAlign w:val="center"/>
          </w:tcPr>
          <w:p w14:paraId="5CA50C6A">
            <w:pPr>
              <w:rPr>
                <w:highlight w:val="none"/>
              </w:rPr>
            </w:pPr>
          </w:p>
        </w:tc>
        <w:tc>
          <w:tcPr>
            <w:tcW w:w="1501" w:type="dxa"/>
            <w:tcBorders>
              <w:top w:val="nil"/>
              <w:left w:val="nil"/>
              <w:bottom w:val="single" w:color="auto" w:sz="8" w:space="0"/>
              <w:right w:val="single" w:color="auto" w:sz="8" w:space="0"/>
            </w:tcBorders>
            <w:vAlign w:val="center"/>
          </w:tcPr>
          <w:p w14:paraId="20354E3F">
            <w:pPr>
              <w:pStyle w:val="209"/>
              <w:rPr>
                <w:rFonts w:ascii="仿宋" w:hAnsi="仿宋" w:eastAsia="仿宋" w:cs="仿宋"/>
                <w:color w:val="auto"/>
                <w:highlight w:val="none"/>
              </w:rPr>
            </w:pPr>
            <w:r>
              <w:rPr>
                <w:rFonts w:hint="eastAsia" w:ascii="仿宋" w:hAnsi="仿宋" w:eastAsia="仿宋" w:cs="仿宋"/>
                <w:color w:val="auto"/>
                <w:highlight w:val="none"/>
              </w:rPr>
              <w:t>操作系统功能</w:t>
            </w:r>
          </w:p>
        </w:tc>
        <w:tc>
          <w:tcPr>
            <w:tcW w:w="5277" w:type="dxa"/>
            <w:tcBorders>
              <w:top w:val="nil"/>
              <w:left w:val="nil"/>
              <w:bottom w:val="single" w:color="auto" w:sz="8" w:space="0"/>
              <w:right w:val="single" w:color="auto" w:sz="8" w:space="0"/>
            </w:tcBorders>
            <w:vAlign w:val="center"/>
          </w:tcPr>
          <w:p w14:paraId="60947D50">
            <w:pPr>
              <w:pStyle w:val="209"/>
              <w:rPr>
                <w:rFonts w:ascii="仿宋" w:hAnsi="仿宋" w:eastAsia="仿宋" w:cs="仿宋"/>
                <w:color w:val="auto"/>
                <w:highlight w:val="none"/>
              </w:rPr>
            </w:pPr>
            <w:r>
              <w:rPr>
                <w:rFonts w:hint="eastAsia" w:ascii="仿宋" w:hAnsi="仿宋" w:eastAsia="仿宋" w:cs="仿宋"/>
                <w:color w:val="auto"/>
                <w:highlight w:val="none"/>
              </w:rPr>
              <w:t>支持访问控制、安全审计、网络接入鉴别等功能；</w:t>
            </w:r>
          </w:p>
        </w:tc>
      </w:tr>
      <w:tr w14:paraId="0C32FE13">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5F02ED84">
            <w:pPr>
              <w:pStyle w:val="209"/>
              <w:rPr>
                <w:rFonts w:ascii="仿宋" w:hAnsi="仿宋" w:eastAsia="仿宋" w:cs="仿宋"/>
                <w:color w:val="auto"/>
                <w:highlight w:val="none"/>
              </w:rPr>
            </w:pPr>
            <w:r>
              <w:rPr>
                <w:rFonts w:hint="eastAsia" w:ascii="仿宋" w:hAnsi="仿宋" w:eastAsia="仿宋" w:cs="仿宋"/>
                <w:color w:val="auto"/>
                <w:highlight w:val="none"/>
              </w:rPr>
              <w:t>36</w:t>
            </w:r>
          </w:p>
        </w:tc>
        <w:tc>
          <w:tcPr>
            <w:tcW w:w="1481" w:type="dxa"/>
            <w:tcBorders>
              <w:top w:val="nil"/>
              <w:left w:val="nil"/>
              <w:bottom w:val="single" w:color="auto" w:sz="8" w:space="0"/>
              <w:right w:val="single" w:color="auto" w:sz="8" w:space="0"/>
            </w:tcBorders>
            <w:vAlign w:val="center"/>
          </w:tcPr>
          <w:p w14:paraId="08F2010F">
            <w:pPr>
              <w:pStyle w:val="209"/>
              <w:rPr>
                <w:rFonts w:ascii="仿宋" w:hAnsi="仿宋" w:eastAsia="仿宋" w:cs="仿宋"/>
                <w:color w:val="auto"/>
                <w:highlight w:val="none"/>
              </w:rPr>
            </w:pPr>
            <w:r>
              <w:rPr>
                <w:rFonts w:hint="eastAsia" w:ascii="仿宋" w:hAnsi="仿宋" w:eastAsia="仿宋" w:cs="仿宋"/>
                <w:color w:val="auto"/>
                <w:highlight w:val="none"/>
              </w:rPr>
              <w:t>中文信息处理功能</w:t>
            </w:r>
          </w:p>
        </w:tc>
        <w:tc>
          <w:tcPr>
            <w:tcW w:w="1501" w:type="dxa"/>
            <w:tcBorders>
              <w:top w:val="nil"/>
              <w:left w:val="nil"/>
              <w:bottom w:val="single" w:color="auto" w:sz="8" w:space="0"/>
              <w:right w:val="single" w:color="auto" w:sz="8" w:space="0"/>
            </w:tcBorders>
            <w:vAlign w:val="center"/>
          </w:tcPr>
          <w:p w14:paraId="32BDCD66">
            <w:pPr>
              <w:pStyle w:val="209"/>
              <w:rPr>
                <w:rFonts w:ascii="仿宋" w:hAnsi="仿宋" w:eastAsia="仿宋" w:cs="仿宋"/>
                <w:color w:val="auto"/>
                <w:highlight w:val="none"/>
              </w:rPr>
            </w:pPr>
            <w:r>
              <w:rPr>
                <w:rFonts w:hint="eastAsia" w:ascii="仿宋" w:hAnsi="仿宋" w:eastAsia="仿宋" w:cs="仿宋"/>
                <w:color w:val="auto"/>
                <w:highlight w:val="none"/>
              </w:rPr>
              <w:t>中文信息处理</w:t>
            </w:r>
          </w:p>
        </w:tc>
        <w:tc>
          <w:tcPr>
            <w:tcW w:w="5277" w:type="dxa"/>
            <w:tcBorders>
              <w:top w:val="nil"/>
              <w:left w:val="nil"/>
              <w:bottom w:val="single" w:color="auto" w:sz="8" w:space="0"/>
              <w:right w:val="single" w:color="auto" w:sz="8" w:space="0"/>
            </w:tcBorders>
            <w:vAlign w:val="center"/>
          </w:tcPr>
          <w:p w14:paraId="5AA86B7F">
            <w:pPr>
              <w:pStyle w:val="209"/>
              <w:rPr>
                <w:rFonts w:ascii="仿宋" w:hAnsi="仿宋" w:eastAsia="仿宋" w:cs="仿宋"/>
                <w:color w:val="auto"/>
                <w:highlight w:val="none"/>
              </w:rPr>
            </w:pPr>
            <w:r>
              <w:rPr>
                <w:rFonts w:hint="eastAsia" w:ascii="仿宋" w:hAnsi="仿宋" w:eastAsia="仿宋" w:cs="仿宋"/>
                <w:color w:val="auto"/>
                <w:highlight w:val="none"/>
              </w:rPr>
              <w:t>符合 GB 18030 的有关规定</w:t>
            </w:r>
          </w:p>
        </w:tc>
      </w:tr>
      <w:tr w14:paraId="3762E703">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15F8E587">
            <w:pPr>
              <w:pStyle w:val="209"/>
              <w:rPr>
                <w:rFonts w:ascii="仿宋" w:hAnsi="仿宋" w:eastAsia="仿宋" w:cs="仿宋"/>
                <w:color w:val="auto"/>
                <w:highlight w:val="none"/>
              </w:rPr>
            </w:pPr>
            <w:r>
              <w:rPr>
                <w:rFonts w:hint="eastAsia" w:ascii="仿宋" w:hAnsi="仿宋" w:eastAsia="仿宋" w:cs="仿宋"/>
                <w:color w:val="auto"/>
                <w:highlight w:val="none"/>
              </w:rPr>
              <w:t>37</w:t>
            </w:r>
          </w:p>
        </w:tc>
        <w:tc>
          <w:tcPr>
            <w:tcW w:w="1481" w:type="dxa"/>
            <w:tcBorders>
              <w:top w:val="nil"/>
              <w:left w:val="nil"/>
              <w:bottom w:val="single" w:color="auto" w:sz="8" w:space="0"/>
              <w:right w:val="single" w:color="auto" w:sz="8" w:space="0"/>
            </w:tcBorders>
            <w:vAlign w:val="center"/>
          </w:tcPr>
          <w:p w14:paraId="0EE9FFC0">
            <w:pPr>
              <w:pStyle w:val="209"/>
              <w:rPr>
                <w:rFonts w:ascii="仿宋" w:hAnsi="仿宋" w:eastAsia="仿宋" w:cs="仿宋"/>
                <w:color w:val="auto"/>
                <w:highlight w:val="none"/>
              </w:rPr>
            </w:pPr>
            <w:r>
              <w:rPr>
                <w:rFonts w:hint="eastAsia" w:ascii="仿宋" w:hAnsi="仿宋" w:eastAsia="仿宋" w:cs="仿宋"/>
                <w:color w:val="auto"/>
                <w:highlight w:val="none"/>
              </w:rPr>
              <w:t>关键部件安全要求</w:t>
            </w:r>
          </w:p>
        </w:tc>
        <w:tc>
          <w:tcPr>
            <w:tcW w:w="1501" w:type="dxa"/>
            <w:tcBorders>
              <w:top w:val="nil"/>
              <w:left w:val="nil"/>
              <w:bottom w:val="single" w:color="auto" w:sz="8" w:space="0"/>
              <w:right w:val="single" w:color="auto" w:sz="8" w:space="0"/>
            </w:tcBorders>
            <w:vAlign w:val="center"/>
          </w:tcPr>
          <w:p w14:paraId="4A521B15">
            <w:pPr>
              <w:pStyle w:val="209"/>
              <w:rPr>
                <w:rFonts w:ascii="仿宋" w:hAnsi="仿宋" w:eastAsia="仿宋" w:cs="仿宋"/>
                <w:color w:val="auto"/>
                <w:highlight w:val="none"/>
              </w:rPr>
            </w:pPr>
            <w:r>
              <w:rPr>
                <w:rFonts w:hint="eastAsia" w:ascii="仿宋" w:hAnsi="仿宋" w:eastAsia="仿宋" w:cs="仿宋"/>
                <w:color w:val="auto"/>
                <w:highlight w:val="none"/>
              </w:rPr>
              <w:t>关键部件安全要求</w:t>
            </w:r>
          </w:p>
        </w:tc>
        <w:tc>
          <w:tcPr>
            <w:tcW w:w="5277" w:type="dxa"/>
            <w:tcBorders>
              <w:top w:val="nil"/>
              <w:left w:val="nil"/>
              <w:bottom w:val="single" w:color="auto" w:sz="8" w:space="0"/>
              <w:right w:val="single" w:color="auto" w:sz="8" w:space="0"/>
            </w:tcBorders>
            <w:vAlign w:val="center"/>
          </w:tcPr>
          <w:p w14:paraId="472A7285">
            <w:pPr>
              <w:pStyle w:val="209"/>
              <w:rPr>
                <w:rFonts w:ascii="仿宋" w:hAnsi="仿宋" w:eastAsia="仿宋" w:cs="仿宋"/>
                <w:color w:val="auto"/>
                <w:highlight w:val="none"/>
              </w:rPr>
            </w:pPr>
            <w:r>
              <w:rPr>
                <w:rFonts w:hint="eastAsia" w:ascii="仿宋" w:hAnsi="仿宋" w:eastAsia="仿宋" w:cs="仿宋"/>
                <w:color w:val="auto"/>
                <w:highlight w:val="none"/>
              </w:rPr>
              <w:t>CPU 和操作系统等关键部件应当符合安全可靠测评要求</w:t>
            </w:r>
          </w:p>
        </w:tc>
      </w:tr>
      <w:tr w14:paraId="5E589E33">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47057028">
            <w:pPr>
              <w:pStyle w:val="209"/>
              <w:rPr>
                <w:rFonts w:ascii="仿宋" w:hAnsi="仿宋" w:eastAsia="仿宋" w:cs="仿宋"/>
                <w:color w:val="auto"/>
                <w:highlight w:val="none"/>
              </w:rPr>
            </w:pPr>
            <w:r>
              <w:rPr>
                <w:rFonts w:hint="eastAsia" w:ascii="仿宋" w:hAnsi="仿宋" w:eastAsia="仿宋" w:cs="仿宋"/>
                <w:color w:val="auto"/>
                <w:highlight w:val="none"/>
              </w:rPr>
              <w:t>38</w:t>
            </w:r>
          </w:p>
        </w:tc>
        <w:tc>
          <w:tcPr>
            <w:tcW w:w="1481" w:type="dxa"/>
            <w:tcBorders>
              <w:top w:val="nil"/>
              <w:left w:val="nil"/>
              <w:bottom w:val="single" w:color="auto" w:sz="8" w:space="0"/>
              <w:right w:val="single" w:color="auto" w:sz="8" w:space="0"/>
            </w:tcBorders>
            <w:vAlign w:val="center"/>
          </w:tcPr>
          <w:p w14:paraId="6A913D35">
            <w:pPr>
              <w:pStyle w:val="209"/>
              <w:rPr>
                <w:rFonts w:ascii="仿宋" w:hAnsi="仿宋" w:eastAsia="仿宋" w:cs="仿宋"/>
                <w:color w:val="auto"/>
                <w:highlight w:val="none"/>
              </w:rPr>
            </w:pPr>
            <w:r>
              <w:rPr>
                <w:rFonts w:hint="eastAsia" w:ascii="仿宋" w:hAnsi="仿宋" w:eastAsia="仿宋" w:cs="仿宋"/>
                <w:color w:val="auto"/>
                <w:highlight w:val="none"/>
              </w:rPr>
              <w:t>固件安全要求</w:t>
            </w:r>
          </w:p>
        </w:tc>
        <w:tc>
          <w:tcPr>
            <w:tcW w:w="1501" w:type="dxa"/>
            <w:tcBorders>
              <w:top w:val="nil"/>
              <w:left w:val="nil"/>
              <w:bottom w:val="single" w:color="auto" w:sz="8" w:space="0"/>
              <w:right w:val="single" w:color="auto" w:sz="8" w:space="0"/>
            </w:tcBorders>
            <w:vAlign w:val="center"/>
          </w:tcPr>
          <w:p w14:paraId="327EAA60">
            <w:pPr>
              <w:pStyle w:val="209"/>
              <w:rPr>
                <w:rFonts w:ascii="仿宋" w:hAnsi="仿宋" w:eastAsia="仿宋" w:cs="仿宋"/>
                <w:color w:val="auto"/>
                <w:highlight w:val="none"/>
              </w:rPr>
            </w:pPr>
            <w:r>
              <w:rPr>
                <w:rFonts w:hint="eastAsia" w:ascii="仿宋" w:hAnsi="仿宋" w:eastAsia="仿宋" w:cs="仿宋"/>
                <w:color w:val="auto"/>
                <w:highlight w:val="none"/>
              </w:rPr>
              <w:t>故障检测</w:t>
            </w:r>
          </w:p>
        </w:tc>
        <w:tc>
          <w:tcPr>
            <w:tcW w:w="5277" w:type="dxa"/>
            <w:tcBorders>
              <w:top w:val="nil"/>
              <w:left w:val="nil"/>
              <w:bottom w:val="single" w:color="auto" w:sz="8" w:space="0"/>
              <w:right w:val="single" w:color="auto" w:sz="8" w:space="0"/>
            </w:tcBorders>
            <w:vAlign w:val="center"/>
          </w:tcPr>
          <w:p w14:paraId="463C273C">
            <w:pPr>
              <w:pStyle w:val="209"/>
              <w:rPr>
                <w:rFonts w:ascii="仿宋" w:hAnsi="仿宋" w:eastAsia="仿宋" w:cs="仿宋"/>
                <w:color w:val="auto"/>
                <w:highlight w:val="none"/>
              </w:rPr>
            </w:pPr>
            <w:r>
              <w:rPr>
                <w:rFonts w:hint="eastAsia" w:ascii="仿宋" w:hAnsi="仿宋" w:eastAsia="仿宋" w:cs="仿宋"/>
                <w:color w:val="auto"/>
                <w:highlight w:val="none"/>
              </w:rPr>
              <w:t>支持故障检测功能，可以检测到具体的 FRU（内存、硬盘等）的故障并发出告警</w:t>
            </w:r>
          </w:p>
        </w:tc>
      </w:tr>
      <w:tr w14:paraId="12DB67E4">
        <w:tblPrEx>
          <w:tblCellMar>
            <w:top w:w="0" w:type="dxa"/>
            <w:left w:w="108" w:type="dxa"/>
            <w:bottom w:w="0" w:type="dxa"/>
            <w:right w:w="108" w:type="dxa"/>
          </w:tblCellMar>
        </w:tblPrEx>
        <w:trPr>
          <w:trHeight w:val="948" w:hRule="atLeast"/>
          <w:jc w:val="center"/>
        </w:trPr>
        <w:tc>
          <w:tcPr>
            <w:tcW w:w="1027" w:type="dxa"/>
            <w:tcBorders>
              <w:top w:val="nil"/>
              <w:left w:val="single" w:color="auto" w:sz="8" w:space="0"/>
              <w:bottom w:val="single" w:color="auto" w:sz="8" w:space="0"/>
              <w:right w:val="single" w:color="auto" w:sz="8" w:space="0"/>
            </w:tcBorders>
            <w:vAlign w:val="center"/>
          </w:tcPr>
          <w:p w14:paraId="50C70AA7">
            <w:pPr>
              <w:pStyle w:val="209"/>
              <w:rPr>
                <w:rFonts w:ascii="仿宋" w:hAnsi="仿宋" w:eastAsia="仿宋" w:cs="仿宋"/>
                <w:color w:val="auto"/>
                <w:highlight w:val="none"/>
              </w:rPr>
            </w:pPr>
            <w:r>
              <w:rPr>
                <w:rFonts w:hint="eastAsia" w:ascii="仿宋" w:hAnsi="仿宋" w:eastAsia="仿宋" w:cs="仿宋"/>
                <w:color w:val="auto"/>
                <w:highlight w:val="none"/>
              </w:rPr>
              <w:t>39</w:t>
            </w:r>
          </w:p>
        </w:tc>
        <w:tc>
          <w:tcPr>
            <w:tcW w:w="1481" w:type="dxa"/>
            <w:vMerge w:val="restart"/>
            <w:tcBorders>
              <w:top w:val="nil"/>
              <w:left w:val="single" w:color="auto" w:sz="8" w:space="0"/>
              <w:bottom w:val="single" w:color="000000" w:sz="8" w:space="0"/>
              <w:right w:val="single" w:color="auto" w:sz="8" w:space="0"/>
            </w:tcBorders>
            <w:vAlign w:val="center"/>
          </w:tcPr>
          <w:p w14:paraId="666C5661">
            <w:pPr>
              <w:pStyle w:val="209"/>
              <w:rPr>
                <w:rFonts w:ascii="仿宋" w:hAnsi="仿宋" w:eastAsia="仿宋" w:cs="仿宋"/>
                <w:color w:val="auto"/>
                <w:highlight w:val="none"/>
              </w:rPr>
            </w:pPr>
            <w:r>
              <w:rPr>
                <w:rFonts w:hint="eastAsia" w:ascii="仿宋" w:hAnsi="仿宋" w:eastAsia="仿宋" w:cs="仿宋"/>
                <w:color w:val="auto"/>
                <w:highlight w:val="none"/>
              </w:rPr>
              <w:t>系统安全要求</w:t>
            </w:r>
          </w:p>
        </w:tc>
        <w:tc>
          <w:tcPr>
            <w:tcW w:w="1501" w:type="dxa"/>
            <w:tcBorders>
              <w:top w:val="nil"/>
              <w:left w:val="nil"/>
              <w:bottom w:val="single" w:color="auto" w:sz="8" w:space="0"/>
              <w:right w:val="single" w:color="auto" w:sz="8" w:space="0"/>
            </w:tcBorders>
            <w:vAlign w:val="center"/>
          </w:tcPr>
          <w:p w14:paraId="24A16CE0">
            <w:pPr>
              <w:pStyle w:val="209"/>
              <w:rPr>
                <w:rFonts w:ascii="仿宋" w:hAnsi="仿宋" w:eastAsia="仿宋" w:cs="仿宋"/>
                <w:color w:val="auto"/>
                <w:highlight w:val="none"/>
              </w:rPr>
            </w:pPr>
            <w:r>
              <w:rPr>
                <w:rFonts w:hint="eastAsia" w:ascii="仿宋" w:hAnsi="仿宋" w:eastAsia="仿宋" w:cs="仿宋"/>
                <w:color w:val="auto"/>
                <w:highlight w:val="none"/>
              </w:rPr>
              <w:t>弱口令字典检查</w:t>
            </w:r>
          </w:p>
        </w:tc>
        <w:tc>
          <w:tcPr>
            <w:tcW w:w="5277" w:type="dxa"/>
            <w:tcBorders>
              <w:top w:val="nil"/>
              <w:left w:val="nil"/>
              <w:bottom w:val="single" w:color="auto" w:sz="8" w:space="0"/>
              <w:right w:val="single" w:color="auto" w:sz="8" w:space="0"/>
            </w:tcBorders>
            <w:vAlign w:val="center"/>
          </w:tcPr>
          <w:p w14:paraId="00CDBC88">
            <w:pPr>
              <w:pStyle w:val="209"/>
              <w:rPr>
                <w:rFonts w:ascii="仿宋" w:hAnsi="仿宋" w:eastAsia="仿宋" w:cs="仿宋"/>
                <w:color w:val="auto"/>
                <w:highlight w:val="none"/>
              </w:rPr>
            </w:pPr>
            <w:r>
              <w:rPr>
                <w:rFonts w:hint="eastAsia" w:ascii="仿宋" w:hAnsi="仿宋" w:eastAsia="仿宋" w:cs="仿宋"/>
                <w:color w:val="auto"/>
                <w:highlight w:val="none"/>
              </w:rPr>
              <w:t>支持弱口令字典检查功能，出现在弱口令字典中的字符串不能被设置为用户口令</w:t>
            </w:r>
          </w:p>
        </w:tc>
      </w:tr>
      <w:tr w14:paraId="51203C0E">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7121CDCE">
            <w:pPr>
              <w:pStyle w:val="209"/>
              <w:rPr>
                <w:rFonts w:ascii="仿宋" w:hAnsi="仿宋" w:eastAsia="仿宋" w:cs="仿宋"/>
                <w:color w:val="auto"/>
                <w:highlight w:val="none"/>
              </w:rPr>
            </w:pPr>
            <w:r>
              <w:rPr>
                <w:rFonts w:hint="eastAsia" w:ascii="仿宋" w:hAnsi="仿宋" w:eastAsia="仿宋" w:cs="仿宋"/>
                <w:color w:val="auto"/>
                <w:highlight w:val="none"/>
              </w:rPr>
              <w:t>40</w:t>
            </w:r>
          </w:p>
        </w:tc>
        <w:tc>
          <w:tcPr>
            <w:tcW w:w="1481" w:type="dxa"/>
            <w:vMerge w:val="continue"/>
            <w:tcBorders>
              <w:top w:val="nil"/>
              <w:left w:val="single" w:color="auto" w:sz="8" w:space="0"/>
              <w:bottom w:val="single" w:color="000000" w:sz="8" w:space="0"/>
              <w:right w:val="single" w:color="auto" w:sz="8" w:space="0"/>
            </w:tcBorders>
            <w:vAlign w:val="center"/>
          </w:tcPr>
          <w:p w14:paraId="1DC13C28">
            <w:pPr>
              <w:rPr>
                <w:highlight w:val="none"/>
              </w:rPr>
            </w:pPr>
          </w:p>
        </w:tc>
        <w:tc>
          <w:tcPr>
            <w:tcW w:w="1501" w:type="dxa"/>
            <w:tcBorders>
              <w:top w:val="nil"/>
              <w:left w:val="nil"/>
              <w:bottom w:val="single" w:color="auto" w:sz="8" w:space="0"/>
              <w:right w:val="single" w:color="auto" w:sz="8" w:space="0"/>
            </w:tcBorders>
            <w:vAlign w:val="center"/>
          </w:tcPr>
          <w:p w14:paraId="74824AD5">
            <w:pPr>
              <w:pStyle w:val="209"/>
              <w:rPr>
                <w:rFonts w:ascii="仿宋" w:hAnsi="仿宋" w:eastAsia="仿宋" w:cs="仿宋"/>
                <w:color w:val="auto"/>
                <w:highlight w:val="none"/>
              </w:rPr>
            </w:pPr>
            <w:r>
              <w:rPr>
                <w:rFonts w:hint="eastAsia" w:ascii="仿宋" w:hAnsi="仿宋" w:eastAsia="仿宋" w:cs="仿宋"/>
                <w:color w:val="auto"/>
                <w:highlight w:val="none"/>
              </w:rPr>
              <w:t>白名单访问控制</w:t>
            </w:r>
          </w:p>
        </w:tc>
        <w:tc>
          <w:tcPr>
            <w:tcW w:w="5277" w:type="dxa"/>
            <w:tcBorders>
              <w:top w:val="nil"/>
              <w:left w:val="nil"/>
              <w:bottom w:val="single" w:color="auto" w:sz="8" w:space="0"/>
              <w:right w:val="single" w:color="auto" w:sz="8" w:space="0"/>
            </w:tcBorders>
            <w:vAlign w:val="center"/>
          </w:tcPr>
          <w:p w14:paraId="5C6A29B4">
            <w:pPr>
              <w:pStyle w:val="209"/>
              <w:rPr>
                <w:rFonts w:ascii="仿宋" w:hAnsi="仿宋" w:eastAsia="仿宋" w:cs="仿宋"/>
                <w:color w:val="auto"/>
                <w:highlight w:val="none"/>
              </w:rPr>
            </w:pPr>
            <w:r>
              <w:rPr>
                <w:rFonts w:hint="eastAsia" w:ascii="仿宋" w:hAnsi="仿宋" w:eastAsia="仿宋" w:cs="仿宋"/>
                <w:color w:val="auto"/>
                <w:highlight w:val="none"/>
              </w:rPr>
              <w:t>支持基于时间、IP 或 MAC 白名单访问控制</w:t>
            </w:r>
          </w:p>
        </w:tc>
      </w:tr>
      <w:tr w14:paraId="10EAF935">
        <w:tblPrEx>
          <w:tblCellMar>
            <w:top w:w="0" w:type="dxa"/>
            <w:left w:w="108" w:type="dxa"/>
            <w:bottom w:w="0" w:type="dxa"/>
            <w:right w:w="108" w:type="dxa"/>
          </w:tblCellMar>
        </w:tblPrEx>
        <w:trPr>
          <w:trHeight w:val="1260" w:hRule="atLeast"/>
          <w:jc w:val="center"/>
        </w:trPr>
        <w:tc>
          <w:tcPr>
            <w:tcW w:w="1027" w:type="dxa"/>
            <w:tcBorders>
              <w:top w:val="nil"/>
              <w:left w:val="single" w:color="auto" w:sz="8" w:space="0"/>
              <w:bottom w:val="single" w:color="auto" w:sz="8" w:space="0"/>
              <w:right w:val="single" w:color="auto" w:sz="8" w:space="0"/>
            </w:tcBorders>
            <w:vAlign w:val="center"/>
          </w:tcPr>
          <w:p w14:paraId="5FD068E6">
            <w:pPr>
              <w:pStyle w:val="209"/>
              <w:rPr>
                <w:rFonts w:ascii="仿宋" w:hAnsi="仿宋" w:eastAsia="仿宋" w:cs="仿宋"/>
                <w:color w:val="auto"/>
                <w:highlight w:val="none"/>
              </w:rPr>
            </w:pPr>
            <w:r>
              <w:rPr>
                <w:rFonts w:hint="eastAsia" w:ascii="仿宋" w:hAnsi="仿宋" w:eastAsia="仿宋" w:cs="仿宋"/>
                <w:color w:val="auto"/>
                <w:highlight w:val="none"/>
              </w:rPr>
              <w:t>41</w:t>
            </w:r>
          </w:p>
        </w:tc>
        <w:tc>
          <w:tcPr>
            <w:tcW w:w="1481" w:type="dxa"/>
            <w:vMerge w:val="continue"/>
            <w:tcBorders>
              <w:top w:val="nil"/>
              <w:left w:val="single" w:color="auto" w:sz="8" w:space="0"/>
              <w:bottom w:val="single" w:color="000000" w:sz="8" w:space="0"/>
              <w:right w:val="single" w:color="auto" w:sz="8" w:space="0"/>
            </w:tcBorders>
            <w:vAlign w:val="center"/>
          </w:tcPr>
          <w:p w14:paraId="13DBBF08">
            <w:pPr>
              <w:rPr>
                <w:highlight w:val="none"/>
              </w:rPr>
            </w:pPr>
          </w:p>
        </w:tc>
        <w:tc>
          <w:tcPr>
            <w:tcW w:w="1501" w:type="dxa"/>
            <w:tcBorders>
              <w:top w:val="nil"/>
              <w:left w:val="nil"/>
              <w:bottom w:val="single" w:color="auto" w:sz="8" w:space="0"/>
              <w:right w:val="single" w:color="auto" w:sz="8" w:space="0"/>
            </w:tcBorders>
            <w:vAlign w:val="center"/>
          </w:tcPr>
          <w:p w14:paraId="60DD432C">
            <w:pPr>
              <w:pStyle w:val="209"/>
              <w:rPr>
                <w:rFonts w:ascii="仿宋" w:hAnsi="仿宋" w:eastAsia="仿宋" w:cs="仿宋"/>
                <w:color w:val="auto"/>
                <w:highlight w:val="none"/>
              </w:rPr>
            </w:pPr>
            <w:r>
              <w:rPr>
                <w:rFonts w:hint="eastAsia" w:ascii="仿宋" w:hAnsi="仿宋" w:eastAsia="仿宋" w:cs="仿宋"/>
                <w:color w:val="auto"/>
                <w:highlight w:val="none"/>
              </w:rPr>
              <w:t>二次鉴别</w:t>
            </w:r>
          </w:p>
        </w:tc>
        <w:tc>
          <w:tcPr>
            <w:tcW w:w="5277" w:type="dxa"/>
            <w:tcBorders>
              <w:top w:val="nil"/>
              <w:left w:val="nil"/>
              <w:bottom w:val="single" w:color="auto" w:sz="8" w:space="0"/>
              <w:right w:val="single" w:color="auto" w:sz="8" w:space="0"/>
            </w:tcBorders>
            <w:vAlign w:val="center"/>
          </w:tcPr>
          <w:p w14:paraId="0A0A1F0D">
            <w:pPr>
              <w:pStyle w:val="209"/>
              <w:rPr>
                <w:rFonts w:ascii="仿宋" w:hAnsi="仿宋" w:eastAsia="仿宋" w:cs="仿宋"/>
                <w:color w:val="auto"/>
                <w:highlight w:val="none"/>
              </w:rPr>
            </w:pPr>
            <w:r>
              <w:rPr>
                <w:rFonts w:hint="eastAsia" w:ascii="仿宋" w:hAnsi="仿宋" w:eastAsia="仿宋" w:cs="仿宋"/>
                <w:color w:val="auto"/>
                <w:highlight w:val="none"/>
              </w:rPr>
              <w:t>支持二次鉴别功能。对于用户配置、权限配置、公钥导入等重要的管理操作，已登录用户应通过二次鉴别后，才能执行操作</w:t>
            </w:r>
          </w:p>
        </w:tc>
      </w:tr>
      <w:tr w14:paraId="470EEA73">
        <w:tblPrEx>
          <w:tblCellMar>
            <w:top w:w="0" w:type="dxa"/>
            <w:left w:w="108" w:type="dxa"/>
            <w:bottom w:w="0" w:type="dxa"/>
            <w:right w:w="108" w:type="dxa"/>
          </w:tblCellMar>
        </w:tblPrEx>
        <w:trPr>
          <w:trHeight w:val="948" w:hRule="atLeast"/>
          <w:jc w:val="center"/>
        </w:trPr>
        <w:tc>
          <w:tcPr>
            <w:tcW w:w="1027" w:type="dxa"/>
            <w:tcBorders>
              <w:top w:val="nil"/>
              <w:left w:val="single" w:color="auto" w:sz="8" w:space="0"/>
              <w:bottom w:val="single" w:color="auto" w:sz="8" w:space="0"/>
              <w:right w:val="single" w:color="auto" w:sz="8" w:space="0"/>
            </w:tcBorders>
            <w:vAlign w:val="center"/>
          </w:tcPr>
          <w:p w14:paraId="0EE991D7">
            <w:pPr>
              <w:pStyle w:val="209"/>
              <w:rPr>
                <w:rFonts w:ascii="仿宋" w:hAnsi="仿宋" w:eastAsia="仿宋" w:cs="仿宋"/>
                <w:color w:val="auto"/>
                <w:highlight w:val="none"/>
              </w:rPr>
            </w:pPr>
            <w:r>
              <w:rPr>
                <w:rFonts w:hint="eastAsia" w:ascii="仿宋" w:hAnsi="仿宋" w:eastAsia="仿宋" w:cs="仿宋"/>
                <w:color w:val="auto"/>
                <w:highlight w:val="none"/>
              </w:rPr>
              <w:t>42</w:t>
            </w:r>
          </w:p>
        </w:tc>
        <w:tc>
          <w:tcPr>
            <w:tcW w:w="1481" w:type="dxa"/>
            <w:vMerge w:val="continue"/>
            <w:tcBorders>
              <w:top w:val="nil"/>
              <w:left w:val="single" w:color="auto" w:sz="8" w:space="0"/>
              <w:bottom w:val="single" w:color="000000" w:sz="8" w:space="0"/>
              <w:right w:val="single" w:color="auto" w:sz="8" w:space="0"/>
            </w:tcBorders>
            <w:vAlign w:val="center"/>
          </w:tcPr>
          <w:p w14:paraId="17269578">
            <w:pPr>
              <w:rPr>
                <w:highlight w:val="none"/>
              </w:rPr>
            </w:pPr>
          </w:p>
        </w:tc>
        <w:tc>
          <w:tcPr>
            <w:tcW w:w="1501" w:type="dxa"/>
            <w:tcBorders>
              <w:top w:val="nil"/>
              <w:left w:val="nil"/>
              <w:bottom w:val="single" w:color="auto" w:sz="8" w:space="0"/>
              <w:right w:val="single" w:color="auto" w:sz="8" w:space="0"/>
            </w:tcBorders>
            <w:vAlign w:val="center"/>
          </w:tcPr>
          <w:p w14:paraId="1EDFA1A7">
            <w:pPr>
              <w:pStyle w:val="209"/>
              <w:rPr>
                <w:rFonts w:ascii="仿宋" w:hAnsi="仿宋" w:eastAsia="仿宋" w:cs="仿宋"/>
                <w:color w:val="auto"/>
                <w:highlight w:val="none"/>
              </w:rPr>
            </w:pPr>
            <w:r>
              <w:rPr>
                <w:rFonts w:hint="eastAsia" w:ascii="仿宋" w:hAnsi="仿宋" w:eastAsia="仿宋" w:cs="仿宋"/>
                <w:color w:val="auto"/>
                <w:highlight w:val="none"/>
              </w:rPr>
              <w:t>密码证书安全加密存储</w:t>
            </w:r>
          </w:p>
        </w:tc>
        <w:tc>
          <w:tcPr>
            <w:tcW w:w="5277" w:type="dxa"/>
            <w:tcBorders>
              <w:top w:val="nil"/>
              <w:left w:val="nil"/>
              <w:bottom w:val="single" w:color="auto" w:sz="8" w:space="0"/>
              <w:right w:val="single" w:color="auto" w:sz="8" w:space="0"/>
            </w:tcBorders>
            <w:vAlign w:val="center"/>
          </w:tcPr>
          <w:p w14:paraId="103F640D">
            <w:pPr>
              <w:pStyle w:val="209"/>
              <w:rPr>
                <w:rFonts w:ascii="仿宋" w:hAnsi="仿宋" w:eastAsia="仿宋" w:cs="仿宋"/>
                <w:color w:val="auto"/>
                <w:highlight w:val="none"/>
              </w:rPr>
            </w:pPr>
            <w:r>
              <w:rPr>
                <w:rFonts w:hint="eastAsia" w:ascii="仿宋" w:hAnsi="仿宋" w:eastAsia="仿宋" w:cs="仿宋"/>
                <w:color w:val="auto"/>
                <w:highlight w:val="none"/>
              </w:rPr>
              <w:t>支持对带外管理系统中的用户口令和证书等敏感信息进行加密存储，禁止使用私有的和业界已知不安全的密码算法</w:t>
            </w:r>
          </w:p>
        </w:tc>
      </w:tr>
      <w:tr w14:paraId="1154A208">
        <w:tblPrEx>
          <w:tblCellMar>
            <w:top w:w="0" w:type="dxa"/>
            <w:left w:w="108" w:type="dxa"/>
            <w:bottom w:w="0" w:type="dxa"/>
            <w:right w:w="108" w:type="dxa"/>
          </w:tblCellMar>
        </w:tblPrEx>
        <w:trPr>
          <w:trHeight w:val="948" w:hRule="atLeast"/>
          <w:jc w:val="center"/>
        </w:trPr>
        <w:tc>
          <w:tcPr>
            <w:tcW w:w="1027" w:type="dxa"/>
            <w:tcBorders>
              <w:top w:val="nil"/>
              <w:left w:val="single" w:color="auto" w:sz="8" w:space="0"/>
              <w:bottom w:val="single" w:color="auto" w:sz="8" w:space="0"/>
              <w:right w:val="single" w:color="auto" w:sz="8" w:space="0"/>
            </w:tcBorders>
            <w:vAlign w:val="center"/>
          </w:tcPr>
          <w:p w14:paraId="1E9AF175">
            <w:pPr>
              <w:pStyle w:val="209"/>
              <w:rPr>
                <w:rFonts w:ascii="仿宋" w:hAnsi="仿宋" w:eastAsia="仿宋" w:cs="仿宋"/>
                <w:color w:val="auto"/>
                <w:highlight w:val="none"/>
              </w:rPr>
            </w:pPr>
            <w:r>
              <w:rPr>
                <w:rFonts w:hint="eastAsia" w:ascii="仿宋" w:hAnsi="仿宋" w:eastAsia="仿宋" w:cs="仿宋"/>
                <w:color w:val="auto"/>
                <w:highlight w:val="none"/>
              </w:rPr>
              <w:t>43</w:t>
            </w:r>
          </w:p>
        </w:tc>
        <w:tc>
          <w:tcPr>
            <w:tcW w:w="1481" w:type="dxa"/>
            <w:vMerge w:val="continue"/>
            <w:tcBorders>
              <w:top w:val="nil"/>
              <w:left w:val="single" w:color="auto" w:sz="8" w:space="0"/>
              <w:bottom w:val="single" w:color="000000" w:sz="8" w:space="0"/>
              <w:right w:val="single" w:color="auto" w:sz="8" w:space="0"/>
            </w:tcBorders>
            <w:vAlign w:val="center"/>
          </w:tcPr>
          <w:p w14:paraId="1F7ACE07">
            <w:pPr>
              <w:rPr>
                <w:highlight w:val="none"/>
              </w:rPr>
            </w:pPr>
          </w:p>
        </w:tc>
        <w:tc>
          <w:tcPr>
            <w:tcW w:w="1501" w:type="dxa"/>
            <w:tcBorders>
              <w:top w:val="nil"/>
              <w:left w:val="nil"/>
              <w:bottom w:val="single" w:color="auto" w:sz="8" w:space="0"/>
              <w:right w:val="single" w:color="auto" w:sz="8" w:space="0"/>
            </w:tcBorders>
            <w:vAlign w:val="center"/>
          </w:tcPr>
          <w:p w14:paraId="35071E35">
            <w:pPr>
              <w:pStyle w:val="209"/>
              <w:rPr>
                <w:rFonts w:ascii="仿宋" w:hAnsi="仿宋" w:eastAsia="仿宋" w:cs="仿宋"/>
                <w:color w:val="auto"/>
                <w:highlight w:val="none"/>
              </w:rPr>
            </w:pPr>
            <w:r>
              <w:rPr>
                <w:rFonts w:hint="eastAsia" w:ascii="仿宋" w:hAnsi="仿宋" w:eastAsia="仿宋" w:cs="仿宋"/>
                <w:color w:val="auto"/>
                <w:highlight w:val="none"/>
              </w:rPr>
              <w:t>敏感信息安全加密传输</w:t>
            </w:r>
          </w:p>
        </w:tc>
        <w:tc>
          <w:tcPr>
            <w:tcW w:w="5277" w:type="dxa"/>
            <w:tcBorders>
              <w:top w:val="nil"/>
              <w:left w:val="nil"/>
              <w:bottom w:val="single" w:color="auto" w:sz="8" w:space="0"/>
              <w:right w:val="single" w:color="auto" w:sz="8" w:space="0"/>
            </w:tcBorders>
            <w:vAlign w:val="center"/>
          </w:tcPr>
          <w:p w14:paraId="106BF08D">
            <w:pPr>
              <w:pStyle w:val="209"/>
              <w:rPr>
                <w:rFonts w:ascii="仿宋" w:hAnsi="仿宋" w:eastAsia="仿宋" w:cs="仿宋"/>
                <w:color w:val="auto"/>
                <w:highlight w:val="none"/>
              </w:rPr>
            </w:pPr>
            <w:r>
              <w:rPr>
                <w:rFonts w:hint="eastAsia" w:ascii="仿宋" w:hAnsi="仿宋" w:eastAsia="仿宋" w:cs="仿宋"/>
                <w:color w:val="auto"/>
                <w:highlight w:val="none"/>
              </w:rPr>
              <w:t>支持使用安全的传输加密协议（如SSH 或 HTTPS 等）传输用户的敏感信息</w:t>
            </w:r>
          </w:p>
        </w:tc>
      </w:tr>
      <w:tr w14:paraId="68FB1080">
        <w:tblPrEx>
          <w:tblCellMar>
            <w:top w:w="0" w:type="dxa"/>
            <w:left w:w="108" w:type="dxa"/>
            <w:bottom w:w="0" w:type="dxa"/>
            <w:right w:w="108" w:type="dxa"/>
          </w:tblCellMar>
        </w:tblPrEx>
        <w:trPr>
          <w:trHeight w:val="1680" w:hRule="atLeast"/>
          <w:jc w:val="center"/>
        </w:trPr>
        <w:tc>
          <w:tcPr>
            <w:tcW w:w="1027" w:type="dxa"/>
            <w:tcBorders>
              <w:top w:val="nil"/>
              <w:left w:val="single" w:color="auto" w:sz="8" w:space="0"/>
              <w:bottom w:val="single" w:color="000000" w:sz="8" w:space="0"/>
              <w:right w:val="single" w:color="auto" w:sz="8" w:space="0"/>
            </w:tcBorders>
            <w:vAlign w:val="center"/>
          </w:tcPr>
          <w:p w14:paraId="65BDD6C2">
            <w:pPr>
              <w:pStyle w:val="209"/>
              <w:rPr>
                <w:rFonts w:ascii="仿宋" w:hAnsi="仿宋" w:eastAsia="仿宋" w:cs="仿宋"/>
                <w:color w:val="auto"/>
                <w:highlight w:val="none"/>
              </w:rPr>
            </w:pPr>
            <w:r>
              <w:rPr>
                <w:rFonts w:hint="eastAsia" w:ascii="仿宋" w:hAnsi="仿宋" w:eastAsia="仿宋" w:cs="仿宋"/>
                <w:color w:val="auto"/>
                <w:highlight w:val="none"/>
              </w:rPr>
              <w:t>44</w:t>
            </w:r>
          </w:p>
        </w:tc>
        <w:tc>
          <w:tcPr>
            <w:tcW w:w="1481" w:type="dxa"/>
            <w:tcBorders>
              <w:top w:val="nil"/>
              <w:left w:val="single" w:color="auto" w:sz="8" w:space="0"/>
              <w:bottom w:val="single" w:color="000000" w:sz="8" w:space="0"/>
              <w:right w:val="single" w:color="auto" w:sz="8" w:space="0"/>
            </w:tcBorders>
            <w:vAlign w:val="center"/>
          </w:tcPr>
          <w:p w14:paraId="37FD07A2">
            <w:pPr>
              <w:pStyle w:val="209"/>
              <w:rPr>
                <w:rFonts w:ascii="仿宋" w:hAnsi="仿宋" w:eastAsia="仿宋" w:cs="仿宋"/>
                <w:color w:val="auto"/>
                <w:highlight w:val="none"/>
              </w:rPr>
            </w:pPr>
            <w:r>
              <w:rPr>
                <w:rFonts w:hint="eastAsia" w:ascii="仿宋" w:hAnsi="仿宋" w:eastAsia="仿宋" w:cs="仿宋"/>
                <w:color w:val="auto"/>
                <w:highlight w:val="none"/>
              </w:rPr>
              <w:t>信息安全要求</w:t>
            </w:r>
          </w:p>
        </w:tc>
        <w:tc>
          <w:tcPr>
            <w:tcW w:w="1501" w:type="dxa"/>
            <w:tcBorders>
              <w:top w:val="nil"/>
              <w:left w:val="single" w:color="auto" w:sz="8" w:space="0"/>
              <w:bottom w:val="single" w:color="000000" w:sz="8" w:space="0"/>
              <w:right w:val="single" w:color="auto" w:sz="8" w:space="0"/>
            </w:tcBorders>
            <w:vAlign w:val="center"/>
          </w:tcPr>
          <w:p w14:paraId="302279CE">
            <w:pPr>
              <w:pStyle w:val="209"/>
              <w:rPr>
                <w:rFonts w:ascii="仿宋" w:hAnsi="仿宋" w:eastAsia="仿宋" w:cs="仿宋"/>
                <w:color w:val="auto"/>
                <w:highlight w:val="none"/>
              </w:rPr>
            </w:pPr>
            <w:r>
              <w:rPr>
                <w:rFonts w:hint="eastAsia" w:ascii="仿宋" w:hAnsi="仿宋" w:eastAsia="仿宋" w:cs="仿宋"/>
                <w:color w:val="auto"/>
                <w:highlight w:val="none"/>
              </w:rPr>
              <w:t>研发过程安全</w:t>
            </w:r>
          </w:p>
        </w:tc>
        <w:tc>
          <w:tcPr>
            <w:tcW w:w="5277" w:type="dxa"/>
            <w:tcBorders>
              <w:top w:val="nil"/>
              <w:left w:val="nil"/>
              <w:bottom w:val="single" w:color="auto" w:sz="8" w:space="0"/>
              <w:right w:val="single" w:color="auto" w:sz="8" w:space="0"/>
            </w:tcBorders>
            <w:vAlign w:val="center"/>
          </w:tcPr>
          <w:p w14:paraId="43425ED4">
            <w:pPr>
              <w:pStyle w:val="209"/>
              <w:rPr>
                <w:rFonts w:ascii="仿宋" w:hAnsi="仿宋" w:eastAsia="仿宋" w:cs="仿宋"/>
                <w:color w:val="auto"/>
                <w:highlight w:val="none"/>
              </w:rPr>
            </w:pPr>
            <w:r>
              <w:rPr>
                <w:rFonts w:hint="eastAsia" w:ascii="仿宋" w:hAnsi="仿宋" w:eastAsia="仿宋" w:cs="仿宋"/>
                <w:color w:val="auto"/>
                <w:highlight w:val="none"/>
              </w:rPr>
              <w:t>乙方承诺，生产商已建立从需求、设计、开发、测试、维护端到端的开发流程管理机制，输出和保存开发流程中每个阶段的产品需求清单、设计文档、开发文档、测试记录等材料，保证各个流程可追溯；</w:t>
            </w:r>
          </w:p>
        </w:tc>
      </w:tr>
      <w:tr w14:paraId="67A90291">
        <w:tblPrEx>
          <w:tblCellMar>
            <w:top w:w="0" w:type="dxa"/>
            <w:left w:w="108" w:type="dxa"/>
            <w:bottom w:w="0" w:type="dxa"/>
            <w:right w:w="108" w:type="dxa"/>
          </w:tblCellMar>
        </w:tblPrEx>
        <w:trPr>
          <w:trHeight w:val="324" w:hRule="atLeast"/>
          <w:jc w:val="center"/>
        </w:trPr>
        <w:tc>
          <w:tcPr>
            <w:tcW w:w="1027" w:type="dxa"/>
            <w:tcBorders>
              <w:top w:val="nil"/>
              <w:left w:val="single" w:color="auto" w:sz="8" w:space="0"/>
              <w:bottom w:val="single" w:color="auto" w:sz="8" w:space="0"/>
              <w:right w:val="single" w:color="auto" w:sz="8" w:space="0"/>
            </w:tcBorders>
            <w:vAlign w:val="center"/>
          </w:tcPr>
          <w:p w14:paraId="449E5442">
            <w:pPr>
              <w:pStyle w:val="209"/>
              <w:rPr>
                <w:rFonts w:ascii="仿宋" w:hAnsi="仿宋" w:eastAsia="仿宋" w:cs="仿宋"/>
                <w:color w:val="auto"/>
                <w:highlight w:val="none"/>
              </w:rPr>
            </w:pPr>
            <w:r>
              <w:rPr>
                <w:rFonts w:hint="eastAsia" w:ascii="仿宋" w:hAnsi="仿宋" w:eastAsia="仿宋" w:cs="仿宋"/>
                <w:color w:val="auto"/>
                <w:highlight w:val="none"/>
              </w:rPr>
              <w:t>45</w:t>
            </w:r>
          </w:p>
        </w:tc>
        <w:tc>
          <w:tcPr>
            <w:tcW w:w="1481" w:type="dxa"/>
            <w:tcBorders>
              <w:top w:val="nil"/>
              <w:left w:val="nil"/>
              <w:bottom w:val="single" w:color="auto" w:sz="8" w:space="0"/>
              <w:right w:val="single" w:color="auto" w:sz="8" w:space="0"/>
            </w:tcBorders>
            <w:vAlign w:val="center"/>
          </w:tcPr>
          <w:p w14:paraId="0551ECF7">
            <w:pPr>
              <w:pStyle w:val="209"/>
              <w:rPr>
                <w:rFonts w:ascii="仿宋" w:hAnsi="仿宋" w:eastAsia="仿宋" w:cs="仿宋"/>
                <w:color w:val="auto"/>
                <w:highlight w:val="none"/>
              </w:rPr>
            </w:pPr>
            <w:r>
              <w:rPr>
                <w:rFonts w:hint="eastAsia" w:ascii="仿宋" w:hAnsi="仿宋" w:eastAsia="仿宋" w:cs="仿宋"/>
                <w:color w:val="auto"/>
                <w:highlight w:val="none"/>
              </w:rPr>
              <w:t>物理安全</w:t>
            </w:r>
          </w:p>
        </w:tc>
        <w:tc>
          <w:tcPr>
            <w:tcW w:w="1501" w:type="dxa"/>
            <w:tcBorders>
              <w:top w:val="nil"/>
              <w:left w:val="nil"/>
              <w:bottom w:val="single" w:color="auto" w:sz="8" w:space="0"/>
              <w:right w:val="single" w:color="auto" w:sz="8" w:space="0"/>
            </w:tcBorders>
            <w:vAlign w:val="center"/>
          </w:tcPr>
          <w:p w14:paraId="0AC8A527">
            <w:pPr>
              <w:pStyle w:val="209"/>
              <w:rPr>
                <w:rFonts w:ascii="仿宋" w:hAnsi="仿宋" w:eastAsia="仿宋" w:cs="仿宋"/>
                <w:color w:val="auto"/>
                <w:highlight w:val="none"/>
              </w:rPr>
            </w:pPr>
            <w:r>
              <w:rPr>
                <w:rFonts w:hint="eastAsia" w:ascii="仿宋" w:hAnsi="仿宋" w:eastAsia="仿宋" w:cs="仿宋"/>
                <w:color w:val="auto"/>
                <w:highlight w:val="none"/>
              </w:rPr>
              <w:t>物理安全</w:t>
            </w:r>
          </w:p>
        </w:tc>
        <w:tc>
          <w:tcPr>
            <w:tcW w:w="5277" w:type="dxa"/>
            <w:tcBorders>
              <w:top w:val="nil"/>
              <w:left w:val="nil"/>
              <w:bottom w:val="single" w:color="auto" w:sz="8" w:space="0"/>
              <w:right w:val="single" w:color="auto" w:sz="8" w:space="0"/>
            </w:tcBorders>
            <w:vAlign w:val="center"/>
          </w:tcPr>
          <w:p w14:paraId="13AE41B5">
            <w:pPr>
              <w:pStyle w:val="209"/>
              <w:rPr>
                <w:rFonts w:ascii="仿宋" w:hAnsi="仿宋" w:eastAsia="仿宋" w:cs="仿宋"/>
                <w:color w:val="auto"/>
                <w:highlight w:val="none"/>
              </w:rPr>
            </w:pPr>
            <w:r>
              <w:rPr>
                <w:rFonts w:hint="eastAsia" w:ascii="仿宋" w:hAnsi="仿宋" w:eastAsia="仿宋" w:cs="仿宋"/>
                <w:color w:val="auto"/>
                <w:highlight w:val="none"/>
              </w:rPr>
              <w:t>安全要求应符合 GB 4943.1 的规定</w:t>
            </w:r>
          </w:p>
        </w:tc>
      </w:tr>
      <w:tr w14:paraId="47918BC0">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4873D019">
            <w:pPr>
              <w:pStyle w:val="209"/>
              <w:rPr>
                <w:rFonts w:ascii="仿宋" w:hAnsi="仿宋" w:eastAsia="仿宋" w:cs="仿宋"/>
                <w:color w:val="auto"/>
                <w:highlight w:val="none"/>
              </w:rPr>
            </w:pPr>
            <w:r>
              <w:rPr>
                <w:rFonts w:hint="eastAsia" w:ascii="仿宋" w:hAnsi="仿宋" w:eastAsia="仿宋" w:cs="仿宋"/>
                <w:color w:val="auto"/>
                <w:highlight w:val="none"/>
              </w:rPr>
              <w:t>46</w:t>
            </w:r>
          </w:p>
        </w:tc>
        <w:tc>
          <w:tcPr>
            <w:tcW w:w="1481" w:type="dxa"/>
            <w:tcBorders>
              <w:top w:val="nil"/>
              <w:left w:val="nil"/>
              <w:bottom w:val="single" w:color="auto" w:sz="8" w:space="0"/>
              <w:right w:val="single" w:color="auto" w:sz="8" w:space="0"/>
            </w:tcBorders>
            <w:vAlign w:val="center"/>
          </w:tcPr>
          <w:p w14:paraId="503D0C42">
            <w:pPr>
              <w:pStyle w:val="209"/>
              <w:rPr>
                <w:rFonts w:ascii="仿宋" w:hAnsi="仿宋" w:eastAsia="仿宋" w:cs="仿宋"/>
                <w:color w:val="auto"/>
                <w:highlight w:val="none"/>
              </w:rPr>
            </w:pPr>
            <w:r>
              <w:rPr>
                <w:rFonts w:hint="eastAsia" w:ascii="仿宋" w:hAnsi="仿宋" w:eastAsia="仿宋" w:cs="仿宋"/>
                <w:color w:val="auto"/>
                <w:highlight w:val="none"/>
              </w:rPr>
              <w:t>限用物质的限量要求</w:t>
            </w:r>
          </w:p>
        </w:tc>
        <w:tc>
          <w:tcPr>
            <w:tcW w:w="1501" w:type="dxa"/>
            <w:tcBorders>
              <w:top w:val="nil"/>
              <w:left w:val="nil"/>
              <w:bottom w:val="single" w:color="auto" w:sz="8" w:space="0"/>
              <w:right w:val="single" w:color="auto" w:sz="8" w:space="0"/>
            </w:tcBorders>
            <w:vAlign w:val="center"/>
          </w:tcPr>
          <w:p w14:paraId="52E8C824">
            <w:pPr>
              <w:pStyle w:val="209"/>
              <w:rPr>
                <w:rFonts w:ascii="仿宋" w:hAnsi="仿宋" w:eastAsia="仿宋" w:cs="仿宋"/>
                <w:color w:val="auto"/>
                <w:highlight w:val="none"/>
              </w:rPr>
            </w:pPr>
            <w:r>
              <w:rPr>
                <w:rFonts w:hint="eastAsia" w:ascii="仿宋" w:hAnsi="仿宋" w:eastAsia="仿宋" w:cs="仿宋"/>
                <w:color w:val="auto"/>
                <w:highlight w:val="none"/>
              </w:rPr>
              <w:t>限用物质的限量要求</w:t>
            </w:r>
          </w:p>
        </w:tc>
        <w:tc>
          <w:tcPr>
            <w:tcW w:w="5277" w:type="dxa"/>
            <w:tcBorders>
              <w:top w:val="nil"/>
              <w:left w:val="nil"/>
              <w:bottom w:val="single" w:color="auto" w:sz="8" w:space="0"/>
              <w:right w:val="single" w:color="auto" w:sz="8" w:space="0"/>
            </w:tcBorders>
            <w:vAlign w:val="center"/>
          </w:tcPr>
          <w:p w14:paraId="3BB65E1B">
            <w:pPr>
              <w:pStyle w:val="209"/>
              <w:rPr>
                <w:rFonts w:ascii="仿宋" w:hAnsi="仿宋" w:eastAsia="仿宋" w:cs="仿宋"/>
                <w:color w:val="auto"/>
                <w:highlight w:val="none"/>
              </w:rPr>
            </w:pPr>
            <w:r>
              <w:rPr>
                <w:rFonts w:hint="eastAsia" w:ascii="仿宋" w:hAnsi="仿宋" w:eastAsia="仿宋" w:cs="仿宋"/>
                <w:color w:val="auto"/>
                <w:highlight w:val="none"/>
              </w:rPr>
              <w:t>限用物质的限量应符合 GB/T 26572的要求</w:t>
            </w:r>
          </w:p>
        </w:tc>
      </w:tr>
      <w:tr w14:paraId="4E3D0551">
        <w:tblPrEx>
          <w:tblCellMar>
            <w:top w:w="0" w:type="dxa"/>
            <w:left w:w="108" w:type="dxa"/>
            <w:bottom w:w="0" w:type="dxa"/>
            <w:right w:w="108" w:type="dxa"/>
          </w:tblCellMar>
        </w:tblPrEx>
        <w:trPr>
          <w:trHeight w:val="324" w:hRule="atLeast"/>
          <w:jc w:val="center"/>
        </w:trPr>
        <w:tc>
          <w:tcPr>
            <w:tcW w:w="1027" w:type="dxa"/>
            <w:tcBorders>
              <w:top w:val="nil"/>
              <w:left w:val="single" w:color="auto" w:sz="8" w:space="0"/>
              <w:bottom w:val="single" w:color="auto" w:sz="8" w:space="0"/>
              <w:right w:val="single" w:color="auto" w:sz="8" w:space="0"/>
            </w:tcBorders>
            <w:vAlign w:val="center"/>
          </w:tcPr>
          <w:p w14:paraId="03502F08">
            <w:pPr>
              <w:pStyle w:val="209"/>
              <w:rPr>
                <w:rFonts w:ascii="仿宋" w:hAnsi="仿宋" w:eastAsia="仿宋" w:cs="仿宋"/>
                <w:color w:val="auto"/>
                <w:highlight w:val="none"/>
              </w:rPr>
            </w:pPr>
            <w:r>
              <w:rPr>
                <w:rFonts w:hint="eastAsia" w:ascii="仿宋" w:hAnsi="仿宋" w:eastAsia="仿宋" w:cs="仿宋"/>
                <w:color w:val="auto"/>
                <w:highlight w:val="none"/>
              </w:rPr>
              <w:t>47</w:t>
            </w:r>
          </w:p>
        </w:tc>
        <w:tc>
          <w:tcPr>
            <w:tcW w:w="1481" w:type="dxa"/>
            <w:vMerge w:val="restart"/>
            <w:tcBorders>
              <w:top w:val="nil"/>
              <w:left w:val="single" w:color="auto" w:sz="8" w:space="0"/>
              <w:bottom w:val="single" w:color="000000" w:sz="8" w:space="0"/>
              <w:right w:val="single" w:color="auto" w:sz="8" w:space="0"/>
            </w:tcBorders>
            <w:vAlign w:val="center"/>
          </w:tcPr>
          <w:p w14:paraId="396907A0">
            <w:pPr>
              <w:pStyle w:val="209"/>
              <w:rPr>
                <w:rFonts w:ascii="仿宋" w:hAnsi="仿宋" w:eastAsia="仿宋" w:cs="仿宋"/>
                <w:color w:val="auto"/>
                <w:highlight w:val="none"/>
              </w:rPr>
            </w:pPr>
            <w:r>
              <w:rPr>
                <w:rFonts w:hint="eastAsia" w:ascii="仿宋" w:hAnsi="仿宋" w:eastAsia="仿宋" w:cs="仿宋"/>
                <w:color w:val="auto"/>
                <w:highlight w:val="none"/>
              </w:rPr>
              <w:t>CPU性能</w:t>
            </w:r>
          </w:p>
        </w:tc>
        <w:tc>
          <w:tcPr>
            <w:tcW w:w="1501" w:type="dxa"/>
            <w:tcBorders>
              <w:top w:val="nil"/>
              <w:left w:val="nil"/>
              <w:bottom w:val="single" w:color="auto" w:sz="8" w:space="0"/>
              <w:right w:val="single" w:color="auto" w:sz="8" w:space="0"/>
            </w:tcBorders>
            <w:vAlign w:val="center"/>
          </w:tcPr>
          <w:p w14:paraId="390F4792">
            <w:pPr>
              <w:pStyle w:val="209"/>
              <w:rPr>
                <w:rFonts w:ascii="仿宋" w:hAnsi="仿宋" w:eastAsia="仿宋" w:cs="仿宋"/>
                <w:color w:val="auto"/>
                <w:highlight w:val="none"/>
              </w:rPr>
            </w:pPr>
            <w:r>
              <w:rPr>
                <w:rFonts w:hint="eastAsia" w:ascii="仿宋" w:hAnsi="仿宋" w:eastAsia="仿宋" w:cs="仿宋"/>
                <w:color w:val="auto"/>
                <w:highlight w:val="none"/>
              </w:rPr>
              <w:t>CPU 主频</w:t>
            </w:r>
          </w:p>
        </w:tc>
        <w:tc>
          <w:tcPr>
            <w:tcW w:w="5277" w:type="dxa"/>
            <w:tcBorders>
              <w:top w:val="nil"/>
              <w:left w:val="nil"/>
              <w:bottom w:val="single" w:color="auto" w:sz="8" w:space="0"/>
              <w:right w:val="single" w:color="auto" w:sz="8" w:space="0"/>
            </w:tcBorders>
            <w:vAlign w:val="center"/>
          </w:tcPr>
          <w:p w14:paraId="60FE3CA8">
            <w:pPr>
              <w:pStyle w:val="209"/>
              <w:rPr>
                <w:rFonts w:ascii="仿宋" w:hAnsi="仿宋" w:eastAsia="仿宋" w:cs="仿宋"/>
                <w:color w:val="auto"/>
                <w:highlight w:val="none"/>
              </w:rPr>
            </w:pPr>
            <w:r>
              <w:rPr>
                <w:rFonts w:hint="eastAsia" w:ascii="仿宋" w:hAnsi="仿宋" w:eastAsia="仿宋" w:cs="仿宋"/>
                <w:color w:val="auto"/>
                <w:highlight w:val="none"/>
              </w:rPr>
              <w:t>≥2.5GHz</w:t>
            </w:r>
          </w:p>
        </w:tc>
      </w:tr>
      <w:tr w14:paraId="142577AF">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3ED5B13A">
            <w:pPr>
              <w:pStyle w:val="209"/>
              <w:rPr>
                <w:rFonts w:ascii="仿宋" w:hAnsi="仿宋" w:eastAsia="仿宋" w:cs="仿宋"/>
                <w:color w:val="auto"/>
                <w:highlight w:val="none"/>
              </w:rPr>
            </w:pPr>
            <w:r>
              <w:rPr>
                <w:rFonts w:hint="eastAsia" w:ascii="仿宋" w:hAnsi="仿宋" w:eastAsia="仿宋" w:cs="仿宋"/>
                <w:color w:val="auto"/>
                <w:highlight w:val="none"/>
              </w:rPr>
              <w:t>48</w:t>
            </w:r>
          </w:p>
        </w:tc>
        <w:tc>
          <w:tcPr>
            <w:tcW w:w="1481" w:type="dxa"/>
            <w:vMerge w:val="continue"/>
            <w:tcBorders>
              <w:top w:val="nil"/>
              <w:left w:val="single" w:color="auto" w:sz="8" w:space="0"/>
              <w:bottom w:val="single" w:color="000000" w:sz="8" w:space="0"/>
              <w:right w:val="single" w:color="auto" w:sz="8" w:space="0"/>
            </w:tcBorders>
            <w:vAlign w:val="center"/>
          </w:tcPr>
          <w:p w14:paraId="3C8D7E5D">
            <w:pPr>
              <w:rPr>
                <w:highlight w:val="none"/>
              </w:rPr>
            </w:pPr>
          </w:p>
        </w:tc>
        <w:tc>
          <w:tcPr>
            <w:tcW w:w="1501" w:type="dxa"/>
            <w:tcBorders>
              <w:top w:val="nil"/>
              <w:left w:val="nil"/>
              <w:bottom w:val="single" w:color="auto" w:sz="8" w:space="0"/>
              <w:right w:val="single" w:color="auto" w:sz="8" w:space="0"/>
            </w:tcBorders>
            <w:vAlign w:val="center"/>
          </w:tcPr>
          <w:p w14:paraId="0A28BFD7">
            <w:pPr>
              <w:pStyle w:val="209"/>
              <w:rPr>
                <w:rFonts w:ascii="仿宋" w:hAnsi="仿宋" w:eastAsia="仿宋" w:cs="仿宋"/>
                <w:color w:val="auto"/>
                <w:highlight w:val="none"/>
              </w:rPr>
            </w:pPr>
            <w:r>
              <w:rPr>
                <w:rFonts w:hint="eastAsia" w:ascii="仿宋" w:hAnsi="仿宋" w:eastAsia="仿宋" w:cs="仿宋"/>
                <w:color w:val="auto"/>
                <w:highlight w:val="none"/>
              </w:rPr>
              <w:t>单 CPU 核数</w:t>
            </w:r>
          </w:p>
        </w:tc>
        <w:tc>
          <w:tcPr>
            <w:tcW w:w="5277" w:type="dxa"/>
            <w:tcBorders>
              <w:top w:val="nil"/>
              <w:left w:val="nil"/>
              <w:bottom w:val="single" w:color="auto" w:sz="8" w:space="0"/>
              <w:right w:val="single" w:color="auto" w:sz="8" w:space="0"/>
            </w:tcBorders>
            <w:vAlign w:val="center"/>
          </w:tcPr>
          <w:p w14:paraId="40775178">
            <w:pPr>
              <w:pStyle w:val="209"/>
              <w:rPr>
                <w:rFonts w:ascii="仿宋" w:hAnsi="仿宋" w:eastAsia="仿宋" w:cs="仿宋"/>
                <w:color w:val="auto"/>
                <w:highlight w:val="none"/>
              </w:rPr>
            </w:pPr>
            <w:r>
              <w:rPr>
                <w:rFonts w:hint="eastAsia" w:ascii="仿宋" w:hAnsi="仿宋" w:eastAsia="仿宋" w:cs="仿宋"/>
                <w:color w:val="auto"/>
                <w:highlight w:val="none"/>
              </w:rPr>
              <w:t>≥24</w:t>
            </w:r>
          </w:p>
        </w:tc>
      </w:tr>
      <w:tr w14:paraId="65A8F200">
        <w:tblPrEx>
          <w:tblCellMar>
            <w:top w:w="0" w:type="dxa"/>
            <w:left w:w="108" w:type="dxa"/>
            <w:bottom w:w="0" w:type="dxa"/>
            <w:right w:w="108" w:type="dxa"/>
          </w:tblCellMar>
        </w:tblPrEx>
        <w:trPr>
          <w:trHeight w:val="948" w:hRule="atLeast"/>
          <w:jc w:val="center"/>
        </w:trPr>
        <w:tc>
          <w:tcPr>
            <w:tcW w:w="1027" w:type="dxa"/>
            <w:tcBorders>
              <w:top w:val="nil"/>
              <w:left w:val="single" w:color="auto" w:sz="8" w:space="0"/>
              <w:bottom w:val="single" w:color="auto" w:sz="8" w:space="0"/>
              <w:right w:val="single" w:color="auto" w:sz="8" w:space="0"/>
            </w:tcBorders>
            <w:vAlign w:val="center"/>
          </w:tcPr>
          <w:p w14:paraId="42FE62F8">
            <w:pPr>
              <w:pStyle w:val="209"/>
              <w:rPr>
                <w:rFonts w:ascii="仿宋" w:hAnsi="仿宋" w:eastAsia="仿宋" w:cs="仿宋"/>
                <w:color w:val="auto"/>
                <w:highlight w:val="none"/>
              </w:rPr>
            </w:pPr>
            <w:r>
              <w:rPr>
                <w:rFonts w:hint="eastAsia" w:ascii="仿宋" w:hAnsi="仿宋" w:eastAsia="仿宋" w:cs="仿宋"/>
                <w:color w:val="auto"/>
                <w:highlight w:val="none"/>
              </w:rPr>
              <w:t>49</w:t>
            </w:r>
          </w:p>
        </w:tc>
        <w:tc>
          <w:tcPr>
            <w:tcW w:w="1481" w:type="dxa"/>
            <w:vMerge w:val="continue"/>
            <w:tcBorders>
              <w:top w:val="nil"/>
              <w:left w:val="single" w:color="auto" w:sz="8" w:space="0"/>
              <w:bottom w:val="single" w:color="000000" w:sz="8" w:space="0"/>
              <w:right w:val="single" w:color="auto" w:sz="8" w:space="0"/>
            </w:tcBorders>
            <w:vAlign w:val="center"/>
          </w:tcPr>
          <w:p w14:paraId="27AA7398">
            <w:pPr>
              <w:rPr>
                <w:highlight w:val="none"/>
              </w:rPr>
            </w:pPr>
          </w:p>
        </w:tc>
        <w:tc>
          <w:tcPr>
            <w:tcW w:w="1501" w:type="dxa"/>
            <w:tcBorders>
              <w:top w:val="nil"/>
              <w:left w:val="nil"/>
              <w:bottom w:val="single" w:color="auto" w:sz="8" w:space="0"/>
              <w:right w:val="single" w:color="auto" w:sz="8" w:space="0"/>
            </w:tcBorders>
            <w:vAlign w:val="center"/>
          </w:tcPr>
          <w:p w14:paraId="24EE8F02">
            <w:pPr>
              <w:pStyle w:val="209"/>
              <w:rPr>
                <w:rFonts w:ascii="仿宋" w:hAnsi="仿宋" w:eastAsia="仿宋" w:cs="仿宋"/>
                <w:color w:val="auto"/>
                <w:highlight w:val="none"/>
              </w:rPr>
            </w:pPr>
            <w:r>
              <w:rPr>
                <w:rFonts w:hint="eastAsia" w:ascii="仿宋" w:hAnsi="仿宋" w:eastAsia="仿宋" w:cs="仿宋"/>
                <w:color w:val="auto"/>
                <w:highlight w:val="none"/>
              </w:rPr>
              <w:t>单 CPU 末级缓存容量</w:t>
            </w:r>
          </w:p>
        </w:tc>
        <w:tc>
          <w:tcPr>
            <w:tcW w:w="5277" w:type="dxa"/>
            <w:tcBorders>
              <w:top w:val="nil"/>
              <w:left w:val="nil"/>
              <w:bottom w:val="single" w:color="auto" w:sz="8" w:space="0"/>
              <w:right w:val="single" w:color="auto" w:sz="8" w:space="0"/>
            </w:tcBorders>
            <w:vAlign w:val="center"/>
          </w:tcPr>
          <w:p w14:paraId="192FF081">
            <w:pPr>
              <w:pStyle w:val="209"/>
              <w:rPr>
                <w:rFonts w:ascii="仿宋" w:hAnsi="仿宋" w:eastAsia="仿宋" w:cs="仿宋"/>
                <w:color w:val="auto"/>
                <w:highlight w:val="none"/>
              </w:rPr>
            </w:pPr>
            <w:r>
              <w:rPr>
                <w:rFonts w:hint="eastAsia" w:ascii="仿宋" w:hAnsi="仿宋" w:eastAsia="仿宋" w:cs="仿宋"/>
                <w:color w:val="auto"/>
                <w:highlight w:val="none"/>
              </w:rPr>
              <w:t>≥24MB</w:t>
            </w:r>
          </w:p>
        </w:tc>
      </w:tr>
      <w:tr w14:paraId="499DA739">
        <w:tblPrEx>
          <w:tblCellMar>
            <w:top w:w="0" w:type="dxa"/>
            <w:left w:w="108" w:type="dxa"/>
            <w:bottom w:w="0" w:type="dxa"/>
            <w:right w:w="108" w:type="dxa"/>
          </w:tblCellMar>
        </w:tblPrEx>
        <w:trPr>
          <w:trHeight w:val="324" w:hRule="atLeast"/>
          <w:jc w:val="center"/>
        </w:trPr>
        <w:tc>
          <w:tcPr>
            <w:tcW w:w="1027" w:type="dxa"/>
            <w:tcBorders>
              <w:top w:val="nil"/>
              <w:left w:val="single" w:color="auto" w:sz="8" w:space="0"/>
              <w:bottom w:val="single" w:color="auto" w:sz="8" w:space="0"/>
              <w:right w:val="single" w:color="auto" w:sz="8" w:space="0"/>
            </w:tcBorders>
            <w:vAlign w:val="center"/>
          </w:tcPr>
          <w:p w14:paraId="7CEFD40B">
            <w:pPr>
              <w:pStyle w:val="209"/>
              <w:rPr>
                <w:rFonts w:ascii="仿宋" w:hAnsi="仿宋" w:eastAsia="仿宋" w:cs="仿宋"/>
                <w:color w:val="auto"/>
                <w:highlight w:val="none"/>
              </w:rPr>
            </w:pPr>
            <w:r>
              <w:rPr>
                <w:rFonts w:hint="eastAsia" w:ascii="仿宋" w:hAnsi="仿宋" w:eastAsia="仿宋" w:cs="仿宋"/>
                <w:color w:val="auto"/>
                <w:highlight w:val="none"/>
              </w:rPr>
              <w:t>50</w:t>
            </w:r>
          </w:p>
        </w:tc>
        <w:tc>
          <w:tcPr>
            <w:tcW w:w="1481" w:type="dxa"/>
            <w:tcBorders>
              <w:top w:val="nil"/>
              <w:left w:val="nil"/>
              <w:bottom w:val="single" w:color="auto" w:sz="8" w:space="0"/>
              <w:right w:val="single" w:color="auto" w:sz="8" w:space="0"/>
            </w:tcBorders>
            <w:vAlign w:val="center"/>
          </w:tcPr>
          <w:p w14:paraId="73183A8A">
            <w:pPr>
              <w:pStyle w:val="209"/>
              <w:rPr>
                <w:rFonts w:ascii="仿宋" w:hAnsi="仿宋" w:eastAsia="仿宋" w:cs="仿宋"/>
                <w:color w:val="auto"/>
                <w:highlight w:val="none"/>
              </w:rPr>
            </w:pPr>
            <w:r>
              <w:rPr>
                <w:rFonts w:hint="eastAsia" w:ascii="仿宋" w:hAnsi="仿宋" w:eastAsia="仿宋" w:cs="仿宋"/>
                <w:color w:val="auto"/>
                <w:highlight w:val="none"/>
              </w:rPr>
              <w:t>内存性能</w:t>
            </w:r>
          </w:p>
        </w:tc>
        <w:tc>
          <w:tcPr>
            <w:tcW w:w="1501" w:type="dxa"/>
            <w:tcBorders>
              <w:top w:val="nil"/>
              <w:left w:val="nil"/>
              <w:bottom w:val="single" w:color="auto" w:sz="8" w:space="0"/>
              <w:right w:val="single" w:color="auto" w:sz="8" w:space="0"/>
            </w:tcBorders>
            <w:vAlign w:val="center"/>
          </w:tcPr>
          <w:p w14:paraId="126D7E90">
            <w:pPr>
              <w:pStyle w:val="209"/>
              <w:rPr>
                <w:rFonts w:ascii="仿宋" w:hAnsi="仿宋" w:eastAsia="仿宋" w:cs="仿宋"/>
                <w:color w:val="auto"/>
                <w:highlight w:val="none"/>
              </w:rPr>
            </w:pPr>
            <w:r>
              <w:rPr>
                <w:rFonts w:hint="eastAsia" w:ascii="仿宋" w:hAnsi="仿宋" w:eastAsia="仿宋" w:cs="仿宋"/>
                <w:color w:val="auto"/>
                <w:highlight w:val="none"/>
              </w:rPr>
              <w:t>内存速率</w:t>
            </w:r>
          </w:p>
        </w:tc>
        <w:tc>
          <w:tcPr>
            <w:tcW w:w="5277" w:type="dxa"/>
            <w:tcBorders>
              <w:top w:val="nil"/>
              <w:left w:val="nil"/>
              <w:bottom w:val="single" w:color="auto" w:sz="8" w:space="0"/>
              <w:right w:val="single" w:color="auto" w:sz="8" w:space="0"/>
            </w:tcBorders>
            <w:vAlign w:val="center"/>
          </w:tcPr>
          <w:p w14:paraId="68ABA9E9">
            <w:pPr>
              <w:pStyle w:val="209"/>
              <w:rPr>
                <w:rFonts w:ascii="仿宋" w:hAnsi="仿宋" w:eastAsia="仿宋" w:cs="仿宋"/>
                <w:color w:val="auto"/>
                <w:highlight w:val="none"/>
              </w:rPr>
            </w:pPr>
            <w:r>
              <w:rPr>
                <w:rFonts w:hint="eastAsia" w:ascii="仿宋" w:hAnsi="仿宋" w:eastAsia="仿宋" w:cs="仿宋"/>
                <w:color w:val="auto"/>
                <w:highlight w:val="none"/>
              </w:rPr>
              <w:t>≥2933MT/s</w:t>
            </w:r>
          </w:p>
        </w:tc>
      </w:tr>
      <w:tr w14:paraId="02481C6E">
        <w:tblPrEx>
          <w:tblCellMar>
            <w:top w:w="0" w:type="dxa"/>
            <w:left w:w="108" w:type="dxa"/>
            <w:bottom w:w="0" w:type="dxa"/>
            <w:right w:w="108" w:type="dxa"/>
          </w:tblCellMar>
        </w:tblPrEx>
        <w:trPr>
          <w:trHeight w:val="324" w:hRule="atLeast"/>
          <w:jc w:val="center"/>
        </w:trPr>
        <w:tc>
          <w:tcPr>
            <w:tcW w:w="1027" w:type="dxa"/>
            <w:tcBorders>
              <w:top w:val="nil"/>
              <w:left w:val="single" w:color="auto" w:sz="8" w:space="0"/>
              <w:bottom w:val="single" w:color="auto" w:sz="8" w:space="0"/>
              <w:right w:val="single" w:color="auto" w:sz="8" w:space="0"/>
            </w:tcBorders>
            <w:vAlign w:val="center"/>
          </w:tcPr>
          <w:p w14:paraId="041F64AE">
            <w:pPr>
              <w:pStyle w:val="209"/>
              <w:rPr>
                <w:rFonts w:ascii="仿宋" w:hAnsi="仿宋" w:eastAsia="仿宋" w:cs="仿宋"/>
                <w:color w:val="auto"/>
                <w:highlight w:val="none"/>
              </w:rPr>
            </w:pPr>
            <w:r>
              <w:rPr>
                <w:rFonts w:hint="eastAsia" w:ascii="仿宋" w:hAnsi="仿宋" w:eastAsia="仿宋" w:cs="仿宋"/>
                <w:color w:val="auto"/>
                <w:highlight w:val="none"/>
              </w:rPr>
              <w:t>51</w:t>
            </w:r>
          </w:p>
        </w:tc>
        <w:tc>
          <w:tcPr>
            <w:tcW w:w="1481" w:type="dxa"/>
            <w:tcBorders>
              <w:top w:val="nil"/>
              <w:left w:val="nil"/>
              <w:bottom w:val="single" w:color="auto" w:sz="8" w:space="0"/>
              <w:right w:val="single" w:color="auto" w:sz="8" w:space="0"/>
            </w:tcBorders>
            <w:vAlign w:val="center"/>
          </w:tcPr>
          <w:p w14:paraId="2D69EFF1">
            <w:pPr>
              <w:pStyle w:val="209"/>
              <w:rPr>
                <w:rFonts w:ascii="仿宋" w:hAnsi="仿宋" w:eastAsia="仿宋" w:cs="仿宋"/>
                <w:color w:val="auto"/>
                <w:highlight w:val="none"/>
              </w:rPr>
            </w:pPr>
            <w:r>
              <w:rPr>
                <w:rFonts w:hint="eastAsia" w:ascii="仿宋" w:hAnsi="仿宋" w:eastAsia="仿宋" w:cs="仿宋"/>
                <w:color w:val="auto"/>
                <w:highlight w:val="none"/>
              </w:rPr>
              <w:t>电源能耗</w:t>
            </w:r>
          </w:p>
        </w:tc>
        <w:tc>
          <w:tcPr>
            <w:tcW w:w="1501" w:type="dxa"/>
            <w:tcBorders>
              <w:top w:val="nil"/>
              <w:left w:val="nil"/>
              <w:bottom w:val="single" w:color="auto" w:sz="8" w:space="0"/>
              <w:right w:val="single" w:color="auto" w:sz="8" w:space="0"/>
            </w:tcBorders>
            <w:vAlign w:val="center"/>
          </w:tcPr>
          <w:p w14:paraId="20BA933F">
            <w:pPr>
              <w:pStyle w:val="209"/>
              <w:rPr>
                <w:rFonts w:ascii="仿宋" w:hAnsi="仿宋" w:eastAsia="仿宋" w:cs="仿宋"/>
                <w:color w:val="auto"/>
                <w:highlight w:val="none"/>
              </w:rPr>
            </w:pPr>
            <w:r>
              <w:rPr>
                <w:rFonts w:hint="eastAsia" w:ascii="仿宋" w:hAnsi="仿宋" w:eastAsia="仿宋" w:cs="仿宋"/>
                <w:color w:val="auto"/>
                <w:highlight w:val="none"/>
              </w:rPr>
              <w:t>电源能耗</w:t>
            </w:r>
          </w:p>
        </w:tc>
        <w:tc>
          <w:tcPr>
            <w:tcW w:w="5277" w:type="dxa"/>
            <w:tcBorders>
              <w:top w:val="nil"/>
              <w:left w:val="nil"/>
              <w:bottom w:val="single" w:color="auto" w:sz="8" w:space="0"/>
              <w:right w:val="single" w:color="auto" w:sz="8" w:space="0"/>
            </w:tcBorders>
            <w:vAlign w:val="center"/>
          </w:tcPr>
          <w:p w14:paraId="5175206F">
            <w:pPr>
              <w:pStyle w:val="209"/>
              <w:rPr>
                <w:rFonts w:ascii="仿宋" w:hAnsi="仿宋" w:eastAsia="仿宋" w:cs="仿宋"/>
                <w:color w:val="auto"/>
                <w:highlight w:val="none"/>
              </w:rPr>
            </w:pPr>
            <w:r>
              <w:rPr>
                <w:rFonts w:hint="eastAsia" w:ascii="仿宋" w:hAnsi="仿宋" w:eastAsia="仿宋" w:cs="仿宋"/>
                <w:color w:val="auto"/>
                <w:highlight w:val="none"/>
              </w:rPr>
              <w:t>符合 GB/T 9813.3 的有关规定</w:t>
            </w:r>
          </w:p>
        </w:tc>
      </w:tr>
      <w:tr w14:paraId="0521D09E">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662F7D68">
            <w:pPr>
              <w:pStyle w:val="209"/>
              <w:rPr>
                <w:rFonts w:ascii="仿宋" w:hAnsi="仿宋" w:eastAsia="仿宋" w:cs="仿宋"/>
                <w:color w:val="auto"/>
                <w:highlight w:val="none"/>
              </w:rPr>
            </w:pPr>
            <w:r>
              <w:rPr>
                <w:rFonts w:hint="eastAsia" w:ascii="仿宋" w:hAnsi="仿宋" w:eastAsia="仿宋" w:cs="仿宋"/>
                <w:color w:val="auto"/>
                <w:highlight w:val="none"/>
              </w:rPr>
              <w:t>52</w:t>
            </w:r>
          </w:p>
        </w:tc>
        <w:tc>
          <w:tcPr>
            <w:tcW w:w="1481" w:type="dxa"/>
            <w:vMerge w:val="restart"/>
            <w:tcBorders>
              <w:top w:val="nil"/>
              <w:left w:val="single" w:color="auto" w:sz="8" w:space="0"/>
              <w:bottom w:val="single" w:color="000000" w:sz="8" w:space="0"/>
              <w:right w:val="single" w:color="auto" w:sz="8" w:space="0"/>
            </w:tcBorders>
            <w:vAlign w:val="center"/>
          </w:tcPr>
          <w:p w14:paraId="012D0EE5">
            <w:pPr>
              <w:pStyle w:val="209"/>
              <w:rPr>
                <w:rFonts w:ascii="仿宋" w:hAnsi="仿宋" w:eastAsia="仿宋" w:cs="仿宋"/>
                <w:color w:val="auto"/>
                <w:highlight w:val="none"/>
              </w:rPr>
            </w:pPr>
            <w:r>
              <w:rPr>
                <w:rFonts w:hint="eastAsia" w:ascii="仿宋" w:hAnsi="仿宋" w:eastAsia="仿宋" w:cs="仿宋"/>
                <w:color w:val="auto"/>
                <w:highlight w:val="none"/>
              </w:rPr>
              <w:t>部件兼容性要求</w:t>
            </w:r>
          </w:p>
        </w:tc>
        <w:tc>
          <w:tcPr>
            <w:tcW w:w="1501" w:type="dxa"/>
            <w:tcBorders>
              <w:top w:val="nil"/>
              <w:left w:val="nil"/>
              <w:bottom w:val="single" w:color="auto" w:sz="8" w:space="0"/>
              <w:right w:val="single" w:color="auto" w:sz="8" w:space="0"/>
            </w:tcBorders>
            <w:vAlign w:val="center"/>
          </w:tcPr>
          <w:p w14:paraId="3B1FC9DF">
            <w:pPr>
              <w:pStyle w:val="209"/>
              <w:rPr>
                <w:rFonts w:ascii="仿宋" w:hAnsi="仿宋" w:eastAsia="仿宋" w:cs="仿宋"/>
                <w:color w:val="auto"/>
                <w:highlight w:val="none"/>
              </w:rPr>
            </w:pPr>
            <w:r>
              <w:rPr>
                <w:rFonts w:hint="eastAsia" w:ascii="仿宋" w:hAnsi="仿宋" w:eastAsia="仿宋" w:cs="仿宋"/>
                <w:color w:val="auto"/>
                <w:highlight w:val="none"/>
              </w:rPr>
              <w:t>内存兼容性</w:t>
            </w:r>
          </w:p>
        </w:tc>
        <w:tc>
          <w:tcPr>
            <w:tcW w:w="5277" w:type="dxa"/>
            <w:tcBorders>
              <w:top w:val="nil"/>
              <w:left w:val="nil"/>
              <w:bottom w:val="single" w:color="auto" w:sz="8" w:space="0"/>
              <w:right w:val="single" w:color="auto" w:sz="8" w:space="0"/>
            </w:tcBorders>
            <w:vAlign w:val="center"/>
          </w:tcPr>
          <w:p w14:paraId="035FAFE5">
            <w:pPr>
              <w:pStyle w:val="209"/>
              <w:rPr>
                <w:rFonts w:ascii="仿宋" w:hAnsi="仿宋" w:eastAsia="仿宋" w:cs="仿宋"/>
                <w:color w:val="auto"/>
                <w:highlight w:val="none"/>
              </w:rPr>
            </w:pPr>
            <w:r>
              <w:rPr>
                <w:rFonts w:hint="eastAsia" w:ascii="仿宋" w:hAnsi="仿宋" w:eastAsia="仿宋" w:cs="仿宋"/>
                <w:color w:val="auto"/>
                <w:highlight w:val="none"/>
              </w:rPr>
              <w:t>适配 3 种及以上厂商的内存产品，且均不低于产品支持的内存规格</w:t>
            </w:r>
          </w:p>
        </w:tc>
      </w:tr>
      <w:tr w14:paraId="7C0C28A6">
        <w:tblPrEx>
          <w:tblCellMar>
            <w:top w:w="0" w:type="dxa"/>
            <w:left w:w="108" w:type="dxa"/>
            <w:bottom w:w="0" w:type="dxa"/>
            <w:right w:w="108" w:type="dxa"/>
          </w:tblCellMar>
        </w:tblPrEx>
        <w:trPr>
          <w:trHeight w:val="948" w:hRule="atLeast"/>
          <w:jc w:val="center"/>
        </w:trPr>
        <w:tc>
          <w:tcPr>
            <w:tcW w:w="1027" w:type="dxa"/>
            <w:tcBorders>
              <w:top w:val="nil"/>
              <w:left w:val="single" w:color="auto" w:sz="8" w:space="0"/>
              <w:bottom w:val="single" w:color="auto" w:sz="8" w:space="0"/>
              <w:right w:val="single" w:color="auto" w:sz="8" w:space="0"/>
            </w:tcBorders>
            <w:vAlign w:val="center"/>
          </w:tcPr>
          <w:p w14:paraId="42566339">
            <w:pPr>
              <w:pStyle w:val="209"/>
              <w:rPr>
                <w:rFonts w:ascii="仿宋" w:hAnsi="仿宋" w:eastAsia="仿宋" w:cs="仿宋"/>
                <w:color w:val="auto"/>
                <w:highlight w:val="none"/>
              </w:rPr>
            </w:pPr>
            <w:r>
              <w:rPr>
                <w:rFonts w:hint="eastAsia" w:ascii="仿宋" w:hAnsi="仿宋" w:eastAsia="仿宋" w:cs="仿宋"/>
                <w:color w:val="auto"/>
                <w:highlight w:val="none"/>
              </w:rPr>
              <w:t>53</w:t>
            </w:r>
          </w:p>
        </w:tc>
        <w:tc>
          <w:tcPr>
            <w:tcW w:w="1481" w:type="dxa"/>
            <w:vMerge w:val="continue"/>
            <w:tcBorders>
              <w:top w:val="nil"/>
              <w:left w:val="single" w:color="auto" w:sz="8" w:space="0"/>
              <w:bottom w:val="single" w:color="000000" w:sz="8" w:space="0"/>
              <w:right w:val="single" w:color="auto" w:sz="8" w:space="0"/>
            </w:tcBorders>
            <w:vAlign w:val="center"/>
          </w:tcPr>
          <w:p w14:paraId="4ECCDE2A">
            <w:pPr>
              <w:rPr>
                <w:highlight w:val="none"/>
              </w:rPr>
            </w:pPr>
          </w:p>
        </w:tc>
        <w:tc>
          <w:tcPr>
            <w:tcW w:w="1501" w:type="dxa"/>
            <w:tcBorders>
              <w:top w:val="nil"/>
              <w:left w:val="nil"/>
              <w:bottom w:val="single" w:color="auto" w:sz="8" w:space="0"/>
              <w:right w:val="single" w:color="auto" w:sz="8" w:space="0"/>
            </w:tcBorders>
            <w:vAlign w:val="center"/>
          </w:tcPr>
          <w:p w14:paraId="0A5541DB">
            <w:pPr>
              <w:pStyle w:val="209"/>
              <w:rPr>
                <w:rFonts w:ascii="仿宋" w:hAnsi="仿宋" w:eastAsia="仿宋" w:cs="仿宋"/>
                <w:color w:val="auto"/>
                <w:highlight w:val="none"/>
              </w:rPr>
            </w:pPr>
            <w:r>
              <w:rPr>
                <w:rFonts w:hint="eastAsia" w:ascii="仿宋" w:hAnsi="仿宋" w:eastAsia="仿宋" w:cs="仿宋"/>
                <w:color w:val="auto"/>
                <w:highlight w:val="none"/>
              </w:rPr>
              <w:t>固态存储兼容性</w:t>
            </w:r>
          </w:p>
        </w:tc>
        <w:tc>
          <w:tcPr>
            <w:tcW w:w="5277" w:type="dxa"/>
            <w:tcBorders>
              <w:top w:val="nil"/>
              <w:left w:val="nil"/>
              <w:bottom w:val="single" w:color="auto" w:sz="8" w:space="0"/>
              <w:right w:val="single" w:color="auto" w:sz="8" w:space="0"/>
            </w:tcBorders>
            <w:vAlign w:val="center"/>
          </w:tcPr>
          <w:p w14:paraId="06364718">
            <w:pPr>
              <w:pStyle w:val="209"/>
              <w:rPr>
                <w:rFonts w:ascii="仿宋" w:hAnsi="仿宋" w:eastAsia="仿宋" w:cs="仿宋"/>
                <w:color w:val="auto"/>
                <w:highlight w:val="none"/>
              </w:rPr>
            </w:pPr>
            <w:r>
              <w:rPr>
                <w:rFonts w:hint="eastAsia" w:ascii="仿宋" w:hAnsi="仿宋" w:eastAsia="仿宋" w:cs="仿宋"/>
                <w:color w:val="auto"/>
                <w:highlight w:val="none"/>
              </w:rPr>
              <w:t>适配 3 种或以上厂商的固态存储产品，且均不低于产品支持的固态存储设备规格</w:t>
            </w:r>
          </w:p>
        </w:tc>
      </w:tr>
      <w:tr w14:paraId="7FA13BD9">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001F087C">
            <w:pPr>
              <w:pStyle w:val="209"/>
              <w:rPr>
                <w:rFonts w:ascii="仿宋" w:hAnsi="仿宋" w:eastAsia="仿宋" w:cs="仿宋"/>
                <w:color w:val="auto"/>
                <w:highlight w:val="none"/>
              </w:rPr>
            </w:pPr>
            <w:r>
              <w:rPr>
                <w:rFonts w:hint="eastAsia" w:ascii="仿宋" w:hAnsi="仿宋" w:eastAsia="仿宋" w:cs="仿宋"/>
                <w:color w:val="auto"/>
                <w:highlight w:val="none"/>
              </w:rPr>
              <w:t>54</w:t>
            </w:r>
          </w:p>
        </w:tc>
        <w:tc>
          <w:tcPr>
            <w:tcW w:w="1481" w:type="dxa"/>
            <w:vMerge w:val="continue"/>
            <w:tcBorders>
              <w:top w:val="nil"/>
              <w:left w:val="single" w:color="auto" w:sz="8" w:space="0"/>
              <w:bottom w:val="single" w:color="000000" w:sz="8" w:space="0"/>
              <w:right w:val="single" w:color="auto" w:sz="8" w:space="0"/>
            </w:tcBorders>
            <w:vAlign w:val="center"/>
          </w:tcPr>
          <w:p w14:paraId="64949CBB">
            <w:pPr>
              <w:rPr>
                <w:highlight w:val="none"/>
              </w:rPr>
            </w:pPr>
          </w:p>
        </w:tc>
        <w:tc>
          <w:tcPr>
            <w:tcW w:w="1501" w:type="dxa"/>
            <w:tcBorders>
              <w:top w:val="nil"/>
              <w:left w:val="nil"/>
              <w:bottom w:val="single" w:color="auto" w:sz="8" w:space="0"/>
              <w:right w:val="single" w:color="auto" w:sz="8" w:space="0"/>
            </w:tcBorders>
            <w:vAlign w:val="center"/>
          </w:tcPr>
          <w:p w14:paraId="5147C796">
            <w:pPr>
              <w:pStyle w:val="209"/>
              <w:rPr>
                <w:rFonts w:ascii="仿宋" w:hAnsi="仿宋" w:eastAsia="仿宋" w:cs="仿宋"/>
                <w:color w:val="auto"/>
                <w:highlight w:val="none"/>
              </w:rPr>
            </w:pPr>
            <w:r>
              <w:rPr>
                <w:rFonts w:hint="eastAsia" w:ascii="仿宋" w:hAnsi="仿宋" w:eastAsia="仿宋" w:cs="仿宋"/>
                <w:color w:val="auto"/>
                <w:highlight w:val="none"/>
              </w:rPr>
              <w:t>网卡兼容性</w:t>
            </w:r>
          </w:p>
        </w:tc>
        <w:tc>
          <w:tcPr>
            <w:tcW w:w="5277" w:type="dxa"/>
            <w:tcBorders>
              <w:top w:val="nil"/>
              <w:left w:val="nil"/>
              <w:bottom w:val="single" w:color="auto" w:sz="8" w:space="0"/>
              <w:right w:val="single" w:color="auto" w:sz="8" w:space="0"/>
            </w:tcBorders>
            <w:vAlign w:val="center"/>
          </w:tcPr>
          <w:p w14:paraId="02CA786D">
            <w:pPr>
              <w:pStyle w:val="209"/>
              <w:rPr>
                <w:rFonts w:ascii="仿宋" w:hAnsi="仿宋" w:eastAsia="仿宋" w:cs="仿宋"/>
                <w:color w:val="auto"/>
                <w:highlight w:val="none"/>
              </w:rPr>
            </w:pPr>
            <w:r>
              <w:rPr>
                <w:rFonts w:hint="eastAsia" w:ascii="仿宋" w:hAnsi="仿宋" w:eastAsia="仿宋" w:cs="仿宋"/>
                <w:color w:val="auto"/>
                <w:highlight w:val="none"/>
              </w:rPr>
              <w:t>网卡应适配两种或以上厂商产品</w:t>
            </w:r>
          </w:p>
        </w:tc>
      </w:tr>
      <w:tr w14:paraId="70A5504E">
        <w:tblPrEx>
          <w:tblCellMar>
            <w:top w:w="0" w:type="dxa"/>
            <w:left w:w="108" w:type="dxa"/>
            <w:bottom w:w="0" w:type="dxa"/>
            <w:right w:w="108" w:type="dxa"/>
          </w:tblCellMar>
        </w:tblPrEx>
        <w:trPr>
          <w:trHeight w:val="948" w:hRule="atLeast"/>
          <w:jc w:val="center"/>
        </w:trPr>
        <w:tc>
          <w:tcPr>
            <w:tcW w:w="1027" w:type="dxa"/>
            <w:tcBorders>
              <w:top w:val="nil"/>
              <w:left w:val="single" w:color="auto" w:sz="8" w:space="0"/>
              <w:bottom w:val="single" w:color="auto" w:sz="8" w:space="0"/>
              <w:right w:val="single" w:color="auto" w:sz="8" w:space="0"/>
            </w:tcBorders>
            <w:vAlign w:val="center"/>
          </w:tcPr>
          <w:p w14:paraId="154DD0A8">
            <w:pPr>
              <w:pStyle w:val="209"/>
              <w:rPr>
                <w:rFonts w:ascii="仿宋" w:hAnsi="仿宋" w:eastAsia="仿宋" w:cs="仿宋"/>
                <w:color w:val="auto"/>
                <w:highlight w:val="none"/>
              </w:rPr>
            </w:pPr>
            <w:r>
              <w:rPr>
                <w:rFonts w:hint="eastAsia" w:ascii="仿宋" w:hAnsi="仿宋" w:eastAsia="仿宋" w:cs="仿宋"/>
                <w:color w:val="auto"/>
                <w:highlight w:val="none"/>
              </w:rPr>
              <w:t>55</w:t>
            </w:r>
          </w:p>
        </w:tc>
        <w:tc>
          <w:tcPr>
            <w:tcW w:w="1481" w:type="dxa"/>
            <w:vMerge w:val="continue"/>
            <w:tcBorders>
              <w:top w:val="nil"/>
              <w:left w:val="single" w:color="auto" w:sz="8" w:space="0"/>
              <w:bottom w:val="single" w:color="000000" w:sz="8" w:space="0"/>
              <w:right w:val="single" w:color="auto" w:sz="8" w:space="0"/>
            </w:tcBorders>
            <w:vAlign w:val="center"/>
          </w:tcPr>
          <w:p w14:paraId="7694B767">
            <w:pPr>
              <w:rPr>
                <w:highlight w:val="none"/>
              </w:rPr>
            </w:pPr>
          </w:p>
        </w:tc>
        <w:tc>
          <w:tcPr>
            <w:tcW w:w="1501" w:type="dxa"/>
            <w:tcBorders>
              <w:top w:val="nil"/>
              <w:left w:val="nil"/>
              <w:bottom w:val="single" w:color="auto" w:sz="8" w:space="0"/>
              <w:right w:val="single" w:color="auto" w:sz="8" w:space="0"/>
            </w:tcBorders>
            <w:vAlign w:val="center"/>
          </w:tcPr>
          <w:p w14:paraId="3E0F0E13">
            <w:pPr>
              <w:pStyle w:val="209"/>
              <w:rPr>
                <w:rFonts w:ascii="仿宋" w:hAnsi="仿宋" w:eastAsia="仿宋" w:cs="仿宋"/>
                <w:color w:val="auto"/>
                <w:highlight w:val="none"/>
              </w:rPr>
            </w:pPr>
            <w:r>
              <w:rPr>
                <w:rFonts w:hint="eastAsia" w:ascii="仿宋" w:hAnsi="仿宋" w:eastAsia="仿宋" w:cs="仿宋"/>
                <w:color w:val="auto"/>
                <w:highlight w:val="none"/>
              </w:rPr>
              <w:t>功能卡兼容性</w:t>
            </w:r>
          </w:p>
        </w:tc>
        <w:tc>
          <w:tcPr>
            <w:tcW w:w="5277" w:type="dxa"/>
            <w:tcBorders>
              <w:top w:val="nil"/>
              <w:left w:val="nil"/>
              <w:bottom w:val="single" w:color="auto" w:sz="8" w:space="0"/>
              <w:right w:val="single" w:color="auto" w:sz="8" w:space="0"/>
            </w:tcBorders>
            <w:vAlign w:val="center"/>
          </w:tcPr>
          <w:p w14:paraId="6165FAB3">
            <w:pPr>
              <w:pStyle w:val="209"/>
              <w:rPr>
                <w:rFonts w:ascii="仿宋" w:hAnsi="仿宋" w:eastAsia="仿宋" w:cs="仿宋"/>
                <w:color w:val="auto"/>
                <w:highlight w:val="none"/>
              </w:rPr>
            </w:pPr>
            <w:r>
              <w:rPr>
                <w:rFonts w:hint="eastAsia" w:ascii="仿宋" w:hAnsi="仿宋" w:eastAsia="仿宋" w:cs="仿宋"/>
                <w:color w:val="auto"/>
                <w:highlight w:val="none"/>
              </w:rPr>
              <w:t>内置或适配符合 PCIe 的功能卡，如：网络功能卡、存储功能卡及图形显示功能卡</w:t>
            </w:r>
          </w:p>
        </w:tc>
      </w:tr>
      <w:tr w14:paraId="433B19A5">
        <w:tblPrEx>
          <w:tblCellMar>
            <w:top w:w="0" w:type="dxa"/>
            <w:left w:w="108" w:type="dxa"/>
            <w:bottom w:w="0" w:type="dxa"/>
            <w:right w:w="108" w:type="dxa"/>
          </w:tblCellMar>
        </w:tblPrEx>
        <w:trPr>
          <w:trHeight w:val="1572" w:hRule="atLeast"/>
          <w:jc w:val="center"/>
        </w:trPr>
        <w:tc>
          <w:tcPr>
            <w:tcW w:w="1027" w:type="dxa"/>
            <w:tcBorders>
              <w:top w:val="nil"/>
              <w:left w:val="single" w:color="auto" w:sz="8" w:space="0"/>
              <w:bottom w:val="single" w:color="auto" w:sz="8" w:space="0"/>
              <w:right w:val="single" w:color="auto" w:sz="8" w:space="0"/>
            </w:tcBorders>
            <w:vAlign w:val="center"/>
          </w:tcPr>
          <w:p w14:paraId="4D15822A">
            <w:pPr>
              <w:pStyle w:val="209"/>
              <w:rPr>
                <w:rFonts w:ascii="仿宋" w:hAnsi="仿宋" w:eastAsia="仿宋" w:cs="仿宋"/>
                <w:color w:val="auto"/>
                <w:highlight w:val="none"/>
              </w:rPr>
            </w:pPr>
            <w:r>
              <w:rPr>
                <w:rFonts w:hint="eastAsia" w:ascii="仿宋" w:hAnsi="仿宋" w:eastAsia="仿宋" w:cs="仿宋"/>
                <w:color w:val="auto"/>
                <w:highlight w:val="none"/>
              </w:rPr>
              <w:t>56</w:t>
            </w:r>
          </w:p>
        </w:tc>
        <w:tc>
          <w:tcPr>
            <w:tcW w:w="1481" w:type="dxa"/>
            <w:tcBorders>
              <w:top w:val="nil"/>
              <w:left w:val="nil"/>
              <w:bottom w:val="single" w:color="auto" w:sz="8" w:space="0"/>
              <w:right w:val="single" w:color="auto" w:sz="8" w:space="0"/>
            </w:tcBorders>
            <w:vAlign w:val="center"/>
          </w:tcPr>
          <w:p w14:paraId="509F5EA4">
            <w:pPr>
              <w:pStyle w:val="209"/>
              <w:rPr>
                <w:rFonts w:ascii="仿宋" w:hAnsi="仿宋" w:eastAsia="仿宋" w:cs="仿宋"/>
                <w:color w:val="auto"/>
                <w:highlight w:val="none"/>
              </w:rPr>
            </w:pPr>
            <w:r>
              <w:rPr>
                <w:rFonts w:hint="eastAsia" w:ascii="仿宋" w:hAnsi="仿宋" w:eastAsia="仿宋" w:cs="仿宋"/>
                <w:color w:val="auto"/>
                <w:highlight w:val="none"/>
              </w:rPr>
              <w:t>外设兼容性</w:t>
            </w:r>
          </w:p>
        </w:tc>
        <w:tc>
          <w:tcPr>
            <w:tcW w:w="1501" w:type="dxa"/>
            <w:tcBorders>
              <w:top w:val="nil"/>
              <w:left w:val="nil"/>
              <w:bottom w:val="single" w:color="auto" w:sz="8" w:space="0"/>
              <w:right w:val="single" w:color="auto" w:sz="8" w:space="0"/>
            </w:tcBorders>
            <w:vAlign w:val="center"/>
          </w:tcPr>
          <w:p w14:paraId="7BA7837E">
            <w:pPr>
              <w:pStyle w:val="209"/>
              <w:rPr>
                <w:rFonts w:ascii="仿宋" w:hAnsi="仿宋" w:eastAsia="仿宋" w:cs="仿宋"/>
                <w:color w:val="auto"/>
                <w:highlight w:val="none"/>
              </w:rPr>
            </w:pPr>
            <w:r>
              <w:rPr>
                <w:rFonts w:hint="eastAsia" w:ascii="仿宋" w:hAnsi="仿宋" w:eastAsia="仿宋" w:cs="仿宋"/>
                <w:color w:val="auto"/>
                <w:highlight w:val="none"/>
              </w:rPr>
              <w:t>外设兼容性</w:t>
            </w:r>
          </w:p>
        </w:tc>
        <w:tc>
          <w:tcPr>
            <w:tcW w:w="5277" w:type="dxa"/>
            <w:tcBorders>
              <w:top w:val="nil"/>
              <w:left w:val="nil"/>
              <w:bottom w:val="single" w:color="auto" w:sz="8" w:space="0"/>
              <w:right w:val="single" w:color="auto" w:sz="8" w:space="0"/>
            </w:tcBorders>
            <w:vAlign w:val="center"/>
          </w:tcPr>
          <w:p w14:paraId="398199CC">
            <w:pPr>
              <w:pStyle w:val="209"/>
              <w:rPr>
                <w:rFonts w:ascii="仿宋" w:hAnsi="仿宋" w:eastAsia="仿宋" w:cs="仿宋"/>
                <w:color w:val="auto"/>
                <w:highlight w:val="none"/>
              </w:rPr>
            </w:pPr>
            <w:r>
              <w:rPr>
                <w:rFonts w:hint="eastAsia" w:ascii="仿宋" w:hAnsi="仿宋" w:eastAsia="仿宋" w:cs="仿宋"/>
                <w:color w:val="auto"/>
                <w:highlight w:val="none"/>
              </w:rPr>
              <w:t>兼容多种主流生产商的外部设备，包括显示器、键盘、鼠标、闪存盘、移动硬盘、USB 光驱及 KVM 等，要求使用不同厂商的外部设备时，系统均能正常识别和安装驱动</w:t>
            </w:r>
          </w:p>
        </w:tc>
      </w:tr>
      <w:tr w14:paraId="110580D2">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54C9CB06">
            <w:pPr>
              <w:pStyle w:val="209"/>
              <w:rPr>
                <w:rFonts w:ascii="仿宋" w:hAnsi="仿宋" w:eastAsia="仿宋" w:cs="仿宋"/>
                <w:color w:val="auto"/>
                <w:highlight w:val="none"/>
              </w:rPr>
            </w:pPr>
            <w:r>
              <w:rPr>
                <w:rFonts w:hint="eastAsia" w:ascii="仿宋" w:hAnsi="仿宋" w:eastAsia="仿宋" w:cs="仿宋"/>
                <w:color w:val="auto"/>
                <w:highlight w:val="none"/>
              </w:rPr>
              <w:t>57</w:t>
            </w:r>
          </w:p>
        </w:tc>
        <w:tc>
          <w:tcPr>
            <w:tcW w:w="1481" w:type="dxa"/>
            <w:vMerge w:val="restart"/>
            <w:tcBorders>
              <w:top w:val="nil"/>
              <w:left w:val="single" w:color="auto" w:sz="8" w:space="0"/>
              <w:bottom w:val="single" w:color="000000" w:sz="8" w:space="0"/>
              <w:right w:val="single" w:color="auto" w:sz="8" w:space="0"/>
            </w:tcBorders>
            <w:vAlign w:val="center"/>
          </w:tcPr>
          <w:p w14:paraId="270E376A">
            <w:pPr>
              <w:pStyle w:val="209"/>
              <w:rPr>
                <w:rFonts w:ascii="仿宋" w:hAnsi="仿宋" w:eastAsia="仿宋" w:cs="仿宋"/>
                <w:color w:val="auto"/>
                <w:highlight w:val="none"/>
              </w:rPr>
            </w:pPr>
            <w:r>
              <w:rPr>
                <w:rFonts w:hint="eastAsia" w:ascii="仿宋" w:hAnsi="仿宋" w:eastAsia="仿宋" w:cs="仿宋"/>
                <w:color w:val="auto"/>
                <w:highlight w:val="none"/>
              </w:rPr>
              <w:t>软件兼容性</w:t>
            </w:r>
          </w:p>
        </w:tc>
        <w:tc>
          <w:tcPr>
            <w:tcW w:w="1501" w:type="dxa"/>
            <w:tcBorders>
              <w:top w:val="nil"/>
              <w:left w:val="nil"/>
              <w:bottom w:val="single" w:color="auto" w:sz="8" w:space="0"/>
              <w:right w:val="single" w:color="auto" w:sz="8" w:space="0"/>
            </w:tcBorders>
            <w:vAlign w:val="center"/>
          </w:tcPr>
          <w:p w14:paraId="3E39E2CE">
            <w:pPr>
              <w:pStyle w:val="209"/>
              <w:rPr>
                <w:rFonts w:ascii="仿宋" w:hAnsi="仿宋" w:eastAsia="仿宋" w:cs="仿宋"/>
                <w:color w:val="auto"/>
                <w:highlight w:val="none"/>
              </w:rPr>
            </w:pPr>
            <w:r>
              <w:rPr>
                <w:rFonts w:hint="eastAsia" w:ascii="仿宋" w:hAnsi="仿宋" w:eastAsia="仿宋" w:cs="仿宋"/>
                <w:color w:val="auto"/>
                <w:highlight w:val="none"/>
              </w:rPr>
              <w:t>数据库兼容</w:t>
            </w:r>
          </w:p>
        </w:tc>
        <w:tc>
          <w:tcPr>
            <w:tcW w:w="5277" w:type="dxa"/>
            <w:tcBorders>
              <w:top w:val="nil"/>
              <w:left w:val="nil"/>
              <w:bottom w:val="single" w:color="auto" w:sz="8" w:space="0"/>
              <w:right w:val="single" w:color="auto" w:sz="8" w:space="0"/>
            </w:tcBorders>
            <w:vAlign w:val="center"/>
          </w:tcPr>
          <w:p w14:paraId="0F7EE1BF">
            <w:pPr>
              <w:pStyle w:val="209"/>
              <w:rPr>
                <w:rFonts w:ascii="仿宋" w:hAnsi="仿宋" w:eastAsia="仿宋" w:cs="仿宋"/>
                <w:color w:val="auto"/>
                <w:highlight w:val="none"/>
              </w:rPr>
            </w:pPr>
            <w:r>
              <w:rPr>
                <w:rFonts w:hint="eastAsia" w:ascii="仿宋" w:hAnsi="仿宋" w:eastAsia="仿宋" w:cs="仿宋"/>
                <w:color w:val="auto"/>
                <w:highlight w:val="none"/>
              </w:rPr>
              <w:t>兼容3个及以上厂商的数据库产品；</w:t>
            </w:r>
          </w:p>
        </w:tc>
      </w:tr>
      <w:tr w14:paraId="7945B4D8">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3B239E61">
            <w:pPr>
              <w:pStyle w:val="209"/>
              <w:rPr>
                <w:rFonts w:ascii="仿宋" w:hAnsi="仿宋" w:eastAsia="仿宋" w:cs="仿宋"/>
                <w:color w:val="auto"/>
                <w:highlight w:val="none"/>
              </w:rPr>
            </w:pPr>
            <w:r>
              <w:rPr>
                <w:rFonts w:hint="eastAsia" w:ascii="仿宋" w:hAnsi="仿宋" w:eastAsia="仿宋" w:cs="仿宋"/>
                <w:color w:val="auto"/>
                <w:highlight w:val="none"/>
              </w:rPr>
              <w:t>58</w:t>
            </w:r>
          </w:p>
        </w:tc>
        <w:tc>
          <w:tcPr>
            <w:tcW w:w="1481" w:type="dxa"/>
            <w:vMerge w:val="continue"/>
            <w:tcBorders>
              <w:top w:val="nil"/>
              <w:left w:val="single" w:color="auto" w:sz="8" w:space="0"/>
              <w:bottom w:val="single" w:color="000000" w:sz="8" w:space="0"/>
              <w:right w:val="single" w:color="auto" w:sz="8" w:space="0"/>
            </w:tcBorders>
            <w:vAlign w:val="center"/>
          </w:tcPr>
          <w:p w14:paraId="1B762052">
            <w:pPr>
              <w:rPr>
                <w:highlight w:val="none"/>
              </w:rPr>
            </w:pPr>
          </w:p>
        </w:tc>
        <w:tc>
          <w:tcPr>
            <w:tcW w:w="1501" w:type="dxa"/>
            <w:tcBorders>
              <w:top w:val="nil"/>
              <w:left w:val="nil"/>
              <w:bottom w:val="single" w:color="auto" w:sz="8" w:space="0"/>
              <w:right w:val="single" w:color="auto" w:sz="8" w:space="0"/>
            </w:tcBorders>
            <w:vAlign w:val="center"/>
          </w:tcPr>
          <w:p w14:paraId="2D096BF6">
            <w:pPr>
              <w:pStyle w:val="209"/>
              <w:rPr>
                <w:rFonts w:ascii="仿宋" w:hAnsi="仿宋" w:eastAsia="仿宋" w:cs="仿宋"/>
                <w:color w:val="auto"/>
                <w:highlight w:val="none"/>
              </w:rPr>
            </w:pPr>
            <w:r>
              <w:rPr>
                <w:rFonts w:hint="eastAsia" w:ascii="仿宋" w:hAnsi="仿宋" w:eastAsia="仿宋" w:cs="仿宋"/>
                <w:color w:val="auto"/>
                <w:highlight w:val="none"/>
              </w:rPr>
              <w:t>中间件兼容</w:t>
            </w:r>
          </w:p>
        </w:tc>
        <w:tc>
          <w:tcPr>
            <w:tcW w:w="5277" w:type="dxa"/>
            <w:tcBorders>
              <w:top w:val="nil"/>
              <w:left w:val="nil"/>
              <w:bottom w:val="single" w:color="auto" w:sz="8" w:space="0"/>
              <w:right w:val="single" w:color="auto" w:sz="8" w:space="0"/>
            </w:tcBorders>
            <w:vAlign w:val="center"/>
          </w:tcPr>
          <w:p w14:paraId="7DFFF701">
            <w:pPr>
              <w:pStyle w:val="209"/>
              <w:rPr>
                <w:rFonts w:ascii="仿宋" w:hAnsi="仿宋" w:eastAsia="仿宋" w:cs="仿宋"/>
                <w:color w:val="auto"/>
                <w:highlight w:val="none"/>
              </w:rPr>
            </w:pPr>
            <w:r>
              <w:rPr>
                <w:rFonts w:hint="eastAsia" w:ascii="仿宋" w:hAnsi="仿宋" w:eastAsia="仿宋" w:cs="仿宋"/>
                <w:color w:val="auto"/>
                <w:highlight w:val="none"/>
              </w:rPr>
              <w:t>兼容3个及以上厂商的中间件产品；</w:t>
            </w:r>
          </w:p>
        </w:tc>
      </w:tr>
      <w:tr w14:paraId="612D3086">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476194FB">
            <w:pPr>
              <w:pStyle w:val="209"/>
              <w:rPr>
                <w:rFonts w:ascii="仿宋" w:hAnsi="仿宋" w:eastAsia="仿宋" w:cs="仿宋"/>
                <w:color w:val="auto"/>
                <w:highlight w:val="none"/>
              </w:rPr>
            </w:pPr>
            <w:r>
              <w:rPr>
                <w:rFonts w:hint="eastAsia" w:ascii="仿宋" w:hAnsi="仿宋" w:eastAsia="仿宋" w:cs="仿宋"/>
                <w:color w:val="auto"/>
                <w:highlight w:val="none"/>
              </w:rPr>
              <w:t>59</w:t>
            </w:r>
          </w:p>
        </w:tc>
        <w:tc>
          <w:tcPr>
            <w:tcW w:w="1481" w:type="dxa"/>
            <w:vMerge w:val="continue"/>
            <w:tcBorders>
              <w:top w:val="nil"/>
              <w:left w:val="single" w:color="auto" w:sz="8" w:space="0"/>
              <w:bottom w:val="single" w:color="000000" w:sz="8" w:space="0"/>
              <w:right w:val="single" w:color="auto" w:sz="8" w:space="0"/>
            </w:tcBorders>
            <w:vAlign w:val="center"/>
          </w:tcPr>
          <w:p w14:paraId="472A18C4">
            <w:pPr>
              <w:rPr>
                <w:highlight w:val="none"/>
              </w:rPr>
            </w:pPr>
          </w:p>
        </w:tc>
        <w:tc>
          <w:tcPr>
            <w:tcW w:w="1501" w:type="dxa"/>
            <w:tcBorders>
              <w:top w:val="nil"/>
              <w:left w:val="nil"/>
              <w:bottom w:val="single" w:color="auto" w:sz="8" w:space="0"/>
              <w:right w:val="single" w:color="auto" w:sz="8" w:space="0"/>
            </w:tcBorders>
            <w:vAlign w:val="center"/>
          </w:tcPr>
          <w:p w14:paraId="32210210">
            <w:pPr>
              <w:pStyle w:val="209"/>
              <w:rPr>
                <w:rFonts w:ascii="仿宋" w:hAnsi="仿宋" w:eastAsia="仿宋" w:cs="仿宋"/>
                <w:color w:val="auto"/>
                <w:highlight w:val="none"/>
              </w:rPr>
            </w:pPr>
            <w:r>
              <w:rPr>
                <w:rFonts w:hint="eastAsia" w:ascii="仿宋" w:hAnsi="仿宋" w:eastAsia="仿宋" w:cs="仿宋"/>
                <w:color w:val="auto"/>
                <w:highlight w:val="none"/>
              </w:rPr>
              <w:t>平台软件兼容</w:t>
            </w:r>
          </w:p>
        </w:tc>
        <w:tc>
          <w:tcPr>
            <w:tcW w:w="5277" w:type="dxa"/>
            <w:tcBorders>
              <w:top w:val="nil"/>
              <w:left w:val="nil"/>
              <w:bottom w:val="single" w:color="auto" w:sz="8" w:space="0"/>
              <w:right w:val="single" w:color="auto" w:sz="8" w:space="0"/>
            </w:tcBorders>
            <w:vAlign w:val="center"/>
          </w:tcPr>
          <w:p w14:paraId="5804BBC4">
            <w:pPr>
              <w:pStyle w:val="209"/>
              <w:rPr>
                <w:rFonts w:ascii="仿宋" w:hAnsi="仿宋" w:eastAsia="仿宋" w:cs="仿宋"/>
                <w:color w:val="auto"/>
                <w:highlight w:val="none"/>
              </w:rPr>
            </w:pPr>
            <w:r>
              <w:rPr>
                <w:rFonts w:hint="eastAsia" w:ascii="仿宋" w:hAnsi="仿宋" w:eastAsia="仿宋" w:cs="仿宋"/>
                <w:color w:val="auto"/>
                <w:highlight w:val="none"/>
              </w:rPr>
              <w:t>兼容3个及以上厂商的大数据平台；</w:t>
            </w:r>
          </w:p>
        </w:tc>
      </w:tr>
      <w:tr w14:paraId="3F306C19">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4434C5A1">
            <w:pPr>
              <w:pStyle w:val="209"/>
              <w:rPr>
                <w:rFonts w:ascii="仿宋" w:hAnsi="仿宋" w:eastAsia="仿宋" w:cs="仿宋"/>
                <w:color w:val="auto"/>
                <w:highlight w:val="none"/>
              </w:rPr>
            </w:pPr>
            <w:r>
              <w:rPr>
                <w:rFonts w:hint="eastAsia" w:ascii="仿宋" w:hAnsi="仿宋" w:eastAsia="仿宋" w:cs="仿宋"/>
                <w:color w:val="auto"/>
                <w:highlight w:val="none"/>
              </w:rPr>
              <w:t>60</w:t>
            </w:r>
          </w:p>
        </w:tc>
        <w:tc>
          <w:tcPr>
            <w:tcW w:w="1481" w:type="dxa"/>
            <w:vMerge w:val="restart"/>
            <w:tcBorders>
              <w:top w:val="nil"/>
              <w:left w:val="single" w:color="auto" w:sz="8" w:space="0"/>
              <w:bottom w:val="single" w:color="000000" w:sz="8" w:space="0"/>
              <w:right w:val="single" w:color="auto" w:sz="8" w:space="0"/>
            </w:tcBorders>
            <w:vAlign w:val="center"/>
          </w:tcPr>
          <w:p w14:paraId="7CEB4515">
            <w:pPr>
              <w:pStyle w:val="209"/>
              <w:rPr>
                <w:rFonts w:ascii="仿宋" w:hAnsi="仿宋" w:eastAsia="仿宋" w:cs="仿宋"/>
                <w:color w:val="auto"/>
                <w:highlight w:val="none"/>
              </w:rPr>
            </w:pPr>
            <w:r>
              <w:rPr>
                <w:rFonts w:hint="eastAsia" w:ascii="仿宋" w:hAnsi="仿宋" w:eastAsia="仿宋" w:cs="仿宋"/>
                <w:color w:val="auto"/>
                <w:highlight w:val="none"/>
              </w:rPr>
              <w:t>整机可靠性要求</w:t>
            </w:r>
          </w:p>
        </w:tc>
        <w:tc>
          <w:tcPr>
            <w:tcW w:w="1501" w:type="dxa"/>
            <w:tcBorders>
              <w:top w:val="nil"/>
              <w:left w:val="nil"/>
              <w:bottom w:val="single" w:color="auto" w:sz="8" w:space="0"/>
              <w:right w:val="single" w:color="auto" w:sz="8" w:space="0"/>
            </w:tcBorders>
            <w:vAlign w:val="center"/>
          </w:tcPr>
          <w:p w14:paraId="4CC67E4E">
            <w:pPr>
              <w:pStyle w:val="209"/>
              <w:rPr>
                <w:rFonts w:ascii="仿宋" w:hAnsi="仿宋" w:eastAsia="仿宋" w:cs="仿宋"/>
                <w:color w:val="auto"/>
                <w:highlight w:val="none"/>
              </w:rPr>
            </w:pPr>
            <w:r>
              <w:rPr>
                <w:rFonts w:hint="eastAsia" w:ascii="仿宋" w:hAnsi="仿宋" w:eastAsia="仿宋" w:cs="仿宋"/>
                <w:color w:val="auto"/>
                <w:highlight w:val="none"/>
              </w:rPr>
              <w:t>整机可靠性</w:t>
            </w:r>
          </w:p>
        </w:tc>
        <w:tc>
          <w:tcPr>
            <w:tcW w:w="5277" w:type="dxa"/>
            <w:tcBorders>
              <w:top w:val="nil"/>
              <w:left w:val="nil"/>
              <w:bottom w:val="single" w:color="auto" w:sz="8" w:space="0"/>
              <w:right w:val="single" w:color="auto" w:sz="8" w:space="0"/>
            </w:tcBorders>
            <w:vAlign w:val="center"/>
          </w:tcPr>
          <w:p w14:paraId="6D7B0B17">
            <w:pPr>
              <w:pStyle w:val="209"/>
              <w:rPr>
                <w:rFonts w:ascii="仿宋" w:hAnsi="仿宋" w:eastAsia="仿宋" w:cs="仿宋"/>
                <w:color w:val="auto"/>
                <w:highlight w:val="none"/>
              </w:rPr>
            </w:pPr>
            <w:r>
              <w:rPr>
                <w:rFonts w:hint="eastAsia" w:ascii="仿宋" w:hAnsi="仿宋" w:eastAsia="仿宋" w:cs="仿宋"/>
                <w:color w:val="auto"/>
                <w:highlight w:val="none"/>
              </w:rPr>
              <w:t>m1 值（MTBF 的不可接受值）≥100000h；</w:t>
            </w:r>
          </w:p>
        </w:tc>
      </w:tr>
      <w:tr w14:paraId="1DC21458">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5BDC5EBE">
            <w:pPr>
              <w:pStyle w:val="209"/>
              <w:rPr>
                <w:rFonts w:ascii="仿宋" w:hAnsi="仿宋" w:eastAsia="仿宋" w:cs="仿宋"/>
                <w:color w:val="auto"/>
                <w:highlight w:val="none"/>
              </w:rPr>
            </w:pPr>
            <w:r>
              <w:rPr>
                <w:rFonts w:hint="eastAsia" w:ascii="仿宋" w:hAnsi="仿宋" w:eastAsia="仿宋" w:cs="仿宋"/>
                <w:color w:val="auto"/>
                <w:highlight w:val="none"/>
              </w:rPr>
              <w:t>61</w:t>
            </w:r>
          </w:p>
        </w:tc>
        <w:tc>
          <w:tcPr>
            <w:tcW w:w="1481" w:type="dxa"/>
            <w:vMerge w:val="continue"/>
            <w:tcBorders>
              <w:top w:val="nil"/>
              <w:left w:val="single" w:color="auto" w:sz="8" w:space="0"/>
              <w:bottom w:val="single" w:color="000000" w:sz="8" w:space="0"/>
              <w:right w:val="single" w:color="auto" w:sz="8" w:space="0"/>
            </w:tcBorders>
            <w:vAlign w:val="center"/>
          </w:tcPr>
          <w:p w14:paraId="7303434A">
            <w:pPr>
              <w:rPr>
                <w:highlight w:val="none"/>
              </w:rPr>
            </w:pPr>
          </w:p>
        </w:tc>
        <w:tc>
          <w:tcPr>
            <w:tcW w:w="1501" w:type="dxa"/>
            <w:tcBorders>
              <w:top w:val="nil"/>
              <w:left w:val="nil"/>
              <w:bottom w:val="single" w:color="auto" w:sz="8" w:space="0"/>
              <w:right w:val="single" w:color="auto" w:sz="8" w:space="0"/>
            </w:tcBorders>
            <w:vAlign w:val="center"/>
          </w:tcPr>
          <w:p w14:paraId="66EA887C">
            <w:pPr>
              <w:pStyle w:val="209"/>
              <w:rPr>
                <w:rFonts w:ascii="仿宋" w:hAnsi="仿宋" w:eastAsia="仿宋" w:cs="仿宋"/>
                <w:color w:val="auto"/>
                <w:highlight w:val="none"/>
              </w:rPr>
            </w:pPr>
            <w:r>
              <w:rPr>
                <w:rFonts w:hint="eastAsia" w:ascii="仿宋" w:hAnsi="仿宋" w:eastAsia="仿宋" w:cs="仿宋"/>
                <w:color w:val="auto"/>
                <w:highlight w:val="none"/>
              </w:rPr>
              <w:t>风扇可靠性</w:t>
            </w:r>
          </w:p>
        </w:tc>
        <w:tc>
          <w:tcPr>
            <w:tcW w:w="5277" w:type="dxa"/>
            <w:tcBorders>
              <w:top w:val="nil"/>
              <w:left w:val="nil"/>
              <w:bottom w:val="single" w:color="auto" w:sz="8" w:space="0"/>
              <w:right w:val="single" w:color="auto" w:sz="8" w:space="0"/>
            </w:tcBorders>
            <w:vAlign w:val="center"/>
          </w:tcPr>
          <w:p w14:paraId="24BBEF5C">
            <w:pPr>
              <w:pStyle w:val="209"/>
              <w:rPr>
                <w:rFonts w:ascii="仿宋" w:hAnsi="仿宋" w:eastAsia="仿宋" w:cs="仿宋"/>
                <w:color w:val="auto"/>
                <w:highlight w:val="none"/>
              </w:rPr>
            </w:pPr>
            <w:r>
              <w:rPr>
                <w:rFonts w:hint="eastAsia" w:ascii="仿宋" w:hAnsi="仿宋" w:eastAsia="仿宋" w:cs="仿宋"/>
                <w:color w:val="auto"/>
                <w:highlight w:val="none"/>
              </w:rPr>
              <w:t>风扇寿命≥ 40000h</w:t>
            </w:r>
          </w:p>
        </w:tc>
      </w:tr>
      <w:tr w14:paraId="5D191F69">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1EF05D7D">
            <w:pPr>
              <w:pStyle w:val="209"/>
              <w:rPr>
                <w:rFonts w:ascii="仿宋" w:hAnsi="仿宋" w:eastAsia="仿宋" w:cs="仿宋"/>
                <w:color w:val="auto"/>
                <w:highlight w:val="none"/>
              </w:rPr>
            </w:pPr>
            <w:r>
              <w:rPr>
                <w:rFonts w:hint="eastAsia" w:ascii="仿宋" w:hAnsi="仿宋" w:eastAsia="仿宋" w:cs="仿宋"/>
                <w:color w:val="auto"/>
                <w:highlight w:val="none"/>
              </w:rPr>
              <w:t>62</w:t>
            </w:r>
          </w:p>
        </w:tc>
        <w:tc>
          <w:tcPr>
            <w:tcW w:w="1481" w:type="dxa"/>
            <w:vMerge w:val="continue"/>
            <w:tcBorders>
              <w:top w:val="nil"/>
              <w:left w:val="single" w:color="auto" w:sz="8" w:space="0"/>
              <w:bottom w:val="single" w:color="000000" w:sz="8" w:space="0"/>
              <w:right w:val="single" w:color="auto" w:sz="8" w:space="0"/>
            </w:tcBorders>
            <w:vAlign w:val="center"/>
          </w:tcPr>
          <w:p w14:paraId="2F2B327A">
            <w:pPr>
              <w:rPr>
                <w:highlight w:val="none"/>
              </w:rPr>
            </w:pPr>
          </w:p>
        </w:tc>
        <w:tc>
          <w:tcPr>
            <w:tcW w:w="1501" w:type="dxa"/>
            <w:tcBorders>
              <w:top w:val="nil"/>
              <w:left w:val="nil"/>
              <w:bottom w:val="single" w:color="auto" w:sz="8" w:space="0"/>
              <w:right w:val="single" w:color="auto" w:sz="8" w:space="0"/>
            </w:tcBorders>
            <w:vAlign w:val="center"/>
          </w:tcPr>
          <w:p w14:paraId="005EA15C">
            <w:pPr>
              <w:pStyle w:val="209"/>
              <w:rPr>
                <w:rFonts w:ascii="仿宋" w:hAnsi="仿宋" w:eastAsia="仿宋" w:cs="仿宋"/>
                <w:color w:val="auto"/>
                <w:highlight w:val="none"/>
              </w:rPr>
            </w:pPr>
            <w:r>
              <w:rPr>
                <w:rFonts w:hint="eastAsia" w:ascii="仿宋" w:hAnsi="仿宋" w:eastAsia="仿宋" w:cs="仿宋"/>
                <w:color w:val="auto"/>
                <w:highlight w:val="none"/>
              </w:rPr>
              <w:t>部件可靠性</w:t>
            </w:r>
          </w:p>
        </w:tc>
        <w:tc>
          <w:tcPr>
            <w:tcW w:w="5277" w:type="dxa"/>
            <w:tcBorders>
              <w:top w:val="nil"/>
              <w:left w:val="nil"/>
              <w:bottom w:val="single" w:color="auto" w:sz="8" w:space="0"/>
              <w:right w:val="single" w:color="auto" w:sz="8" w:space="0"/>
            </w:tcBorders>
            <w:vAlign w:val="center"/>
          </w:tcPr>
          <w:p w14:paraId="2CE49DBE">
            <w:pPr>
              <w:pStyle w:val="209"/>
              <w:rPr>
                <w:rFonts w:ascii="仿宋" w:hAnsi="仿宋" w:eastAsia="仿宋" w:cs="仿宋"/>
                <w:color w:val="auto"/>
                <w:highlight w:val="none"/>
              </w:rPr>
            </w:pPr>
            <w:r>
              <w:rPr>
                <w:rFonts w:hint="eastAsia" w:ascii="仿宋" w:hAnsi="仿宋" w:eastAsia="仿宋" w:cs="仿宋"/>
                <w:color w:val="auto"/>
                <w:highlight w:val="none"/>
              </w:rPr>
              <w:t>支持硬盘、电源、风扇热插拔(内置风扇除外)</w:t>
            </w:r>
          </w:p>
        </w:tc>
      </w:tr>
      <w:tr w14:paraId="58DB4CBB">
        <w:tblPrEx>
          <w:tblCellMar>
            <w:top w:w="0" w:type="dxa"/>
            <w:left w:w="108" w:type="dxa"/>
            <w:bottom w:w="0" w:type="dxa"/>
            <w:right w:w="108" w:type="dxa"/>
          </w:tblCellMar>
        </w:tblPrEx>
        <w:trPr>
          <w:trHeight w:val="948" w:hRule="atLeast"/>
          <w:jc w:val="center"/>
        </w:trPr>
        <w:tc>
          <w:tcPr>
            <w:tcW w:w="1027" w:type="dxa"/>
            <w:tcBorders>
              <w:top w:val="nil"/>
              <w:left w:val="single" w:color="auto" w:sz="8" w:space="0"/>
              <w:bottom w:val="single" w:color="auto" w:sz="8" w:space="0"/>
              <w:right w:val="single" w:color="auto" w:sz="8" w:space="0"/>
            </w:tcBorders>
            <w:vAlign w:val="center"/>
          </w:tcPr>
          <w:p w14:paraId="08E2EDC0">
            <w:pPr>
              <w:pStyle w:val="209"/>
              <w:rPr>
                <w:rFonts w:ascii="仿宋" w:hAnsi="仿宋" w:eastAsia="仿宋" w:cs="仿宋"/>
                <w:color w:val="auto"/>
                <w:highlight w:val="none"/>
              </w:rPr>
            </w:pPr>
            <w:r>
              <w:rPr>
                <w:rFonts w:hint="eastAsia" w:ascii="仿宋" w:hAnsi="仿宋" w:eastAsia="仿宋" w:cs="仿宋"/>
                <w:color w:val="auto"/>
                <w:highlight w:val="none"/>
              </w:rPr>
              <w:t>63</w:t>
            </w:r>
          </w:p>
        </w:tc>
        <w:tc>
          <w:tcPr>
            <w:tcW w:w="1481" w:type="dxa"/>
            <w:tcBorders>
              <w:top w:val="nil"/>
              <w:left w:val="nil"/>
              <w:bottom w:val="single" w:color="auto" w:sz="8" w:space="0"/>
              <w:right w:val="single" w:color="auto" w:sz="8" w:space="0"/>
            </w:tcBorders>
            <w:vAlign w:val="center"/>
          </w:tcPr>
          <w:p w14:paraId="7E33C91D">
            <w:pPr>
              <w:pStyle w:val="209"/>
              <w:rPr>
                <w:rFonts w:ascii="仿宋" w:hAnsi="仿宋" w:eastAsia="仿宋" w:cs="仿宋"/>
                <w:color w:val="auto"/>
                <w:highlight w:val="none"/>
              </w:rPr>
            </w:pPr>
            <w:r>
              <w:rPr>
                <w:rFonts w:hint="eastAsia" w:ascii="仿宋" w:hAnsi="仿宋" w:eastAsia="仿宋" w:cs="仿宋"/>
                <w:color w:val="auto"/>
                <w:highlight w:val="none"/>
              </w:rPr>
              <w:t>包装及运输要求</w:t>
            </w:r>
          </w:p>
        </w:tc>
        <w:tc>
          <w:tcPr>
            <w:tcW w:w="1501" w:type="dxa"/>
            <w:tcBorders>
              <w:top w:val="nil"/>
              <w:left w:val="nil"/>
              <w:bottom w:val="single" w:color="auto" w:sz="8" w:space="0"/>
              <w:right w:val="single" w:color="auto" w:sz="8" w:space="0"/>
            </w:tcBorders>
            <w:vAlign w:val="center"/>
          </w:tcPr>
          <w:p w14:paraId="66E9E54E">
            <w:pPr>
              <w:pStyle w:val="209"/>
              <w:rPr>
                <w:rFonts w:ascii="仿宋" w:hAnsi="仿宋" w:eastAsia="仿宋" w:cs="仿宋"/>
                <w:color w:val="auto"/>
                <w:highlight w:val="none"/>
              </w:rPr>
            </w:pPr>
            <w:r>
              <w:rPr>
                <w:rFonts w:hint="eastAsia" w:ascii="仿宋" w:hAnsi="仿宋" w:eastAsia="仿宋" w:cs="仿宋"/>
                <w:color w:val="auto"/>
                <w:highlight w:val="none"/>
              </w:rPr>
              <w:t>标志、包装、运输和贮存</w:t>
            </w:r>
          </w:p>
        </w:tc>
        <w:tc>
          <w:tcPr>
            <w:tcW w:w="5277" w:type="dxa"/>
            <w:tcBorders>
              <w:top w:val="nil"/>
              <w:left w:val="nil"/>
              <w:bottom w:val="single" w:color="auto" w:sz="8" w:space="0"/>
              <w:right w:val="single" w:color="auto" w:sz="8" w:space="0"/>
            </w:tcBorders>
            <w:vAlign w:val="center"/>
          </w:tcPr>
          <w:p w14:paraId="4153D72B">
            <w:pPr>
              <w:pStyle w:val="209"/>
              <w:rPr>
                <w:rFonts w:ascii="仿宋" w:hAnsi="仿宋" w:eastAsia="仿宋" w:cs="仿宋"/>
                <w:color w:val="auto"/>
                <w:highlight w:val="none"/>
              </w:rPr>
            </w:pPr>
            <w:r>
              <w:rPr>
                <w:rFonts w:hint="eastAsia" w:ascii="仿宋" w:hAnsi="仿宋" w:eastAsia="仿宋" w:cs="仿宋"/>
                <w:color w:val="auto"/>
                <w:highlight w:val="none"/>
              </w:rPr>
              <w:t>符合 GB/T 9813.3 和商品包装政府采购需求标准的相关规定</w:t>
            </w:r>
          </w:p>
        </w:tc>
      </w:tr>
      <w:tr w14:paraId="760A09A6">
        <w:tblPrEx>
          <w:tblCellMar>
            <w:top w:w="0" w:type="dxa"/>
            <w:left w:w="108" w:type="dxa"/>
            <w:bottom w:w="0" w:type="dxa"/>
            <w:right w:w="108" w:type="dxa"/>
          </w:tblCellMar>
        </w:tblPrEx>
        <w:trPr>
          <w:trHeight w:val="2820" w:hRule="atLeast"/>
          <w:jc w:val="center"/>
        </w:trPr>
        <w:tc>
          <w:tcPr>
            <w:tcW w:w="1027" w:type="dxa"/>
            <w:tcBorders>
              <w:top w:val="nil"/>
              <w:left w:val="single" w:color="auto" w:sz="8" w:space="0"/>
              <w:bottom w:val="single" w:color="auto" w:sz="8" w:space="0"/>
              <w:right w:val="single" w:color="auto" w:sz="8" w:space="0"/>
            </w:tcBorders>
            <w:vAlign w:val="center"/>
          </w:tcPr>
          <w:p w14:paraId="481CA28F">
            <w:pPr>
              <w:pStyle w:val="209"/>
              <w:rPr>
                <w:rFonts w:ascii="仿宋" w:hAnsi="仿宋" w:eastAsia="仿宋" w:cs="仿宋"/>
                <w:color w:val="auto"/>
                <w:highlight w:val="none"/>
              </w:rPr>
            </w:pPr>
            <w:r>
              <w:rPr>
                <w:rFonts w:hint="eastAsia" w:ascii="仿宋" w:hAnsi="仿宋" w:eastAsia="仿宋" w:cs="仿宋"/>
                <w:color w:val="auto"/>
                <w:highlight w:val="none"/>
              </w:rPr>
              <w:t>64</w:t>
            </w:r>
          </w:p>
        </w:tc>
        <w:tc>
          <w:tcPr>
            <w:tcW w:w="1481" w:type="dxa"/>
            <w:vMerge w:val="restart"/>
            <w:tcBorders>
              <w:top w:val="nil"/>
              <w:left w:val="single" w:color="auto" w:sz="8" w:space="0"/>
              <w:bottom w:val="single" w:color="000000" w:sz="8" w:space="0"/>
              <w:right w:val="single" w:color="auto" w:sz="8" w:space="0"/>
            </w:tcBorders>
            <w:vAlign w:val="center"/>
          </w:tcPr>
          <w:p w14:paraId="71AAF327">
            <w:pPr>
              <w:pStyle w:val="209"/>
              <w:rPr>
                <w:rFonts w:ascii="仿宋" w:hAnsi="仿宋" w:eastAsia="仿宋" w:cs="仿宋"/>
                <w:color w:val="auto"/>
                <w:highlight w:val="none"/>
              </w:rPr>
            </w:pPr>
            <w:r>
              <w:rPr>
                <w:rFonts w:hint="eastAsia" w:ascii="仿宋" w:hAnsi="仿宋" w:eastAsia="仿宋" w:cs="仿宋"/>
                <w:color w:val="auto"/>
                <w:highlight w:val="none"/>
              </w:rPr>
              <w:t>服务响应</w:t>
            </w:r>
          </w:p>
        </w:tc>
        <w:tc>
          <w:tcPr>
            <w:tcW w:w="1501" w:type="dxa"/>
            <w:tcBorders>
              <w:top w:val="nil"/>
              <w:left w:val="nil"/>
              <w:bottom w:val="single" w:color="auto" w:sz="8" w:space="0"/>
              <w:right w:val="single" w:color="auto" w:sz="8" w:space="0"/>
            </w:tcBorders>
            <w:vAlign w:val="center"/>
          </w:tcPr>
          <w:p w14:paraId="00EB656B">
            <w:pPr>
              <w:pStyle w:val="209"/>
              <w:rPr>
                <w:rFonts w:ascii="仿宋" w:hAnsi="仿宋" w:eastAsia="仿宋" w:cs="仿宋"/>
                <w:color w:val="auto"/>
                <w:highlight w:val="none"/>
              </w:rPr>
            </w:pPr>
            <w:r>
              <w:rPr>
                <w:rFonts w:hint="eastAsia" w:ascii="仿宋" w:hAnsi="仿宋" w:eastAsia="仿宋" w:cs="仿宋"/>
                <w:color w:val="auto"/>
                <w:highlight w:val="none"/>
              </w:rPr>
              <w:t>服务响应</w:t>
            </w:r>
          </w:p>
        </w:tc>
        <w:tc>
          <w:tcPr>
            <w:tcW w:w="5277" w:type="dxa"/>
            <w:tcBorders>
              <w:top w:val="nil"/>
              <w:left w:val="nil"/>
              <w:bottom w:val="single" w:color="auto" w:sz="8" w:space="0"/>
              <w:right w:val="single" w:color="auto" w:sz="8" w:space="0"/>
            </w:tcBorders>
            <w:vAlign w:val="center"/>
          </w:tcPr>
          <w:p w14:paraId="7AA0D3C4">
            <w:pPr>
              <w:pStyle w:val="209"/>
              <w:rPr>
                <w:rFonts w:ascii="仿宋" w:hAnsi="仿宋" w:eastAsia="仿宋" w:cs="仿宋"/>
                <w:color w:val="auto"/>
                <w:highlight w:val="none"/>
              </w:rPr>
            </w:pPr>
            <w:r>
              <w:rPr>
                <w:rFonts w:hint="eastAsia" w:ascii="仿宋" w:hAnsi="仿宋" w:eastAsia="仿宋" w:cs="仿宋"/>
                <w:color w:val="auto"/>
                <w:highlight w:val="none"/>
              </w:rPr>
              <w:t>a) 提供电话、电子邮件、远程连接等多种形式服务；b) 提供同城 4h、异地 12h 技术响应服务，2 个工作日解决问题，对于未能解决的问题和故障应提供可行的升级方案，并提供周转设备；c) 建立全国技术服务体系和服务团体，符合专业服务体系标准要求，提供原厂中文服务；d) 服务周期内提供产品的维修、换件和升级服务</w:t>
            </w:r>
          </w:p>
        </w:tc>
      </w:tr>
      <w:tr w14:paraId="5FA3CB07">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7BEFA49C">
            <w:pPr>
              <w:pStyle w:val="209"/>
              <w:rPr>
                <w:rFonts w:ascii="仿宋" w:hAnsi="仿宋" w:eastAsia="仿宋" w:cs="仿宋"/>
                <w:color w:val="auto"/>
                <w:highlight w:val="none"/>
              </w:rPr>
            </w:pPr>
            <w:r>
              <w:rPr>
                <w:rFonts w:hint="eastAsia" w:ascii="仿宋" w:hAnsi="仿宋" w:eastAsia="仿宋" w:cs="仿宋"/>
                <w:color w:val="auto"/>
                <w:highlight w:val="none"/>
              </w:rPr>
              <w:t>65</w:t>
            </w:r>
          </w:p>
        </w:tc>
        <w:tc>
          <w:tcPr>
            <w:tcW w:w="1481" w:type="dxa"/>
            <w:vMerge w:val="continue"/>
            <w:tcBorders>
              <w:top w:val="nil"/>
              <w:left w:val="single" w:color="auto" w:sz="8" w:space="0"/>
              <w:bottom w:val="single" w:color="000000" w:sz="8" w:space="0"/>
              <w:right w:val="single" w:color="auto" w:sz="8" w:space="0"/>
            </w:tcBorders>
            <w:vAlign w:val="center"/>
          </w:tcPr>
          <w:p w14:paraId="7DA1B30C">
            <w:pPr>
              <w:rPr>
                <w:highlight w:val="none"/>
              </w:rPr>
            </w:pPr>
          </w:p>
        </w:tc>
        <w:tc>
          <w:tcPr>
            <w:tcW w:w="1501" w:type="dxa"/>
            <w:tcBorders>
              <w:top w:val="nil"/>
              <w:left w:val="nil"/>
              <w:bottom w:val="single" w:color="auto" w:sz="8" w:space="0"/>
              <w:right w:val="single" w:color="auto" w:sz="8" w:space="0"/>
            </w:tcBorders>
            <w:vAlign w:val="center"/>
          </w:tcPr>
          <w:p w14:paraId="0F0AC6B9">
            <w:pPr>
              <w:pStyle w:val="209"/>
              <w:rPr>
                <w:rFonts w:ascii="仿宋" w:hAnsi="仿宋" w:eastAsia="仿宋" w:cs="仿宋"/>
                <w:color w:val="auto"/>
                <w:highlight w:val="none"/>
              </w:rPr>
            </w:pPr>
            <w:r>
              <w:rPr>
                <w:rFonts w:hint="eastAsia" w:ascii="仿宋" w:hAnsi="仿宋" w:eastAsia="仿宋" w:cs="仿宋"/>
                <w:color w:val="auto"/>
                <w:highlight w:val="none"/>
              </w:rPr>
              <w:t>培训服务</w:t>
            </w:r>
          </w:p>
        </w:tc>
        <w:tc>
          <w:tcPr>
            <w:tcW w:w="5277" w:type="dxa"/>
            <w:tcBorders>
              <w:top w:val="nil"/>
              <w:left w:val="nil"/>
              <w:bottom w:val="nil"/>
              <w:right w:val="single" w:color="auto" w:sz="8" w:space="0"/>
            </w:tcBorders>
            <w:vAlign w:val="center"/>
          </w:tcPr>
          <w:p w14:paraId="20B7DEE8">
            <w:pPr>
              <w:pStyle w:val="209"/>
              <w:rPr>
                <w:rFonts w:ascii="仿宋" w:hAnsi="仿宋" w:eastAsia="仿宋" w:cs="仿宋"/>
                <w:color w:val="auto"/>
                <w:highlight w:val="none"/>
              </w:rPr>
            </w:pPr>
            <w:r>
              <w:rPr>
                <w:rFonts w:hint="eastAsia" w:ascii="仿宋" w:hAnsi="仿宋" w:eastAsia="仿宋" w:cs="仿宋"/>
                <w:color w:val="auto"/>
                <w:highlight w:val="none"/>
              </w:rPr>
              <w:t>乙方提供培训材料、产品手册、培训视频等培训相关内容</w:t>
            </w:r>
          </w:p>
        </w:tc>
      </w:tr>
      <w:tr w14:paraId="74AAB62D">
        <w:tblPrEx>
          <w:tblCellMar>
            <w:top w:w="0" w:type="dxa"/>
            <w:left w:w="108" w:type="dxa"/>
            <w:bottom w:w="0" w:type="dxa"/>
            <w:right w:w="108" w:type="dxa"/>
          </w:tblCellMar>
        </w:tblPrEx>
        <w:trPr>
          <w:trHeight w:val="624" w:hRule="atLeast"/>
          <w:jc w:val="center"/>
        </w:trPr>
        <w:tc>
          <w:tcPr>
            <w:tcW w:w="1027" w:type="dxa"/>
            <w:vMerge w:val="restart"/>
            <w:tcBorders>
              <w:top w:val="nil"/>
              <w:left w:val="single" w:color="auto" w:sz="8" w:space="0"/>
              <w:bottom w:val="single" w:color="000000" w:sz="8" w:space="0"/>
              <w:right w:val="single" w:color="auto" w:sz="8" w:space="0"/>
            </w:tcBorders>
            <w:vAlign w:val="center"/>
          </w:tcPr>
          <w:p w14:paraId="2E1CCB7D">
            <w:pPr>
              <w:pStyle w:val="209"/>
              <w:rPr>
                <w:rFonts w:ascii="仿宋" w:hAnsi="仿宋" w:eastAsia="仿宋" w:cs="仿宋"/>
                <w:color w:val="auto"/>
                <w:highlight w:val="none"/>
              </w:rPr>
            </w:pPr>
            <w:r>
              <w:rPr>
                <w:rFonts w:hint="eastAsia" w:ascii="仿宋" w:hAnsi="仿宋" w:eastAsia="仿宋" w:cs="仿宋"/>
                <w:color w:val="auto"/>
                <w:highlight w:val="none"/>
              </w:rPr>
              <w:t>66</w:t>
            </w:r>
          </w:p>
        </w:tc>
        <w:tc>
          <w:tcPr>
            <w:tcW w:w="1481" w:type="dxa"/>
            <w:vMerge w:val="restart"/>
            <w:tcBorders>
              <w:top w:val="nil"/>
              <w:left w:val="single" w:color="auto" w:sz="8" w:space="0"/>
              <w:bottom w:val="single" w:color="000000" w:sz="8" w:space="0"/>
              <w:right w:val="single" w:color="auto" w:sz="8" w:space="0"/>
            </w:tcBorders>
            <w:vAlign w:val="center"/>
          </w:tcPr>
          <w:p w14:paraId="72DEED1D">
            <w:pPr>
              <w:pStyle w:val="209"/>
              <w:rPr>
                <w:rFonts w:ascii="仿宋" w:hAnsi="仿宋" w:eastAsia="仿宋" w:cs="仿宋"/>
                <w:color w:val="auto"/>
                <w:highlight w:val="none"/>
              </w:rPr>
            </w:pPr>
            <w:r>
              <w:rPr>
                <w:rFonts w:hint="eastAsia" w:ascii="仿宋" w:hAnsi="仿宋" w:eastAsia="仿宋" w:cs="仿宋"/>
                <w:color w:val="auto"/>
                <w:highlight w:val="none"/>
              </w:rPr>
              <w:t>服务周期</w:t>
            </w:r>
          </w:p>
        </w:tc>
        <w:tc>
          <w:tcPr>
            <w:tcW w:w="1501" w:type="dxa"/>
            <w:vMerge w:val="restart"/>
            <w:tcBorders>
              <w:top w:val="nil"/>
              <w:left w:val="single" w:color="auto" w:sz="8" w:space="0"/>
              <w:bottom w:val="single" w:color="000000" w:sz="8" w:space="0"/>
              <w:right w:val="nil"/>
            </w:tcBorders>
            <w:vAlign w:val="center"/>
          </w:tcPr>
          <w:p w14:paraId="18D9F4FA">
            <w:pPr>
              <w:pStyle w:val="209"/>
              <w:rPr>
                <w:rFonts w:ascii="仿宋" w:hAnsi="仿宋" w:eastAsia="仿宋" w:cs="仿宋"/>
                <w:color w:val="auto"/>
                <w:highlight w:val="none"/>
              </w:rPr>
            </w:pPr>
            <w:r>
              <w:rPr>
                <w:rFonts w:hint="eastAsia" w:ascii="仿宋" w:hAnsi="仿宋" w:eastAsia="仿宋" w:cs="仿宋"/>
                <w:color w:val="auto"/>
                <w:highlight w:val="none"/>
              </w:rPr>
              <w:t>服务周期</w:t>
            </w:r>
          </w:p>
        </w:tc>
        <w:tc>
          <w:tcPr>
            <w:tcW w:w="5277" w:type="dxa"/>
            <w:tcBorders>
              <w:top w:val="single" w:color="auto" w:sz="8" w:space="0"/>
              <w:left w:val="single" w:color="auto" w:sz="8" w:space="0"/>
              <w:bottom w:val="single" w:color="auto" w:sz="4" w:space="0"/>
              <w:right w:val="single" w:color="auto" w:sz="8" w:space="0"/>
            </w:tcBorders>
            <w:vAlign w:val="center"/>
          </w:tcPr>
          <w:p w14:paraId="32DCD33E">
            <w:pPr>
              <w:pStyle w:val="209"/>
              <w:rPr>
                <w:rFonts w:ascii="仿宋" w:hAnsi="仿宋" w:eastAsia="仿宋" w:cs="仿宋"/>
                <w:color w:val="auto"/>
                <w:highlight w:val="none"/>
              </w:rPr>
            </w:pPr>
            <w:r>
              <w:rPr>
                <w:rFonts w:hint="eastAsia" w:ascii="仿宋" w:hAnsi="仿宋" w:eastAsia="仿宋" w:cs="仿宋"/>
                <w:color w:val="auto"/>
                <w:highlight w:val="none"/>
              </w:rPr>
              <w:t>（1）服务期内，提供服务（含换件和维修）；</w:t>
            </w:r>
          </w:p>
        </w:tc>
      </w:tr>
      <w:tr w14:paraId="52998652">
        <w:tblPrEx>
          <w:tblCellMar>
            <w:top w:w="0" w:type="dxa"/>
            <w:left w:w="108" w:type="dxa"/>
            <w:bottom w:w="0" w:type="dxa"/>
            <w:right w:w="108" w:type="dxa"/>
          </w:tblCellMar>
        </w:tblPrEx>
        <w:trPr>
          <w:trHeight w:val="936" w:hRule="atLeast"/>
          <w:jc w:val="center"/>
        </w:trPr>
        <w:tc>
          <w:tcPr>
            <w:tcW w:w="1027" w:type="dxa"/>
            <w:vMerge w:val="continue"/>
            <w:tcBorders>
              <w:top w:val="nil"/>
              <w:left w:val="single" w:color="auto" w:sz="8" w:space="0"/>
              <w:bottom w:val="single" w:color="000000" w:sz="8" w:space="0"/>
              <w:right w:val="single" w:color="auto" w:sz="8" w:space="0"/>
            </w:tcBorders>
            <w:vAlign w:val="center"/>
          </w:tcPr>
          <w:p w14:paraId="2D8153A5">
            <w:pPr>
              <w:rPr>
                <w:highlight w:val="none"/>
              </w:rPr>
            </w:pPr>
          </w:p>
        </w:tc>
        <w:tc>
          <w:tcPr>
            <w:tcW w:w="1481" w:type="dxa"/>
            <w:vMerge w:val="continue"/>
            <w:tcBorders>
              <w:top w:val="nil"/>
              <w:left w:val="single" w:color="auto" w:sz="8" w:space="0"/>
              <w:bottom w:val="single" w:color="000000" w:sz="8" w:space="0"/>
              <w:right w:val="single" w:color="auto" w:sz="8" w:space="0"/>
            </w:tcBorders>
            <w:vAlign w:val="center"/>
          </w:tcPr>
          <w:p w14:paraId="09573C3F">
            <w:pPr>
              <w:rPr>
                <w:highlight w:val="none"/>
              </w:rPr>
            </w:pPr>
          </w:p>
        </w:tc>
        <w:tc>
          <w:tcPr>
            <w:tcW w:w="1501" w:type="dxa"/>
            <w:vMerge w:val="continue"/>
            <w:tcBorders>
              <w:top w:val="nil"/>
              <w:left w:val="single" w:color="auto" w:sz="8" w:space="0"/>
              <w:bottom w:val="single" w:color="000000" w:sz="8" w:space="0"/>
              <w:right w:val="nil"/>
            </w:tcBorders>
            <w:vAlign w:val="center"/>
          </w:tcPr>
          <w:p w14:paraId="524F9241">
            <w:pPr>
              <w:rPr>
                <w:highlight w:val="none"/>
              </w:rPr>
            </w:pPr>
          </w:p>
        </w:tc>
        <w:tc>
          <w:tcPr>
            <w:tcW w:w="5277" w:type="dxa"/>
            <w:tcBorders>
              <w:top w:val="nil"/>
              <w:left w:val="single" w:color="auto" w:sz="8" w:space="0"/>
              <w:bottom w:val="single" w:color="auto" w:sz="4" w:space="0"/>
              <w:right w:val="single" w:color="auto" w:sz="8" w:space="0"/>
            </w:tcBorders>
            <w:vAlign w:val="center"/>
          </w:tcPr>
          <w:p w14:paraId="26784ED9">
            <w:pPr>
              <w:pStyle w:val="209"/>
              <w:rPr>
                <w:rFonts w:ascii="仿宋" w:hAnsi="仿宋" w:eastAsia="仿宋" w:cs="仿宋"/>
                <w:color w:val="auto"/>
                <w:highlight w:val="none"/>
              </w:rPr>
            </w:pPr>
            <w:r>
              <w:rPr>
                <w:rFonts w:hint="eastAsia" w:ascii="仿宋" w:hAnsi="仿宋" w:eastAsia="仿宋" w:cs="仿宋"/>
                <w:color w:val="auto"/>
                <w:highlight w:val="none"/>
              </w:rPr>
              <w:t>（2）设备停产后继续提供质量保障服务（含备品备件），服务终止时间与最后一批设备交付时间间隔≥6年；</w:t>
            </w:r>
          </w:p>
        </w:tc>
      </w:tr>
      <w:tr w14:paraId="2C0A12CA">
        <w:tblPrEx>
          <w:tblCellMar>
            <w:top w:w="0" w:type="dxa"/>
            <w:left w:w="108" w:type="dxa"/>
            <w:bottom w:w="0" w:type="dxa"/>
            <w:right w:w="108" w:type="dxa"/>
          </w:tblCellMar>
        </w:tblPrEx>
        <w:trPr>
          <w:trHeight w:val="624" w:hRule="atLeast"/>
          <w:jc w:val="center"/>
        </w:trPr>
        <w:tc>
          <w:tcPr>
            <w:tcW w:w="1027" w:type="dxa"/>
            <w:vMerge w:val="continue"/>
            <w:tcBorders>
              <w:top w:val="nil"/>
              <w:left w:val="single" w:color="auto" w:sz="8" w:space="0"/>
              <w:bottom w:val="single" w:color="000000" w:sz="8" w:space="0"/>
              <w:right w:val="single" w:color="auto" w:sz="8" w:space="0"/>
            </w:tcBorders>
            <w:vAlign w:val="center"/>
          </w:tcPr>
          <w:p w14:paraId="30F3C29D">
            <w:pPr>
              <w:rPr>
                <w:highlight w:val="none"/>
              </w:rPr>
            </w:pPr>
          </w:p>
        </w:tc>
        <w:tc>
          <w:tcPr>
            <w:tcW w:w="1481" w:type="dxa"/>
            <w:vMerge w:val="continue"/>
            <w:tcBorders>
              <w:top w:val="nil"/>
              <w:left w:val="single" w:color="auto" w:sz="8" w:space="0"/>
              <w:bottom w:val="single" w:color="000000" w:sz="8" w:space="0"/>
              <w:right w:val="single" w:color="auto" w:sz="8" w:space="0"/>
            </w:tcBorders>
            <w:vAlign w:val="center"/>
          </w:tcPr>
          <w:p w14:paraId="4C114A26">
            <w:pPr>
              <w:rPr>
                <w:highlight w:val="none"/>
              </w:rPr>
            </w:pPr>
          </w:p>
        </w:tc>
        <w:tc>
          <w:tcPr>
            <w:tcW w:w="1501" w:type="dxa"/>
            <w:vMerge w:val="continue"/>
            <w:tcBorders>
              <w:top w:val="nil"/>
              <w:left w:val="single" w:color="auto" w:sz="8" w:space="0"/>
              <w:bottom w:val="single" w:color="000000" w:sz="8" w:space="0"/>
              <w:right w:val="nil"/>
            </w:tcBorders>
            <w:vAlign w:val="center"/>
          </w:tcPr>
          <w:p w14:paraId="52604088">
            <w:pPr>
              <w:rPr>
                <w:highlight w:val="none"/>
              </w:rPr>
            </w:pPr>
          </w:p>
        </w:tc>
        <w:tc>
          <w:tcPr>
            <w:tcW w:w="5277" w:type="dxa"/>
            <w:tcBorders>
              <w:top w:val="nil"/>
              <w:left w:val="single" w:color="auto" w:sz="8" w:space="0"/>
              <w:bottom w:val="single" w:color="auto" w:sz="4" w:space="0"/>
              <w:right w:val="single" w:color="auto" w:sz="8" w:space="0"/>
            </w:tcBorders>
            <w:vAlign w:val="center"/>
          </w:tcPr>
          <w:p w14:paraId="3D03B3D0">
            <w:pPr>
              <w:pStyle w:val="209"/>
              <w:rPr>
                <w:rFonts w:ascii="仿宋" w:hAnsi="仿宋" w:eastAsia="仿宋" w:cs="仿宋"/>
                <w:color w:val="auto"/>
                <w:highlight w:val="none"/>
              </w:rPr>
            </w:pPr>
            <w:r>
              <w:rPr>
                <w:rFonts w:hint="eastAsia" w:ascii="仿宋" w:hAnsi="仿宋" w:eastAsia="仿宋" w:cs="仿宋"/>
                <w:color w:val="auto"/>
                <w:highlight w:val="none"/>
              </w:rPr>
              <w:t>（3）产品停止服务时间应提前1年告知客户；</w:t>
            </w:r>
          </w:p>
        </w:tc>
      </w:tr>
      <w:tr w14:paraId="7F5487FF">
        <w:tblPrEx>
          <w:tblCellMar>
            <w:top w:w="0" w:type="dxa"/>
            <w:left w:w="108" w:type="dxa"/>
            <w:bottom w:w="0" w:type="dxa"/>
            <w:right w:w="108" w:type="dxa"/>
          </w:tblCellMar>
        </w:tblPrEx>
        <w:trPr>
          <w:trHeight w:val="775" w:hRule="atLeast"/>
          <w:jc w:val="center"/>
        </w:trPr>
        <w:tc>
          <w:tcPr>
            <w:tcW w:w="1027" w:type="dxa"/>
            <w:vMerge w:val="continue"/>
            <w:tcBorders>
              <w:top w:val="nil"/>
              <w:left w:val="single" w:color="auto" w:sz="8" w:space="0"/>
              <w:bottom w:val="single" w:color="000000" w:sz="8" w:space="0"/>
              <w:right w:val="single" w:color="auto" w:sz="8" w:space="0"/>
            </w:tcBorders>
            <w:vAlign w:val="center"/>
          </w:tcPr>
          <w:p w14:paraId="7427F8B6">
            <w:pPr>
              <w:rPr>
                <w:highlight w:val="none"/>
              </w:rPr>
            </w:pPr>
          </w:p>
        </w:tc>
        <w:tc>
          <w:tcPr>
            <w:tcW w:w="1481" w:type="dxa"/>
            <w:vMerge w:val="continue"/>
            <w:tcBorders>
              <w:top w:val="nil"/>
              <w:left w:val="single" w:color="auto" w:sz="8" w:space="0"/>
              <w:bottom w:val="single" w:color="000000" w:sz="8" w:space="0"/>
              <w:right w:val="single" w:color="auto" w:sz="8" w:space="0"/>
            </w:tcBorders>
            <w:vAlign w:val="center"/>
          </w:tcPr>
          <w:p w14:paraId="565F1567">
            <w:pPr>
              <w:rPr>
                <w:highlight w:val="none"/>
              </w:rPr>
            </w:pPr>
          </w:p>
        </w:tc>
        <w:tc>
          <w:tcPr>
            <w:tcW w:w="1501" w:type="dxa"/>
            <w:vMerge w:val="continue"/>
            <w:tcBorders>
              <w:top w:val="nil"/>
              <w:left w:val="single" w:color="auto" w:sz="8" w:space="0"/>
              <w:bottom w:val="single" w:color="000000" w:sz="8" w:space="0"/>
              <w:right w:val="nil"/>
            </w:tcBorders>
            <w:vAlign w:val="center"/>
          </w:tcPr>
          <w:p w14:paraId="78A0C588">
            <w:pPr>
              <w:rPr>
                <w:highlight w:val="none"/>
              </w:rPr>
            </w:pPr>
          </w:p>
        </w:tc>
        <w:tc>
          <w:tcPr>
            <w:tcW w:w="5277" w:type="dxa"/>
            <w:tcBorders>
              <w:top w:val="nil"/>
              <w:left w:val="single" w:color="auto" w:sz="8" w:space="0"/>
              <w:bottom w:val="single" w:color="auto" w:sz="8" w:space="0"/>
              <w:right w:val="single" w:color="auto" w:sz="8" w:space="0"/>
            </w:tcBorders>
            <w:vAlign w:val="center"/>
          </w:tcPr>
          <w:p w14:paraId="04A6027A">
            <w:pPr>
              <w:pStyle w:val="209"/>
              <w:rPr>
                <w:rFonts w:ascii="仿宋" w:hAnsi="仿宋" w:eastAsia="仿宋" w:cs="仿宋"/>
                <w:color w:val="auto"/>
                <w:highlight w:val="none"/>
              </w:rPr>
            </w:pPr>
            <w:r>
              <w:rPr>
                <w:rFonts w:hint="eastAsia" w:ascii="仿宋" w:hAnsi="仿宋" w:eastAsia="仿宋" w:cs="仿宋"/>
                <w:color w:val="auto"/>
                <w:highlight w:val="none"/>
              </w:rPr>
              <w:t>（4）产品发布日期需在随机文件中明确。</w:t>
            </w:r>
          </w:p>
        </w:tc>
      </w:tr>
      <w:tr w14:paraId="3714034F">
        <w:tblPrEx>
          <w:tblCellMar>
            <w:top w:w="0" w:type="dxa"/>
            <w:left w:w="108" w:type="dxa"/>
            <w:bottom w:w="0" w:type="dxa"/>
            <w:right w:w="108" w:type="dxa"/>
          </w:tblCellMar>
        </w:tblPrEx>
        <w:trPr>
          <w:trHeight w:val="948" w:hRule="atLeast"/>
          <w:jc w:val="center"/>
        </w:trPr>
        <w:tc>
          <w:tcPr>
            <w:tcW w:w="1027" w:type="dxa"/>
            <w:tcBorders>
              <w:top w:val="nil"/>
              <w:left w:val="single" w:color="auto" w:sz="8" w:space="0"/>
              <w:bottom w:val="single" w:color="auto" w:sz="8" w:space="0"/>
              <w:right w:val="single" w:color="auto" w:sz="8" w:space="0"/>
            </w:tcBorders>
            <w:vAlign w:val="center"/>
          </w:tcPr>
          <w:p w14:paraId="23415D77">
            <w:pPr>
              <w:pStyle w:val="209"/>
              <w:rPr>
                <w:rFonts w:ascii="仿宋" w:hAnsi="仿宋" w:eastAsia="仿宋" w:cs="仿宋"/>
                <w:color w:val="auto"/>
                <w:highlight w:val="none"/>
              </w:rPr>
            </w:pPr>
            <w:r>
              <w:rPr>
                <w:rFonts w:hint="eastAsia" w:ascii="仿宋" w:hAnsi="仿宋" w:eastAsia="仿宋" w:cs="仿宋"/>
                <w:color w:val="auto"/>
                <w:highlight w:val="none"/>
              </w:rPr>
              <w:t>67</w:t>
            </w:r>
          </w:p>
        </w:tc>
        <w:tc>
          <w:tcPr>
            <w:tcW w:w="1481" w:type="dxa"/>
            <w:vMerge w:val="restart"/>
            <w:tcBorders>
              <w:top w:val="nil"/>
              <w:left w:val="single" w:color="auto" w:sz="8" w:space="0"/>
              <w:bottom w:val="single" w:color="000000" w:sz="8" w:space="0"/>
              <w:right w:val="single" w:color="auto" w:sz="8" w:space="0"/>
            </w:tcBorders>
            <w:vAlign w:val="center"/>
          </w:tcPr>
          <w:p w14:paraId="5BCFC21D">
            <w:pPr>
              <w:pStyle w:val="209"/>
              <w:rPr>
                <w:rFonts w:ascii="仿宋" w:hAnsi="仿宋" w:eastAsia="仿宋" w:cs="仿宋"/>
                <w:color w:val="auto"/>
                <w:highlight w:val="none"/>
              </w:rPr>
            </w:pPr>
            <w:r>
              <w:rPr>
                <w:rFonts w:hint="eastAsia" w:ascii="仿宋" w:hAnsi="仿宋" w:eastAsia="仿宋" w:cs="仿宋"/>
                <w:color w:val="auto"/>
                <w:highlight w:val="none"/>
              </w:rPr>
              <w:t>服务工具要求</w:t>
            </w:r>
          </w:p>
        </w:tc>
        <w:tc>
          <w:tcPr>
            <w:tcW w:w="1501" w:type="dxa"/>
            <w:tcBorders>
              <w:top w:val="nil"/>
              <w:left w:val="nil"/>
              <w:bottom w:val="single" w:color="auto" w:sz="8" w:space="0"/>
              <w:right w:val="single" w:color="auto" w:sz="8" w:space="0"/>
            </w:tcBorders>
            <w:vAlign w:val="center"/>
          </w:tcPr>
          <w:p w14:paraId="649878AB">
            <w:pPr>
              <w:pStyle w:val="209"/>
              <w:rPr>
                <w:rFonts w:ascii="仿宋" w:hAnsi="仿宋" w:eastAsia="仿宋" w:cs="仿宋"/>
                <w:color w:val="auto"/>
                <w:highlight w:val="none"/>
              </w:rPr>
            </w:pPr>
            <w:r>
              <w:rPr>
                <w:rFonts w:hint="eastAsia" w:ascii="仿宋" w:hAnsi="仿宋" w:eastAsia="仿宋" w:cs="仿宋"/>
                <w:color w:val="auto"/>
                <w:highlight w:val="none"/>
              </w:rPr>
              <w:t>工具要求</w:t>
            </w:r>
          </w:p>
        </w:tc>
        <w:tc>
          <w:tcPr>
            <w:tcW w:w="5277" w:type="dxa"/>
            <w:tcBorders>
              <w:top w:val="nil"/>
              <w:left w:val="nil"/>
              <w:bottom w:val="single" w:color="auto" w:sz="8" w:space="0"/>
              <w:right w:val="single" w:color="auto" w:sz="8" w:space="0"/>
            </w:tcBorders>
            <w:vAlign w:val="center"/>
          </w:tcPr>
          <w:p w14:paraId="5E893E10">
            <w:pPr>
              <w:pStyle w:val="209"/>
              <w:rPr>
                <w:rFonts w:ascii="仿宋" w:hAnsi="仿宋" w:eastAsia="仿宋" w:cs="仿宋"/>
                <w:color w:val="auto"/>
                <w:highlight w:val="none"/>
              </w:rPr>
            </w:pPr>
            <w:r>
              <w:rPr>
                <w:rFonts w:hint="eastAsia" w:ascii="仿宋" w:hAnsi="仿宋" w:eastAsia="仿宋" w:cs="仿宋"/>
                <w:color w:val="auto"/>
                <w:highlight w:val="none"/>
              </w:rPr>
              <w:t>提供设置服务器硬件、辅助操作系统安装等功能的辅助工具和管理软件。且随附软件应具有合法授权或版权</w:t>
            </w:r>
          </w:p>
        </w:tc>
      </w:tr>
      <w:tr w14:paraId="0328AF6A">
        <w:tblPrEx>
          <w:tblCellMar>
            <w:top w:w="0" w:type="dxa"/>
            <w:left w:w="108" w:type="dxa"/>
            <w:bottom w:w="0" w:type="dxa"/>
            <w:right w:w="108" w:type="dxa"/>
          </w:tblCellMar>
        </w:tblPrEx>
        <w:trPr>
          <w:trHeight w:val="948" w:hRule="atLeast"/>
          <w:jc w:val="center"/>
        </w:trPr>
        <w:tc>
          <w:tcPr>
            <w:tcW w:w="1027" w:type="dxa"/>
            <w:tcBorders>
              <w:top w:val="nil"/>
              <w:left w:val="single" w:color="auto" w:sz="8" w:space="0"/>
              <w:bottom w:val="single" w:color="auto" w:sz="8" w:space="0"/>
              <w:right w:val="single" w:color="auto" w:sz="8" w:space="0"/>
            </w:tcBorders>
            <w:vAlign w:val="center"/>
          </w:tcPr>
          <w:p w14:paraId="7681A280">
            <w:pPr>
              <w:pStyle w:val="209"/>
              <w:rPr>
                <w:rFonts w:ascii="仿宋" w:hAnsi="仿宋" w:eastAsia="仿宋" w:cs="仿宋"/>
                <w:color w:val="auto"/>
                <w:highlight w:val="none"/>
              </w:rPr>
            </w:pPr>
            <w:r>
              <w:rPr>
                <w:rFonts w:hint="eastAsia" w:ascii="仿宋" w:hAnsi="仿宋" w:eastAsia="仿宋" w:cs="仿宋"/>
                <w:color w:val="auto"/>
                <w:highlight w:val="none"/>
              </w:rPr>
              <w:t>68</w:t>
            </w:r>
          </w:p>
        </w:tc>
        <w:tc>
          <w:tcPr>
            <w:tcW w:w="1481" w:type="dxa"/>
            <w:vMerge w:val="continue"/>
            <w:tcBorders>
              <w:top w:val="nil"/>
              <w:left w:val="single" w:color="auto" w:sz="8" w:space="0"/>
              <w:bottom w:val="single" w:color="000000" w:sz="8" w:space="0"/>
              <w:right w:val="single" w:color="auto" w:sz="8" w:space="0"/>
            </w:tcBorders>
            <w:vAlign w:val="center"/>
          </w:tcPr>
          <w:p w14:paraId="72CAD2FC">
            <w:pPr>
              <w:rPr>
                <w:highlight w:val="none"/>
              </w:rPr>
            </w:pPr>
          </w:p>
        </w:tc>
        <w:tc>
          <w:tcPr>
            <w:tcW w:w="1501" w:type="dxa"/>
            <w:tcBorders>
              <w:top w:val="nil"/>
              <w:left w:val="nil"/>
              <w:bottom w:val="single" w:color="auto" w:sz="8" w:space="0"/>
              <w:right w:val="single" w:color="auto" w:sz="8" w:space="0"/>
            </w:tcBorders>
            <w:vAlign w:val="center"/>
          </w:tcPr>
          <w:p w14:paraId="406EB70A">
            <w:pPr>
              <w:pStyle w:val="209"/>
              <w:rPr>
                <w:rFonts w:ascii="仿宋" w:hAnsi="仿宋" w:eastAsia="仿宋" w:cs="仿宋"/>
                <w:color w:val="auto"/>
                <w:highlight w:val="none"/>
              </w:rPr>
            </w:pPr>
            <w:r>
              <w:rPr>
                <w:rFonts w:hint="eastAsia" w:ascii="仿宋" w:hAnsi="仿宋" w:eastAsia="仿宋" w:cs="仿宋"/>
                <w:color w:val="auto"/>
                <w:highlight w:val="none"/>
              </w:rPr>
              <w:t>驱动安装升级指引</w:t>
            </w:r>
          </w:p>
        </w:tc>
        <w:tc>
          <w:tcPr>
            <w:tcW w:w="5277" w:type="dxa"/>
            <w:tcBorders>
              <w:top w:val="nil"/>
              <w:left w:val="nil"/>
              <w:bottom w:val="single" w:color="auto" w:sz="8" w:space="0"/>
              <w:right w:val="single" w:color="auto" w:sz="8" w:space="0"/>
            </w:tcBorders>
            <w:vAlign w:val="center"/>
          </w:tcPr>
          <w:p w14:paraId="38033246">
            <w:pPr>
              <w:pStyle w:val="209"/>
              <w:rPr>
                <w:rFonts w:ascii="仿宋" w:hAnsi="仿宋" w:eastAsia="仿宋" w:cs="仿宋"/>
                <w:color w:val="auto"/>
                <w:highlight w:val="none"/>
              </w:rPr>
            </w:pPr>
            <w:r>
              <w:rPr>
                <w:rFonts w:hint="eastAsia" w:ascii="仿宋" w:hAnsi="仿宋" w:eastAsia="仿宋" w:cs="仿宋"/>
                <w:color w:val="auto"/>
                <w:highlight w:val="none"/>
              </w:rPr>
              <w:t>提供出厂安装的配件所需的驱动程序，形式包括但不限于驱动光盘、驱动下载链接等。其他配件应提供指引</w:t>
            </w:r>
          </w:p>
        </w:tc>
      </w:tr>
      <w:tr w14:paraId="4D41678F">
        <w:tblPrEx>
          <w:tblCellMar>
            <w:top w:w="0" w:type="dxa"/>
            <w:left w:w="108" w:type="dxa"/>
            <w:bottom w:w="0" w:type="dxa"/>
            <w:right w:w="108" w:type="dxa"/>
          </w:tblCellMar>
        </w:tblPrEx>
        <w:trPr>
          <w:trHeight w:val="948" w:hRule="atLeast"/>
          <w:jc w:val="center"/>
        </w:trPr>
        <w:tc>
          <w:tcPr>
            <w:tcW w:w="1027" w:type="dxa"/>
            <w:tcBorders>
              <w:top w:val="nil"/>
              <w:left w:val="single" w:color="auto" w:sz="8" w:space="0"/>
              <w:bottom w:val="single" w:color="auto" w:sz="8" w:space="0"/>
              <w:right w:val="single" w:color="auto" w:sz="8" w:space="0"/>
            </w:tcBorders>
            <w:vAlign w:val="center"/>
          </w:tcPr>
          <w:p w14:paraId="3E1C9849">
            <w:pPr>
              <w:pStyle w:val="209"/>
              <w:rPr>
                <w:rFonts w:ascii="仿宋" w:hAnsi="仿宋" w:eastAsia="仿宋" w:cs="仿宋"/>
                <w:color w:val="auto"/>
                <w:highlight w:val="none"/>
              </w:rPr>
            </w:pPr>
            <w:r>
              <w:rPr>
                <w:rFonts w:hint="eastAsia" w:ascii="仿宋" w:hAnsi="仿宋" w:eastAsia="仿宋" w:cs="仿宋"/>
                <w:color w:val="auto"/>
                <w:highlight w:val="none"/>
              </w:rPr>
              <w:t>69</w:t>
            </w:r>
          </w:p>
        </w:tc>
        <w:tc>
          <w:tcPr>
            <w:tcW w:w="1481" w:type="dxa"/>
            <w:vMerge w:val="continue"/>
            <w:tcBorders>
              <w:top w:val="nil"/>
              <w:left w:val="single" w:color="auto" w:sz="8" w:space="0"/>
              <w:bottom w:val="single" w:color="000000" w:sz="8" w:space="0"/>
              <w:right w:val="single" w:color="auto" w:sz="8" w:space="0"/>
            </w:tcBorders>
            <w:vAlign w:val="center"/>
          </w:tcPr>
          <w:p w14:paraId="38F82E12">
            <w:pPr>
              <w:rPr>
                <w:highlight w:val="none"/>
              </w:rPr>
            </w:pPr>
          </w:p>
        </w:tc>
        <w:tc>
          <w:tcPr>
            <w:tcW w:w="1501" w:type="dxa"/>
            <w:tcBorders>
              <w:top w:val="nil"/>
              <w:left w:val="nil"/>
              <w:bottom w:val="single" w:color="auto" w:sz="8" w:space="0"/>
              <w:right w:val="single" w:color="auto" w:sz="8" w:space="0"/>
            </w:tcBorders>
            <w:vAlign w:val="center"/>
          </w:tcPr>
          <w:p w14:paraId="63CA27B8">
            <w:pPr>
              <w:pStyle w:val="209"/>
              <w:rPr>
                <w:rFonts w:ascii="仿宋" w:hAnsi="仿宋" w:eastAsia="仿宋" w:cs="仿宋"/>
                <w:color w:val="auto"/>
                <w:highlight w:val="none"/>
              </w:rPr>
            </w:pPr>
            <w:r>
              <w:rPr>
                <w:rFonts w:hint="eastAsia" w:ascii="仿宋" w:hAnsi="仿宋" w:eastAsia="仿宋" w:cs="仿宋"/>
                <w:color w:val="auto"/>
                <w:highlight w:val="none"/>
              </w:rPr>
              <w:t>管理软件</w:t>
            </w:r>
          </w:p>
        </w:tc>
        <w:tc>
          <w:tcPr>
            <w:tcW w:w="5277" w:type="dxa"/>
            <w:tcBorders>
              <w:top w:val="nil"/>
              <w:left w:val="nil"/>
              <w:bottom w:val="single" w:color="auto" w:sz="8" w:space="0"/>
              <w:right w:val="single" w:color="auto" w:sz="8" w:space="0"/>
            </w:tcBorders>
            <w:vAlign w:val="center"/>
          </w:tcPr>
          <w:p w14:paraId="17671DBD">
            <w:pPr>
              <w:pStyle w:val="209"/>
              <w:rPr>
                <w:rFonts w:ascii="仿宋" w:hAnsi="仿宋" w:eastAsia="仿宋" w:cs="仿宋"/>
                <w:color w:val="auto"/>
                <w:highlight w:val="none"/>
              </w:rPr>
            </w:pPr>
            <w:r>
              <w:rPr>
                <w:rFonts w:hint="eastAsia" w:ascii="仿宋" w:hAnsi="仿宋" w:eastAsia="仿宋" w:cs="仿宋"/>
                <w:color w:val="auto"/>
                <w:highlight w:val="none"/>
              </w:rPr>
              <w:t>具备资源管理、系统管理、性能监控、健康监控、基于网络控制、报警设置功能</w:t>
            </w:r>
          </w:p>
        </w:tc>
      </w:tr>
      <w:tr w14:paraId="5D4D6071">
        <w:tblPrEx>
          <w:tblCellMar>
            <w:top w:w="0" w:type="dxa"/>
            <w:left w:w="108" w:type="dxa"/>
            <w:bottom w:w="0" w:type="dxa"/>
            <w:right w:w="108" w:type="dxa"/>
          </w:tblCellMar>
        </w:tblPrEx>
        <w:trPr>
          <w:trHeight w:val="948" w:hRule="atLeast"/>
          <w:jc w:val="center"/>
        </w:trPr>
        <w:tc>
          <w:tcPr>
            <w:tcW w:w="1027" w:type="dxa"/>
            <w:tcBorders>
              <w:top w:val="nil"/>
              <w:left w:val="single" w:color="auto" w:sz="8" w:space="0"/>
              <w:bottom w:val="single" w:color="auto" w:sz="8" w:space="0"/>
              <w:right w:val="single" w:color="auto" w:sz="8" w:space="0"/>
            </w:tcBorders>
            <w:vAlign w:val="center"/>
          </w:tcPr>
          <w:p w14:paraId="2146DD36">
            <w:pPr>
              <w:pStyle w:val="209"/>
              <w:rPr>
                <w:rFonts w:ascii="仿宋" w:hAnsi="仿宋" w:eastAsia="仿宋" w:cs="仿宋"/>
                <w:color w:val="auto"/>
                <w:highlight w:val="none"/>
              </w:rPr>
            </w:pPr>
            <w:r>
              <w:rPr>
                <w:rFonts w:hint="eastAsia" w:ascii="仿宋" w:hAnsi="仿宋" w:eastAsia="仿宋" w:cs="仿宋"/>
                <w:color w:val="auto"/>
                <w:highlight w:val="none"/>
              </w:rPr>
              <w:t>70</w:t>
            </w:r>
          </w:p>
        </w:tc>
        <w:tc>
          <w:tcPr>
            <w:tcW w:w="1481" w:type="dxa"/>
            <w:vMerge w:val="restart"/>
            <w:tcBorders>
              <w:top w:val="nil"/>
              <w:left w:val="single" w:color="auto" w:sz="8" w:space="0"/>
              <w:bottom w:val="single" w:color="000000" w:sz="8" w:space="0"/>
              <w:right w:val="single" w:color="auto" w:sz="8" w:space="0"/>
            </w:tcBorders>
            <w:vAlign w:val="center"/>
          </w:tcPr>
          <w:p w14:paraId="691854C6">
            <w:pPr>
              <w:pStyle w:val="209"/>
              <w:rPr>
                <w:rFonts w:ascii="仿宋" w:hAnsi="仿宋" w:eastAsia="仿宋" w:cs="仿宋"/>
                <w:color w:val="auto"/>
                <w:highlight w:val="none"/>
              </w:rPr>
            </w:pPr>
            <w:r>
              <w:rPr>
                <w:rFonts w:hint="eastAsia" w:ascii="仿宋" w:hAnsi="仿宋" w:eastAsia="仿宋" w:cs="仿宋"/>
                <w:color w:val="auto"/>
                <w:highlight w:val="none"/>
              </w:rPr>
              <w:t>增值服务</w:t>
            </w:r>
          </w:p>
        </w:tc>
        <w:tc>
          <w:tcPr>
            <w:tcW w:w="1501" w:type="dxa"/>
            <w:tcBorders>
              <w:top w:val="nil"/>
              <w:left w:val="nil"/>
              <w:bottom w:val="single" w:color="auto" w:sz="8" w:space="0"/>
              <w:right w:val="single" w:color="auto" w:sz="8" w:space="0"/>
            </w:tcBorders>
            <w:vAlign w:val="center"/>
          </w:tcPr>
          <w:p w14:paraId="10F27678">
            <w:pPr>
              <w:pStyle w:val="209"/>
              <w:rPr>
                <w:rFonts w:ascii="仿宋" w:hAnsi="仿宋" w:eastAsia="仿宋" w:cs="仿宋"/>
                <w:color w:val="auto"/>
                <w:highlight w:val="none"/>
              </w:rPr>
            </w:pPr>
            <w:r>
              <w:rPr>
                <w:rFonts w:hint="eastAsia" w:ascii="仿宋" w:hAnsi="仿宋" w:eastAsia="仿宋" w:cs="仿宋"/>
                <w:color w:val="auto"/>
                <w:highlight w:val="none"/>
              </w:rPr>
              <w:t>厂家升级产品软件与扩容服务</w:t>
            </w:r>
          </w:p>
        </w:tc>
        <w:tc>
          <w:tcPr>
            <w:tcW w:w="5277" w:type="dxa"/>
            <w:tcBorders>
              <w:top w:val="nil"/>
              <w:left w:val="nil"/>
              <w:bottom w:val="single" w:color="auto" w:sz="8" w:space="0"/>
              <w:right w:val="single" w:color="auto" w:sz="8" w:space="0"/>
            </w:tcBorders>
            <w:vAlign w:val="center"/>
          </w:tcPr>
          <w:p w14:paraId="3AF5A0AE">
            <w:pPr>
              <w:pStyle w:val="209"/>
              <w:rPr>
                <w:rFonts w:ascii="仿宋" w:hAnsi="仿宋" w:eastAsia="仿宋" w:cs="仿宋"/>
                <w:color w:val="auto"/>
                <w:highlight w:val="none"/>
              </w:rPr>
            </w:pPr>
            <w:r>
              <w:rPr>
                <w:rFonts w:hint="eastAsia" w:ascii="仿宋" w:hAnsi="仿宋" w:eastAsia="仿宋" w:cs="仿宋"/>
                <w:color w:val="auto"/>
                <w:highlight w:val="none"/>
              </w:rPr>
              <w:t>提供原厂级的部件/软件产品升级和扩容能力</w:t>
            </w:r>
          </w:p>
        </w:tc>
      </w:tr>
      <w:tr w14:paraId="60C4CD00">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3BD14987">
            <w:pPr>
              <w:pStyle w:val="209"/>
              <w:rPr>
                <w:rFonts w:ascii="仿宋" w:hAnsi="仿宋" w:eastAsia="仿宋" w:cs="仿宋"/>
                <w:color w:val="auto"/>
                <w:highlight w:val="none"/>
              </w:rPr>
            </w:pPr>
            <w:r>
              <w:rPr>
                <w:rFonts w:hint="eastAsia" w:ascii="仿宋" w:hAnsi="仿宋" w:eastAsia="仿宋" w:cs="仿宋"/>
                <w:color w:val="auto"/>
                <w:highlight w:val="none"/>
              </w:rPr>
              <w:t>71</w:t>
            </w:r>
          </w:p>
        </w:tc>
        <w:tc>
          <w:tcPr>
            <w:tcW w:w="1481" w:type="dxa"/>
            <w:vMerge w:val="continue"/>
            <w:tcBorders>
              <w:top w:val="nil"/>
              <w:left w:val="single" w:color="auto" w:sz="8" w:space="0"/>
              <w:bottom w:val="single" w:color="000000" w:sz="8" w:space="0"/>
              <w:right w:val="single" w:color="auto" w:sz="8" w:space="0"/>
            </w:tcBorders>
            <w:vAlign w:val="center"/>
          </w:tcPr>
          <w:p w14:paraId="17D852BB">
            <w:pPr>
              <w:rPr>
                <w:highlight w:val="none"/>
              </w:rPr>
            </w:pPr>
          </w:p>
        </w:tc>
        <w:tc>
          <w:tcPr>
            <w:tcW w:w="1501" w:type="dxa"/>
            <w:tcBorders>
              <w:top w:val="nil"/>
              <w:left w:val="nil"/>
              <w:bottom w:val="single" w:color="auto" w:sz="8" w:space="0"/>
              <w:right w:val="single" w:color="auto" w:sz="8" w:space="0"/>
            </w:tcBorders>
            <w:vAlign w:val="center"/>
          </w:tcPr>
          <w:p w14:paraId="2411C9C2">
            <w:pPr>
              <w:pStyle w:val="209"/>
              <w:rPr>
                <w:rFonts w:ascii="仿宋" w:hAnsi="仿宋" w:eastAsia="仿宋" w:cs="仿宋"/>
                <w:color w:val="auto"/>
                <w:highlight w:val="none"/>
              </w:rPr>
            </w:pPr>
            <w:r>
              <w:rPr>
                <w:rFonts w:hint="eastAsia" w:ascii="仿宋" w:hAnsi="仿宋" w:eastAsia="仿宋" w:cs="仿宋"/>
                <w:color w:val="auto"/>
                <w:highlight w:val="none"/>
              </w:rPr>
              <w:t>提供上门服务</w:t>
            </w:r>
          </w:p>
        </w:tc>
        <w:tc>
          <w:tcPr>
            <w:tcW w:w="5277" w:type="dxa"/>
            <w:tcBorders>
              <w:top w:val="nil"/>
              <w:left w:val="nil"/>
              <w:bottom w:val="single" w:color="auto" w:sz="8" w:space="0"/>
              <w:right w:val="single" w:color="auto" w:sz="8" w:space="0"/>
            </w:tcBorders>
            <w:vAlign w:val="center"/>
          </w:tcPr>
          <w:p w14:paraId="432F65A6">
            <w:pPr>
              <w:pStyle w:val="209"/>
              <w:rPr>
                <w:rFonts w:ascii="仿宋" w:hAnsi="仿宋" w:eastAsia="仿宋" w:cs="仿宋"/>
                <w:color w:val="auto"/>
                <w:highlight w:val="none"/>
              </w:rPr>
            </w:pPr>
            <w:r>
              <w:rPr>
                <w:rFonts w:hint="eastAsia" w:ascii="仿宋" w:hAnsi="仿宋" w:eastAsia="仿宋" w:cs="仿宋"/>
                <w:color w:val="auto"/>
                <w:highlight w:val="none"/>
              </w:rPr>
              <w:t>乙方具备提供上门服务的能力(可收费)</w:t>
            </w:r>
          </w:p>
        </w:tc>
      </w:tr>
      <w:tr w14:paraId="417DBC80">
        <w:tblPrEx>
          <w:tblCellMar>
            <w:top w:w="0" w:type="dxa"/>
            <w:left w:w="108" w:type="dxa"/>
            <w:bottom w:w="0" w:type="dxa"/>
            <w:right w:w="108" w:type="dxa"/>
          </w:tblCellMar>
        </w:tblPrEx>
        <w:trPr>
          <w:trHeight w:val="1260" w:hRule="atLeast"/>
          <w:jc w:val="center"/>
        </w:trPr>
        <w:tc>
          <w:tcPr>
            <w:tcW w:w="1027" w:type="dxa"/>
            <w:tcBorders>
              <w:top w:val="nil"/>
              <w:left w:val="single" w:color="auto" w:sz="8" w:space="0"/>
              <w:bottom w:val="single" w:color="auto" w:sz="8" w:space="0"/>
              <w:right w:val="single" w:color="auto" w:sz="8" w:space="0"/>
            </w:tcBorders>
            <w:vAlign w:val="center"/>
          </w:tcPr>
          <w:p w14:paraId="4C2C2A43">
            <w:pPr>
              <w:pStyle w:val="209"/>
              <w:rPr>
                <w:rFonts w:ascii="仿宋" w:hAnsi="仿宋" w:eastAsia="仿宋" w:cs="仿宋"/>
                <w:color w:val="auto"/>
                <w:highlight w:val="none"/>
              </w:rPr>
            </w:pPr>
            <w:r>
              <w:rPr>
                <w:rFonts w:hint="eastAsia" w:ascii="仿宋" w:hAnsi="仿宋" w:eastAsia="仿宋" w:cs="仿宋"/>
                <w:color w:val="auto"/>
                <w:highlight w:val="none"/>
              </w:rPr>
              <w:t>72</w:t>
            </w:r>
          </w:p>
        </w:tc>
        <w:tc>
          <w:tcPr>
            <w:tcW w:w="1481" w:type="dxa"/>
            <w:vMerge w:val="restart"/>
            <w:tcBorders>
              <w:top w:val="nil"/>
              <w:left w:val="single" w:color="auto" w:sz="8" w:space="0"/>
              <w:bottom w:val="single" w:color="000000" w:sz="8" w:space="0"/>
              <w:right w:val="single" w:color="auto" w:sz="8" w:space="0"/>
            </w:tcBorders>
            <w:vAlign w:val="center"/>
          </w:tcPr>
          <w:p w14:paraId="37EF4295">
            <w:pPr>
              <w:pStyle w:val="209"/>
              <w:rPr>
                <w:rFonts w:ascii="仿宋" w:hAnsi="仿宋" w:eastAsia="仿宋" w:cs="仿宋"/>
                <w:color w:val="auto"/>
                <w:highlight w:val="none"/>
              </w:rPr>
            </w:pPr>
            <w:r>
              <w:rPr>
                <w:rFonts w:hint="eastAsia" w:ascii="仿宋" w:hAnsi="仿宋" w:eastAsia="仿宋" w:cs="仿宋"/>
                <w:color w:val="auto"/>
                <w:highlight w:val="none"/>
              </w:rPr>
              <w:t>供应链质量</w:t>
            </w:r>
          </w:p>
        </w:tc>
        <w:tc>
          <w:tcPr>
            <w:tcW w:w="1501" w:type="dxa"/>
            <w:tcBorders>
              <w:top w:val="nil"/>
              <w:left w:val="nil"/>
              <w:bottom w:val="single" w:color="auto" w:sz="8" w:space="0"/>
              <w:right w:val="single" w:color="auto" w:sz="8" w:space="0"/>
            </w:tcBorders>
            <w:vAlign w:val="center"/>
          </w:tcPr>
          <w:p w14:paraId="15B5DBC1">
            <w:pPr>
              <w:pStyle w:val="209"/>
              <w:rPr>
                <w:rFonts w:ascii="仿宋" w:hAnsi="仿宋" w:eastAsia="仿宋" w:cs="仿宋"/>
                <w:color w:val="auto"/>
                <w:highlight w:val="none"/>
              </w:rPr>
            </w:pPr>
            <w:r>
              <w:rPr>
                <w:rFonts w:hint="eastAsia" w:ascii="仿宋" w:hAnsi="仿宋" w:eastAsia="仿宋" w:cs="仿宋"/>
                <w:color w:val="auto"/>
                <w:highlight w:val="none"/>
              </w:rPr>
              <w:t>抗干扰性</w:t>
            </w:r>
          </w:p>
        </w:tc>
        <w:tc>
          <w:tcPr>
            <w:tcW w:w="5277" w:type="dxa"/>
            <w:tcBorders>
              <w:top w:val="nil"/>
              <w:left w:val="nil"/>
              <w:bottom w:val="single" w:color="auto" w:sz="8" w:space="0"/>
              <w:right w:val="single" w:color="auto" w:sz="8" w:space="0"/>
            </w:tcBorders>
            <w:vAlign w:val="center"/>
          </w:tcPr>
          <w:p w14:paraId="08E71017">
            <w:pPr>
              <w:pStyle w:val="209"/>
              <w:rPr>
                <w:rFonts w:ascii="仿宋" w:hAnsi="仿宋" w:eastAsia="仿宋" w:cs="仿宋"/>
                <w:color w:val="auto"/>
                <w:highlight w:val="none"/>
              </w:rPr>
            </w:pPr>
            <w:r>
              <w:rPr>
                <w:rFonts w:hint="eastAsia" w:ascii="仿宋" w:hAnsi="仿宋" w:eastAsia="仿宋" w:cs="仿宋"/>
                <w:color w:val="auto"/>
                <w:highlight w:val="none"/>
              </w:rPr>
              <w:t>当产品部件出现供应风险时，应通知客户并提供风险应对方案确保产品的服务保障，必要时应停止相关受影响产品的销售</w:t>
            </w:r>
          </w:p>
        </w:tc>
      </w:tr>
      <w:tr w14:paraId="033E60E8">
        <w:tblPrEx>
          <w:tblCellMar>
            <w:top w:w="0" w:type="dxa"/>
            <w:left w:w="108" w:type="dxa"/>
            <w:bottom w:w="0" w:type="dxa"/>
            <w:right w:w="108" w:type="dxa"/>
          </w:tblCellMar>
        </w:tblPrEx>
        <w:trPr>
          <w:trHeight w:val="636" w:hRule="atLeast"/>
          <w:jc w:val="center"/>
        </w:trPr>
        <w:tc>
          <w:tcPr>
            <w:tcW w:w="1027" w:type="dxa"/>
            <w:tcBorders>
              <w:top w:val="nil"/>
              <w:left w:val="single" w:color="auto" w:sz="8" w:space="0"/>
              <w:bottom w:val="single" w:color="auto" w:sz="8" w:space="0"/>
              <w:right w:val="single" w:color="auto" w:sz="8" w:space="0"/>
            </w:tcBorders>
            <w:vAlign w:val="center"/>
          </w:tcPr>
          <w:p w14:paraId="2B9C2753">
            <w:pPr>
              <w:pStyle w:val="209"/>
              <w:rPr>
                <w:rFonts w:ascii="仿宋" w:hAnsi="仿宋" w:eastAsia="仿宋" w:cs="仿宋"/>
                <w:color w:val="auto"/>
                <w:highlight w:val="none"/>
              </w:rPr>
            </w:pPr>
            <w:r>
              <w:rPr>
                <w:rFonts w:hint="eastAsia" w:ascii="仿宋" w:hAnsi="仿宋" w:eastAsia="仿宋" w:cs="仿宋"/>
                <w:color w:val="auto"/>
                <w:highlight w:val="none"/>
              </w:rPr>
              <w:t>73</w:t>
            </w:r>
          </w:p>
        </w:tc>
        <w:tc>
          <w:tcPr>
            <w:tcW w:w="1481" w:type="dxa"/>
            <w:vMerge w:val="continue"/>
            <w:tcBorders>
              <w:top w:val="nil"/>
              <w:left w:val="single" w:color="auto" w:sz="8" w:space="0"/>
              <w:bottom w:val="single" w:color="000000" w:sz="8" w:space="0"/>
              <w:right w:val="single" w:color="auto" w:sz="8" w:space="0"/>
            </w:tcBorders>
            <w:vAlign w:val="center"/>
          </w:tcPr>
          <w:p w14:paraId="4C8ED51C">
            <w:pPr>
              <w:rPr>
                <w:highlight w:val="none"/>
              </w:rPr>
            </w:pPr>
          </w:p>
        </w:tc>
        <w:tc>
          <w:tcPr>
            <w:tcW w:w="1501" w:type="dxa"/>
            <w:tcBorders>
              <w:top w:val="nil"/>
              <w:left w:val="nil"/>
              <w:bottom w:val="single" w:color="auto" w:sz="8" w:space="0"/>
              <w:right w:val="single" w:color="auto" w:sz="8" w:space="0"/>
            </w:tcBorders>
            <w:vAlign w:val="center"/>
          </w:tcPr>
          <w:p w14:paraId="1DA87062">
            <w:pPr>
              <w:pStyle w:val="209"/>
              <w:rPr>
                <w:rFonts w:ascii="仿宋" w:hAnsi="仿宋" w:eastAsia="仿宋" w:cs="仿宋"/>
                <w:color w:val="auto"/>
                <w:highlight w:val="none"/>
              </w:rPr>
            </w:pPr>
            <w:r>
              <w:rPr>
                <w:rFonts w:hint="eastAsia" w:ascii="仿宋" w:hAnsi="仿宋" w:eastAsia="仿宋" w:cs="仿宋"/>
                <w:color w:val="auto"/>
                <w:highlight w:val="none"/>
              </w:rPr>
              <w:t>供应能力证明</w:t>
            </w:r>
          </w:p>
        </w:tc>
        <w:tc>
          <w:tcPr>
            <w:tcW w:w="5277" w:type="dxa"/>
            <w:tcBorders>
              <w:top w:val="nil"/>
              <w:left w:val="nil"/>
              <w:bottom w:val="single" w:color="auto" w:sz="8" w:space="0"/>
              <w:right w:val="single" w:color="auto" w:sz="8" w:space="0"/>
            </w:tcBorders>
            <w:vAlign w:val="center"/>
          </w:tcPr>
          <w:p w14:paraId="15E78828">
            <w:pPr>
              <w:pStyle w:val="209"/>
              <w:rPr>
                <w:rFonts w:ascii="仿宋" w:hAnsi="仿宋" w:eastAsia="仿宋" w:cs="仿宋"/>
                <w:color w:val="auto"/>
                <w:highlight w:val="none"/>
              </w:rPr>
            </w:pPr>
            <w:r>
              <w:rPr>
                <w:rFonts w:hint="eastAsia" w:ascii="仿宋" w:hAnsi="仿宋" w:eastAsia="仿宋" w:cs="仿宋"/>
                <w:color w:val="auto"/>
                <w:highlight w:val="none"/>
              </w:rPr>
              <w:t>乙方需出具承诺书，承诺供应链稳定，确保产品的部件在项目租赁期内稳定供货</w:t>
            </w:r>
          </w:p>
        </w:tc>
      </w:tr>
    </w:tbl>
    <w:p w14:paraId="0733AEC2">
      <w:pPr>
        <w:spacing w:line="360" w:lineRule="auto"/>
        <w:ind w:firstLine="241" w:firstLineChars="100"/>
        <w:rPr>
          <w:rFonts w:ascii="仿宋" w:hAnsi="仿宋" w:eastAsia="仿宋" w:cs="仿宋"/>
          <w:b/>
          <w:kern w:val="0"/>
          <w:sz w:val="24"/>
          <w:highlight w:val="none"/>
          <w:lang w:bidi="zh-CN"/>
        </w:rPr>
      </w:pPr>
      <w:r>
        <w:rPr>
          <w:rFonts w:hint="eastAsia" w:ascii="仿宋" w:hAnsi="仿宋" w:eastAsia="仿宋" w:cs="仿宋"/>
          <w:b/>
          <w:kern w:val="0"/>
          <w:sz w:val="24"/>
          <w:highlight w:val="none"/>
          <w:lang w:bidi="zh-CN"/>
        </w:rPr>
        <w:t>4、安全要求</w:t>
      </w:r>
    </w:p>
    <w:p w14:paraId="20E5EA81">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本项目系统需通过第三方测评（软件部分）；通过网络安全等级保护三级；根据商用密码应用安全管理要求，完成测评。乙方需做好相关检测和测评的配合工作，如因乙方原因未符合要求的，需负责整改到位。</w:t>
      </w:r>
    </w:p>
    <w:p w14:paraId="7CCB13C7">
      <w:pPr>
        <w:spacing w:line="360" w:lineRule="auto"/>
        <w:ind w:firstLine="480" w:firstLineChars="200"/>
        <w:jc w:val="left"/>
        <w:rPr>
          <w:rFonts w:ascii="仿宋" w:hAnsi="仿宋" w:eastAsia="仿宋" w:cs="仿宋"/>
          <w:b/>
          <w:kern w:val="0"/>
          <w:sz w:val="24"/>
          <w:highlight w:val="none"/>
          <w:lang w:bidi="zh-CN"/>
        </w:rPr>
      </w:pPr>
      <w:r>
        <w:rPr>
          <w:rFonts w:hint="eastAsia" w:ascii="仿宋" w:hAnsi="仿宋" w:eastAsia="仿宋" w:cs="仿宋"/>
          <w:sz w:val="24"/>
          <w:highlight w:val="none"/>
        </w:rPr>
        <w:t>对于本项目中的“便携式视音频证据管理系统”，需根据信创要求，完成信创测评，如因乙方原因未符合要求的，需负责整改到位。</w:t>
      </w:r>
    </w:p>
    <w:p w14:paraId="386422B5">
      <w:pPr>
        <w:spacing w:line="360" w:lineRule="auto"/>
        <w:ind w:firstLine="480" w:firstLineChars="200"/>
        <w:jc w:val="left"/>
        <w:rPr>
          <w:rFonts w:ascii="仿宋" w:hAnsi="仿宋" w:eastAsia="仿宋" w:cs="仿宋"/>
          <w:sz w:val="24"/>
          <w:highlight w:val="none"/>
          <w:lang w:bidi="zh-CN"/>
        </w:rPr>
      </w:pPr>
      <w:r>
        <w:rPr>
          <w:rFonts w:hint="eastAsia" w:ascii="仿宋" w:hAnsi="仿宋" w:eastAsia="仿宋" w:cs="仿宋"/>
          <w:sz w:val="24"/>
          <w:highlight w:val="none"/>
        </w:rPr>
        <w:t>乙方需在项目服务期结束前完成第三方测评、网络安全等级保护三级、密码测评、信创测评的工作。</w:t>
      </w:r>
    </w:p>
    <w:p w14:paraId="7A35319D">
      <w:pPr>
        <w:spacing w:line="360" w:lineRule="auto"/>
        <w:ind w:firstLine="241" w:firstLineChars="100"/>
        <w:rPr>
          <w:rFonts w:ascii="仿宋" w:hAnsi="仿宋" w:eastAsia="仿宋" w:cs="仿宋"/>
          <w:b/>
          <w:kern w:val="0"/>
          <w:sz w:val="24"/>
          <w:highlight w:val="none"/>
          <w:lang w:bidi="zh-CN"/>
        </w:rPr>
      </w:pPr>
      <w:r>
        <w:rPr>
          <w:rFonts w:hint="eastAsia" w:ascii="仿宋" w:hAnsi="仿宋" w:eastAsia="仿宋" w:cs="仿宋"/>
          <w:b/>
          <w:kern w:val="0"/>
          <w:sz w:val="24"/>
          <w:highlight w:val="none"/>
          <w:lang w:bidi="zh-CN"/>
        </w:rPr>
        <w:t>5、</w:t>
      </w:r>
      <w:r>
        <w:rPr>
          <w:rFonts w:hint="eastAsia" w:ascii="仿宋" w:hAnsi="仿宋" w:eastAsia="仿宋" w:cs="仿宋"/>
          <w:b/>
          <w:bCs/>
          <w:kern w:val="0"/>
          <w:sz w:val="24"/>
          <w:highlight w:val="none"/>
          <w:lang w:bidi="zh-CN"/>
        </w:rPr>
        <w:t>服务要求</w:t>
      </w:r>
    </w:p>
    <w:p w14:paraId="6371CB86">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1、人员要求</w:t>
      </w:r>
    </w:p>
    <w:p w14:paraId="059D8A60">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（1）配备数量</w:t>
      </w:r>
    </w:p>
    <w:p w14:paraId="6C1B4297">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按照实际工作需要，配备1名项目负责人以及1名驻点人员，为本项目提供技术支持及服务。</w:t>
      </w:r>
    </w:p>
    <w:p w14:paraId="3D2CC7CD">
      <w:pPr>
        <w:rPr>
          <w:highlight w:val="none"/>
        </w:rPr>
      </w:pPr>
    </w:p>
    <w:p w14:paraId="7239163D">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（2）人员配备标准及要求</w:t>
      </w:r>
    </w:p>
    <w:p w14:paraId="06ECB7BE">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1）项目负责人及驻点人员配备标准：年龄55周岁（含）以下，且均具有大专及以上学历(提供学历证书)，并具有类似项目工作经验（提供业绩合同，若业绩合同无法体现姓名，须提供业主证明），须提供项目负责人及驻点人员的社保缴纳记录。</w:t>
      </w:r>
    </w:p>
    <w:p w14:paraId="0482F368">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（2）服务时间：</w:t>
      </w:r>
      <w:r>
        <w:rPr>
          <w:rFonts w:hint="eastAsia" w:ascii="仿宋" w:hAnsi="仿宋" w:eastAsia="仿宋" w:cs="仿宋"/>
          <w:sz w:val="24"/>
          <w:highlight w:val="none"/>
        </w:rPr>
        <w:t>项目负责人服务时间：项目服务期内提供7*24小时协调服务。</w:t>
      </w:r>
      <w:r>
        <w:rPr>
          <w:rFonts w:hint="eastAsia" w:ascii="仿宋" w:hAnsi="仿宋" w:eastAsia="仿宋" w:cs="仿宋"/>
          <w:kern w:val="0"/>
          <w:sz w:val="24"/>
          <w:highlight w:val="none"/>
          <w:lang w:bidi="zh-CN"/>
        </w:rPr>
        <w:t>驻点人员工作时间为工作日：5*8小时，（上午9：00-12：00；下午12：30-17：30）（除法定节假日）驻点服务（具体时间根据甲方工作要求安排）。</w:t>
      </w:r>
    </w:p>
    <w:p w14:paraId="1979DCEB">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（3）工作要求：项目负责人负责与甲方对接工作，安排驻点人员实施便携式视音频设备的搬运交付、安装调试、维护修理工作。</w:t>
      </w:r>
    </w:p>
    <w:p w14:paraId="6DB68825">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驻点人员主要工作内容为服从项目负责人及甲方的工作安排，完成便携式视音频设备的搬运交付、安装调试、以及负责便携式视音频设备、采集站及系统的维护及巡检工作。</w:t>
      </w:r>
    </w:p>
    <w:p w14:paraId="74C6FE5F">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（4）人员如需发生变更，</w:t>
      </w:r>
      <w:r>
        <w:rPr>
          <w:rFonts w:hint="eastAsia" w:ascii="仿宋" w:hAnsi="仿宋" w:eastAsia="仿宋" w:cs="仿宋"/>
          <w:kern w:val="0"/>
          <w:sz w:val="24"/>
          <w:highlight w:val="none"/>
          <w:lang w:bidi="zh-CN"/>
        </w:rPr>
        <w:t>乙方</w:t>
      </w:r>
      <w:r>
        <w:rPr>
          <w:rFonts w:hint="eastAsia" w:ascii="仿宋" w:hAnsi="仿宋" w:eastAsia="仿宋" w:cs="仿宋"/>
          <w:kern w:val="0"/>
          <w:sz w:val="24"/>
          <w:highlight w:val="none"/>
          <w:lang w:bidi="zh-CN"/>
        </w:rPr>
        <w:t>应提前1个月通知</w:t>
      </w:r>
      <w:r>
        <w:rPr>
          <w:rFonts w:hint="eastAsia" w:ascii="仿宋" w:hAnsi="仿宋" w:eastAsia="仿宋" w:cs="仿宋"/>
          <w:kern w:val="0"/>
          <w:sz w:val="24"/>
          <w:highlight w:val="none"/>
          <w:lang w:bidi="zh-CN"/>
        </w:rPr>
        <w:t>甲方</w:t>
      </w:r>
      <w:r>
        <w:rPr>
          <w:rFonts w:hint="eastAsia" w:ascii="仿宋" w:hAnsi="仿宋" w:eastAsia="仿宋" w:cs="仿宋"/>
          <w:kern w:val="0"/>
          <w:sz w:val="24"/>
          <w:highlight w:val="none"/>
          <w:lang w:bidi="zh-CN"/>
        </w:rPr>
        <w:t>，经</w:t>
      </w:r>
      <w:r>
        <w:rPr>
          <w:rFonts w:hint="eastAsia" w:ascii="仿宋" w:hAnsi="仿宋" w:eastAsia="仿宋" w:cs="仿宋"/>
          <w:kern w:val="0"/>
          <w:sz w:val="24"/>
          <w:highlight w:val="none"/>
          <w:lang w:bidi="zh-CN"/>
        </w:rPr>
        <w:t>甲方</w:t>
      </w:r>
      <w:r>
        <w:rPr>
          <w:rFonts w:hint="eastAsia" w:ascii="仿宋" w:hAnsi="仿宋" w:eastAsia="仿宋" w:cs="仿宋"/>
          <w:kern w:val="0"/>
          <w:sz w:val="24"/>
          <w:highlight w:val="none"/>
          <w:lang w:bidi="zh-CN"/>
        </w:rPr>
        <w:t>书面同意后方可更换，更换人员资历不得低于投标时人员资历，且确保任何时候无人员缺位现象发生。</w:t>
      </w:r>
    </w:p>
    <w:p w14:paraId="26ED113A">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2、日常服务要求</w:t>
      </w:r>
    </w:p>
    <w:p w14:paraId="32969942">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（1）日常服务主要内容</w:t>
      </w:r>
    </w:p>
    <w:p w14:paraId="4759D947">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1）负责对设备信息传输、在线定位等功能展示情况开展在线监测，保障平台接入、传输等工作正常，并提供实施方案。</w:t>
      </w:r>
    </w:p>
    <w:p w14:paraId="76B31788">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2）帮助甲方对现有采集站进行软件维护和升级、以及硬件的扩容，并提供实施方案。</w:t>
      </w:r>
    </w:p>
    <w:p w14:paraId="1F898479">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3）配合甲方开展设备管理日清工作，对日常勤务工作中发现的设备及传输等方面问题形成表单，并落实解决。</w:t>
      </w:r>
    </w:p>
    <w:p w14:paraId="6EA8C3A1">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4）开展每月巡检（设备使用情况、正常损坏情况、设备保养情况），对设备运行情况进行总结并书面反馈。</w:t>
      </w:r>
    </w:p>
    <w:p w14:paraId="41DA5D07">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（2）服务响应时间：</w:t>
      </w:r>
      <w:r>
        <w:rPr>
          <w:rFonts w:hint="eastAsia" w:ascii="仿宋" w:hAnsi="仿宋" w:eastAsia="仿宋" w:cs="仿宋"/>
          <w:sz w:val="24"/>
          <w:highlight w:val="none"/>
        </w:rPr>
        <w:t>承诺实行7*24小时电话服务，并保证电话畅通，服务期内</w:t>
      </w:r>
      <w:r>
        <w:rPr>
          <w:rFonts w:hint="eastAsia" w:ascii="仿宋" w:hAnsi="仿宋" w:eastAsia="仿宋" w:cs="仿宋"/>
          <w:kern w:val="0"/>
          <w:sz w:val="24"/>
          <w:highlight w:val="none"/>
          <w:lang w:bidi="zh-CN"/>
        </w:rPr>
        <w:t>乙方</w:t>
      </w:r>
      <w:r>
        <w:rPr>
          <w:rFonts w:hint="eastAsia" w:ascii="仿宋" w:hAnsi="仿宋" w:eastAsia="仿宋" w:cs="仿宋"/>
          <w:sz w:val="24"/>
          <w:highlight w:val="none"/>
        </w:rPr>
        <w:t>必须确保设备的稳定运行，提供完善的运行维保服务。出现故障时，</w:t>
      </w:r>
      <w:r>
        <w:rPr>
          <w:rFonts w:hint="eastAsia" w:ascii="仿宋" w:hAnsi="仿宋" w:eastAsia="仿宋" w:cs="仿宋"/>
          <w:kern w:val="0"/>
          <w:sz w:val="24"/>
          <w:highlight w:val="none"/>
          <w:lang w:bidi="zh-CN"/>
        </w:rPr>
        <w:t>乙方</w:t>
      </w:r>
      <w:r>
        <w:rPr>
          <w:rFonts w:hint="eastAsia" w:ascii="仿宋" w:hAnsi="仿宋" w:eastAsia="仿宋" w:cs="仿宋"/>
          <w:sz w:val="24"/>
          <w:highlight w:val="none"/>
        </w:rPr>
        <w:t>在接到故障申告后4小时以内派技术人员现场检修，并在48小时内修复故障。</w:t>
      </w:r>
    </w:p>
    <w:p w14:paraId="5B82C40A">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（3）配合项目对甲方开展业务培训</w:t>
      </w:r>
    </w:p>
    <w:p w14:paraId="001E25D2">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培训对象：应包括技术人员（系统管理工作者）以及普通用户（系统使用操作者），如系统使用业务科室人员及技术人员等。培训人数根据甲方要求确定（不少于一人）。</w:t>
      </w:r>
    </w:p>
    <w:p w14:paraId="531D579E">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培训方式：应为集中授课和现场操作应用指导培训，不少于一次的培训。</w:t>
      </w:r>
    </w:p>
    <w:p w14:paraId="0996262D">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培训地点：应由乙方与甲方共同协商确定。</w:t>
      </w:r>
    </w:p>
    <w:p w14:paraId="3A53EAED">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培训内容：应包括系统管理员培训和系统操作员培训。所有培训以中文进行，具体以甲方要求为准。</w:t>
      </w:r>
    </w:p>
    <w:p w14:paraId="101978E0">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培训师资：</w:t>
      </w:r>
      <w:r>
        <w:rPr>
          <w:rFonts w:hint="eastAsia" w:ascii="仿宋" w:hAnsi="仿宋" w:eastAsia="仿宋" w:cs="仿宋"/>
          <w:sz w:val="24"/>
          <w:highlight w:val="none"/>
        </w:rPr>
        <w:t>由专业工程师提供培训服务。</w:t>
      </w:r>
    </w:p>
    <w:p w14:paraId="631CAA4B">
      <w:pPr>
        <w:spacing w:line="360" w:lineRule="auto"/>
        <w:ind w:firstLine="240" w:firstLineChars="100"/>
        <w:rPr>
          <w:rFonts w:ascii="仿宋" w:hAnsi="仿宋" w:eastAsia="仿宋" w:cs="仿宋"/>
          <w:bCs/>
          <w:kern w:val="0"/>
          <w:sz w:val="24"/>
          <w:highlight w:val="none"/>
          <w:lang w:bidi="zh-CN"/>
        </w:rPr>
      </w:pPr>
      <w:r>
        <w:rPr>
          <w:rFonts w:hint="eastAsia" w:ascii="仿宋" w:hAnsi="仿宋" w:eastAsia="仿宋" w:cs="仿宋"/>
          <w:bCs/>
          <w:kern w:val="0"/>
          <w:sz w:val="24"/>
          <w:highlight w:val="none"/>
          <w:lang w:bidi="zh-CN"/>
        </w:rPr>
        <w:t>（4）乙方网络安全责任和义务：</w:t>
      </w:r>
    </w:p>
    <w:p w14:paraId="385FF34B">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①明确乙方法定代表人为合作事项网络安全第一责任人，具体承担合作事项的部门主要负责人为直接责任人。</w:t>
      </w:r>
    </w:p>
    <w:p w14:paraId="57B693C0">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②未经允许不得分包，不得转包合同任务。</w:t>
      </w:r>
    </w:p>
    <w:p w14:paraId="6076EE7A">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③乙方应制订与合作事项相关的网络安全保障方案和网络安全事件应急预案。</w:t>
      </w:r>
    </w:p>
    <w:p w14:paraId="46EAA9D6">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④乙方发现网络安全漏洞、缺陷或者其他严重网络安全风险，应及时向甲方报告。</w:t>
      </w:r>
    </w:p>
    <w:p w14:paraId="3B1C1055">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⑤处理合作事项的信息平台应当优先采用符合安全可靠测评要求的硬件和软件产品。</w:t>
      </w:r>
    </w:p>
    <w:p w14:paraId="6FA7F54E">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⑥发生可能影响合作事项的网络安全重大事项，包括负责人及重要工作人员变更、业务转型、合并重组和投资并购等，乙方应提前向甲方报告。</w:t>
      </w:r>
    </w:p>
    <w:p w14:paraId="11D1274F">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⑦采用社会公共网络平台实施合作事项时，严禁涉及国家秘密和警务工作秘密。</w:t>
      </w:r>
    </w:p>
    <w:p w14:paraId="13E487FD">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⑧乙方应在2026年8月1日前向甲方提交网络安全报告。</w:t>
      </w:r>
    </w:p>
    <w:p w14:paraId="1F21DB30">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⑨其他应当落实的网络安全责任和义务。</w:t>
      </w:r>
    </w:p>
    <w:p w14:paraId="5BEF31DA">
      <w:pPr>
        <w:spacing w:line="360" w:lineRule="auto"/>
        <w:ind w:firstLine="240" w:firstLineChars="100"/>
        <w:rPr>
          <w:rFonts w:ascii="仿宋" w:hAnsi="仿宋" w:eastAsia="仿宋" w:cs="仿宋"/>
          <w:bCs/>
          <w:kern w:val="0"/>
          <w:sz w:val="24"/>
          <w:highlight w:val="none"/>
          <w:lang w:bidi="zh-CN"/>
        </w:rPr>
      </w:pPr>
      <w:r>
        <w:rPr>
          <w:rFonts w:hint="eastAsia" w:ascii="仿宋" w:hAnsi="仿宋" w:eastAsia="仿宋" w:cs="仿宋"/>
          <w:bCs/>
          <w:kern w:val="0"/>
          <w:sz w:val="24"/>
          <w:highlight w:val="none"/>
          <w:lang w:bidi="zh-CN"/>
        </w:rPr>
        <w:t>（5）保密</w:t>
      </w:r>
    </w:p>
    <w:p w14:paraId="238C6F41">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甲方对乙方及工作人员开展常态化安全保密教育，组织签订安全保密承诺书，明确具体安全管理内容、安全保密义务和责任； 乙方及工作人员违反保密安全管理要求，构成违法犯罪的，甲方将及时报送本级政府采购和市场监督管理部门，提请列入政府采购严重违法失信行为记录名单、市场监督管理严重失信名单，并追究相关责任。</w:t>
      </w:r>
    </w:p>
    <w:p w14:paraId="72156493">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严格按照甲方规定使用、存储、处理文档资料和数据。合同终止时，应当交还全部资料和数据。</w:t>
      </w:r>
    </w:p>
    <w:p w14:paraId="57BCE842">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乙方需与甲方签署保密协议，乙方对在项目实施期间所获得的甲方的情报和资料有保密义务（包括但不限于合同履约期内），泄漏秘密应承担的责任。如有违反，按合同的违约条款向甲方支付违约金，造成甲方损失的应予赔偿，涉嫌违法或犯罪的依法追究刑事责任。</w:t>
      </w:r>
    </w:p>
    <w:p w14:paraId="1C282C68">
      <w:pPr>
        <w:spacing w:line="360" w:lineRule="auto"/>
        <w:ind w:firstLine="240" w:firstLineChars="100"/>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若项目涉及分包的，乙方须按照以上保密要求，与分包供应商签订单位保密协议、个人保密承诺书、开展日常保密教育等措施，确保分包供应商严格落实各项保密规定，并与分包供应商承担连带责任。</w:t>
      </w:r>
    </w:p>
    <w:p w14:paraId="7927CB50">
      <w:pPr>
        <w:spacing w:line="360" w:lineRule="auto"/>
        <w:ind w:firstLine="309" w:firstLineChars="129"/>
        <w:rPr>
          <w:rFonts w:ascii="仿宋" w:hAnsi="仿宋" w:eastAsia="仿宋" w:cs="仿宋"/>
          <w:b/>
          <w:bCs/>
          <w:sz w:val="24"/>
          <w:highlight w:val="none"/>
        </w:rPr>
      </w:pPr>
      <w:r>
        <w:rPr>
          <w:rFonts w:hint="eastAsia" w:ascii="仿宋" w:hAnsi="仿宋" w:eastAsia="仿宋" w:cs="仿宋"/>
          <w:kern w:val="0"/>
          <w:sz w:val="24"/>
          <w:highlight w:val="none"/>
          <w:lang w:bidi="zh-CN"/>
        </w:rPr>
        <w:t>（6）安全责任：因乙方或乙方派遣人员工作过错造成的安全管理事故，乙方负全部责任及相关费用。</w:t>
      </w:r>
    </w:p>
    <w:p w14:paraId="7CB8757A">
      <w:pPr>
        <w:spacing w:line="360" w:lineRule="auto"/>
        <w:ind w:firstLine="240" w:firstLineChars="100"/>
        <w:jc w:val="left"/>
        <w:rPr>
          <w:rFonts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w:t>
      </w:r>
      <w:r>
        <w:rPr>
          <w:rFonts w:hint="eastAsia" w:ascii="仿宋" w:hAnsi="仿宋" w:eastAsia="仿宋" w:cs="仿宋"/>
          <w:kern w:val="0"/>
          <w:sz w:val="24"/>
          <w:highlight w:val="none"/>
          <w:lang w:bidi="zh-CN"/>
        </w:rPr>
        <w:t>7</w:t>
      </w:r>
      <w:r>
        <w:rPr>
          <w:rFonts w:hint="eastAsia" w:ascii="仿宋" w:hAnsi="仿宋" w:eastAsia="仿宋" w:cs="仿宋"/>
          <w:kern w:val="0"/>
          <w:sz w:val="24"/>
          <w:highlight w:val="none"/>
          <w:lang w:val="zh-CN" w:bidi="zh-CN"/>
        </w:rPr>
        <w:t>）项目实施过程中如发生变更，应严格办理变更手续，</w:t>
      </w:r>
      <w:r>
        <w:rPr>
          <w:rFonts w:hint="eastAsia" w:ascii="仿宋" w:hAnsi="仿宋" w:eastAsia="仿宋" w:cs="仿宋"/>
          <w:kern w:val="0"/>
          <w:sz w:val="24"/>
          <w:highlight w:val="none"/>
          <w:lang w:bidi="zh-CN"/>
        </w:rPr>
        <w:t>甲方</w:t>
      </w:r>
      <w:r>
        <w:rPr>
          <w:rFonts w:hint="eastAsia" w:ascii="仿宋" w:hAnsi="仿宋" w:eastAsia="仿宋" w:cs="仿宋"/>
          <w:kern w:val="0"/>
          <w:sz w:val="24"/>
          <w:highlight w:val="none"/>
          <w:lang w:val="zh-CN" w:bidi="zh-CN"/>
        </w:rPr>
        <w:t>及</w:t>
      </w:r>
      <w:r>
        <w:rPr>
          <w:rFonts w:hint="eastAsia" w:ascii="仿宋" w:hAnsi="仿宋" w:eastAsia="仿宋" w:cs="仿宋"/>
          <w:kern w:val="0"/>
          <w:sz w:val="24"/>
          <w:highlight w:val="none"/>
          <w:lang w:bidi="zh-CN"/>
        </w:rPr>
        <w:t>乙方</w:t>
      </w:r>
      <w:r>
        <w:rPr>
          <w:rFonts w:hint="eastAsia" w:ascii="仿宋" w:hAnsi="仿宋" w:eastAsia="仿宋" w:cs="仿宋"/>
          <w:kern w:val="0"/>
          <w:sz w:val="24"/>
          <w:highlight w:val="none"/>
          <w:lang w:val="zh-CN" w:bidi="zh-CN"/>
        </w:rPr>
        <w:t>填写《信息化建设项目变更审批表》，说明变更理由和内容，并随附相关文件和监理公司意见，按</w:t>
      </w:r>
      <w:r>
        <w:rPr>
          <w:rFonts w:hint="eastAsia" w:ascii="仿宋" w:hAnsi="仿宋" w:eastAsia="仿宋" w:cs="仿宋"/>
          <w:kern w:val="0"/>
          <w:sz w:val="24"/>
          <w:highlight w:val="none"/>
          <w:lang w:bidi="zh-CN"/>
        </w:rPr>
        <w:t>甲方</w:t>
      </w:r>
      <w:r>
        <w:rPr>
          <w:rFonts w:hint="eastAsia" w:ascii="仿宋" w:hAnsi="仿宋" w:eastAsia="仿宋" w:cs="仿宋"/>
          <w:kern w:val="0"/>
          <w:sz w:val="24"/>
          <w:highlight w:val="none"/>
          <w:lang w:val="zh-CN" w:bidi="zh-CN"/>
        </w:rPr>
        <w:t>内控要求变更管理措施，否则该变更内容在款项结算时，</w:t>
      </w:r>
      <w:r>
        <w:rPr>
          <w:rFonts w:hint="eastAsia" w:ascii="仿宋" w:hAnsi="仿宋" w:eastAsia="仿宋" w:cs="仿宋"/>
          <w:kern w:val="0"/>
          <w:sz w:val="24"/>
          <w:highlight w:val="none"/>
          <w:lang w:bidi="zh-CN"/>
        </w:rPr>
        <w:t>甲方</w:t>
      </w:r>
      <w:r>
        <w:rPr>
          <w:rFonts w:hint="eastAsia" w:ascii="仿宋" w:hAnsi="仿宋" w:eastAsia="仿宋" w:cs="仿宋"/>
          <w:kern w:val="0"/>
          <w:sz w:val="24"/>
          <w:highlight w:val="none"/>
          <w:lang w:val="zh-CN" w:bidi="zh-CN"/>
        </w:rPr>
        <w:t>有权不予认可。</w:t>
      </w:r>
    </w:p>
    <w:p w14:paraId="3909F4F0">
      <w:pPr>
        <w:spacing w:line="360" w:lineRule="auto"/>
        <w:ind w:firstLine="240" w:firstLineChars="100"/>
        <w:jc w:val="left"/>
        <w:rPr>
          <w:rFonts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w:t>
      </w:r>
      <w:r>
        <w:rPr>
          <w:rFonts w:hint="eastAsia" w:ascii="仿宋" w:hAnsi="仿宋" w:eastAsia="仿宋" w:cs="仿宋"/>
          <w:kern w:val="0"/>
          <w:sz w:val="24"/>
          <w:highlight w:val="none"/>
          <w:lang w:bidi="zh-CN"/>
        </w:rPr>
        <w:t>8</w:t>
      </w:r>
      <w:r>
        <w:rPr>
          <w:rFonts w:hint="eastAsia" w:ascii="仿宋" w:hAnsi="仿宋" w:eastAsia="仿宋" w:cs="仿宋"/>
          <w:kern w:val="0"/>
          <w:sz w:val="24"/>
          <w:highlight w:val="none"/>
          <w:lang w:val="zh-CN" w:bidi="zh-CN"/>
        </w:rPr>
        <w:t>）</w:t>
      </w:r>
      <w:r>
        <w:rPr>
          <w:rFonts w:hint="eastAsia" w:ascii="仿宋" w:hAnsi="仿宋" w:eastAsia="仿宋" w:cs="仿宋"/>
          <w:kern w:val="0"/>
          <w:sz w:val="24"/>
          <w:highlight w:val="none"/>
          <w:lang w:bidi="zh-CN"/>
        </w:rPr>
        <w:t>乙方</w:t>
      </w:r>
      <w:r>
        <w:rPr>
          <w:rFonts w:hint="eastAsia" w:ascii="仿宋" w:hAnsi="仿宋" w:eastAsia="仿宋" w:cs="仿宋"/>
          <w:kern w:val="0"/>
          <w:sz w:val="24"/>
          <w:highlight w:val="none"/>
          <w:lang w:val="zh-CN" w:bidi="zh-CN"/>
        </w:rPr>
        <w:t>实施项目全过程必须接受</w:t>
      </w:r>
      <w:r>
        <w:rPr>
          <w:rFonts w:hint="eastAsia" w:ascii="仿宋" w:hAnsi="仿宋" w:eastAsia="仿宋" w:cs="仿宋"/>
          <w:kern w:val="0"/>
          <w:sz w:val="24"/>
          <w:highlight w:val="none"/>
          <w:lang w:bidi="zh-CN"/>
        </w:rPr>
        <w:t>甲方</w:t>
      </w:r>
      <w:r>
        <w:rPr>
          <w:rFonts w:hint="eastAsia" w:ascii="仿宋" w:hAnsi="仿宋" w:eastAsia="仿宋" w:cs="仿宋"/>
          <w:kern w:val="0"/>
          <w:sz w:val="24"/>
          <w:highlight w:val="none"/>
          <w:lang w:val="zh-CN" w:bidi="zh-CN"/>
        </w:rPr>
        <w:t>指定的项目监理单位监督和管理，配合监理单位开展过程监理工作、事后监理工作，包括：服务质量监理、项目进度监理、项目投资监理、项目合同执行监理、项目信息资料保管监理、服务安全监理、监理过程现场检查、服务人员监理等。</w:t>
      </w:r>
    </w:p>
    <w:p w14:paraId="2F1F8330">
      <w:pPr>
        <w:adjustRightInd/>
        <w:snapToGrid/>
        <w:spacing w:before="0" w:beforeLines="-2147483648" w:line="360" w:lineRule="auto"/>
        <w:ind w:firstLine="240" w:firstLineChars="100"/>
        <w:jc w:val="left"/>
        <w:outlineLvl w:val="9"/>
        <w:rPr>
          <w:rFonts w:ascii="仿宋" w:hAnsi="仿宋" w:eastAsia="仿宋" w:cs="仿宋"/>
          <w:b w:val="0"/>
          <w:kern w:val="0"/>
          <w:sz w:val="24"/>
          <w:highlight w:val="none"/>
          <w:lang w:bidi="zh-CN"/>
        </w:rPr>
      </w:pPr>
      <w:r>
        <w:rPr>
          <w:rFonts w:hint="eastAsia" w:ascii="仿宋" w:hAnsi="仿宋" w:eastAsia="仿宋" w:cs="仿宋"/>
          <w:kern w:val="0"/>
          <w:sz w:val="24"/>
          <w:highlight w:val="none"/>
          <w:lang w:val="zh-CN" w:bidi="zh-CN"/>
        </w:rPr>
        <w:t>（</w:t>
      </w:r>
      <w:r>
        <w:rPr>
          <w:rFonts w:ascii="仿宋" w:hAnsi="仿宋" w:eastAsia="仿宋" w:cs="仿宋"/>
          <w:kern w:val="0"/>
          <w:sz w:val="24"/>
          <w:highlight w:val="none"/>
          <w:lang w:bidi="zh-CN"/>
        </w:rPr>
        <w:t>9</w:t>
      </w:r>
      <w:r>
        <w:rPr>
          <w:rFonts w:hint="eastAsia" w:ascii="仿宋" w:hAnsi="仿宋" w:eastAsia="仿宋" w:cs="仿宋"/>
          <w:kern w:val="0"/>
          <w:sz w:val="24"/>
          <w:highlight w:val="none"/>
          <w:lang w:val="zh-CN" w:bidi="zh-CN"/>
        </w:rPr>
        <w:t>）</w:t>
      </w:r>
      <w:bookmarkStart w:id="405" w:name="OLE_LINK22"/>
      <w:bookmarkStart w:id="406" w:name="OLE_LINK23"/>
      <w:r>
        <w:rPr>
          <w:rFonts w:hint="eastAsia" w:ascii="仿宋" w:hAnsi="仿宋" w:eastAsia="仿宋" w:cs="仿宋"/>
          <w:kern w:val="0"/>
          <w:sz w:val="24"/>
          <w:highlight w:val="none"/>
          <w:lang w:val="zh-CN" w:bidi="zh-CN"/>
        </w:rPr>
        <w:t>本项目服务期结束后，服务器存储硬盘内所存储数据需根据</w:t>
      </w:r>
      <w:r>
        <w:rPr>
          <w:rFonts w:hint="eastAsia" w:ascii="仿宋" w:hAnsi="仿宋" w:eastAsia="仿宋" w:cs="仿宋"/>
          <w:kern w:val="0"/>
          <w:sz w:val="24"/>
          <w:highlight w:val="none"/>
          <w:lang w:bidi="zh-CN"/>
        </w:rPr>
        <w:t>甲方</w:t>
      </w:r>
      <w:r>
        <w:rPr>
          <w:rFonts w:hint="eastAsia" w:ascii="仿宋" w:hAnsi="仿宋" w:eastAsia="仿宋" w:cs="仿宋"/>
          <w:kern w:val="0"/>
          <w:sz w:val="24"/>
          <w:highlight w:val="none"/>
          <w:lang w:val="zh-CN" w:bidi="zh-CN"/>
        </w:rPr>
        <w:t>要求做好迁移及清理工作</w:t>
      </w:r>
      <w:bookmarkEnd w:id="405"/>
      <w:bookmarkEnd w:id="406"/>
      <w:r>
        <w:rPr>
          <w:rFonts w:hint="eastAsia" w:ascii="仿宋" w:hAnsi="仿宋" w:eastAsia="仿宋" w:cs="仿宋"/>
          <w:kern w:val="0"/>
          <w:sz w:val="24"/>
          <w:highlight w:val="none"/>
          <w:lang w:val="zh-CN" w:bidi="zh-CN"/>
        </w:rPr>
        <w:t>。</w:t>
      </w:r>
    </w:p>
    <w:p w14:paraId="406DCD02">
      <w:pPr>
        <w:snapToGrid w:val="0"/>
        <w:spacing w:before="120" w:beforeLines="50" w:line="360" w:lineRule="auto"/>
        <w:ind w:firstLine="484" w:firstLineChars="201"/>
        <w:outlineLvl w:val="2"/>
        <w:rPr>
          <w:rFonts w:ascii="仿宋" w:hAnsi="仿宋" w:eastAsia="仿宋" w:cs="仿宋"/>
          <w:b/>
          <w:sz w:val="24"/>
          <w:highlight w:val="none"/>
        </w:rPr>
      </w:pPr>
      <w:r>
        <w:rPr>
          <w:rFonts w:hint="eastAsia" w:ascii="仿宋" w:hAnsi="仿宋" w:eastAsia="仿宋" w:cs="仿宋"/>
          <w:b/>
          <w:sz w:val="24"/>
          <w:highlight w:val="none"/>
        </w:rPr>
        <w:t>附件一：每月考核表</w:t>
      </w:r>
    </w:p>
    <w:p w14:paraId="1FAE21E0">
      <w:pPr>
        <w:spacing w:line="360" w:lineRule="auto"/>
        <w:ind w:firstLine="420"/>
        <w:jc w:val="left"/>
        <w:rPr>
          <w:rFonts w:ascii="仿宋" w:hAnsi="仿宋" w:eastAsia="仿宋" w:cs="仿宋"/>
          <w:sz w:val="24"/>
          <w:highlight w:val="none"/>
          <w:u w:val="single"/>
        </w:rPr>
      </w:pPr>
      <w:r>
        <w:rPr>
          <w:rFonts w:hint="eastAsia" w:ascii="仿宋" w:hAnsi="仿宋" w:eastAsia="仿宋" w:cs="仿宋"/>
          <w:sz w:val="24"/>
          <w:highlight w:val="none"/>
          <w:u w:val="single"/>
        </w:rPr>
        <w:t>甲方负责对本项目的管理指导、验收考核等职责，督促乙方履行合同。甲方委托监理单位对乙方服务工作进行考核，考核结果由甲方经办人、审核人、监理单位、乙方签字盖章。如考核周期内重复出现相同扣分情形，累计计算扣除分值。</w:t>
      </w:r>
    </w:p>
    <w:p w14:paraId="2FDB4335">
      <w:pPr>
        <w:snapToGrid w:val="0"/>
        <w:spacing w:line="360" w:lineRule="auto"/>
        <w:ind w:firstLine="480" w:firstLineChars="200"/>
        <w:rPr>
          <w:rFonts w:ascii="仿宋" w:hAnsi="仿宋" w:eastAsia="仿宋" w:cs="仿宋"/>
          <w:sz w:val="24"/>
          <w:highlight w:val="none"/>
          <w:u w:val="single"/>
          <w:lang w:val="zh-CN"/>
        </w:rPr>
      </w:pPr>
      <w:r>
        <w:rPr>
          <w:rFonts w:hint="eastAsia" w:ascii="仿宋" w:hAnsi="仿宋" w:eastAsia="仿宋" w:cs="仿宋"/>
          <w:sz w:val="24"/>
          <w:highlight w:val="none"/>
          <w:u w:val="single"/>
        </w:rPr>
        <w:t>本考核对乙方服务工作进行考核以月为考核周期，采用百分制计分方式，每月1日初始计分为100分，甲方委托监理单位根据逐条考核事项及对应扣分对乙方进行计分。乙方每被扣1分，扣除违约金1000元，结算合同尾款时一次性扣除。当月考核结果低于80分的，应递交书面整改报告。乙方当月考核结果低于60分、或连续二个月考核结果低于70分、或连续三个月考核结果低于80分，甲方有权没收乙方全部履约保证金，并且甲方有权无条件解除合同，如给甲方造成损失的有权向乙方提出索赔。</w:t>
      </w:r>
    </w:p>
    <w:p w14:paraId="601640A7">
      <w:pPr>
        <w:snapToGrid w:val="0"/>
        <w:spacing w:line="360" w:lineRule="auto"/>
        <w:ind w:firstLine="480" w:firstLineChars="200"/>
        <w:rPr>
          <w:rFonts w:ascii="仿宋" w:hAnsi="仿宋" w:eastAsia="仿宋" w:cs="仿宋"/>
          <w:sz w:val="24"/>
          <w:highlight w:val="none"/>
          <w:u w:val="single"/>
          <w:lang w:val="zh-CN"/>
        </w:rPr>
      </w:pPr>
      <w:r>
        <w:rPr>
          <w:rFonts w:hint="eastAsia" w:ascii="仿宋" w:hAnsi="仿宋" w:eastAsia="仿宋" w:cs="仿宋"/>
          <w:sz w:val="24"/>
          <w:highlight w:val="none"/>
          <w:u w:val="single"/>
          <w:lang w:val="zh-CN"/>
        </w:rPr>
        <w:t>考核内容具体如下：</w:t>
      </w:r>
    </w:p>
    <w:p w14:paraId="2F8C3481">
      <w:pPr>
        <w:spacing w:before="120" w:beforeLines="50" w:line="360" w:lineRule="auto"/>
        <w:jc w:val="center"/>
        <w:rPr>
          <w:rFonts w:ascii="仿宋" w:hAnsi="仿宋" w:eastAsia="仿宋" w:cs="仿宋"/>
          <w:sz w:val="24"/>
          <w:highlight w:val="none"/>
        </w:rPr>
      </w:pPr>
      <w:r>
        <w:rPr>
          <w:rFonts w:hint="eastAsia" w:ascii="仿宋" w:hAnsi="仿宋" w:eastAsia="仿宋" w:cs="仿宋"/>
          <w:sz w:val="24"/>
          <w:highlight w:val="none"/>
        </w:rPr>
        <w:t>每月考核表（2025/2026年月）</w:t>
      </w:r>
    </w:p>
    <w:tbl>
      <w:tblPr>
        <w:tblStyle w:val="62"/>
        <w:tblW w:w="5612" w:type="pct"/>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453"/>
        <w:gridCol w:w="2660"/>
        <w:gridCol w:w="2981"/>
        <w:gridCol w:w="1597"/>
        <w:gridCol w:w="974"/>
      </w:tblGrid>
      <w:tr w14:paraId="7F41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337" w:type="pct"/>
            <w:gridSpan w:val="3"/>
            <w:tcBorders>
              <w:top w:val="single" w:color="auto" w:sz="4" w:space="0"/>
              <w:left w:val="single" w:color="auto" w:sz="4" w:space="0"/>
              <w:bottom w:val="single" w:color="auto" w:sz="4" w:space="0"/>
              <w:right w:val="single" w:color="auto" w:sz="4" w:space="0"/>
            </w:tcBorders>
            <w:vAlign w:val="center"/>
          </w:tcPr>
          <w:p w14:paraId="6B54D49F">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rPr>
              <w:t>乙方：</w:t>
            </w:r>
          </w:p>
        </w:tc>
        <w:tc>
          <w:tcPr>
            <w:tcW w:w="2663" w:type="pct"/>
            <w:gridSpan w:val="3"/>
            <w:tcBorders>
              <w:top w:val="single" w:color="auto" w:sz="4" w:space="0"/>
              <w:left w:val="single" w:color="auto" w:sz="4" w:space="0"/>
              <w:bottom w:val="single" w:color="auto" w:sz="4" w:space="0"/>
              <w:right w:val="single" w:color="auto" w:sz="4" w:space="0"/>
            </w:tcBorders>
            <w:vAlign w:val="center"/>
          </w:tcPr>
          <w:p w14:paraId="70EE61E8">
            <w:pPr>
              <w:snapToGrid w:val="0"/>
              <w:spacing w:line="360" w:lineRule="auto"/>
              <w:jc w:val="left"/>
              <w:rPr>
                <w:rFonts w:ascii="仿宋" w:hAnsi="仿宋" w:eastAsia="仿宋" w:cs="仿宋"/>
                <w:bCs/>
                <w:sz w:val="24"/>
                <w:highlight w:val="none"/>
                <w:lang w:val="zh-CN"/>
              </w:rPr>
            </w:pPr>
            <w:r>
              <w:rPr>
                <w:rFonts w:hint="eastAsia" w:ascii="仿宋" w:hAnsi="仿宋" w:eastAsia="仿宋" w:cs="仿宋"/>
                <w:kern w:val="0"/>
                <w:sz w:val="24"/>
                <w:highlight w:val="none"/>
              </w:rPr>
              <w:t>填表日期：年月日</w:t>
            </w:r>
          </w:p>
        </w:tc>
      </w:tr>
      <w:tr w14:paraId="18AB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64" w:type="pct"/>
            <w:tcBorders>
              <w:top w:val="single" w:color="auto" w:sz="4" w:space="0"/>
              <w:left w:val="single" w:color="auto" w:sz="4" w:space="0"/>
              <w:bottom w:val="single" w:color="auto" w:sz="4" w:space="0"/>
              <w:right w:val="single" w:color="auto" w:sz="4" w:space="0"/>
            </w:tcBorders>
            <w:vAlign w:val="center"/>
          </w:tcPr>
          <w:p w14:paraId="2F6D6D5F">
            <w:pPr>
              <w:snapToGrid w:val="0"/>
              <w:spacing w:line="360" w:lineRule="auto"/>
              <w:jc w:val="center"/>
              <w:rPr>
                <w:rFonts w:ascii="仿宋" w:hAnsi="仿宋" w:eastAsia="仿宋" w:cs="仿宋"/>
                <w:bCs/>
                <w:sz w:val="24"/>
                <w:highlight w:val="none"/>
                <w:lang w:val="zh-CN"/>
              </w:rPr>
            </w:pPr>
            <w:r>
              <w:rPr>
                <w:rFonts w:hint="eastAsia" w:ascii="仿宋" w:hAnsi="仿宋" w:eastAsia="仿宋" w:cs="仿宋"/>
                <w:bCs/>
                <w:sz w:val="24"/>
                <w:highlight w:val="none"/>
                <w:lang w:val="zh-CN"/>
              </w:rPr>
              <w:t>序号</w:t>
            </w:r>
          </w:p>
        </w:tc>
        <w:tc>
          <w:tcPr>
            <w:tcW w:w="697" w:type="pct"/>
            <w:tcBorders>
              <w:top w:val="single" w:color="auto" w:sz="4" w:space="0"/>
              <w:left w:val="single" w:color="auto" w:sz="4" w:space="0"/>
              <w:bottom w:val="single" w:color="auto" w:sz="4" w:space="0"/>
              <w:right w:val="single" w:color="auto" w:sz="4" w:space="0"/>
            </w:tcBorders>
            <w:vAlign w:val="center"/>
          </w:tcPr>
          <w:p w14:paraId="59CAE587">
            <w:pPr>
              <w:snapToGrid w:val="0"/>
              <w:spacing w:line="360" w:lineRule="auto"/>
              <w:jc w:val="center"/>
              <w:rPr>
                <w:rFonts w:ascii="仿宋" w:hAnsi="仿宋" w:eastAsia="仿宋" w:cs="仿宋"/>
                <w:bCs/>
                <w:sz w:val="24"/>
                <w:highlight w:val="none"/>
                <w:lang w:val="zh-CN"/>
              </w:rPr>
            </w:pPr>
            <w:r>
              <w:rPr>
                <w:rFonts w:hint="eastAsia" w:ascii="仿宋" w:hAnsi="仿宋" w:eastAsia="仿宋" w:cs="仿宋"/>
                <w:bCs/>
                <w:sz w:val="24"/>
                <w:highlight w:val="none"/>
                <w:lang w:val="zh-CN"/>
              </w:rPr>
              <w:t>考核项目</w:t>
            </w:r>
          </w:p>
        </w:tc>
        <w:tc>
          <w:tcPr>
            <w:tcW w:w="2706" w:type="pct"/>
            <w:gridSpan w:val="2"/>
            <w:tcBorders>
              <w:top w:val="single" w:color="auto" w:sz="4" w:space="0"/>
              <w:left w:val="single" w:color="auto" w:sz="4" w:space="0"/>
              <w:bottom w:val="single" w:color="auto" w:sz="4" w:space="0"/>
              <w:right w:val="single" w:color="auto" w:sz="4" w:space="0"/>
            </w:tcBorders>
            <w:vAlign w:val="center"/>
          </w:tcPr>
          <w:p w14:paraId="623132DD">
            <w:pPr>
              <w:snapToGrid w:val="0"/>
              <w:spacing w:line="360" w:lineRule="auto"/>
              <w:jc w:val="center"/>
              <w:rPr>
                <w:rFonts w:ascii="仿宋" w:hAnsi="仿宋" w:eastAsia="仿宋" w:cs="仿宋"/>
                <w:bCs/>
                <w:sz w:val="24"/>
                <w:highlight w:val="none"/>
                <w:lang w:val="zh-CN"/>
              </w:rPr>
            </w:pPr>
            <w:r>
              <w:rPr>
                <w:rFonts w:hint="eastAsia" w:ascii="仿宋" w:hAnsi="仿宋" w:eastAsia="仿宋" w:cs="仿宋"/>
                <w:bCs/>
                <w:sz w:val="24"/>
                <w:highlight w:val="none"/>
                <w:lang w:val="zh-CN"/>
              </w:rPr>
              <w:t>考核内容</w:t>
            </w:r>
          </w:p>
        </w:tc>
        <w:tc>
          <w:tcPr>
            <w:tcW w:w="766" w:type="pct"/>
            <w:tcBorders>
              <w:top w:val="single" w:color="auto" w:sz="4" w:space="0"/>
              <w:left w:val="single" w:color="auto" w:sz="4" w:space="0"/>
              <w:bottom w:val="single" w:color="auto" w:sz="4" w:space="0"/>
              <w:right w:val="single" w:color="auto" w:sz="4" w:space="0"/>
            </w:tcBorders>
            <w:vAlign w:val="center"/>
          </w:tcPr>
          <w:p w14:paraId="5DD9F5A2">
            <w:pPr>
              <w:snapToGrid w:val="0"/>
              <w:spacing w:line="360" w:lineRule="auto"/>
              <w:jc w:val="center"/>
              <w:rPr>
                <w:rFonts w:ascii="仿宋" w:hAnsi="仿宋" w:eastAsia="仿宋" w:cs="仿宋"/>
                <w:bCs/>
                <w:sz w:val="24"/>
                <w:highlight w:val="none"/>
                <w:lang w:val="zh-CN"/>
              </w:rPr>
            </w:pPr>
            <w:r>
              <w:rPr>
                <w:rFonts w:hint="eastAsia" w:ascii="仿宋" w:hAnsi="仿宋" w:eastAsia="仿宋" w:cs="仿宋"/>
                <w:bCs/>
                <w:sz w:val="24"/>
                <w:highlight w:val="none"/>
                <w:lang w:val="zh-CN"/>
              </w:rPr>
              <w:t>考核扣分</w:t>
            </w:r>
          </w:p>
        </w:tc>
        <w:tc>
          <w:tcPr>
            <w:tcW w:w="467" w:type="pct"/>
            <w:tcBorders>
              <w:top w:val="single" w:color="auto" w:sz="4" w:space="0"/>
              <w:left w:val="single" w:color="auto" w:sz="4" w:space="0"/>
              <w:bottom w:val="single" w:color="auto" w:sz="4" w:space="0"/>
              <w:right w:val="single" w:color="auto" w:sz="4" w:space="0"/>
            </w:tcBorders>
            <w:vAlign w:val="center"/>
          </w:tcPr>
          <w:p w14:paraId="3C935126">
            <w:pPr>
              <w:snapToGrid w:val="0"/>
              <w:spacing w:line="360" w:lineRule="auto"/>
              <w:jc w:val="center"/>
              <w:rPr>
                <w:rFonts w:ascii="仿宋" w:hAnsi="仿宋" w:eastAsia="仿宋" w:cs="仿宋"/>
                <w:bCs/>
                <w:sz w:val="24"/>
                <w:highlight w:val="none"/>
                <w:lang w:val="zh-CN"/>
              </w:rPr>
            </w:pPr>
            <w:r>
              <w:rPr>
                <w:rFonts w:hint="eastAsia" w:ascii="仿宋" w:hAnsi="仿宋" w:eastAsia="仿宋" w:cs="仿宋"/>
                <w:bCs/>
                <w:sz w:val="24"/>
                <w:highlight w:val="none"/>
                <w:lang w:val="zh-CN"/>
              </w:rPr>
              <w:t>备注</w:t>
            </w:r>
          </w:p>
        </w:tc>
      </w:tr>
      <w:tr w14:paraId="165F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tcBorders>
              <w:top w:val="single" w:color="auto" w:sz="4" w:space="0"/>
              <w:left w:val="single" w:color="auto" w:sz="4" w:space="0"/>
              <w:bottom w:val="single" w:color="auto" w:sz="4" w:space="0"/>
              <w:right w:val="single" w:color="auto" w:sz="4" w:space="0"/>
            </w:tcBorders>
            <w:vAlign w:val="center"/>
          </w:tcPr>
          <w:p w14:paraId="6CA6220C">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1</w:t>
            </w:r>
          </w:p>
        </w:tc>
        <w:tc>
          <w:tcPr>
            <w:tcW w:w="697" w:type="pct"/>
            <w:tcBorders>
              <w:top w:val="single" w:color="auto" w:sz="4" w:space="0"/>
              <w:left w:val="single" w:color="auto" w:sz="4" w:space="0"/>
              <w:bottom w:val="single" w:color="auto" w:sz="4" w:space="0"/>
              <w:right w:val="single" w:color="auto" w:sz="4" w:space="0"/>
            </w:tcBorders>
            <w:vAlign w:val="center"/>
          </w:tcPr>
          <w:p w14:paraId="27DE5CA9">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设备参数符合情况</w:t>
            </w:r>
          </w:p>
        </w:tc>
        <w:tc>
          <w:tcPr>
            <w:tcW w:w="2706" w:type="pct"/>
            <w:gridSpan w:val="2"/>
            <w:tcBorders>
              <w:top w:val="single" w:color="auto" w:sz="4" w:space="0"/>
              <w:left w:val="single" w:color="auto" w:sz="4" w:space="0"/>
              <w:bottom w:val="single" w:color="auto" w:sz="4" w:space="0"/>
              <w:right w:val="single" w:color="auto" w:sz="4" w:space="0"/>
            </w:tcBorders>
            <w:vAlign w:val="center"/>
          </w:tcPr>
          <w:p w14:paraId="6EDD4180">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发现在租赁服务期内，提供设备数量、品牌、型号与合同不符合的。每出现一次扣1分/台。变更产品未填写</w:t>
            </w:r>
            <w:r>
              <w:rPr>
                <w:rFonts w:hint="eastAsia" w:ascii="仿宋" w:hAnsi="仿宋" w:eastAsia="仿宋" w:cs="仿宋"/>
                <w:bCs/>
                <w:sz w:val="24"/>
                <w:highlight w:val="none"/>
              </w:rPr>
              <w:t>《信息化建设项目变更审批表》，</w:t>
            </w:r>
            <w:r>
              <w:rPr>
                <w:rFonts w:hint="eastAsia" w:ascii="仿宋" w:hAnsi="仿宋" w:eastAsia="仿宋" w:cs="仿宋"/>
                <w:bCs/>
                <w:sz w:val="24"/>
                <w:highlight w:val="none"/>
                <w:lang w:val="zh-CN"/>
              </w:rPr>
              <w:t>每出现一次扣3分。</w:t>
            </w:r>
          </w:p>
        </w:tc>
        <w:tc>
          <w:tcPr>
            <w:tcW w:w="766" w:type="pct"/>
            <w:tcBorders>
              <w:top w:val="single" w:color="auto" w:sz="4" w:space="0"/>
              <w:left w:val="single" w:color="auto" w:sz="4" w:space="0"/>
              <w:bottom w:val="single" w:color="auto" w:sz="4" w:space="0"/>
              <w:right w:val="single" w:color="auto" w:sz="4" w:space="0"/>
            </w:tcBorders>
            <w:vAlign w:val="center"/>
          </w:tcPr>
          <w:p w14:paraId="199022CA">
            <w:pPr>
              <w:snapToGrid w:val="0"/>
              <w:spacing w:line="360" w:lineRule="auto"/>
              <w:rPr>
                <w:rFonts w:ascii="仿宋" w:hAnsi="仿宋" w:eastAsia="仿宋" w:cs="仿宋"/>
                <w:bCs/>
                <w:sz w:val="24"/>
                <w:highlight w:val="none"/>
                <w:lang w:val="zh-CN"/>
              </w:rPr>
            </w:pPr>
          </w:p>
        </w:tc>
        <w:tc>
          <w:tcPr>
            <w:tcW w:w="467" w:type="pct"/>
            <w:tcBorders>
              <w:top w:val="single" w:color="auto" w:sz="4" w:space="0"/>
              <w:left w:val="single" w:color="auto" w:sz="4" w:space="0"/>
              <w:bottom w:val="single" w:color="auto" w:sz="4" w:space="0"/>
              <w:right w:val="single" w:color="auto" w:sz="4" w:space="0"/>
            </w:tcBorders>
            <w:vAlign w:val="center"/>
          </w:tcPr>
          <w:p w14:paraId="484D6870">
            <w:pPr>
              <w:snapToGrid w:val="0"/>
              <w:spacing w:line="360" w:lineRule="auto"/>
              <w:rPr>
                <w:rFonts w:ascii="仿宋" w:hAnsi="仿宋" w:eastAsia="仿宋" w:cs="仿宋"/>
                <w:bCs/>
                <w:sz w:val="24"/>
                <w:highlight w:val="none"/>
                <w:lang w:val="zh-CN"/>
              </w:rPr>
            </w:pPr>
          </w:p>
        </w:tc>
      </w:tr>
      <w:tr w14:paraId="2EC8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64" w:type="pct"/>
            <w:tcBorders>
              <w:top w:val="single" w:color="auto" w:sz="4" w:space="0"/>
              <w:left w:val="single" w:color="auto" w:sz="4" w:space="0"/>
              <w:bottom w:val="single" w:color="auto" w:sz="4" w:space="0"/>
              <w:right w:val="single" w:color="auto" w:sz="4" w:space="0"/>
            </w:tcBorders>
            <w:vAlign w:val="center"/>
          </w:tcPr>
          <w:p w14:paraId="44DBBBE7">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2</w:t>
            </w:r>
          </w:p>
        </w:tc>
        <w:tc>
          <w:tcPr>
            <w:tcW w:w="697" w:type="pct"/>
            <w:tcBorders>
              <w:top w:val="single" w:color="auto" w:sz="4" w:space="0"/>
              <w:left w:val="single" w:color="auto" w:sz="4" w:space="0"/>
              <w:bottom w:val="single" w:color="auto" w:sz="4" w:space="0"/>
              <w:right w:val="single" w:color="auto" w:sz="4" w:space="0"/>
            </w:tcBorders>
            <w:vAlign w:val="center"/>
          </w:tcPr>
          <w:p w14:paraId="1AB2C849">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服务响应</w:t>
            </w:r>
          </w:p>
        </w:tc>
        <w:tc>
          <w:tcPr>
            <w:tcW w:w="2706" w:type="pct"/>
            <w:gridSpan w:val="2"/>
            <w:tcBorders>
              <w:top w:val="single" w:color="auto" w:sz="4" w:space="0"/>
              <w:left w:val="single" w:color="auto" w:sz="4" w:space="0"/>
              <w:bottom w:val="single" w:color="auto" w:sz="4" w:space="0"/>
              <w:right w:val="single" w:color="auto" w:sz="4" w:space="0"/>
            </w:tcBorders>
            <w:vAlign w:val="center"/>
          </w:tcPr>
          <w:p w14:paraId="7FA56E30">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fldChar w:fldCharType="begin"/>
            </w:r>
            <w:r>
              <w:rPr>
                <w:rFonts w:hint="eastAsia" w:ascii="仿宋" w:hAnsi="仿宋" w:eastAsia="仿宋" w:cs="仿宋"/>
                <w:bCs/>
                <w:sz w:val="24"/>
                <w:highlight w:val="none"/>
                <w:lang w:val="zh-CN"/>
              </w:rPr>
              <w:instrText xml:space="preserve"> = 1 \* GB3 \* MERGEFORMAT </w:instrText>
            </w:r>
            <w:r>
              <w:rPr>
                <w:rFonts w:hint="eastAsia" w:ascii="仿宋" w:hAnsi="仿宋" w:eastAsia="仿宋" w:cs="仿宋"/>
                <w:bCs/>
                <w:sz w:val="24"/>
                <w:highlight w:val="none"/>
                <w:lang w:val="zh-CN"/>
              </w:rPr>
              <w:fldChar w:fldCharType="separate"/>
            </w:r>
            <w:r>
              <w:rPr>
                <w:rFonts w:hint="eastAsia" w:ascii="仿宋" w:hAnsi="仿宋" w:eastAsia="仿宋" w:cs="仿宋"/>
                <w:bCs/>
                <w:sz w:val="24"/>
                <w:highlight w:val="none"/>
                <w:lang w:val="zh-CN"/>
              </w:rPr>
              <w:t>①</w:t>
            </w:r>
            <w:r>
              <w:rPr>
                <w:rFonts w:hint="eastAsia" w:ascii="仿宋" w:hAnsi="仿宋" w:eastAsia="仿宋" w:cs="仿宋"/>
                <w:bCs/>
                <w:sz w:val="24"/>
                <w:highlight w:val="none"/>
                <w:lang w:val="zh-CN"/>
              </w:rPr>
              <w:fldChar w:fldCharType="end"/>
            </w:r>
            <w:r>
              <w:rPr>
                <w:rFonts w:hint="eastAsia" w:ascii="仿宋" w:hAnsi="仿宋" w:eastAsia="仿宋" w:cs="仿宋"/>
                <w:bCs/>
                <w:sz w:val="24"/>
                <w:highlight w:val="none"/>
                <w:lang w:val="zh-CN"/>
              </w:rPr>
              <w:t>未提供7*24小时服务的，每发现一次扣2分。②出现故障时，乙方未在接到故障申告后4小时以内派技术人员现场检修，每发现一次扣1分。</w:t>
            </w:r>
            <w:r>
              <w:rPr>
                <w:rFonts w:hint="eastAsia" w:ascii="宋体" w:hAnsi="宋体" w:cs="宋体"/>
                <w:bCs/>
                <w:sz w:val="24"/>
                <w:highlight w:val="none"/>
                <w:lang w:val="zh-CN"/>
              </w:rPr>
              <w:t>③</w:t>
            </w:r>
            <w:r>
              <w:rPr>
                <w:rFonts w:hint="eastAsia" w:ascii="仿宋" w:hAnsi="仿宋" w:eastAsia="仿宋" w:cs="仿宋"/>
                <w:bCs/>
                <w:sz w:val="24"/>
                <w:highlight w:val="none"/>
                <w:lang w:val="zh-CN"/>
              </w:rPr>
              <w:t>未在48小时内修复故障的，每发现一次扣2分。</w:t>
            </w:r>
          </w:p>
        </w:tc>
        <w:tc>
          <w:tcPr>
            <w:tcW w:w="766" w:type="pct"/>
            <w:tcBorders>
              <w:top w:val="single" w:color="auto" w:sz="4" w:space="0"/>
              <w:left w:val="single" w:color="auto" w:sz="4" w:space="0"/>
              <w:bottom w:val="single" w:color="auto" w:sz="4" w:space="0"/>
              <w:right w:val="single" w:color="auto" w:sz="4" w:space="0"/>
            </w:tcBorders>
            <w:vAlign w:val="center"/>
          </w:tcPr>
          <w:p w14:paraId="102093E1">
            <w:pPr>
              <w:snapToGrid w:val="0"/>
              <w:spacing w:line="360" w:lineRule="auto"/>
              <w:rPr>
                <w:rFonts w:ascii="仿宋" w:hAnsi="仿宋" w:eastAsia="仿宋" w:cs="仿宋"/>
                <w:bCs/>
                <w:sz w:val="24"/>
                <w:highlight w:val="none"/>
                <w:lang w:val="zh-CN"/>
              </w:rPr>
            </w:pPr>
          </w:p>
        </w:tc>
        <w:tc>
          <w:tcPr>
            <w:tcW w:w="467" w:type="pct"/>
            <w:tcBorders>
              <w:top w:val="single" w:color="auto" w:sz="4" w:space="0"/>
              <w:left w:val="single" w:color="auto" w:sz="4" w:space="0"/>
              <w:bottom w:val="single" w:color="auto" w:sz="4" w:space="0"/>
              <w:right w:val="single" w:color="auto" w:sz="4" w:space="0"/>
            </w:tcBorders>
            <w:vAlign w:val="center"/>
          </w:tcPr>
          <w:p w14:paraId="22409E43">
            <w:pPr>
              <w:snapToGrid w:val="0"/>
              <w:spacing w:line="360" w:lineRule="auto"/>
              <w:rPr>
                <w:rFonts w:ascii="仿宋" w:hAnsi="仿宋" w:eastAsia="仿宋" w:cs="仿宋"/>
                <w:bCs/>
                <w:sz w:val="24"/>
                <w:highlight w:val="none"/>
                <w:lang w:val="zh-CN"/>
              </w:rPr>
            </w:pPr>
          </w:p>
        </w:tc>
      </w:tr>
      <w:tr w14:paraId="528D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tcBorders>
              <w:top w:val="single" w:color="auto" w:sz="4" w:space="0"/>
              <w:left w:val="single" w:color="auto" w:sz="4" w:space="0"/>
              <w:bottom w:val="single" w:color="auto" w:sz="4" w:space="0"/>
              <w:right w:val="single" w:color="auto" w:sz="4" w:space="0"/>
            </w:tcBorders>
            <w:vAlign w:val="center"/>
          </w:tcPr>
          <w:p w14:paraId="5359CAC7">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3</w:t>
            </w:r>
          </w:p>
        </w:tc>
        <w:tc>
          <w:tcPr>
            <w:tcW w:w="697" w:type="pct"/>
            <w:tcBorders>
              <w:top w:val="single" w:color="auto" w:sz="4" w:space="0"/>
              <w:left w:val="single" w:color="auto" w:sz="4" w:space="0"/>
              <w:bottom w:val="single" w:color="auto" w:sz="4" w:space="0"/>
              <w:right w:val="single" w:color="auto" w:sz="4" w:space="0"/>
            </w:tcBorders>
            <w:vAlign w:val="center"/>
          </w:tcPr>
          <w:p w14:paraId="406AC572">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资料信息</w:t>
            </w:r>
          </w:p>
        </w:tc>
        <w:tc>
          <w:tcPr>
            <w:tcW w:w="2706" w:type="pct"/>
            <w:gridSpan w:val="2"/>
            <w:tcBorders>
              <w:top w:val="single" w:color="auto" w:sz="4" w:space="0"/>
              <w:left w:val="single" w:color="auto" w:sz="4" w:space="0"/>
              <w:bottom w:val="single" w:color="auto" w:sz="4" w:space="0"/>
              <w:right w:val="single" w:color="auto" w:sz="4" w:space="0"/>
            </w:tcBorders>
            <w:vAlign w:val="center"/>
          </w:tcPr>
          <w:p w14:paraId="6FC4133A">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出现未在规定时间内提交文档资料、提供虚假材料、维护记录表填写不完整、未按监理通知单配合工作等情况的，每出现一次扣15分。</w:t>
            </w:r>
          </w:p>
        </w:tc>
        <w:tc>
          <w:tcPr>
            <w:tcW w:w="766" w:type="pct"/>
            <w:tcBorders>
              <w:top w:val="single" w:color="auto" w:sz="4" w:space="0"/>
              <w:left w:val="single" w:color="auto" w:sz="4" w:space="0"/>
              <w:bottom w:val="single" w:color="auto" w:sz="4" w:space="0"/>
              <w:right w:val="single" w:color="auto" w:sz="4" w:space="0"/>
            </w:tcBorders>
            <w:vAlign w:val="center"/>
          </w:tcPr>
          <w:p w14:paraId="2D6E8CD2">
            <w:pPr>
              <w:snapToGrid w:val="0"/>
              <w:spacing w:line="360" w:lineRule="auto"/>
              <w:rPr>
                <w:rFonts w:ascii="仿宋" w:hAnsi="仿宋" w:eastAsia="仿宋" w:cs="仿宋"/>
                <w:bCs/>
                <w:sz w:val="24"/>
                <w:highlight w:val="none"/>
                <w:lang w:val="zh-CN"/>
              </w:rPr>
            </w:pPr>
          </w:p>
        </w:tc>
        <w:tc>
          <w:tcPr>
            <w:tcW w:w="467" w:type="pct"/>
            <w:tcBorders>
              <w:top w:val="single" w:color="auto" w:sz="4" w:space="0"/>
              <w:left w:val="single" w:color="auto" w:sz="4" w:space="0"/>
              <w:bottom w:val="single" w:color="auto" w:sz="4" w:space="0"/>
              <w:right w:val="single" w:color="auto" w:sz="4" w:space="0"/>
            </w:tcBorders>
            <w:vAlign w:val="center"/>
          </w:tcPr>
          <w:p w14:paraId="573AE379">
            <w:pPr>
              <w:snapToGrid w:val="0"/>
              <w:spacing w:line="360" w:lineRule="auto"/>
              <w:rPr>
                <w:rFonts w:ascii="仿宋" w:hAnsi="仿宋" w:eastAsia="仿宋" w:cs="仿宋"/>
                <w:bCs/>
                <w:sz w:val="24"/>
                <w:highlight w:val="none"/>
                <w:lang w:val="zh-CN"/>
              </w:rPr>
            </w:pPr>
          </w:p>
        </w:tc>
      </w:tr>
      <w:tr w14:paraId="4DDA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64" w:type="pct"/>
            <w:vMerge w:val="restart"/>
            <w:tcBorders>
              <w:top w:val="single" w:color="auto" w:sz="4" w:space="0"/>
              <w:left w:val="single" w:color="auto" w:sz="4" w:space="0"/>
              <w:bottom w:val="single" w:color="auto" w:sz="4" w:space="0"/>
              <w:right w:val="single" w:color="auto" w:sz="4" w:space="0"/>
            </w:tcBorders>
            <w:vAlign w:val="center"/>
          </w:tcPr>
          <w:p w14:paraId="7DB94D6E">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4</w:t>
            </w:r>
          </w:p>
        </w:tc>
        <w:tc>
          <w:tcPr>
            <w:tcW w:w="697" w:type="pct"/>
            <w:vMerge w:val="restart"/>
            <w:tcBorders>
              <w:top w:val="single" w:color="auto" w:sz="4" w:space="0"/>
              <w:left w:val="single" w:color="auto" w:sz="4" w:space="0"/>
              <w:bottom w:val="single" w:color="auto" w:sz="4" w:space="0"/>
              <w:right w:val="single" w:color="auto" w:sz="4" w:space="0"/>
            </w:tcBorders>
            <w:vAlign w:val="center"/>
          </w:tcPr>
          <w:p w14:paraId="27221848">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人员要求</w:t>
            </w:r>
          </w:p>
        </w:tc>
        <w:tc>
          <w:tcPr>
            <w:tcW w:w="2706" w:type="pct"/>
            <w:gridSpan w:val="2"/>
            <w:tcBorders>
              <w:top w:val="single" w:color="auto" w:sz="4" w:space="0"/>
              <w:left w:val="single" w:color="auto" w:sz="4" w:space="0"/>
              <w:bottom w:val="single" w:color="auto" w:sz="4" w:space="0"/>
              <w:right w:val="single" w:color="auto" w:sz="4" w:space="0"/>
            </w:tcBorders>
            <w:vAlign w:val="center"/>
          </w:tcPr>
          <w:p w14:paraId="51FD0542">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未按采购需求提供项目负责人</w:t>
            </w:r>
            <w:r>
              <w:rPr>
                <w:rFonts w:hint="eastAsia" w:ascii="仿宋" w:hAnsi="仿宋" w:eastAsia="仿宋" w:cs="仿宋"/>
                <w:bCs/>
                <w:sz w:val="24"/>
                <w:highlight w:val="none"/>
              </w:rPr>
              <w:t>和驻点人员</w:t>
            </w:r>
            <w:r>
              <w:rPr>
                <w:rFonts w:hint="eastAsia" w:ascii="仿宋" w:hAnsi="仿宋" w:eastAsia="仿宋" w:cs="仿宋"/>
                <w:bCs/>
                <w:sz w:val="24"/>
                <w:highlight w:val="none"/>
                <w:lang w:val="zh-CN"/>
              </w:rPr>
              <w:t>，数量不符合要求的，每出现一次扣2分。</w:t>
            </w:r>
          </w:p>
        </w:tc>
        <w:tc>
          <w:tcPr>
            <w:tcW w:w="766" w:type="pct"/>
            <w:tcBorders>
              <w:top w:val="single" w:color="auto" w:sz="4" w:space="0"/>
              <w:left w:val="single" w:color="auto" w:sz="4" w:space="0"/>
              <w:bottom w:val="single" w:color="auto" w:sz="4" w:space="0"/>
              <w:right w:val="single" w:color="auto" w:sz="4" w:space="0"/>
            </w:tcBorders>
            <w:vAlign w:val="center"/>
          </w:tcPr>
          <w:p w14:paraId="4BD75EE6">
            <w:pPr>
              <w:snapToGrid w:val="0"/>
              <w:spacing w:line="360" w:lineRule="auto"/>
              <w:rPr>
                <w:rFonts w:ascii="仿宋" w:hAnsi="仿宋" w:eastAsia="仿宋" w:cs="仿宋"/>
                <w:bCs/>
                <w:sz w:val="24"/>
                <w:highlight w:val="none"/>
                <w:lang w:val="zh-CN"/>
              </w:rPr>
            </w:pPr>
          </w:p>
        </w:tc>
        <w:tc>
          <w:tcPr>
            <w:tcW w:w="467" w:type="pct"/>
            <w:tcBorders>
              <w:top w:val="single" w:color="auto" w:sz="4" w:space="0"/>
              <w:left w:val="single" w:color="auto" w:sz="4" w:space="0"/>
              <w:bottom w:val="single" w:color="auto" w:sz="4" w:space="0"/>
              <w:right w:val="single" w:color="auto" w:sz="4" w:space="0"/>
            </w:tcBorders>
            <w:vAlign w:val="center"/>
          </w:tcPr>
          <w:p w14:paraId="1B22306C">
            <w:pPr>
              <w:snapToGrid w:val="0"/>
              <w:spacing w:line="360" w:lineRule="auto"/>
              <w:rPr>
                <w:rFonts w:ascii="仿宋" w:hAnsi="仿宋" w:eastAsia="仿宋" w:cs="仿宋"/>
                <w:bCs/>
                <w:sz w:val="24"/>
                <w:highlight w:val="none"/>
                <w:lang w:val="zh-CN"/>
              </w:rPr>
            </w:pPr>
          </w:p>
        </w:tc>
      </w:tr>
      <w:tr w14:paraId="3761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64" w:type="pct"/>
            <w:vMerge w:val="continue"/>
            <w:tcBorders>
              <w:top w:val="single" w:color="auto" w:sz="4" w:space="0"/>
              <w:left w:val="single" w:color="auto" w:sz="4" w:space="0"/>
              <w:bottom w:val="single" w:color="auto" w:sz="4" w:space="0"/>
              <w:right w:val="single" w:color="auto" w:sz="4" w:space="0"/>
            </w:tcBorders>
            <w:vAlign w:val="center"/>
          </w:tcPr>
          <w:p w14:paraId="502F5E35">
            <w:pPr>
              <w:rPr>
                <w:highlight w:val="none"/>
              </w:rPr>
            </w:pPr>
          </w:p>
        </w:tc>
        <w:tc>
          <w:tcPr>
            <w:tcW w:w="697" w:type="pct"/>
            <w:vMerge w:val="continue"/>
            <w:tcBorders>
              <w:top w:val="single" w:color="auto" w:sz="4" w:space="0"/>
              <w:left w:val="single" w:color="auto" w:sz="4" w:space="0"/>
              <w:bottom w:val="single" w:color="auto" w:sz="4" w:space="0"/>
              <w:right w:val="single" w:color="auto" w:sz="4" w:space="0"/>
            </w:tcBorders>
            <w:vAlign w:val="center"/>
          </w:tcPr>
          <w:p w14:paraId="23370CC4">
            <w:pPr>
              <w:rPr>
                <w:highlight w:val="none"/>
              </w:rPr>
            </w:pPr>
          </w:p>
        </w:tc>
        <w:tc>
          <w:tcPr>
            <w:tcW w:w="2706" w:type="pct"/>
            <w:gridSpan w:val="2"/>
            <w:tcBorders>
              <w:top w:val="single" w:color="auto" w:sz="4" w:space="0"/>
              <w:left w:val="single" w:color="auto" w:sz="4" w:space="0"/>
              <w:bottom w:val="single" w:color="auto" w:sz="4" w:space="0"/>
              <w:right w:val="single" w:color="auto" w:sz="4" w:space="0"/>
            </w:tcBorders>
            <w:vAlign w:val="center"/>
          </w:tcPr>
          <w:p w14:paraId="2AB0D9C4">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项目负责人在工作期间，电话无人接听，每发现一次扣1分；本项最高扣3分。</w:t>
            </w:r>
          </w:p>
        </w:tc>
        <w:tc>
          <w:tcPr>
            <w:tcW w:w="766" w:type="pct"/>
            <w:tcBorders>
              <w:top w:val="single" w:color="auto" w:sz="4" w:space="0"/>
              <w:left w:val="single" w:color="auto" w:sz="4" w:space="0"/>
              <w:bottom w:val="single" w:color="auto" w:sz="4" w:space="0"/>
              <w:right w:val="single" w:color="auto" w:sz="4" w:space="0"/>
            </w:tcBorders>
            <w:vAlign w:val="center"/>
          </w:tcPr>
          <w:p w14:paraId="29338D41">
            <w:pPr>
              <w:snapToGrid w:val="0"/>
              <w:spacing w:line="360" w:lineRule="auto"/>
              <w:rPr>
                <w:rFonts w:ascii="仿宋" w:hAnsi="仿宋" w:eastAsia="仿宋" w:cs="仿宋"/>
                <w:bCs/>
                <w:sz w:val="24"/>
                <w:highlight w:val="none"/>
                <w:lang w:val="zh-CN"/>
              </w:rPr>
            </w:pPr>
          </w:p>
        </w:tc>
        <w:tc>
          <w:tcPr>
            <w:tcW w:w="467" w:type="pct"/>
            <w:tcBorders>
              <w:top w:val="single" w:color="auto" w:sz="4" w:space="0"/>
              <w:left w:val="single" w:color="auto" w:sz="4" w:space="0"/>
              <w:bottom w:val="single" w:color="auto" w:sz="4" w:space="0"/>
              <w:right w:val="single" w:color="auto" w:sz="4" w:space="0"/>
            </w:tcBorders>
            <w:vAlign w:val="center"/>
          </w:tcPr>
          <w:p w14:paraId="1E4284B6">
            <w:pPr>
              <w:snapToGrid w:val="0"/>
              <w:spacing w:line="360" w:lineRule="auto"/>
              <w:rPr>
                <w:rFonts w:ascii="仿宋" w:hAnsi="仿宋" w:eastAsia="仿宋" w:cs="仿宋"/>
                <w:bCs/>
                <w:sz w:val="24"/>
                <w:highlight w:val="none"/>
                <w:lang w:val="zh-CN"/>
              </w:rPr>
            </w:pPr>
          </w:p>
        </w:tc>
      </w:tr>
      <w:tr w14:paraId="277E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364" w:type="pct"/>
            <w:vMerge w:val="continue"/>
            <w:tcBorders>
              <w:top w:val="single" w:color="auto" w:sz="4" w:space="0"/>
              <w:left w:val="single" w:color="auto" w:sz="4" w:space="0"/>
              <w:bottom w:val="single" w:color="auto" w:sz="4" w:space="0"/>
              <w:right w:val="single" w:color="auto" w:sz="4" w:space="0"/>
            </w:tcBorders>
            <w:vAlign w:val="center"/>
          </w:tcPr>
          <w:p w14:paraId="3F41B961">
            <w:pPr>
              <w:rPr>
                <w:highlight w:val="none"/>
              </w:rPr>
            </w:pPr>
          </w:p>
        </w:tc>
        <w:tc>
          <w:tcPr>
            <w:tcW w:w="697" w:type="pct"/>
            <w:vMerge w:val="continue"/>
            <w:tcBorders>
              <w:top w:val="single" w:color="auto" w:sz="4" w:space="0"/>
              <w:left w:val="single" w:color="auto" w:sz="4" w:space="0"/>
              <w:bottom w:val="single" w:color="auto" w:sz="4" w:space="0"/>
              <w:right w:val="single" w:color="auto" w:sz="4" w:space="0"/>
            </w:tcBorders>
            <w:vAlign w:val="center"/>
          </w:tcPr>
          <w:p w14:paraId="685D80CA">
            <w:pPr>
              <w:rPr>
                <w:highlight w:val="none"/>
              </w:rPr>
            </w:pPr>
          </w:p>
        </w:tc>
        <w:tc>
          <w:tcPr>
            <w:tcW w:w="2706" w:type="pct"/>
            <w:gridSpan w:val="2"/>
            <w:tcBorders>
              <w:top w:val="single" w:color="auto" w:sz="4" w:space="0"/>
              <w:left w:val="single" w:color="auto" w:sz="4" w:space="0"/>
              <w:bottom w:val="single" w:color="auto" w:sz="4" w:space="0"/>
              <w:right w:val="single" w:color="auto" w:sz="4" w:space="0"/>
            </w:tcBorders>
            <w:vAlign w:val="center"/>
          </w:tcPr>
          <w:p w14:paraId="5A474D67">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乙方未每月进行巡检的扣2分，巡检内容不符合要求的，每出现一次扣1分。本项最高扣5分。</w:t>
            </w:r>
          </w:p>
        </w:tc>
        <w:tc>
          <w:tcPr>
            <w:tcW w:w="766" w:type="pct"/>
            <w:tcBorders>
              <w:top w:val="single" w:color="auto" w:sz="4" w:space="0"/>
              <w:left w:val="single" w:color="auto" w:sz="4" w:space="0"/>
              <w:bottom w:val="single" w:color="auto" w:sz="4" w:space="0"/>
              <w:right w:val="single" w:color="auto" w:sz="4" w:space="0"/>
            </w:tcBorders>
            <w:vAlign w:val="center"/>
          </w:tcPr>
          <w:p w14:paraId="5B65AD2A">
            <w:pPr>
              <w:snapToGrid w:val="0"/>
              <w:spacing w:line="360" w:lineRule="auto"/>
              <w:rPr>
                <w:rFonts w:ascii="仿宋" w:hAnsi="仿宋" w:eastAsia="仿宋" w:cs="仿宋"/>
                <w:bCs/>
                <w:sz w:val="24"/>
                <w:highlight w:val="none"/>
                <w:lang w:val="zh-CN"/>
              </w:rPr>
            </w:pPr>
          </w:p>
        </w:tc>
        <w:tc>
          <w:tcPr>
            <w:tcW w:w="467" w:type="pct"/>
            <w:tcBorders>
              <w:top w:val="single" w:color="auto" w:sz="4" w:space="0"/>
              <w:left w:val="single" w:color="auto" w:sz="4" w:space="0"/>
              <w:bottom w:val="single" w:color="auto" w:sz="4" w:space="0"/>
              <w:right w:val="single" w:color="auto" w:sz="4" w:space="0"/>
            </w:tcBorders>
            <w:vAlign w:val="center"/>
          </w:tcPr>
          <w:p w14:paraId="240B0980">
            <w:pPr>
              <w:snapToGrid w:val="0"/>
              <w:spacing w:line="360" w:lineRule="auto"/>
              <w:rPr>
                <w:rFonts w:ascii="仿宋" w:hAnsi="仿宋" w:eastAsia="仿宋" w:cs="仿宋"/>
                <w:bCs/>
                <w:sz w:val="24"/>
                <w:highlight w:val="none"/>
                <w:lang w:val="zh-CN"/>
              </w:rPr>
            </w:pPr>
          </w:p>
        </w:tc>
      </w:tr>
      <w:tr w14:paraId="4FFC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64" w:type="pct"/>
            <w:tcBorders>
              <w:top w:val="single" w:color="auto" w:sz="4" w:space="0"/>
              <w:left w:val="single" w:color="auto" w:sz="4" w:space="0"/>
              <w:bottom w:val="single" w:color="auto" w:sz="4" w:space="0"/>
              <w:right w:val="single" w:color="auto" w:sz="4" w:space="0"/>
            </w:tcBorders>
            <w:vAlign w:val="center"/>
          </w:tcPr>
          <w:p w14:paraId="261B99C7">
            <w:pPr>
              <w:snapToGrid w:val="0"/>
              <w:spacing w:line="360" w:lineRule="auto"/>
              <w:jc w:val="left"/>
              <w:rPr>
                <w:rFonts w:ascii="仿宋" w:hAnsi="仿宋" w:eastAsia="仿宋" w:cs="仿宋"/>
                <w:bCs/>
                <w:sz w:val="24"/>
                <w:highlight w:val="none"/>
              </w:rPr>
            </w:pPr>
            <w:r>
              <w:rPr>
                <w:rFonts w:hint="eastAsia" w:ascii="仿宋" w:hAnsi="仿宋" w:eastAsia="仿宋" w:cs="仿宋"/>
                <w:bCs/>
                <w:sz w:val="24"/>
                <w:highlight w:val="none"/>
              </w:rPr>
              <w:t>5</w:t>
            </w:r>
          </w:p>
        </w:tc>
        <w:tc>
          <w:tcPr>
            <w:tcW w:w="697" w:type="pct"/>
            <w:tcBorders>
              <w:top w:val="single" w:color="auto" w:sz="4" w:space="0"/>
              <w:left w:val="single" w:color="auto" w:sz="4" w:space="0"/>
              <w:bottom w:val="single" w:color="auto" w:sz="4" w:space="0"/>
              <w:right w:val="single" w:color="auto" w:sz="4" w:space="0"/>
            </w:tcBorders>
            <w:vAlign w:val="center"/>
          </w:tcPr>
          <w:p w14:paraId="1F2018D5">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培训</w:t>
            </w:r>
          </w:p>
        </w:tc>
        <w:tc>
          <w:tcPr>
            <w:tcW w:w="2706" w:type="pct"/>
            <w:gridSpan w:val="2"/>
            <w:tcBorders>
              <w:top w:val="single" w:color="auto" w:sz="4" w:space="0"/>
              <w:left w:val="single" w:color="auto" w:sz="4" w:space="0"/>
              <w:bottom w:val="single" w:color="auto" w:sz="4" w:space="0"/>
              <w:right w:val="single" w:color="auto" w:sz="4" w:space="0"/>
            </w:tcBorders>
            <w:vAlign w:val="center"/>
          </w:tcPr>
          <w:p w14:paraId="091FE4C7">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rPr>
              <w:t>未按采购需求</w:t>
            </w:r>
            <w:r>
              <w:rPr>
                <w:rFonts w:hint="eastAsia" w:ascii="仿宋" w:hAnsi="仿宋" w:eastAsia="仿宋" w:cs="仿宋"/>
                <w:bCs/>
                <w:sz w:val="24"/>
                <w:highlight w:val="none"/>
                <w:lang w:val="zh-CN"/>
              </w:rPr>
              <w:t>开展业务培训的扣3分。</w:t>
            </w:r>
          </w:p>
        </w:tc>
        <w:tc>
          <w:tcPr>
            <w:tcW w:w="766" w:type="pct"/>
            <w:tcBorders>
              <w:top w:val="single" w:color="auto" w:sz="4" w:space="0"/>
              <w:left w:val="single" w:color="auto" w:sz="4" w:space="0"/>
              <w:bottom w:val="single" w:color="auto" w:sz="4" w:space="0"/>
              <w:right w:val="single" w:color="auto" w:sz="4" w:space="0"/>
            </w:tcBorders>
            <w:vAlign w:val="center"/>
          </w:tcPr>
          <w:p w14:paraId="48C2A8D3">
            <w:pPr>
              <w:snapToGrid w:val="0"/>
              <w:spacing w:line="360" w:lineRule="auto"/>
              <w:rPr>
                <w:rFonts w:ascii="仿宋" w:hAnsi="仿宋" w:eastAsia="仿宋" w:cs="仿宋"/>
                <w:bCs/>
                <w:sz w:val="24"/>
                <w:highlight w:val="none"/>
                <w:lang w:val="zh-CN"/>
              </w:rPr>
            </w:pPr>
          </w:p>
        </w:tc>
        <w:tc>
          <w:tcPr>
            <w:tcW w:w="467" w:type="pct"/>
            <w:tcBorders>
              <w:top w:val="single" w:color="auto" w:sz="4" w:space="0"/>
              <w:left w:val="single" w:color="auto" w:sz="4" w:space="0"/>
              <w:bottom w:val="single" w:color="auto" w:sz="4" w:space="0"/>
              <w:right w:val="single" w:color="auto" w:sz="4" w:space="0"/>
            </w:tcBorders>
            <w:vAlign w:val="center"/>
          </w:tcPr>
          <w:p w14:paraId="32121A43">
            <w:pPr>
              <w:snapToGrid w:val="0"/>
              <w:spacing w:line="360" w:lineRule="auto"/>
              <w:rPr>
                <w:rFonts w:ascii="仿宋" w:hAnsi="仿宋" w:eastAsia="仿宋" w:cs="仿宋"/>
                <w:bCs/>
                <w:sz w:val="24"/>
                <w:highlight w:val="none"/>
                <w:lang w:val="zh-CN"/>
              </w:rPr>
            </w:pPr>
          </w:p>
        </w:tc>
      </w:tr>
      <w:tr w14:paraId="5663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364" w:type="pct"/>
            <w:tcBorders>
              <w:top w:val="single" w:color="auto" w:sz="4" w:space="0"/>
              <w:left w:val="single" w:color="auto" w:sz="4" w:space="0"/>
              <w:bottom w:val="single" w:color="auto" w:sz="4" w:space="0"/>
              <w:right w:val="single" w:color="auto" w:sz="4" w:space="0"/>
            </w:tcBorders>
            <w:vAlign w:val="center"/>
          </w:tcPr>
          <w:p w14:paraId="7F474624">
            <w:pPr>
              <w:snapToGrid w:val="0"/>
              <w:spacing w:line="360" w:lineRule="auto"/>
              <w:jc w:val="left"/>
              <w:rPr>
                <w:rFonts w:ascii="仿宋" w:hAnsi="仿宋" w:eastAsia="仿宋" w:cs="仿宋"/>
                <w:bCs/>
                <w:sz w:val="24"/>
                <w:highlight w:val="none"/>
              </w:rPr>
            </w:pPr>
            <w:r>
              <w:rPr>
                <w:rFonts w:hint="eastAsia" w:ascii="仿宋" w:hAnsi="仿宋" w:eastAsia="仿宋" w:cs="仿宋"/>
                <w:bCs/>
                <w:sz w:val="24"/>
                <w:highlight w:val="none"/>
              </w:rPr>
              <w:t>6</w:t>
            </w:r>
          </w:p>
        </w:tc>
        <w:tc>
          <w:tcPr>
            <w:tcW w:w="697" w:type="pct"/>
            <w:tcBorders>
              <w:top w:val="single" w:color="auto" w:sz="4" w:space="0"/>
              <w:left w:val="single" w:color="auto" w:sz="4" w:space="0"/>
              <w:bottom w:val="single" w:color="auto" w:sz="4" w:space="0"/>
              <w:right w:val="single" w:color="auto" w:sz="4" w:space="0"/>
            </w:tcBorders>
            <w:vAlign w:val="center"/>
          </w:tcPr>
          <w:p w14:paraId="6B5D8CD2">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napToGrid w:val="0"/>
                <w:kern w:val="28"/>
                <w:sz w:val="24"/>
                <w:highlight w:val="none"/>
              </w:rPr>
              <w:t>网络</w:t>
            </w:r>
            <w:r>
              <w:rPr>
                <w:rFonts w:hint="eastAsia" w:ascii="仿宋" w:hAnsi="仿宋" w:eastAsia="仿宋" w:cs="仿宋"/>
                <w:bCs/>
                <w:sz w:val="24"/>
                <w:highlight w:val="none"/>
                <w:lang w:val="zh-CN"/>
              </w:rPr>
              <w:t>安全</w:t>
            </w:r>
          </w:p>
        </w:tc>
        <w:tc>
          <w:tcPr>
            <w:tcW w:w="2706" w:type="pct"/>
            <w:gridSpan w:val="2"/>
            <w:tcBorders>
              <w:top w:val="single" w:color="auto" w:sz="4" w:space="0"/>
              <w:left w:val="single" w:color="auto" w:sz="4" w:space="0"/>
              <w:bottom w:val="single" w:color="auto" w:sz="4" w:space="0"/>
              <w:right w:val="single" w:color="auto" w:sz="4" w:space="0"/>
            </w:tcBorders>
            <w:vAlign w:val="center"/>
          </w:tcPr>
          <w:p w14:paraId="7B6C6C71">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rPr>
              <w:t>乙方未按网络安全履行责任和义务的，每发生一次扣除违约金10000元。</w:t>
            </w:r>
          </w:p>
        </w:tc>
        <w:tc>
          <w:tcPr>
            <w:tcW w:w="766" w:type="pct"/>
            <w:tcBorders>
              <w:top w:val="single" w:color="auto" w:sz="4" w:space="0"/>
              <w:left w:val="single" w:color="auto" w:sz="4" w:space="0"/>
              <w:bottom w:val="single" w:color="auto" w:sz="4" w:space="0"/>
              <w:right w:val="single" w:color="auto" w:sz="4" w:space="0"/>
            </w:tcBorders>
            <w:vAlign w:val="center"/>
          </w:tcPr>
          <w:p w14:paraId="2CDD8EBE">
            <w:pPr>
              <w:snapToGrid w:val="0"/>
              <w:spacing w:line="360" w:lineRule="auto"/>
              <w:rPr>
                <w:rFonts w:ascii="仿宋" w:hAnsi="仿宋" w:eastAsia="仿宋" w:cs="仿宋"/>
                <w:bCs/>
                <w:sz w:val="24"/>
                <w:highlight w:val="none"/>
                <w:lang w:val="zh-CN"/>
              </w:rPr>
            </w:pPr>
          </w:p>
        </w:tc>
        <w:tc>
          <w:tcPr>
            <w:tcW w:w="467" w:type="pct"/>
            <w:tcBorders>
              <w:top w:val="single" w:color="auto" w:sz="4" w:space="0"/>
              <w:left w:val="single" w:color="auto" w:sz="4" w:space="0"/>
              <w:bottom w:val="single" w:color="auto" w:sz="4" w:space="0"/>
              <w:right w:val="single" w:color="auto" w:sz="4" w:space="0"/>
            </w:tcBorders>
            <w:vAlign w:val="center"/>
          </w:tcPr>
          <w:p w14:paraId="0F1F8A72">
            <w:pPr>
              <w:snapToGrid w:val="0"/>
              <w:spacing w:line="360" w:lineRule="auto"/>
              <w:rPr>
                <w:rFonts w:ascii="仿宋" w:hAnsi="仿宋" w:eastAsia="仿宋" w:cs="仿宋"/>
                <w:bCs/>
                <w:sz w:val="24"/>
                <w:highlight w:val="none"/>
                <w:lang w:val="zh-CN"/>
              </w:rPr>
            </w:pPr>
          </w:p>
        </w:tc>
      </w:tr>
      <w:tr w14:paraId="1D90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364" w:type="pct"/>
            <w:tcBorders>
              <w:top w:val="single" w:color="auto" w:sz="4" w:space="0"/>
              <w:left w:val="single" w:color="auto" w:sz="4" w:space="0"/>
              <w:bottom w:val="single" w:color="auto" w:sz="4" w:space="0"/>
              <w:right w:val="single" w:color="auto" w:sz="4" w:space="0"/>
            </w:tcBorders>
            <w:vAlign w:val="center"/>
          </w:tcPr>
          <w:p w14:paraId="438A8CC9">
            <w:pPr>
              <w:snapToGrid w:val="0"/>
              <w:spacing w:line="360" w:lineRule="auto"/>
              <w:jc w:val="left"/>
              <w:rPr>
                <w:rFonts w:ascii="仿宋" w:hAnsi="仿宋" w:eastAsia="仿宋" w:cs="仿宋"/>
                <w:bCs/>
                <w:sz w:val="24"/>
                <w:highlight w:val="none"/>
              </w:rPr>
            </w:pPr>
            <w:r>
              <w:rPr>
                <w:rFonts w:hint="eastAsia" w:ascii="仿宋" w:hAnsi="仿宋" w:eastAsia="仿宋" w:cs="仿宋"/>
                <w:bCs/>
                <w:sz w:val="24"/>
                <w:highlight w:val="none"/>
              </w:rPr>
              <w:t>7</w:t>
            </w:r>
          </w:p>
        </w:tc>
        <w:tc>
          <w:tcPr>
            <w:tcW w:w="697" w:type="pct"/>
            <w:tcBorders>
              <w:top w:val="single" w:color="auto" w:sz="4" w:space="0"/>
              <w:left w:val="single" w:color="auto" w:sz="4" w:space="0"/>
              <w:bottom w:val="single" w:color="auto" w:sz="4" w:space="0"/>
              <w:right w:val="single" w:color="auto" w:sz="4" w:space="0"/>
            </w:tcBorders>
            <w:vAlign w:val="center"/>
          </w:tcPr>
          <w:p w14:paraId="5825C853">
            <w:pPr>
              <w:snapToGrid w:val="0"/>
              <w:spacing w:line="360" w:lineRule="auto"/>
              <w:jc w:val="left"/>
              <w:rPr>
                <w:rFonts w:ascii="仿宋" w:hAnsi="仿宋" w:eastAsia="仿宋" w:cs="仿宋"/>
                <w:bCs/>
                <w:snapToGrid w:val="0"/>
                <w:kern w:val="28"/>
                <w:sz w:val="24"/>
                <w:highlight w:val="none"/>
              </w:rPr>
            </w:pPr>
            <w:r>
              <w:rPr>
                <w:rFonts w:hint="eastAsia" w:ascii="仿宋" w:hAnsi="仿宋" w:eastAsia="仿宋" w:cs="仿宋"/>
                <w:bCs/>
                <w:sz w:val="24"/>
                <w:highlight w:val="none"/>
                <w:lang w:val="zh-CN"/>
              </w:rPr>
              <w:t>保密</w:t>
            </w:r>
          </w:p>
        </w:tc>
        <w:tc>
          <w:tcPr>
            <w:tcW w:w="2706" w:type="pct"/>
            <w:gridSpan w:val="2"/>
            <w:tcBorders>
              <w:top w:val="single" w:color="auto" w:sz="4" w:space="0"/>
              <w:left w:val="single" w:color="auto" w:sz="4" w:space="0"/>
              <w:bottom w:val="single" w:color="auto" w:sz="4" w:space="0"/>
              <w:right w:val="single" w:color="auto" w:sz="4" w:space="0"/>
            </w:tcBorders>
            <w:vAlign w:val="center"/>
          </w:tcPr>
          <w:p w14:paraId="64CA954D">
            <w:pPr>
              <w:snapToGrid w:val="0"/>
              <w:spacing w:line="360" w:lineRule="auto"/>
              <w:jc w:val="left"/>
              <w:rPr>
                <w:rFonts w:ascii="仿宋" w:hAnsi="仿宋" w:eastAsia="仿宋" w:cs="仿宋"/>
                <w:bCs/>
                <w:sz w:val="24"/>
                <w:highlight w:val="none"/>
              </w:rPr>
            </w:pPr>
            <w:r>
              <w:rPr>
                <w:rFonts w:hint="eastAsia" w:ascii="仿宋" w:hAnsi="仿宋" w:eastAsia="仿宋" w:cs="仿宋"/>
                <w:sz w:val="24"/>
                <w:highlight w:val="none"/>
              </w:rPr>
              <w:t>未按保密管理条款规定执行的，每发现一次处违约金10000元，如发生泄密事件，除赔偿甲方损失外，还应承担全部法律责任。</w:t>
            </w:r>
          </w:p>
        </w:tc>
        <w:tc>
          <w:tcPr>
            <w:tcW w:w="766" w:type="pct"/>
            <w:tcBorders>
              <w:top w:val="single" w:color="auto" w:sz="4" w:space="0"/>
              <w:left w:val="single" w:color="auto" w:sz="4" w:space="0"/>
              <w:bottom w:val="single" w:color="auto" w:sz="4" w:space="0"/>
              <w:right w:val="single" w:color="auto" w:sz="4" w:space="0"/>
            </w:tcBorders>
            <w:vAlign w:val="center"/>
          </w:tcPr>
          <w:p w14:paraId="5A63FC49">
            <w:pPr>
              <w:snapToGrid w:val="0"/>
              <w:spacing w:line="360" w:lineRule="auto"/>
              <w:rPr>
                <w:rFonts w:ascii="仿宋" w:hAnsi="仿宋" w:eastAsia="仿宋" w:cs="仿宋"/>
                <w:bCs/>
                <w:sz w:val="24"/>
                <w:highlight w:val="none"/>
                <w:lang w:val="zh-CN"/>
              </w:rPr>
            </w:pPr>
          </w:p>
        </w:tc>
        <w:tc>
          <w:tcPr>
            <w:tcW w:w="467" w:type="pct"/>
            <w:tcBorders>
              <w:top w:val="single" w:color="auto" w:sz="4" w:space="0"/>
              <w:left w:val="single" w:color="auto" w:sz="4" w:space="0"/>
              <w:bottom w:val="single" w:color="auto" w:sz="4" w:space="0"/>
              <w:right w:val="single" w:color="auto" w:sz="4" w:space="0"/>
            </w:tcBorders>
            <w:vAlign w:val="center"/>
          </w:tcPr>
          <w:p w14:paraId="7041086A">
            <w:pPr>
              <w:snapToGrid w:val="0"/>
              <w:spacing w:line="360" w:lineRule="auto"/>
              <w:rPr>
                <w:rFonts w:ascii="仿宋" w:hAnsi="仿宋" w:eastAsia="仿宋" w:cs="仿宋"/>
                <w:bCs/>
                <w:sz w:val="24"/>
                <w:highlight w:val="none"/>
                <w:lang w:val="zh-CN"/>
              </w:rPr>
            </w:pPr>
          </w:p>
        </w:tc>
      </w:tr>
      <w:tr w14:paraId="3E05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64" w:type="pct"/>
            <w:tcBorders>
              <w:top w:val="single" w:color="auto" w:sz="4" w:space="0"/>
              <w:left w:val="single" w:color="auto" w:sz="4" w:space="0"/>
              <w:bottom w:val="single" w:color="auto" w:sz="4" w:space="0"/>
              <w:right w:val="single" w:color="auto" w:sz="4" w:space="0"/>
            </w:tcBorders>
            <w:vAlign w:val="center"/>
          </w:tcPr>
          <w:p w14:paraId="5023EB1D">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8</w:t>
            </w:r>
          </w:p>
        </w:tc>
        <w:tc>
          <w:tcPr>
            <w:tcW w:w="697" w:type="pct"/>
            <w:tcBorders>
              <w:top w:val="single" w:color="auto" w:sz="4" w:space="0"/>
              <w:left w:val="single" w:color="auto" w:sz="4" w:space="0"/>
              <w:bottom w:val="single" w:color="auto" w:sz="4" w:space="0"/>
              <w:right w:val="single" w:color="auto" w:sz="4" w:space="0"/>
            </w:tcBorders>
            <w:vAlign w:val="center"/>
          </w:tcPr>
          <w:p w14:paraId="5CAF8683">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其他</w:t>
            </w:r>
          </w:p>
        </w:tc>
        <w:tc>
          <w:tcPr>
            <w:tcW w:w="2706" w:type="pct"/>
            <w:gridSpan w:val="2"/>
            <w:tcBorders>
              <w:top w:val="single" w:color="auto" w:sz="4" w:space="0"/>
              <w:left w:val="single" w:color="auto" w:sz="4" w:space="0"/>
              <w:bottom w:val="single" w:color="auto" w:sz="4" w:space="0"/>
              <w:right w:val="single" w:color="auto" w:sz="4" w:space="0"/>
            </w:tcBorders>
            <w:vAlign w:val="center"/>
          </w:tcPr>
          <w:p w14:paraId="33558D1B">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存在其他未按采购需求提供服务情况的，</w:t>
            </w:r>
            <w:r>
              <w:rPr>
                <w:rFonts w:hint="eastAsia" w:ascii="仿宋" w:hAnsi="仿宋" w:eastAsia="仿宋" w:cs="仿宋"/>
                <w:bCs/>
                <w:sz w:val="24"/>
                <w:highlight w:val="none"/>
              </w:rPr>
              <w:t>每出现一次扣2分。</w:t>
            </w:r>
          </w:p>
        </w:tc>
        <w:tc>
          <w:tcPr>
            <w:tcW w:w="766" w:type="pct"/>
            <w:tcBorders>
              <w:top w:val="single" w:color="auto" w:sz="4" w:space="0"/>
              <w:left w:val="single" w:color="auto" w:sz="4" w:space="0"/>
              <w:bottom w:val="single" w:color="auto" w:sz="4" w:space="0"/>
              <w:right w:val="single" w:color="auto" w:sz="4" w:space="0"/>
            </w:tcBorders>
            <w:vAlign w:val="center"/>
          </w:tcPr>
          <w:p w14:paraId="784D7710">
            <w:pPr>
              <w:snapToGrid w:val="0"/>
              <w:spacing w:line="360" w:lineRule="auto"/>
              <w:rPr>
                <w:rFonts w:ascii="仿宋" w:hAnsi="仿宋" w:eastAsia="仿宋" w:cs="仿宋"/>
                <w:bCs/>
                <w:sz w:val="24"/>
                <w:highlight w:val="none"/>
                <w:lang w:val="zh-CN"/>
              </w:rPr>
            </w:pPr>
          </w:p>
        </w:tc>
        <w:tc>
          <w:tcPr>
            <w:tcW w:w="467" w:type="pct"/>
            <w:tcBorders>
              <w:top w:val="single" w:color="auto" w:sz="4" w:space="0"/>
              <w:left w:val="single" w:color="auto" w:sz="4" w:space="0"/>
              <w:bottom w:val="single" w:color="auto" w:sz="4" w:space="0"/>
              <w:right w:val="single" w:color="auto" w:sz="4" w:space="0"/>
            </w:tcBorders>
            <w:vAlign w:val="center"/>
          </w:tcPr>
          <w:p w14:paraId="7C1BDDAD">
            <w:pPr>
              <w:snapToGrid w:val="0"/>
              <w:spacing w:line="360" w:lineRule="auto"/>
              <w:rPr>
                <w:rFonts w:ascii="仿宋" w:hAnsi="仿宋" w:eastAsia="仿宋" w:cs="仿宋"/>
                <w:bCs/>
                <w:sz w:val="24"/>
                <w:highlight w:val="none"/>
                <w:lang w:val="zh-CN"/>
              </w:rPr>
            </w:pPr>
          </w:p>
        </w:tc>
      </w:tr>
      <w:tr w14:paraId="7601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061" w:type="pct"/>
            <w:gridSpan w:val="2"/>
            <w:tcBorders>
              <w:top w:val="single" w:color="auto" w:sz="4" w:space="0"/>
              <w:left w:val="single" w:color="auto" w:sz="4" w:space="0"/>
              <w:bottom w:val="single" w:color="auto" w:sz="4" w:space="0"/>
              <w:right w:val="single" w:color="auto" w:sz="4" w:space="0"/>
            </w:tcBorders>
            <w:vAlign w:val="center"/>
          </w:tcPr>
          <w:p w14:paraId="3025FD7A">
            <w:pPr>
              <w:snapToGrid w:val="0"/>
              <w:spacing w:line="360" w:lineRule="auto"/>
              <w:jc w:val="left"/>
              <w:rPr>
                <w:rFonts w:ascii="仿宋" w:hAnsi="仿宋" w:eastAsia="仿宋" w:cs="仿宋"/>
                <w:bCs/>
                <w:sz w:val="24"/>
                <w:highlight w:val="none"/>
                <w:lang w:val="zh-CN"/>
              </w:rPr>
            </w:pPr>
            <w:r>
              <w:rPr>
                <w:rFonts w:hint="eastAsia" w:ascii="仿宋" w:hAnsi="仿宋" w:eastAsia="仿宋" w:cs="仿宋"/>
                <w:bCs/>
                <w:sz w:val="24"/>
                <w:highlight w:val="none"/>
                <w:lang w:val="zh-CN"/>
              </w:rPr>
              <w:t>考核分小计</w:t>
            </w:r>
          </w:p>
        </w:tc>
        <w:tc>
          <w:tcPr>
            <w:tcW w:w="3939" w:type="pct"/>
            <w:gridSpan w:val="4"/>
            <w:tcBorders>
              <w:top w:val="single" w:color="auto" w:sz="4" w:space="0"/>
              <w:left w:val="single" w:color="auto" w:sz="4" w:space="0"/>
              <w:bottom w:val="single" w:color="auto" w:sz="4" w:space="0"/>
              <w:right w:val="single" w:color="auto" w:sz="4" w:space="0"/>
            </w:tcBorders>
            <w:vAlign w:val="center"/>
          </w:tcPr>
          <w:p w14:paraId="1A7F6DDB">
            <w:pPr>
              <w:snapToGrid w:val="0"/>
              <w:spacing w:line="360" w:lineRule="auto"/>
              <w:rPr>
                <w:rFonts w:ascii="仿宋" w:hAnsi="仿宋" w:eastAsia="仿宋" w:cs="仿宋"/>
                <w:bCs/>
                <w:sz w:val="24"/>
                <w:highlight w:val="none"/>
                <w:lang w:val="zh-CN"/>
              </w:rPr>
            </w:pPr>
          </w:p>
        </w:tc>
      </w:tr>
      <w:tr w14:paraId="7BB7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vAlign w:val="center"/>
          </w:tcPr>
          <w:p w14:paraId="41C854D4">
            <w:pPr>
              <w:autoSpaceDE w:val="0"/>
              <w:autoSpaceDN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乙方签字（盖章）：监理单位签字（盖章）：</w:t>
            </w:r>
          </w:p>
          <w:p w14:paraId="7ACD24AA">
            <w:pPr>
              <w:autoSpaceDE w:val="0"/>
              <w:autoSpaceDN w:val="0"/>
              <w:snapToGrid w:val="0"/>
              <w:spacing w:line="360" w:lineRule="auto"/>
              <w:rPr>
                <w:rFonts w:ascii="仿宋" w:hAnsi="仿宋" w:eastAsia="仿宋" w:cs="仿宋"/>
                <w:sz w:val="24"/>
                <w:highlight w:val="none"/>
              </w:rPr>
            </w:pPr>
          </w:p>
          <w:p w14:paraId="280E5CE3">
            <w:pPr>
              <w:snapToGrid w:val="0"/>
              <w:spacing w:line="360" w:lineRule="auto"/>
              <w:rPr>
                <w:rFonts w:ascii="仿宋" w:hAnsi="仿宋" w:eastAsia="仿宋" w:cs="仿宋"/>
                <w:bCs/>
                <w:sz w:val="24"/>
                <w:highlight w:val="none"/>
                <w:lang w:val="zh-CN"/>
              </w:rPr>
            </w:pPr>
            <w:r>
              <w:rPr>
                <w:rFonts w:hint="eastAsia" w:ascii="仿宋" w:hAnsi="仿宋" w:eastAsia="仿宋" w:cs="仿宋"/>
                <w:sz w:val="24"/>
                <w:highlight w:val="none"/>
              </w:rPr>
              <w:t>甲方经办人、审核人签字（盖章）：</w:t>
            </w:r>
          </w:p>
        </w:tc>
      </w:tr>
    </w:tbl>
    <w:p w14:paraId="364C43ED">
      <w:pPr>
        <w:snapToGrid w:val="0"/>
        <w:spacing w:line="360" w:lineRule="auto"/>
        <w:ind w:firstLine="482" w:firstLineChars="200"/>
        <w:jc w:val="left"/>
        <w:rPr>
          <w:rFonts w:ascii="仿宋" w:hAnsi="仿宋" w:eastAsia="仿宋" w:cs="仿宋"/>
          <w:b/>
          <w:sz w:val="24"/>
          <w:highlight w:val="none"/>
        </w:rPr>
      </w:pPr>
    </w:p>
    <w:p w14:paraId="3511E8E9">
      <w:pPr>
        <w:rPr>
          <w:rFonts w:ascii="仿宋" w:hAnsi="仿宋" w:eastAsia="仿宋" w:cs="仿宋"/>
          <w:sz w:val="24"/>
          <w:highlight w:val="none"/>
        </w:rPr>
      </w:pPr>
    </w:p>
    <w:p w14:paraId="7CBA9C8A">
      <w:pPr>
        <w:snapToGrid w:val="0"/>
        <w:spacing w:before="120" w:beforeLines="50" w:line="360" w:lineRule="auto"/>
        <w:ind w:firstLine="484" w:firstLineChars="201"/>
        <w:outlineLvl w:val="2"/>
        <w:rPr>
          <w:rFonts w:ascii="仿宋" w:hAnsi="仿宋" w:eastAsia="仿宋" w:cs="仿宋"/>
          <w:b/>
          <w:sz w:val="24"/>
          <w:highlight w:val="none"/>
        </w:rPr>
      </w:pPr>
      <w:r>
        <w:rPr>
          <w:rFonts w:hint="eastAsia" w:ascii="仿宋" w:hAnsi="仿宋" w:eastAsia="仿宋" w:cs="仿宋"/>
          <w:b/>
          <w:sz w:val="24"/>
          <w:highlight w:val="none"/>
        </w:rPr>
        <w:t>附件二：项目人员名单</w:t>
      </w:r>
    </w:p>
    <w:tbl>
      <w:tblPr>
        <w:tblStyle w:val="62"/>
        <w:tblW w:w="52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341"/>
        <w:gridCol w:w="1608"/>
        <w:gridCol w:w="1608"/>
        <w:gridCol w:w="2503"/>
        <w:gridCol w:w="1737"/>
      </w:tblGrid>
      <w:tr w14:paraId="5C38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noWrap/>
            <w:vAlign w:val="center"/>
          </w:tcPr>
          <w:p w14:paraId="748E7B5D">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序号</w:t>
            </w:r>
          </w:p>
        </w:tc>
        <w:tc>
          <w:tcPr>
            <w:tcW w:w="694" w:type="pct"/>
            <w:noWrap/>
            <w:vAlign w:val="center"/>
          </w:tcPr>
          <w:p w14:paraId="554ADDCB">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姓名</w:t>
            </w:r>
          </w:p>
        </w:tc>
        <w:tc>
          <w:tcPr>
            <w:tcW w:w="832" w:type="pct"/>
            <w:noWrap/>
            <w:vAlign w:val="center"/>
          </w:tcPr>
          <w:p w14:paraId="7008CDEE">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身份证号码</w:t>
            </w:r>
          </w:p>
        </w:tc>
        <w:tc>
          <w:tcPr>
            <w:tcW w:w="832" w:type="pct"/>
            <w:noWrap/>
            <w:vAlign w:val="center"/>
          </w:tcPr>
          <w:p w14:paraId="065388D6">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1295" w:type="pct"/>
            <w:noWrap/>
            <w:vAlign w:val="center"/>
          </w:tcPr>
          <w:p w14:paraId="766A0B5C">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本项目承担的职责</w:t>
            </w:r>
          </w:p>
        </w:tc>
        <w:tc>
          <w:tcPr>
            <w:tcW w:w="899" w:type="pct"/>
            <w:noWrap/>
            <w:vAlign w:val="center"/>
          </w:tcPr>
          <w:p w14:paraId="06CD7C13">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备注</w:t>
            </w:r>
          </w:p>
        </w:tc>
      </w:tr>
      <w:tr w14:paraId="5E85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noWrap/>
            <w:vAlign w:val="center"/>
          </w:tcPr>
          <w:p w14:paraId="7EC79FCB">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694" w:type="pct"/>
            <w:tcBorders>
              <w:left w:val="single" w:color="auto" w:sz="4" w:space="0"/>
            </w:tcBorders>
            <w:noWrap/>
            <w:vAlign w:val="center"/>
          </w:tcPr>
          <w:p w14:paraId="0CC4A6D1">
            <w:pPr>
              <w:snapToGrid w:val="0"/>
              <w:spacing w:line="360" w:lineRule="auto"/>
              <w:jc w:val="center"/>
              <w:rPr>
                <w:rFonts w:ascii="仿宋" w:hAnsi="仿宋" w:eastAsia="仿宋" w:cs="仿宋"/>
                <w:sz w:val="24"/>
                <w:highlight w:val="none"/>
              </w:rPr>
            </w:pPr>
          </w:p>
        </w:tc>
        <w:tc>
          <w:tcPr>
            <w:tcW w:w="832" w:type="pct"/>
            <w:tcBorders>
              <w:left w:val="single" w:color="auto" w:sz="4" w:space="0"/>
            </w:tcBorders>
            <w:noWrap/>
          </w:tcPr>
          <w:p w14:paraId="410F29AF">
            <w:pPr>
              <w:spacing w:line="360" w:lineRule="auto"/>
              <w:jc w:val="center"/>
              <w:rPr>
                <w:rFonts w:ascii="仿宋" w:hAnsi="仿宋" w:eastAsia="仿宋" w:cs="仿宋"/>
                <w:b/>
                <w:sz w:val="24"/>
                <w:highlight w:val="none"/>
              </w:rPr>
            </w:pPr>
          </w:p>
        </w:tc>
        <w:tc>
          <w:tcPr>
            <w:tcW w:w="832" w:type="pct"/>
            <w:tcBorders>
              <w:left w:val="single" w:color="auto" w:sz="4" w:space="0"/>
            </w:tcBorders>
            <w:noWrap/>
            <w:vAlign w:val="center"/>
          </w:tcPr>
          <w:p w14:paraId="5353460C">
            <w:pPr>
              <w:spacing w:line="360" w:lineRule="auto"/>
              <w:jc w:val="center"/>
              <w:rPr>
                <w:rFonts w:ascii="仿宋" w:hAnsi="仿宋" w:eastAsia="仿宋" w:cs="仿宋"/>
                <w:b/>
                <w:sz w:val="24"/>
                <w:highlight w:val="none"/>
              </w:rPr>
            </w:pPr>
          </w:p>
        </w:tc>
        <w:tc>
          <w:tcPr>
            <w:tcW w:w="1295" w:type="pct"/>
            <w:tcBorders>
              <w:left w:val="single" w:color="auto" w:sz="4" w:space="0"/>
            </w:tcBorders>
            <w:noWrap/>
            <w:vAlign w:val="center"/>
          </w:tcPr>
          <w:p w14:paraId="19D92EC3">
            <w:pPr>
              <w:spacing w:line="360" w:lineRule="auto"/>
              <w:jc w:val="center"/>
              <w:rPr>
                <w:rFonts w:ascii="仿宋" w:hAnsi="仿宋" w:eastAsia="仿宋" w:cs="仿宋"/>
                <w:sz w:val="24"/>
                <w:highlight w:val="none"/>
              </w:rPr>
            </w:pPr>
          </w:p>
        </w:tc>
        <w:tc>
          <w:tcPr>
            <w:tcW w:w="899" w:type="pct"/>
            <w:tcBorders>
              <w:left w:val="single" w:color="auto" w:sz="4" w:space="0"/>
            </w:tcBorders>
            <w:noWrap/>
          </w:tcPr>
          <w:p w14:paraId="4B42D329">
            <w:pPr>
              <w:spacing w:line="360" w:lineRule="auto"/>
              <w:jc w:val="center"/>
              <w:rPr>
                <w:rFonts w:ascii="仿宋" w:hAnsi="仿宋" w:eastAsia="仿宋" w:cs="仿宋"/>
                <w:sz w:val="24"/>
                <w:highlight w:val="none"/>
              </w:rPr>
            </w:pPr>
          </w:p>
        </w:tc>
      </w:tr>
      <w:tr w14:paraId="161F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46" w:type="pct"/>
            <w:noWrap/>
            <w:vAlign w:val="center"/>
          </w:tcPr>
          <w:p w14:paraId="6903D0F8">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694" w:type="pct"/>
            <w:tcBorders>
              <w:left w:val="single" w:color="auto" w:sz="4" w:space="0"/>
            </w:tcBorders>
            <w:noWrap/>
            <w:vAlign w:val="center"/>
          </w:tcPr>
          <w:p w14:paraId="20587DF4">
            <w:pPr>
              <w:snapToGrid w:val="0"/>
              <w:spacing w:line="360" w:lineRule="auto"/>
              <w:jc w:val="center"/>
              <w:rPr>
                <w:rFonts w:ascii="仿宋" w:hAnsi="仿宋" w:eastAsia="仿宋" w:cs="仿宋"/>
                <w:sz w:val="24"/>
                <w:highlight w:val="none"/>
              </w:rPr>
            </w:pPr>
          </w:p>
        </w:tc>
        <w:tc>
          <w:tcPr>
            <w:tcW w:w="832" w:type="pct"/>
            <w:tcBorders>
              <w:left w:val="single" w:color="auto" w:sz="4" w:space="0"/>
            </w:tcBorders>
            <w:noWrap/>
          </w:tcPr>
          <w:p w14:paraId="6D336305">
            <w:pPr>
              <w:spacing w:line="360" w:lineRule="auto"/>
              <w:jc w:val="center"/>
              <w:rPr>
                <w:rFonts w:ascii="仿宋" w:hAnsi="仿宋" w:eastAsia="仿宋" w:cs="仿宋"/>
                <w:b/>
                <w:sz w:val="24"/>
                <w:highlight w:val="none"/>
              </w:rPr>
            </w:pPr>
          </w:p>
        </w:tc>
        <w:tc>
          <w:tcPr>
            <w:tcW w:w="832" w:type="pct"/>
            <w:tcBorders>
              <w:left w:val="single" w:color="auto" w:sz="4" w:space="0"/>
            </w:tcBorders>
            <w:noWrap/>
            <w:vAlign w:val="center"/>
          </w:tcPr>
          <w:p w14:paraId="02293BCF">
            <w:pPr>
              <w:spacing w:line="360" w:lineRule="auto"/>
              <w:jc w:val="center"/>
              <w:rPr>
                <w:rFonts w:ascii="仿宋" w:hAnsi="仿宋" w:eastAsia="仿宋" w:cs="仿宋"/>
                <w:b/>
                <w:sz w:val="24"/>
                <w:highlight w:val="none"/>
              </w:rPr>
            </w:pPr>
          </w:p>
        </w:tc>
        <w:tc>
          <w:tcPr>
            <w:tcW w:w="1295" w:type="pct"/>
            <w:tcBorders>
              <w:left w:val="single" w:color="auto" w:sz="4" w:space="0"/>
            </w:tcBorders>
            <w:noWrap/>
            <w:vAlign w:val="center"/>
          </w:tcPr>
          <w:p w14:paraId="7FC05726">
            <w:pPr>
              <w:spacing w:line="360" w:lineRule="auto"/>
              <w:jc w:val="center"/>
              <w:rPr>
                <w:rFonts w:ascii="仿宋" w:hAnsi="仿宋" w:eastAsia="仿宋" w:cs="仿宋"/>
                <w:sz w:val="24"/>
                <w:highlight w:val="none"/>
              </w:rPr>
            </w:pPr>
          </w:p>
        </w:tc>
        <w:tc>
          <w:tcPr>
            <w:tcW w:w="899" w:type="pct"/>
            <w:tcBorders>
              <w:left w:val="single" w:color="auto" w:sz="4" w:space="0"/>
            </w:tcBorders>
            <w:noWrap/>
          </w:tcPr>
          <w:p w14:paraId="0BB78E1B">
            <w:pPr>
              <w:spacing w:line="360" w:lineRule="auto"/>
              <w:jc w:val="center"/>
              <w:rPr>
                <w:rFonts w:ascii="仿宋" w:hAnsi="仿宋" w:eastAsia="仿宋" w:cs="仿宋"/>
                <w:sz w:val="24"/>
                <w:highlight w:val="none"/>
              </w:rPr>
            </w:pPr>
          </w:p>
        </w:tc>
      </w:tr>
    </w:tbl>
    <w:p w14:paraId="1BBCEECD">
      <w:pPr>
        <w:snapToGrid w:val="0"/>
        <w:spacing w:before="120" w:beforeLines="50" w:line="360" w:lineRule="auto"/>
        <w:ind w:firstLine="484" w:firstLineChars="201"/>
        <w:outlineLvl w:val="2"/>
        <w:rPr>
          <w:rFonts w:ascii="仿宋" w:hAnsi="仿宋" w:eastAsia="仿宋" w:cs="仿宋"/>
          <w:b/>
          <w:sz w:val="24"/>
          <w:highlight w:val="none"/>
        </w:rPr>
      </w:pPr>
    </w:p>
    <w:p w14:paraId="0F2ABCAD">
      <w:pPr>
        <w:snapToGrid w:val="0"/>
        <w:spacing w:before="120" w:beforeLines="50" w:line="360" w:lineRule="auto"/>
        <w:ind w:firstLine="484" w:firstLineChars="201"/>
        <w:outlineLvl w:val="2"/>
        <w:rPr>
          <w:rFonts w:ascii="仿宋" w:hAnsi="仿宋" w:eastAsia="仿宋" w:cs="仿宋"/>
          <w:b/>
          <w:sz w:val="24"/>
          <w:highlight w:val="none"/>
        </w:rPr>
      </w:pPr>
      <w:r>
        <w:rPr>
          <w:rFonts w:hint="eastAsia" w:ascii="仿宋" w:hAnsi="仿宋" w:eastAsia="仿宋" w:cs="仿宋"/>
          <w:b/>
          <w:sz w:val="24"/>
          <w:highlight w:val="none"/>
        </w:rPr>
        <w:t>附件三：合同总价清单</w:t>
      </w:r>
    </w:p>
    <w:tbl>
      <w:tblPr>
        <w:tblStyle w:val="62"/>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410"/>
        <w:gridCol w:w="721"/>
        <w:gridCol w:w="722"/>
        <w:gridCol w:w="867"/>
        <w:gridCol w:w="866"/>
        <w:gridCol w:w="867"/>
        <w:gridCol w:w="1261"/>
        <w:gridCol w:w="1588"/>
        <w:gridCol w:w="867"/>
      </w:tblGrid>
      <w:tr w14:paraId="6B52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tcBorders>
              <w:top w:val="single" w:color="auto" w:sz="4" w:space="0"/>
              <w:left w:val="single" w:color="auto" w:sz="4" w:space="0"/>
              <w:bottom w:val="single" w:color="auto" w:sz="4" w:space="0"/>
              <w:right w:val="single" w:color="auto" w:sz="4" w:space="0"/>
            </w:tcBorders>
            <w:vAlign w:val="center"/>
          </w:tcPr>
          <w:p w14:paraId="42A22E70">
            <w:pPr>
              <w:widowControl/>
              <w:adjustRightInd/>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序号</w:t>
            </w:r>
          </w:p>
        </w:tc>
        <w:tc>
          <w:tcPr>
            <w:tcW w:w="1384" w:type="dxa"/>
            <w:tcBorders>
              <w:top w:val="single" w:color="auto" w:sz="4" w:space="0"/>
              <w:left w:val="single" w:color="auto" w:sz="4" w:space="0"/>
              <w:bottom w:val="single" w:color="auto" w:sz="4" w:space="0"/>
              <w:right w:val="single" w:color="auto" w:sz="4" w:space="0"/>
            </w:tcBorders>
            <w:vAlign w:val="center"/>
          </w:tcPr>
          <w:p w14:paraId="0E677962">
            <w:pPr>
              <w:widowControl/>
              <w:adjustRightInd/>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设备名称</w:t>
            </w:r>
          </w:p>
        </w:tc>
        <w:tc>
          <w:tcPr>
            <w:tcW w:w="708" w:type="dxa"/>
            <w:tcBorders>
              <w:top w:val="single" w:color="auto" w:sz="4" w:space="0"/>
              <w:left w:val="single" w:color="auto" w:sz="4" w:space="0"/>
              <w:bottom w:val="single" w:color="auto" w:sz="4" w:space="0"/>
              <w:right w:val="single" w:color="auto" w:sz="4" w:space="0"/>
            </w:tcBorders>
            <w:vAlign w:val="center"/>
          </w:tcPr>
          <w:p w14:paraId="3F4A3327">
            <w:pPr>
              <w:widowControl/>
              <w:jc w:val="center"/>
              <w:rPr>
                <w:rFonts w:ascii="仿宋" w:hAnsi="仿宋" w:eastAsia="仿宋" w:cs="仿宋"/>
                <w:b/>
                <w:bCs/>
                <w:kern w:val="0"/>
                <w:sz w:val="24"/>
                <w:highlight w:val="none"/>
              </w:rPr>
            </w:pPr>
            <w:r>
              <w:rPr>
                <w:rFonts w:hint="eastAsia" w:ascii="仿宋" w:hAnsi="仿宋" w:eastAsia="仿宋" w:cs="仿宋"/>
                <w:b/>
                <w:bCs/>
                <w:snapToGrid w:val="0"/>
                <w:sz w:val="24"/>
                <w:highlight w:val="none"/>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55270E74">
            <w:pPr>
              <w:widowControl/>
              <w:adjustRightInd/>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04DDBFEB">
            <w:pPr>
              <w:widowControl/>
              <w:jc w:val="center"/>
              <w:rPr>
                <w:rFonts w:ascii="仿宋" w:hAnsi="仿宋" w:eastAsia="仿宋" w:cs="仿宋"/>
                <w:b/>
                <w:bCs/>
                <w:kern w:val="0"/>
                <w:sz w:val="24"/>
                <w:highlight w:val="none"/>
              </w:rPr>
            </w:pPr>
            <w:r>
              <w:rPr>
                <w:rFonts w:hint="eastAsia" w:ascii="仿宋" w:hAnsi="仿宋" w:eastAsia="仿宋" w:cs="仿宋"/>
                <w:b/>
                <w:bCs/>
                <w:snapToGrid w:val="0"/>
                <w:sz w:val="24"/>
                <w:highlight w:val="none"/>
              </w:rPr>
              <w:t>月数</w:t>
            </w:r>
          </w:p>
        </w:tc>
        <w:tc>
          <w:tcPr>
            <w:tcW w:w="850" w:type="dxa"/>
            <w:tcBorders>
              <w:top w:val="single" w:color="auto" w:sz="4" w:space="0"/>
              <w:left w:val="single" w:color="auto" w:sz="4" w:space="0"/>
              <w:bottom w:val="single" w:color="auto" w:sz="4" w:space="0"/>
              <w:right w:val="single" w:color="auto" w:sz="4" w:space="0"/>
            </w:tcBorders>
            <w:vAlign w:val="center"/>
          </w:tcPr>
          <w:p w14:paraId="05B42FE6">
            <w:pPr>
              <w:widowControl/>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品</w:t>
            </w:r>
            <w:r>
              <w:rPr>
                <w:rFonts w:hint="eastAsia" w:ascii="仿宋" w:hAnsi="仿宋" w:eastAsia="仿宋" w:cs="仿宋"/>
                <w:b/>
                <w:bCs/>
                <w:snapToGrid w:val="0"/>
                <w:sz w:val="24"/>
                <w:highlight w:val="none"/>
              </w:rPr>
              <w:t>牌、型号</w:t>
            </w:r>
          </w:p>
        </w:tc>
        <w:tc>
          <w:tcPr>
            <w:tcW w:w="851" w:type="dxa"/>
            <w:tcBorders>
              <w:top w:val="single" w:color="auto" w:sz="4" w:space="0"/>
              <w:left w:val="single" w:color="auto" w:sz="4" w:space="0"/>
              <w:bottom w:val="single" w:color="auto" w:sz="4" w:space="0"/>
              <w:right w:val="single" w:color="auto" w:sz="4" w:space="0"/>
            </w:tcBorders>
            <w:vAlign w:val="center"/>
          </w:tcPr>
          <w:p w14:paraId="78A5E7D5">
            <w:pPr>
              <w:widowControl/>
              <w:jc w:val="center"/>
              <w:rPr>
                <w:rFonts w:ascii="仿宋" w:hAnsi="仿宋" w:eastAsia="仿宋" w:cs="仿宋"/>
                <w:b/>
                <w:bCs/>
                <w:kern w:val="0"/>
                <w:sz w:val="24"/>
                <w:highlight w:val="none"/>
              </w:rPr>
            </w:pPr>
            <w:r>
              <w:rPr>
                <w:rFonts w:hint="eastAsia" w:ascii="仿宋" w:hAnsi="仿宋" w:eastAsia="仿宋" w:cs="仿宋"/>
                <w:b/>
                <w:bCs/>
                <w:snapToGrid w:val="0"/>
                <w:sz w:val="24"/>
                <w:highlight w:val="none"/>
              </w:rPr>
              <w:t>规格配置</w:t>
            </w:r>
          </w:p>
        </w:tc>
        <w:tc>
          <w:tcPr>
            <w:tcW w:w="1238" w:type="dxa"/>
            <w:tcBorders>
              <w:top w:val="single" w:color="auto" w:sz="4" w:space="0"/>
              <w:left w:val="single" w:color="auto" w:sz="4" w:space="0"/>
              <w:bottom w:val="single" w:color="auto" w:sz="4" w:space="0"/>
              <w:right w:val="single" w:color="auto" w:sz="4" w:space="0"/>
            </w:tcBorders>
            <w:vAlign w:val="center"/>
          </w:tcPr>
          <w:p w14:paraId="6B162A5A">
            <w:pPr>
              <w:widowControl/>
              <w:jc w:val="center"/>
              <w:rPr>
                <w:rFonts w:ascii="仿宋" w:hAnsi="仿宋" w:eastAsia="仿宋" w:cs="仿宋"/>
                <w:b/>
                <w:bCs/>
                <w:sz w:val="24"/>
                <w:highlight w:val="none"/>
              </w:rPr>
            </w:pPr>
            <w:r>
              <w:rPr>
                <w:rFonts w:hint="eastAsia" w:ascii="仿宋" w:hAnsi="仿宋" w:eastAsia="仿宋" w:cs="仿宋"/>
                <w:b/>
                <w:bCs/>
                <w:kern w:val="0"/>
                <w:sz w:val="24"/>
                <w:highlight w:val="none"/>
              </w:rPr>
              <w:t>单价</w:t>
            </w:r>
          </w:p>
          <w:p w14:paraId="615254E7">
            <w:pPr>
              <w:widowControl/>
              <w:jc w:val="center"/>
              <w:rPr>
                <w:rFonts w:ascii="仿宋" w:hAnsi="仿宋" w:eastAsia="仿宋" w:cs="仿宋"/>
                <w:b/>
                <w:bCs/>
                <w:kern w:val="0"/>
                <w:sz w:val="24"/>
                <w:highlight w:val="none"/>
              </w:rPr>
            </w:pPr>
            <w:r>
              <w:rPr>
                <w:rFonts w:hint="eastAsia" w:ascii="仿宋" w:hAnsi="仿宋" w:eastAsia="仿宋" w:cs="仿宋"/>
                <w:b/>
                <w:bCs/>
                <w:snapToGrid w:val="0"/>
                <w:sz w:val="24"/>
                <w:highlight w:val="none"/>
              </w:rPr>
              <w:t>[元/月/台（套、个）]</w:t>
            </w:r>
          </w:p>
        </w:tc>
        <w:tc>
          <w:tcPr>
            <w:tcW w:w="1559" w:type="dxa"/>
            <w:tcBorders>
              <w:top w:val="single" w:color="auto" w:sz="4" w:space="0"/>
              <w:left w:val="single" w:color="auto" w:sz="4" w:space="0"/>
              <w:bottom w:val="single" w:color="auto" w:sz="4" w:space="0"/>
              <w:right w:val="single" w:color="auto" w:sz="4" w:space="0"/>
            </w:tcBorders>
            <w:vAlign w:val="center"/>
          </w:tcPr>
          <w:p w14:paraId="73932CFF">
            <w:pPr>
              <w:widowControl/>
              <w:adjustRightInd/>
              <w:jc w:val="center"/>
              <w:rPr>
                <w:rFonts w:ascii="仿宋" w:hAnsi="仿宋" w:eastAsia="仿宋" w:cs="仿宋"/>
                <w:b/>
                <w:bCs/>
                <w:kern w:val="0"/>
                <w:sz w:val="24"/>
                <w:highlight w:val="none"/>
              </w:rPr>
            </w:pPr>
            <w:r>
              <w:rPr>
                <w:rFonts w:hint="eastAsia" w:ascii="仿宋" w:hAnsi="仿宋" w:eastAsia="仿宋" w:cs="仿宋"/>
                <w:b/>
                <w:bCs/>
                <w:snapToGrid w:val="0"/>
                <w:sz w:val="24"/>
                <w:highlight w:val="none"/>
              </w:rPr>
              <w:t>合价（元）</w:t>
            </w:r>
          </w:p>
        </w:tc>
        <w:tc>
          <w:tcPr>
            <w:tcW w:w="851" w:type="dxa"/>
            <w:tcBorders>
              <w:top w:val="single" w:color="auto" w:sz="4" w:space="0"/>
              <w:left w:val="single" w:color="auto" w:sz="4" w:space="0"/>
              <w:bottom w:val="single" w:color="auto" w:sz="4" w:space="0"/>
              <w:right w:val="single" w:color="auto" w:sz="4" w:space="0"/>
            </w:tcBorders>
            <w:vAlign w:val="center"/>
          </w:tcPr>
          <w:p w14:paraId="1C4581F7">
            <w:pPr>
              <w:jc w:val="center"/>
              <w:rPr>
                <w:rFonts w:ascii="仿宋" w:hAnsi="仿宋" w:eastAsia="仿宋" w:cs="仿宋"/>
                <w:b/>
                <w:bCs/>
                <w:snapToGrid w:val="0"/>
                <w:sz w:val="24"/>
                <w:highlight w:val="none"/>
              </w:rPr>
            </w:pPr>
            <w:r>
              <w:rPr>
                <w:rFonts w:hint="eastAsia" w:ascii="仿宋" w:hAnsi="仿宋" w:eastAsia="仿宋" w:cs="仿宋"/>
                <w:b/>
                <w:bCs/>
                <w:snapToGrid w:val="0"/>
                <w:sz w:val="24"/>
                <w:highlight w:val="none"/>
              </w:rPr>
              <w:t>备注</w:t>
            </w:r>
          </w:p>
        </w:tc>
      </w:tr>
      <w:tr w14:paraId="5062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59" w:type="dxa"/>
            <w:tcBorders>
              <w:top w:val="single" w:color="auto" w:sz="4" w:space="0"/>
              <w:left w:val="single" w:color="auto" w:sz="4" w:space="0"/>
              <w:bottom w:val="single" w:color="auto" w:sz="4" w:space="0"/>
              <w:right w:val="single" w:color="auto" w:sz="4" w:space="0"/>
            </w:tcBorders>
            <w:vAlign w:val="center"/>
          </w:tcPr>
          <w:p w14:paraId="101C9B93">
            <w:pPr>
              <w:spacing w:line="360" w:lineRule="auto"/>
              <w:jc w:val="center"/>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1</w:t>
            </w:r>
          </w:p>
        </w:tc>
        <w:tc>
          <w:tcPr>
            <w:tcW w:w="1384" w:type="dxa"/>
            <w:tcBorders>
              <w:top w:val="single" w:color="auto" w:sz="4" w:space="0"/>
              <w:left w:val="single" w:color="auto" w:sz="4" w:space="0"/>
              <w:bottom w:val="single" w:color="auto" w:sz="4" w:space="0"/>
              <w:right w:val="single" w:color="auto" w:sz="4" w:space="0"/>
            </w:tcBorders>
            <w:vAlign w:val="center"/>
          </w:tcPr>
          <w:p w14:paraId="76067D72">
            <w:pPr>
              <w:spacing w:line="360" w:lineRule="auto"/>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5G便携式视音频设备</w:t>
            </w:r>
          </w:p>
        </w:tc>
        <w:tc>
          <w:tcPr>
            <w:tcW w:w="708" w:type="dxa"/>
            <w:tcBorders>
              <w:top w:val="single" w:color="auto" w:sz="4" w:space="0"/>
              <w:left w:val="single" w:color="auto" w:sz="4" w:space="0"/>
              <w:bottom w:val="single" w:color="auto" w:sz="4" w:space="0"/>
              <w:right w:val="single" w:color="auto" w:sz="4" w:space="0"/>
            </w:tcBorders>
            <w:vAlign w:val="center"/>
          </w:tcPr>
          <w:p w14:paraId="4738E348">
            <w:pPr>
              <w:spacing w:line="360" w:lineRule="auto"/>
              <w:jc w:val="center"/>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台</w:t>
            </w:r>
          </w:p>
        </w:tc>
        <w:tc>
          <w:tcPr>
            <w:tcW w:w="709" w:type="dxa"/>
            <w:tcBorders>
              <w:top w:val="single" w:color="auto" w:sz="4" w:space="0"/>
              <w:left w:val="single" w:color="auto" w:sz="4" w:space="0"/>
              <w:bottom w:val="single" w:color="auto" w:sz="4" w:space="0"/>
              <w:right w:val="single" w:color="auto" w:sz="4" w:space="0"/>
            </w:tcBorders>
            <w:vAlign w:val="center"/>
          </w:tcPr>
          <w:p w14:paraId="522F50C7">
            <w:pPr>
              <w:spacing w:line="360" w:lineRule="auto"/>
              <w:jc w:val="center"/>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1800</w:t>
            </w:r>
          </w:p>
        </w:tc>
        <w:tc>
          <w:tcPr>
            <w:tcW w:w="851" w:type="dxa"/>
            <w:tcBorders>
              <w:top w:val="single" w:color="auto" w:sz="4" w:space="0"/>
              <w:left w:val="single" w:color="auto" w:sz="4" w:space="0"/>
              <w:bottom w:val="single" w:color="auto" w:sz="4" w:space="0"/>
              <w:right w:val="single" w:color="auto" w:sz="4" w:space="0"/>
            </w:tcBorders>
            <w:vAlign w:val="center"/>
          </w:tcPr>
          <w:p w14:paraId="62BA61E6">
            <w:pPr>
              <w:widowControl/>
              <w:jc w:val="center"/>
              <w:rPr>
                <w:rFonts w:ascii="仿宋" w:hAnsi="仿宋" w:eastAsia="仿宋" w:cs="仿宋"/>
                <w:kern w:val="0"/>
                <w:sz w:val="24"/>
                <w:highlight w:val="none"/>
              </w:rPr>
            </w:pPr>
            <w:r>
              <w:rPr>
                <w:rFonts w:hint="eastAsia" w:ascii="仿宋" w:hAnsi="仿宋" w:eastAsia="仿宋" w:cs="仿宋"/>
                <w:sz w:val="24"/>
                <w:highlight w:val="none"/>
              </w:rPr>
              <w:t>12</w:t>
            </w:r>
          </w:p>
        </w:tc>
        <w:tc>
          <w:tcPr>
            <w:tcW w:w="850" w:type="dxa"/>
            <w:tcBorders>
              <w:top w:val="single" w:color="auto" w:sz="4" w:space="0"/>
              <w:left w:val="single" w:color="auto" w:sz="4" w:space="0"/>
              <w:bottom w:val="single" w:color="auto" w:sz="4" w:space="0"/>
              <w:right w:val="single" w:color="auto" w:sz="4" w:space="0"/>
            </w:tcBorders>
          </w:tcPr>
          <w:p w14:paraId="46F6584D">
            <w:pPr>
              <w:widowControl/>
              <w:adjustRightInd/>
              <w:jc w:val="center"/>
              <w:rPr>
                <w:rFonts w:ascii="仿宋" w:hAnsi="仿宋" w:eastAsia="仿宋" w:cs="仿宋"/>
                <w:kern w:val="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7E6DA18F">
            <w:pPr>
              <w:widowControl/>
              <w:adjustRightInd/>
              <w:jc w:val="center"/>
              <w:rPr>
                <w:rFonts w:ascii="仿宋" w:hAnsi="仿宋" w:eastAsia="仿宋" w:cs="仿宋"/>
                <w:kern w:val="0"/>
                <w:sz w:val="24"/>
                <w:highlight w:val="none"/>
              </w:rPr>
            </w:pPr>
          </w:p>
        </w:tc>
        <w:tc>
          <w:tcPr>
            <w:tcW w:w="1238" w:type="dxa"/>
            <w:tcBorders>
              <w:top w:val="single" w:color="auto" w:sz="4" w:space="0"/>
              <w:left w:val="single" w:color="auto" w:sz="4" w:space="0"/>
              <w:bottom w:val="single" w:color="auto" w:sz="4" w:space="0"/>
              <w:right w:val="single" w:color="auto" w:sz="4" w:space="0"/>
            </w:tcBorders>
          </w:tcPr>
          <w:p w14:paraId="5FDEA4B7">
            <w:pPr>
              <w:widowControl/>
              <w:adjustRightInd/>
              <w:jc w:val="center"/>
              <w:rPr>
                <w:rFonts w:ascii="仿宋" w:hAnsi="仿宋" w:eastAsia="仿宋" w:cs="仿宋"/>
                <w:kern w:val="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0892271">
            <w:pPr>
              <w:widowControl/>
              <w:adjustRightInd/>
              <w:jc w:val="center"/>
              <w:rPr>
                <w:rFonts w:ascii="仿宋" w:hAnsi="仿宋" w:eastAsia="仿宋" w:cs="仿宋"/>
                <w:kern w:val="0"/>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615B1C6">
            <w:pPr>
              <w:widowControl/>
              <w:adjustRightInd/>
              <w:jc w:val="center"/>
              <w:rPr>
                <w:rFonts w:ascii="仿宋" w:hAnsi="仿宋" w:eastAsia="仿宋" w:cs="仿宋"/>
                <w:kern w:val="0"/>
                <w:sz w:val="24"/>
                <w:highlight w:val="none"/>
              </w:rPr>
            </w:pPr>
          </w:p>
        </w:tc>
      </w:tr>
      <w:tr w14:paraId="49FE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59" w:type="dxa"/>
            <w:tcBorders>
              <w:top w:val="single" w:color="auto" w:sz="4" w:space="0"/>
              <w:left w:val="single" w:color="auto" w:sz="4" w:space="0"/>
              <w:bottom w:val="single" w:color="auto" w:sz="4" w:space="0"/>
              <w:right w:val="single" w:color="auto" w:sz="4" w:space="0"/>
            </w:tcBorders>
            <w:vAlign w:val="center"/>
          </w:tcPr>
          <w:p w14:paraId="0E71EE52">
            <w:pPr>
              <w:spacing w:line="360" w:lineRule="auto"/>
              <w:jc w:val="center"/>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2</w:t>
            </w:r>
          </w:p>
        </w:tc>
        <w:tc>
          <w:tcPr>
            <w:tcW w:w="1384" w:type="dxa"/>
            <w:tcBorders>
              <w:top w:val="single" w:color="auto" w:sz="4" w:space="0"/>
              <w:left w:val="single" w:color="auto" w:sz="4" w:space="0"/>
              <w:bottom w:val="single" w:color="auto" w:sz="4" w:space="0"/>
              <w:right w:val="single" w:color="auto" w:sz="4" w:space="0"/>
            </w:tcBorders>
            <w:vAlign w:val="center"/>
          </w:tcPr>
          <w:p w14:paraId="29BADCE3">
            <w:pPr>
              <w:spacing w:line="360" w:lineRule="auto"/>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国产化采集站</w:t>
            </w:r>
          </w:p>
        </w:tc>
        <w:tc>
          <w:tcPr>
            <w:tcW w:w="708" w:type="dxa"/>
            <w:tcBorders>
              <w:top w:val="single" w:color="auto" w:sz="4" w:space="0"/>
              <w:left w:val="single" w:color="auto" w:sz="4" w:space="0"/>
              <w:bottom w:val="single" w:color="auto" w:sz="4" w:space="0"/>
              <w:right w:val="single" w:color="auto" w:sz="4" w:space="0"/>
            </w:tcBorders>
            <w:vAlign w:val="center"/>
          </w:tcPr>
          <w:p w14:paraId="27F2C411">
            <w:pPr>
              <w:spacing w:line="360" w:lineRule="auto"/>
              <w:jc w:val="center"/>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台</w:t>
            </w:r>
          </w:p>
        </w:tc>
        <w:tc>
          <w:tcPr>
            <w:tcW w:w="709" w:type="dxa"/>
            <w:tcBorders>
              <w:top w:val="single" w:color="auto" w:sz="4" w:space="0"/>
              <w:left w:val="single" w:color="auto" w:sz="4" w:space="0"/>
              <w:bottom w:val="single" w:color="auto" w:sz="4" w:space="0"/>
              <w:right w:val="single" w:color="auto" w:sz="4" w:space="0"/>
            </w:tcBorders>
            <w:vAlign w:val="center"/>
          </w:tcPr>
          <w:p w14:paraId="49516A0D">
            <w:pPr>
              <w:spacing w:line="360" w:lineRule="auto"/>
              <w:jc w:val="center"/>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87</w:t>
            </w:r>
          </w:p>
        </w:tc>
        <w:tc>
          <w:tcPr>
            <w:tcW w:w="851" w:type="dxa"/>
            <w:tcBorders>
              <w:top w:val="single" w:color="auto" w:sz="4" w:space="0"/>
              <w:left w:val="single" w:color="auto" w:sz="4" w:space="0"/>
              <w:bottom w:val="single" w:color="auto" w:sz="4" w:space="0"/>
              <w:right w:val="single" w:color="auto" w:sz="4" w:space="0"/>
            </w:tcBorders>
            <w:vAlign w:val="center"/>
          </w:tcPr>
          <w:p w14:paraId="7359CB03">
            <w:pPr>
              <w:widowControl/>
              <w:jc w:val="center"/>
              <w:rPr>
                <w:rFonts w:ascii="仿宋" w:hAnsi="仿宋" w:eastAsia="仿宋" w:cs="仿宋"/>
                <w:kern w:val="0"/>
                <w:sz w:val="24"/>
                <w:highlight w:val="none"/>
              </w:rPr>
            </w:pPr>
            <w:r>
              <w:rPr>
                <w:rFonts w:hint="eastAsia" w:ascii="仿宋" w:hAnsi="仿宋" w:eastAsia="仿宋" w:cs="仿宋"/>
                <w:sz w:val="24"/>
                <w:highlight w:val="none"/>
              </w:rPr>
              <w:t>12</w:t>
            </w:r>
          </w:p>
        </w:tc>
        <w:tc>
          <w:tcPr>
            <w:tcW w:w="850" w:type="dxa"/>
            <w:tcBorders>
              <w:top w:val="single" w:color="auto" w:sz="4" w:space="0"/>
              <w:left w:val="single" w:color="auto" w:sz="4" w:space="0"/>
              <w:bottom w:val="single" w:color="auto" w:sz="4" w:space="0"/>
              <w:right w:val="single" w:color="auto" w:sz="4" w:space="0"/>
            </w:tcBorders>
          </w:tcPr>
          <w:p w14:paraId="54B0987A">
            <w:pPr>
              <w:widowControl/>
              <w:adjustRightInd/>
              <w:jc w:val="center"/>
              <w:rPr>
                <w:rFonts w:ascii="仿宋" w:hAnsi="仿宋" w:eastAsia="仿宋" w:cs="仿宋"/>
                <w:kern w:val="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251E998E">
            <w:pPr>
              <w:widowControl/>
              <w:adjustRightInd/>
              <w:jc w:val="center"/>
              <w:rPr>
                <w:rFonts w:ascii="仿宋" w:hAnsi="仿宋" w:eastAsia="仿宋" w:cs="仿宋"/>
                <w:kern w:val="0"/>
                <w:sz w:val="24"/>
                <w:highlight w:val="none"/>
              </w:rPr>
            </w:pPr>
          </w:p>
        </w:tc>
        <w:tc>
          <w:tcPr>
            <w:tcW w:w="1238" w:type="dxa"/>
            <w:tcBorders>
              <w:top w:val="single" w:color="auto" w:sz="4" w:space="0"/>
              <w:left w:val="single" w:color="auto" w:sz="4" w:space="0"/>
              <w:bottom w:val="single" w:color="auto" w:sz="4" w:space="0"/>
              <w:right w:val="single" w:color="auto" w:sz="4" w:space="0"/>
            </w:tcBorders>
          </w:tcPr>
          <w:p w14:paraId="753EA38F">
            <w:pPr>
              <w:widowControl/>
              <w:adjustRightInd/>
              <w:jc w:val="center"/>
              <w:rPr>
                <w:rFonts w:ascii="仿宋" w:hAnsi="仿宋" w:eastAsia="仿宋" w:cs="仿宋"/>
                <w:kern w:val="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8ED0885">
            <w:pPr>
              <w:widowControl/>
              <w:adjustRightInd/>
              <w:jc w:val="center"/>
              <w:rPr>
                <w:rFonts w:ascii="仿宋" w:hAnsi="仿宋" w:eastAsia="仿宋" w:cs="仿宋"/>
                <w:kern w:val="0"/>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D5F26BD">
            <w:pPr>
              <w:widowControl/>
              <w:adjustRightInd/>
              <w:jc w:val="center"/>
              <w:rPr>
                <w:rFonts w:ascii="仿宋" w:hAnsi="仿宋" w:eastAsia="仿宋" w:cs="仿宋"/>
                <w:kern w:val="0"/>
                <w:sz w:val="24"/>
                <w:highlight w:val="none"/>
              </w:rPr>
            </w:pPr>
          </w:p>
        </w:tc>
      </w:tr>
      <w:tr w14:paraId="58F0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59" w:type="dxa"/>
            <w:tcBorders>
              <w:top w:val="single" w:color="auto" w:sz="4" w:space="0"/>
              <w:left w:val="single" w:color="auto" w:sz="4" w:space="0"/>
              <w:bottom w:val="single" w:color="auto" w:sz="4" w:space="0"/>
              <w:right w:val="single" w:color="auto" w:sz="4" w:space="0"/>
            </w:tcBorders>
            <w:vAlign w:val="center"/>
          </w:tcPr>
          <w:p w14:paraId="2CB2453C">
            <w:pPr>
              <w:spacing w:line="360" w:lineRule="auto"/>
              <w:jc w:val="center"/>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3</w:t>
            </w:r>
          </w:p>
        </w:tc>
        <w:tc>
          <w:tcPr>
            <w:tcW w:w="1384" w:type="dxa"/>
            <w:tcBorders>
              <w:top w:val="single" w:color="auto" w:sz="4" w:space="0"/>
              <w:left w:val="single" w:color="auto" w:sz="4" w:space="0"/>
              <w:bottom w:val="single" w:color="auto" w:sz="4" w:space="0"/>
              <w:right w:val="single" w:color="auto" w:sz="4" w:space="0"/>
            </w:tcBorders>
            <w:vAlign w:val="center"/>
          </w:tcPr>
          <w:p w14:paraId="2228707B">
            <w:pPr>
              <w:spacing w:line="360" w:lineRule="auto"/>
              <w:rPr>
                <w:rFonts w:ascii="仿宋" w:hAnsi="仿宋" w:eastAsia="仿宋" w:cs="仿宋"/>
                <w:bCs/>
                <w:kern w:val="0"/>
                <w:sz w:val="24"/>
                <w:highlight w:val="none"/>
                <w:lang w:bidi="zh-CN"/>
              </w:rPr>
            </w:pPr>
            <w:r>
              <w:rPr>
                <w:rFonts w:hint="eastAsia" w:ascii="仿宋" w:hAnsi="仿宋" w:eastAsia="仿宋" w:cs="仿宋"/>
                <w:kern w:val="0"/>
                <w:sz w:val="22"/>
                <w:highlight w:val="none"/>
              </w:rPr>
              <w:t>便携式视音频证据管理系统迁移改造</w:t>
            </w:r>
          </w:p>
        </w:tc>
        <w:tc>
          <w:tcPr>
            <w:tcW w:w="708" w:type="dxa"/>
            <w:tcBorders>
              <w:top w:val="single" w:color="auto" w:sz="4" w:space="0"/>
              <w:left w:val="single" w:color="auto" w:sz="4" w:space="0"/>
              <w:bottom w:val="single" w:color="auto" w:sz="4" w:space="0"/>
              <w:right w:val="single" w:color="auto" w:sz="4" w:space="0"/>
            </w:tcBorders>
            <w:vAlign w:val="center"/>
          </w:tcPr>
          <w:p w14:paraId="0B85E7DC">
            <w:pPr>
              <w:spacing w:line="360" w:lineRule="auto"/>
              <w:jc w:val="center"/>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套</w:t>
            </w:r>
          </w:p>
        </w:tc>
        <w:tc>
          <w:tcPr>
            <w:tcW w:w="709" w:type="dxa"/>
            <w:tcBorders>
              <w:top w:val="single" w:color="auto" w:sz="4" w:space="0"/>
              <w:left w:val="single" w:color="auto" w:sz="4" w:space="0"/>
              <w:bottom w:val="single" w:color="auto" w:sz="4" w:space="0"/>
              <w:right w:val="single" w:color="auto" w:sz="4" w:space="0"/>
            </w:tcBorders>
            <w:vAlign w:val="center"/>
          </w:tcPr>
          <w:p w14:paraId="4CB5D557">
            <w:pPr>
              <w:spacing w:line="360" w:lineRule="auto"/>
              <w:jc w:val="center"/>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1</w:t>
            </w:r>
          </w:p>
        </w:tc>
        <w:tc>
          <w:tcPr>
            <w:tcW w:w="851" w:type="dxa"/>
            <w:tcBorders>
              <w:top w:val="single" w:color="auto" w:sz="4" w:space="0"/>
              <w:left w:val="single" w:color="auto" w:sz="4" w:space="0"/>
              <w:bottom w:val="single" w:color="auto" w:sz="4" w:space="0"/>
              <w:right w:val="single" w:color="auto" w:sz="4" w:space="0"/>
            </w:tcBorders>
            <w:vAlign w:val="center"/>
          </w:tcPr>
          <w:p w14:paraId="3F5E888C">
            <w:pPr>
              <w:widowControl/>
              <w:jc w:val="center"/>
              <w:rPr>
                <w:rFonts w:ascii="仿宋" w:hAnsi="仿宋" w:eastAsia="仿宋" w:cs="仿宋"/>
                <w:sz w:val="24"/>
                <w:highlight w:val="none"/>
              </w:rPr>
            </w:pPr>
            <w:r>
              <w:rPr>
                <w:rFonts w:hint="eastAsia" w:ascii="仿宋" w:hAnsi="仿宋" w:eastAsia="仿宋" w:cs="仿宋"/>
                <w:sz w:val="24"/>
                <w:highlight w:val="none"/>
              </w:rPr>
              <w:t>12</w:t>
            </w:r>
          </w:p>
        </w:tc>
        <w:tc>
          <w:tcPr>
            <w:tcW w:w="850" w:type="dxa"/>
            <w:tcBorders>
              <w:top w:val="single" w:color="auto" w:sz="4" w:space="0"/>
              <w:left w:val="single" w:color="auto" w:sz="4" w:space="0"/>
              <w:bottom w:val="single" w:color="auto" w:sz="4" w:space="0"/>
              <w:right w:val="single" w:color="auto" w:sz="4" w:space="0"/>
            </w:tcBorders>
          </w:tcPr>
          <w:p w14:paraId="3E4D0F04">
            <w:pPr>
              <w:widowControl/>
              <w:adjustRightInd/>
              <w:jc w:val="center"/>
              <w:rPr>
                <w:rFonts w:ascii="仿宋" w:hAnsi="仿宋" w:eastAsia="仿宋" w:cs="仿宋"/>
                <w:kern w:val="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1A80AFFA">
            <w:pPr>
              <w:widowControl/>
              <w:adjustRightInd/>
              <w:jc w:val="center"/>
              <w:rPr>
                <w:rFonts w:ascii="仿宋" w:hAnsi="仿宋" w:eastAsia="仿宋" w:cs="仿宋"/>
                <w:kern w:val="0"/>
                <w:sz w:val="24"/>
                <w:highlight w:val="none"/>
              </w:rPr>
            </w:pPr>
          </w:p>
        </w:tc>
        <w:tc>
          <w:tcPr>
            <w:tcW w:w="1238" w:type="dxa"/>
            <w:tcBorders>
              <w:top w:val="single" w:color="auto" w:sz="4" w:space="0"/>
              <w:left w:val="single" w:color="auto" w:sz="4" w:space="0"/>
              <w:bottom w:val="single" w:color="auto" w:sz="4" w:space="0"/>
              <w:right w:val="single" w:color="auto" w:sz="4" w:space="0"/>
            </w:tcBorders>
          </w:tcPr>
          <w:p w14:paraId="31ABFA5E">
            <w:pPr>
              <w:widowControl/>
              <w:adjustRightInd/>
              <w:jc w:val="center"/>
              <w:rPr>
                <w:rFonts w:ascii="仿宋" w:hAnsi="仿宋" w:eastAsia="仿宋" w:cs="仿宋"/>
                <w:kern w:val="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1B64A6B">
            <w:pPr>
              <w:widowControl/>
              <w:adjustRightInd/>
              <w:jc w:val="center"/>
              <w:rPr>
                <w:rFonts w:ascii="仿宋" w:hAnsi="仿宋" w:eastAsia="仿宋" w:cs="仿宋"/>
                <w:kern w:val="0"/>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F89330F">
            <w:pPr>
              <w:widowControl/>
              <w:adjustRightInd/>
              <w:jc w:val="center"/>
              <w:rPr>
                <w:rFonts w:ascii="仿宋" w:hAnsi="仿宋" w:eastAsia="仿宋" w:cs="仿宋"/>
                <w:kern w:val="0"/>
                <w:sz w:val="24"/>
                <w:highlight w:val="none"/>
              </w:rPr>
            </w:pPr>
          </w:p>
        </w:tc>
      </w:tr>
      <w:tr w14:paraId="2401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tcBorders>
              <w:top w:val="single" w:color="auto" w:sz="4" w:space="0"/>
              <w:left w:val="single" w:color="auto" w:sz="4" w:space="0"/>
              <w:bottom w:val="single" w:color="auto" w:sz="4" w:space="0"/>
              <w:right w:val="single" w:color="auto" w:sz="4" w:space="0"/>
            </w:tcBorders>
            <w:vAlign w:val="center"/>
          </w:tcPr>
          <w:p w14:paraId="3203457E">
            <w:pPr>
              <w:spacing w:line="360" w:lineRule="auto"/>
              <w:jc w:val="center"/>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4</w:t>
            </w:r>
          </w:p>
        </w:tc>
        <w:tc>
          <w:tcPr>
            <w:tcW w:w="1384" w:type="dxa"/>
            <w:tcBorders>
              <w:top w:val="single" w:color="auto" w:sz="4" w:space="0"/>
              <w:left w:val="single" w:color="auto" w:sz="4" w:space="0"/>
              <w:bottom w:val="single" w:color="auto" w:sz="4" w:space="0"/>
              <w:right w:val="single" w:color="auto" w:sz="4" w:space="0"/>
            </w:tcBorders>
            <w:vAlign w:val="center"/>
          </w:tcPr>
          <w:p w14:paraId="4FCF1806">
            <w:pPr>
              <w:spacing w:line="360" w:lineRule="auto"/>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服务器</w:t>
            </w:r>
          </w:p>
        </w:tc>
        <w:tc>
          <w:tcPr>
            <w:tcW w:w="708" w:type="dxa"/>
            <w:tcBorders>
              <w:top w:val="single" w:color="auto" w:sz="4" w:space="0"/>
              <w:left w:val="single" w:color="auto" w:sz="4" w:space="0"/>
              <w:bottom w:val="single" w:color="auto" w:sz="4" w:space="0"/>
              <w:right w:val="single" w:color="auto" w:sz="4" w:space="0"/>
            </w:tcBorders>
            <w:vAlign w:val="center"/>
          </w:tcPr>
          <w:p w14:paraId="47470D08">
            <w:pPr>
              <w:spacing w:line="360" w:lineRule="auto"/>
              <w:jc w:val="center"/>
              <w:rPr>
                <w:rFonts w:ascii="仿宋" w:hAnsi="仿宋" w:eastAsia="仿宋" w:cs="仿宋"/>
                <w:bCs/>
                <w:kern w:val="0"/>
                <w:sz w:val="24"/>
                <w:highlight w:val="none"/>
                <w:lang w:bidi="zh-CN"/>
              </w:rPr>
            </w:pPr>
            <w:r>
              <w:rPr>
                <w:rFonts w:hint="eastAsia" w:ascii="仿宋" w:hAnsi="仿宋" w:eastAsia="仿宋" w:cs="仿宋"/>
                <w:bCs/>
                <w:kern w:val="0"/>
                <w:sz w:val="24"/>
                <w:highlight w:val="none"/>
                <w:lang w:bidi="zh-CN"/>
              </w:rPr>
              <w:t>个</w:t>
            </w:r>
          </w:p>
        </w:tc>
        <w:tc>
          <w:tcPr>
            <w:tcW w:w="709" w:type="dxa"/>
            <w:tcBorders>
              <w:top w:val="single" w:color="auto" w:sz="4" w:space="0"/>
              <w:left w:val="single" w:color="auto" w:sz="4" w:space="0"/>
              <w:bottom w:val="single" w:color="auto" w:sz="4" w:space="0"/>
              <w:right w:val="single" w:color="auto" w:sz="4" w:space="0"/>
            </w:tcBorders>
            <w:vAlign w:val="center"/>
          </w:tcPr>
          <w:p w14:paraId="7565FA90">
            <w:pPr>
              <w:spacing w:line="360" w:lineRule="auto"/>
              <w:jc w:val="center"/>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1</w:t>
            </w:r>
          </w:p>
        </w:tc>
        <w:tc>
          <w:tcPr>
            <w:tcW w:w="851" w:type="dxa"/>
            <w:tcBorders>
              <w:top w:val="single" w:color="auto" w:sz="4" w:space="0"/>
              <w:left w:val="single" w:color="auto" w:sz="4" w:space="0"/>
              <w:bottom w:val="single" w:color="auto" w:sz="4" w:space="0"/>
              <w:right w:val="single" w:color="auto" w:sz="4" w:space="0"/>
            </w:tcBorders>
            <w:vAlign w:val="center"/>
          </w:tcPr>
          <w:p w14:paraId="163C50A4">
            <w:pPr>
              <w:widowControl/>
              <w:jc w:val="center"/>
              <w:rPr>
                <w:rFonts w:ascii="仿宋" w:hAnsi="仿宋" w:eastAsia="仿宋" w:cs="仿宋"/>
                <w:kern w:val="0"/>
                <w:sz w:val="24"/>
                <w:highlight w:val="none"/>
              </w:rPr>
            </w:pPr>
            <w:r>
              <w:rPr>
                <w:rFonts w:hint="eastAsia" w:ascii="仿宋" w:hAnsi="仿宋" w:eastAsia="仿宋" w:cs="仿宋"/>
                <w:sz w:val="24"/>
                <w:highlight w:val="none"/>
              </w:rPr>
              <w:t>12</w:t>
            </w:r>
          </w:p>
        </w:tc>
        <w:tc>
          <w:tcPr>
            <w:tcW w:w="850" w:type="dxa"/>
            <w:tcBorders>
              <w:top w:val="single" w:color="auto" w:sz="4" w:space="0"/>
              <w:left w:val="single" w:color="auto" w:sz="4" w:space="0"/>
              <w:bottom w:val="single" w:color="auto" w:sz="4" w:space="0"/>
              <w:right w:val="single" w:color="auto" w:sz="4" w:space="0"/>
            </w:tcBorders>
          </w:tcPr>
          <w:p w14:paraId="6C76AF6A">
            <w:pPr>
              <w:widowControl/>
              <w:adjustRightInd/>
              <w:jc w:val="center"/>
              <w:rPr>
                <w:rFonts w:ascii="仿宋" w:hAnsi="仿宋" w:eastAsia="仿宋" w:cs="仿宋"/>
                <w:kern w:val="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285DDBA4">
            <w:pPr>
              <w:widowControl/>
              <w:adjustRightInd/>
              <w:jc w:val="center"/>
              <w:rPr>
                <w:rFonts w:ascii="仿宋" w:hAnsi="仿宋" w:eastAsia="仿宋" w:cs="仿宋"/>
                <w:kern w:val="0"/>
                <w:sz w:val="24"/>
                <w:highlight w:val="none"/>
              </w:rPr>
            </w:pPr>
          </w:p>
        </w:tc>
        <w:tc>
          <w:tcPr>
            <w:tcW w:w="1238" w:type="dxa"/>
            <w:tcBorders>
              <w:top w:val="single" w:color="auto" w:sz="4" w:space="0"/>
              <w:left w:val="single" w:color="auto" w:sz="4" w:space="0"/>
              <w:bottom w:val="single" w:color="auto" w:sz="4" w:space="0"/>
              <w:right w:val="single" w:color="auto" w:sz="4" w:space="0"/>
            </w:tcBorders>
          </w:tcPr>
          <w:p w14:paraId="720E9C74">
            <w:pPr>
              <w:widowControl/>
              <w:adjustRightInd/>
              <w:jc w:val="center"/>
              <w:rPr>
                <w:rFonts w:ascii="仿宋" w:hAnsi="仿宋" w:eastAsia="仿宋" w:cs="仿宋"/>
                <w:kern w:val="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155E3B2">
            <w:pPr>
              <w:widowControl/>
              <w:adjustRightInd/>
              <w:jc w:val="center"/>
              <w:rPr>
                <w:rFonts w:ascii="仿宋" w:hAnsi="仿宋" w:eastAsia="仿宋" w:cs="仿宋"/>
                <w:kern w:val="0"/>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D571793">
            <w:pPr>
              <w:widowControl/>
              <w:adjustRightInd/>
              <w:jc w:val="center"/>
              <w:rPr>
                <w:rFonts w:ascii="仿宋" w:hAnsi="仿宋" w:eastAsia="仿宋" w:cs="仿宋"/>
                <w:kern w:val="0"/>
                <w:sz w:val="24"/>
                <w:highlight w:val="none"/>
              </w:rPr>
            </w:pPr>
          </w:p>
        </w:tc>
      </w:tr>
      <w:tr w14:paraId="4A01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11" w:type="dxa"/>
            <w:gridSpan w:val="5"/>
            <w:tcBorders>
              <w:top w:val="single" w:color="auto" w:sz="4" w:space="0"/>
              <w:left w:val="single" w:color="auto" w:sz="4" w:space="0"/>
              <w:bottom w:val="single" w:color="auto" w:sz="4" w:space="0"/>
              <w:right w:val="single" w:color="auto" w:sz="4" w:space="0"/>
            </w:tcBorders>
          </w:tcPr>
          <w:p w14:paraId="47261CBD">
            <w:pPr>
              <w:widowControl/>
              <w:jc w:val="center"/>
              <w:rPr>
                <w:rFonts w:ascii="仿宋" w:hAnsi="仿宋" w:eastAsia="仿宋" w:cs="仿宋"/>
                <w:kern w:val="0"/>
                <w:sz w:val="24"/>
                <w:highlight w:val="none"/>
              </w:rPr>
            </w:pPr>
            <w:r>
              <w:rPr>
                <w:rFonts w:hint="eastAsia" w:ascii="仿宋" w:hAnsi="仿宋" w:eastAsia="仿宋" w:cs="仿宋"/>
                <w:b/>
                <w:bCs/>
                <w:snapToGrid w:val="0"/>
                <w:sz w:val="24"/>
                <w:highlight w:val="none"/>
              </w:rPr>
              <w:t>合同总价（小写）人民币</w:t>
            </w:r>
          </w:p>
        </w:tc>
        <w:tc>
          <w:tcPr>
            <w:tcW w:w="5349" w:type="dxa"/>
            <w:gridSpan w:val="5"/>
            <w:tcBorders>
              <w:top w:val="single" w:color="auto" w:sz="4" w:space="0"/>
              <w:left w:val="single" w:color="auto" w:sz="4" w:space="0"/>
              <w:bottom w:val="single" w:color="auto" w:sz="4" w:space="0"/>
              <w:right w:val="single" w:color="auto" w:sz="4" w:space="0"/>
            </w:tcBorders>
            <w:vAlign w:val="center"/>
          </w:tcPr>
          <w:p w14:paraId="68457998">
            <w:pPr>
              <w:widowControl/>
              <w:jc w:val="center"/>
              <w:rPr>
                <w:rFonts w:ascii="仿宋" w:hAnsi="仿宋" w:eastAsia="仿宋" w:cs="仿宋"/>
                <w:kern w:val="0"/>
                <w:sz w:val="24"/>
                <w:highlight w:val="none"/>
              </w:rPr>
            </w:pPr>
          </w:p>
        </w:tc>
      </w:tr>
      <w:tr w14:paraId="0565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11" w:type="dxa"/>
            <w:gridSpan w:val="5"/>
            <w:tcBorders>
              <w:top w:val="single" w:color="auto" w:sz="4" w:space="0"/>
              <w:left w:val="single" w:color="auto" w:sz="4" w:space="0"/>
              <w:bottom w:val="single" w:color="auto" w:sz="4" w:space="0"/>
              <w:right w:val="single" w:color="auto" w:sz="4" w:space="0"/>
            </w:tcBorders>
          </w:tcPr>
          <w:p w14:paraId="2A7FDC4B">
            <w:pPr>
              <w:widowControl/>
              <w:jc w:val="center"/>
              <w:rPr>
                <w:rFonts w:ascii="仿宋" w:hAnsi="仿宋" w:eastAsia="仿宋" w:cs="仿宋"/>
                <w:kern w:val="0"/>
                <w:sz w:val="24"/>
                <w:highlight w:val="none"/>
              </w:rPr>
            </w:pPr>
            <w:r>
              <w:rPr>
                <w:rFonts w:hint="eastAsia" w:ascii="仿宋" w:hAnsi="仿宋" w:eastAsia="仿宋" w:cs="仿宋"/>
                <w:b/>
                <w:bCs/>
                <w:snapToGrid w:val="0"/>
                <w:sz w:val="24"/>
                <w:highlight w:val="none"/>
              </w:rPr>
              <w:t>合同总价（大写）人民币</w:t>
            </w:r>
          </w:p>
        </w:tc>
        <w:tc>
          <w:tcPr>
            <w:tcW w:w="5349" w:type="dxa"/>
            <w:gridSpan w:val="5"/>
            <w:tcBorders>
              <w:top w:val="single" w:color="auto" w:sz="4" w:space="0"/>
              <w:left w:val="single" w:color="auto" w:sz="4" w:space="0"/>
              <w:bottom w:val="single" w:color="auto" w:sz="4" w:space="0"/>
              <w:right w:val="single" w:color="auto" w:sz="4" w:space="0"/>
            </w:tcBorders>
            <w:vAlign w:val="center"/>
          </w:tcPr>
          <w:p w14:paraId="3E7F2CAB">
            <w:pPr>
              <w:widowControl/>
              <w:jc w:val="center"/>
              <w:rPr>
                <w:rFonts w:ascii="仿宋" w:hAnsi="仿宋" w:eastAsia="仿宋" w:cs="仿宋"/>
                <w:kern w:val="0"/>
                <w:sz w:val="24"/>
                <w:highlight w:val="none"/>
              </w:rPr>
            </w:pPr>
          </w:p>
        </w:tc>
      </w:tr>
    </w:tbl>
    <w:p w14:paraId="4D0283E1">
      <w:pPr>
        <w:widowControl/>
        <w:adjustRightInd/>
        <w:jc w:val="center"/>
        <w:rPr>
          <w:rFonts w:ascii="仿宋" w:hAnsi="仿宋" w:eastAsia="仿宋" w:cs="仿宋"/>
          <w:b/>
          <w:sz w:val="36"/>
          <w:szCs w:val="20"/>
          <w:highlight w:val="none"/>
        </w:rPr>
      </w:pPr>
    </w:p>
    <w:p w14:paraId="78BFF94E">
      <w:pPr>
        <w:widowControl/>
        <w:adjustRightInd/>
        <w:jc w:val="center"/>
        <w:rPr>
          <w:rFonts w:ascii="仿宋" w:hAnsi="仿宋" w:eastAsia="仿宋" w:cs="仿宋"/>
          <w:b/>
          <w:sz w:val="36"/>
          <w:szCs w:val="20"/>
          <w:highlight w:val="none"/>
        </w:rPr>
      </w:pPr>
    </w:p>
    <w:p w14:paraId="19F1B1D3">
      <w:pPr>
        <w:widowControl/>
        <w:adjustRightInd/>
        <w:jc w:val="center"/>
        <w:rPr>
          <w:rFonts w:ascii="仿宋" w:hAnsi="仿宋" w:eastAsia="仿宋" w:cs="仿宋"/>
          <w:b/>
          <w:sz w:val="36"/>
          <w:szCs w:val="20"/>
          <w:highlight w:val="none"/>
        </w:rPr>
      </w:pPr>
    </w:p>
    <w:p w14:paraId="39FC275C">
      <w:pPr>
        <w:widowControl/>
        <w:adjustRightInd/>
        <w:jc w:val="center"/>
        <w:rPr>
          <w:rFonts w:ascii="仿宋" w:hAnsi="仿宋" w:eastAsia="仿宋" w:cs="仿宋"/>
          <w:b/>
          <w:sz w:val="36"/>
          <w:szCs w:val="20"/>
          <w:highlight w:val="none"/>
        </w:rPr>
      </w:pPr>
    </w:p>
    <w:p w14:paraId="4208B062">
      <w:pPr>
        <w:widowControl/>
        <w:adjustRightInd/>
        <w:jc w:val="center"/>
        <w:rPr>
          <w:rFonts w:ascii="仿宋" w:hAnsi="仿宋" w:eastAsia="仿宋" w:cs="仿宋"/>
          <w:b/>
          <w:sz w:val="36"/>
          <w:szCs w:val="20"/>
          <w:highlight w:val="none"/>
        </w:rPr>
      </w:pPr>
    </w:p>
    <w:p w14:paraId="7C25CDA3">
      <w:pPr>
        <w:widowControl/>
        <w:adjustRightInd/>
        <w:jc w:val="center"/>
        <w:rPr>
          <w:rFonts w:ascii="仿宋" w:hAnsi="仿宋" w:eastAsia="仿宋" w:cs="仿宋"/>
          <w:b/>
          <w:sz w:val="36"/>
          <w:szCs w:val="20"/>
          <w:highlight w:val="none"/>
        </w:rPr>
      </w:pPr>
    </w:p>
    <w:p w14:paraId="31FFF73A">
      <w:pPr>
        <w:widowControl/>
        <w:adjustRightInd/>
        <w:jc w:val="center"/>
        <w:rPr>
          <w:rFonts w:ascii="仿宋" w:hAnsi="仿宋" w:eastAsia="仿宋" w:cs="仿宋"/>
          <w:b/>
          <w:sz w:val="36"/>
          <w:szCs w:val="20"/>
          <w:highlight w:val="none"/>
        </w:rPr>
      </w:pPr>
    </w:p>
    <w:p w14:paraId="2B0FA8E5">
      <w:pPr>
        <w:widowControl/>
        <w:adjustRightInd/>
        <w:jc w:val="center"/>
        <w:rPr>
          <w:rFonts w:ascii="仿宋" w:hAnsi="仿宋" w:eastAsia="仿宋" w:cs="仿宋"/>
          <w:b/>
          <w:sz w:val="36"/>
          <w:szCs w:val="20"/>
          <w:highlight w:val="none"/>
        </w:rPr>
      </w:pPr>
    </w:p>
    <w:p w14:paraId="0926CFA3">
      <w:pPr>
        <w:widowControl/>
        <w:adjustRightInd/>
        <w:jc w:val="center"/>
        <w:rPr>
          <w:rFonts w:ascii="仿宋" w:hAnsi="仿宋" w:eastAsia="仿宋" w:cs="仿宋"/>
          <w:b/>
          <w:sz w:val="36"/>
          <w:szCs w:val="20"/>
          <w:highlight w:val="none"/>
        </w:rPr>
      </w:pPr>
    </w:p>
    <w:p w14:paraId="23B6356D">
      <w:pPr>
        <w:widowControl/>
        <w:adjustRightInd/>
        <w:jc w:val="center"/>
        <w:rPr>
          <w:rFonts w:ascii="仿宋" w:hAnsi="仿宋" w:eastAsia="仿宋" w:cs="仿宋"/>
          <w:b/>
          <w:sz w:val="36"/>
          <w:szCs w:val="20"/>
          <w:highlight w:val="none"/>
        </w:rPr>
      </w:pPr>
    </w:p>
    <w:p w14:paraId="342FC174">
      <w:pPr>
        <w:widowControl/>
        <w:adjustRightInd/>
        <w:jc w:val="center"/>
        <w:rPr>
          <w:rFonts w:ascii="仿宋" w:hAnsi="仿宋" w:eastAsia="仿宋" w:cs="仿宋"/>
          <w:b/>
          <w:sz w:val="36"/>
          <w:szCs w:val="20"/>
          <w:highlight w:val="none"/>
        </w:rPr>
      </w:pPr>
    </w:p>
    <w:p w14:paraId="34721C5D">
      <w:pPr>
        <w:widowControl/>
        <w:adjustRightInd/>
        <w:jc w:val="center"/>
        <w:rPr>
          <w:rFonts w:ascii="仿宋" w:hAnsi="仿宋" w:eastAsia="仿宋" w:cs="仿宋"/>
          <w:b/>
          <w:sz w:val="36"/>
          <w:szCs w:val="20"/>
          <w:highlight w:val="none"/>
        </w:rPr>
      </w:pPr>
    </w:p>
    <w:p w14:paraId="28AFC0BE">
      <w:pPr>
        <w:widowControl/>
        <w:adjustRightInd/>
        <w:jc w:val="center"/>
        <w:rPr>
          <w:rFonts w:ascii="仿宋" w:hAnsi="仿宋" w:eastAsia="仿宋" w:cs="仿宋"/>
          <w:b/>
          <w:sz w:val="36"/>
          <w:szCs w:val="20"/>
          <w:highlight w:val="none"/>
        </w:rPr>
      </w:pPr>
    </w:p>
    <w:p w14:paraId="55FE1DB4">
      <w:pPr>
        <w:widowControl/>
        <w:adjustRightInd/>
        <w:jc w:val="left"/>
        <w:rPr>
          <w:rFonts w:ascii="仿宋" w:hAnsi="仿宋" w:eastAsia="仿宋" w:cs="仿宋"/>
          <w:b/>
          <w:sz w:val="36"/>
          <w:szCs w:val="20"/>
          <w:highlight w:val="none"/>
        </w:rPr>
      </w:pPr>
      <w:r>
        <w:rPr>
          <w:rFonts w:hint="eastAsia" w:ascii="仿宋" w:hAnsi="仿宋" w:eastAsia="仿宋" w:cs="仿宋"/>
          <w:b/>
          <w:sz w:val="36"/>
          <w:szCs w:val="20"/>
          <w:highlight w:val="none"/>
        </w:rPr>
        <w:br w:type="page"/>
      </w:r>
    </w:p>
    <w:p w14:paraId="444E0A67">
      <w:pPr>
        <w:widowControl/>
        <w:adjustRightInd/>
        <w:jc w:val="center"/>
        <w:rPr>
          <w:rFonts w:ascii="仿宋" w:hAnsi="仿宋" w:eastAsia="仿宋" w:cs="仿宋"/>
          <w:b/>
          <w:sz w:val="36"/>
          <w:szCs w:val="20"/>
          <w:highlight w:val="none"/>
        </w:rPr>
      </w:pPr>
      <w:r>
        <w:rPr>
          <w:rFonts w:hint="eastAsia" w:ascii="仿宋" w:hAnsi="仿宋" w:eastAsia="仿宋" w:cs="仿宋"/>
          <w:b/>
          <w:sz w:val="36"/>
          <w:szCs w:val="20"/>
          <w:highlight w:val="none"/>
        </w:rPr>
        <w:t>第六部分</w:t>
      </w:r>
      <w:bookmarkEnd w:id="397"/>
      <w:bookmarkEnd w:id="398"/>
      <w:r>
        <w:rPr>
          <w:rFonts w:hint="eastAsia" w:ascii="仿宋" w:hAnsi="仿宋" w:eastAsia="仿宋" w:cs="仿宋"/>
          <w:b/>
          <w:sz w:val="36"/>
          <w:szCs w:val="20"/>
          <w:highlight w:val="none"/>
        </w:rPr>
        <w:t>应提交的有关格式范例</w:t>
      </w:r>
    </w:p>
    <w:p w14:paraId="0F5AC61E">
      <w:pPr>
        <w:spacing w:line="360" w:lineRule="auto"/>
        <w:jc w:val="center"/>
        <w:outlineLvl w:val="0"/>
        <w:rPr>
          <w:rFonts w:ascii="仿宋" w:hAnsi="仿宋" w:eastAsia="仿宋" w:cs="仿宋"/>
          <w:b/>
          <w:kern w:val="0"/>
          <w:sz w:val="36"/>
          <w:szCs w:val="36"/>
          <w:highlight w:val="none"/>
        </w:rPr>
      </w:pPr>
    </w:p>
    <w:p w14:paraId="28854931">
      <w:pPr>
        <w:spacing w:line="360" w:lineRule="auto"/>
        <w:jc w:val="center"/>
        <w:outlineLvl w:val="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517E2E3B">
      <w:pPr>
        <w:spacing w:line="360" w:lineRule="auto"/>
        <w:jc w:val="center"/>
        <w:outlineLvl w:val="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71EB13E7">
      <w:pPr>
        <w:spacing w:line="360" w:lineRule="auto"/>
        <w:jc w:val="center"/>
        <w:outlineLvl w:val="0"/>
        <w:rPr>
          <w:rFonts w:ascii="仿宋" w:hAnsi="仿宋" w:eastAsia="仿宋" w:cs="仿宋"/>
          <w:b/>
          <w:kern w:val="0"/>
          <w:sz w:val="36"/>
          <w:szCs w:val="36"/>
          <w:highlight w:val="none"/>
        </w:rPr>
      </w:pPr>
    </w:p>
    <w:p w14:paraId="748A193E">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14:paraId="6FF42715">
      <w:pPr>
        <w:snapToGrid w:val="0"/>
        <w:spacing w:line="360" w:lineRule="auto"/>
        <w:rPr>
          <w:rFonts w:ascii="仿宋" w:hAnsi="仿宋" w:eastAsia="仿宋" w:cs="仿宋"/>
          <w:sz w:val="24"/>
          <w:highlight w:val="none"/>
        </w:rPr>
      </w:pPr>
      <w:r>
        <w:rPr>
          <w:rFonts w:hint="eastAsia" w:ascii="仿宋" w:hAnsi="仿宋" w:eastAsia="仿宋" w:cs="仿宋"/>
          <w:snapToGrid w:val="0"/>
          <w:kern w:val="28"/>
          <w:sz w:val="24"/>
          <w:szCs w:val="20"/>
          <w:highlight w:val="none"/>
        </w:rPr>
        <w:t>（2）联合协议</w:t>
      </w:r>
      <w:r>
        <w:rPr>
          <w:rFonts w:hint="eastAsia" w:ascii="仿宋" w:hAnsi="仿宋" w:eastAsia="仿宋" w:cs="仿宋"/>
          <w:sz w:val="24"/>
          <w:highlight w:val="none"/>
        </w:rPr>
        <w:t>………………………………………………………………（页码）</w:t>
      </w:r>
    </w:p>
    <w:p w14:paraId="51F648A1">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（3）落实政府采购政策需满足的资格要求………………………………（页码）</w:t>
      </w:r>
    </w:p>
    <w:p w14:paraId="7C8E456B">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（4）本项目的特定资格要求………………………………………………（页码）</w:t>
      </w:r>
    </w:p>
    <w:p w14:paraId="43864607">
      <w:pPr>
        <w:snapToGrid w:val="0"/>
        <w:spacing w:line="360" w:lineRule="auto"/>
        <w:ind w:firstLine="480" w:firstLineChars="200"/>
        <w:rPr>
          <w:rFonts w:ascii="仿宋" w:hAnsi="仿宋" w:eastAsia="仿宋" w:cs="仿宋"/>
          <w:sz w:val="24"/>
          <w:highlight w:val="none"/>
        </w:rPr>
      </w:pPr>
    </w:p>
    <w:p w14:paraId="327B3FC0">
      <w:pPr>
        <w:spacing w:line="360" w:lineRule="auto"/>
        <w:ind w:firstLine="480" w:firstLineChars="200"/>
        <w:rPr>
          <w:rFonts w:ascii="仿宋" w:hAnsi="仿宋" w:eastAsia="仿宋" w:cs="仿宋"/>
          <w:sz w:val="24"/>
          <w:highlight w:val="none"/>
        </w:rPr>
      </w:pPr>
    </w:p>
    <w:p w14:paraId="27C64090">
      <w:pPr>
        <w:snapToGrid w:val="0"/>
        <w:spacing w:line="360" w:lineRule="auto"/>
        <w:ind w:right="480"/>
        <w:jc w:val="center"/>
        <w:rPr>
          <w:rFonts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 xml:space="preserve">  一、 符合参加政府采购活动应当具备的一般条件的承诺函</w:t>
      </w:r>
    </w:p>
    <w:p w14:paraId="1B9846B3">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杭州市公安局交通警察支队、浙江信达咨询监理有限公司：</w:t>
      </w:r>
    </w:p>
    <w:p w14:paraId="2774977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我方参与2025年杭州交警业务系统租赁使用服务-2025年5G便携式视音频设备使用项目【招标编号：HZSGAJ-2025-17（代)】政府采购活动，郑重承诺：</w:t>
      </w:r>
    </w:p>
    <w:p w14:paraId="445F7672">
      <w:pPr>
        <w:snapToGrid w:val="0"/>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5D34E6F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1、具有独立承担民事责任的能力；</w:t>
      </w:r>
    </w:p>
    <w:p w14:paraId="2AF9140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70BE310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7BA8484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40CCF06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5B039D6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1FD0101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11261F2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（三）不存在以下情况：</w:t>
      </w:r>
    </w:p>
    <w:p w14:paraId="76597F19">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1E5F14E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7E6C9F20">
      <w:pPr>
        <w:snapToGrid w:val="0"/>
        <w:spacing w:line="360" w:lineRule="auto"/>
        <w:ind w:firstLine="5520" w:firstLineChars="2300"/>
        <w:rPr>
          <w:rFonts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14:paraId="5A883DA7">
      <w:pPr>
        <w:snapToGrid w:val="0"/>
        <w:spacing w:line="360" w:lineRule="auto"/>
        <w:jc w:val="right"/>
        <w:rPr>
          <w:rFonts w:ascii="仿宋" w:hAnsi="仿宋" w:eastAsia="仿宋" w:cs="仿宋"/>
          <w:kern w:val="0"/>
          <w:sz w:val="24"/>
          <w:highlight w:val="none"/>
          <w:lang w:val="zh-CN"/>
        </w:rPr>
      </w:pPr>
    </w:p>
    <w:p w14:paraId="3136AED6">
      <w:pPr>
        <w:snapToGrid w:val="0"/>
        <w:spacing w:line="360" w:lineRule="auto"/>
        <w:jc w:val="right"/>
        <w:rPr>
          <w:rFonts w:ascii="仿宋" w:hAnsi="仿宋" w:eastAsia="仿宋" w:cs="仿宋"/>
          <w:kern w:val="0"/>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月日</w:t>
      </w:r>
    </w:p>
    <w:p w14:paraId="3904E612">
      <w:pPr>
        <w:snapToGrid w:val="0"/>
        <w:spacing w:line="360" w:lineRule="auto"/>
        <w:ind w:right="480"/>
        <w:jc w:val="center"/>
        <w:rPr>
          <w:rFonts w:ascii="仿宋" w:hAnsi="仿宋" w:eastAsia="仿宋" w:cs="仿宋"/>
          <w:b/>
          <w:kern w:val="0"/>
          <w:sz w:val="32"/>
          <w:szCs w:val="32"/>
          <w:highlight w:val="none"/>
        </w:rPr>
      </w:pPr>
    </w:p>
    <w:p w14:paraId="0166ECCF">
      <w:pPr>
        <w:snapToGrid w:val="0"/>
        <w:spacing w:line="360" w:lineRule="auto"/>
        <w:ind w:right="480"/>
        <w:jc w:val="center"/>
        <w:rPr>
          <w:rFonts w:ascii="仿宋" w:hAnsi="仿宋" w:eastAsia="仿宋" w:cs="仿宋"/>
          <w:b/>
          <w:kern w:val="0"/>
          <w:sz w:val="32"/>
          <w:szCs w:val="32"/>
          <w:highlight w:val="none"/>
        </w:rPr>
      </w:pPr>
    </w:p>
    <w:p w14:paraId="159A56C3">
      <w:pPr>
        <w:snapToGrid w:val="0"/>
        <w:spacing w:line="360" w:lineRule="auto"/>
        <w:ind w:right="480"/>
        <w:jc w:val="center"/>
        <w:rPr>
          <w:rFonts w:ascii="仿宋" w:hAnsi="仿宋" w:eastAsia="仿宋" w:cs="仿宋"/>
          <w:b/>
          <w:kern w:val="0"/>
          <w:sz w:val="32"/>
          <w:szCs w:val="32"/>
          <w:highlight w:val="none"/>
        </w:rPr>
      </w:pPr>
    </w:p>
    <w:p w14:paraId="13692AFF">
      <w:pPr>
        <w:rPr>
          <w:rFonts w:ascii="仿宋" w:hAnsi="仿宋" w:eastAsia="仿宋" w:cs="仿宋"/>
          <w:highlight w:val="none"/>
        </w:rPr>
      </w:pPr>
    </w:p>
    <w:p w14:paraId="2398E109">
      <w:pPr>
        <w:snapToGrid w:val="0"/>
        <w:spacing w:line="360" w:lineRule="auto"/>
        <w:ind w:right="480"/>
        <w:jc w:val="center"/>
        <w:rPr>
          <w:rFonts w:ascii="仿宋" w:hAnsi="仿宋" w:eastAsia="仿宋" w:cs="仿宋"/>
          <w:b/>
          <w:kern w:val="0"/>
          <w:sz w:val="32"/>
          <w:szCs w:val="32"/>
          <w:highlight w:val="none"/>
        </w:rPr>
      </w:pPr>
    </w:p>
    <w:p w14:paraId="2283ED1A">
      <w:pPr>
        <w:widowControl/>
        <w:adjustRightInd/>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r>
        <w:rPr>
          <w:rFonts w:hint="eastAsia" w:ascii="仿宋" w:hAnsi="仿宋" w:eastAsia="仿宋" w:cs="仿宋"/>
          <w:b/>
          <w:kern w:val="0"/>
          <w:sz w:val="32"/>
          <w:szCs w:val="32"/>
          <w:highlight w:val="none"/>
        </w:rPr>
        <w:t>二、联合协议（如果有）</w:t>
      </w:r>
    </w:p>
    <w:p w14:paraId="6B8D330D">
      <w:pPr>
        <w:widowControl/>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[以联合体形式投标的，提供联合协议（附件5）；本项目不接受联合体投标或者投标人不以联合体形式投标的，则不需要提供）]</w:t>
      </w:r>
    </w:p>
    <w:p w14:paraId="7994DC82">
      <w:pPr>
        <w:snapToGrid w:val="0"/>
        <w:spacing w:line="360" w:lineRule="auto"/>
        <w:ind w:right="480"/>
        <w:jc w:val="center"/>
        <w:rPr>
          <w:rFonts w:ascii="仿宋" w:hAnsi="仿宋" w:eastAsia="仿宋" w:cs="仿宋"/>
          <w:b/>
          <w:kern w:val="0"/>
          <w:sz w:val="32"/>
          <w:szCs w:val="32"/>
          <w:highlight w:val="none"/>
        </w:rPr>
      </w:pPr>
    </w:p>
    <w:p w14:paraId="11A93DA4">
      <w:pPr>
        <w:snapToGrid w:val="0"/>
        <w:spacing w:line="360" w:lineRule="auto"/>
        <w:ind w:right="480"/>
        <w:jc w:val="center"/>
        <w:rPr>
          <w:rFonts w:ascii="仿宋" w:hAnsi="仿宋" w:eastAsia="仿宋" w:cs="仿宋"/>
          <w:b/>
          <w:kern w:val="0"/>
          <w:sz w:val="32"/>
          <w:szCs w:val="32"/>
          <w:highlight w:val="none"/>
        </w:rPr>
      </w:pPr>
    </w:p>
    <w:p w14:paraId="58F04ACF">
      <w:pPr>
        <w:snapToGrid w:val="0"/>
        <w:spacing w:line="360" w:lineRule="auto"/>
        <w:ind w:right="480"/>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三、落实政府采购政策需满足的资格要求</w:t>
      </w:r>
    </w:p>
    <w:p w14:paraId="52003047">
      <w:pPr>
        <w:spacing w:line="360" w:lineRule="auto"/>
        <w:rPr>
          <w:rFonts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69874107">
      <w:pPr>
        <w:snapToGrid w:val="0"/>
        <w:spacing w:before="50" w:after="50" w:line="360" w:lineRule="auto"/>
        <w:ind w:firstLine="472" w:firstLineChars="196"/>
        <w:jc w:val="left"/>
        <w:rPr>
          <w:rFonts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 xml:space="preserve">.专门面向中小企业，服务全部由符合政策要求的中小企业（或小微企业）承接的，提供相应的中小企业声明函（附件7）。 </w:t>
      </w:r>
    </w:p>
    <w:p w14:paraId="2FC2FD43">
      <w:pPr>
        <w:widowControl/>
        <w:spacing w:line="360" w:lineRule="auto"/>
        <w:ind w:firstLine="480"/>
        <w:jc w:val="left"/>
        <w:rPr>
          <w:rFonts w:ascii="仿宋" w:hAnsi="仿宋" w:eastAsia="仿宋" w:cs="仿宋"/>
          <w:sz w:val="24"/>
          <w:highlight w:val="none"/>
        </w:rPr>
      </w:pPr>
    </w:p>
    <w:p w14:paraId="61A0B07B">
      <w:pPr>
        <w:widowControl/>
        <w:spacing w:line="360" w:lineRule="auto"/>
        <w:ind w:firstLine="472" w:firstLineChars="196"/>
        <w:jc w:val="left"/>
        <w:rPr>
          <w:rFonts w:ascii="仿宋" w:hAnsi="仿宋" w:eastAsia="仿宋" w:cs="仿宋"/>
          <w:sz w:val="24"/>
          <w:highlight w:val="none"/>
        </w:rPr>
      </w:pP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视同符合了资格条件，无需再与其他中小企业组成联合体参加政府采购活动，无需提供联合协议。</w:t>
      </w:r>
    </w:p>
    <w:p w14:paraId="3B48BB76">
      <w:pPr>
        <w:snapToGrid w:val="0"/>
        <w:spacing w:before="50" w:after="50" w:line="360" w:lineRule="auto"/>
        <w:jc w:val="center"/>
        <w:rPr>
          <w:rFonts w:ascii="仿宋" w:hAnsi="仿宋" w:eastAsia="仿宋" w:cs="仿宋"/>
          <w:sz w:val="24"/>
          <w:highlight w:val="none"/>
        </w:rPr>
      </w:pPr>
    </w:p>
    <w:p w14:paraId="256F9D81">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视同符合了资格条件，无需再向中小企业分包，无需提供分包意向协议。</w:t>
      </w:r>
    </w:p>
    <w:p w14:paraId="039CB24F">
      <w:pPr>
        <w:widowControl/>
        <w:spacing w:line="360" w:lineRule="auto"/>
        <w:ind w:left="150"/>
        <w:jc w:val="center"/>
        <w:rPr>
          <w:rFonts w:ascii="仿宋" w:hAnsi="仿宋" w:eastAsia="仿宋" w:cs="仿宋"/>
          <w:b/>
          <w:kern w:val="0"/>
          <w:sz w:val="32"/>
          <w:szCs w:val="32"/>
          <w:highlight w:val="none"/>
        </w:rPr>
      </w:pPr>
    </w:p>
    <w:p w14:paraId="545A46AD">
      <w:pPr>
        <w:widowControl/>
        <w:spacing w:line="360" w:lineRule="auto"/>
        <w:ind w:left="150"/>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四、本项目的特定资格要求</w:t>
      </w:r>
    </w:p>
    <w:p w14:paraId="2D776CB1">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48325FDF">
      <w:pPr>
        <w:rPr>
          <w:rFonts w:ascii="仿宋" w:hAnsi="仿宋" w:eastAsia="仿宋" w:cs="仿宋"/>
          <w:highlight w:val="none"/>
        </w:rPr>
      </w:pPr>
    </w:p>
    <w:p w14:paraId="4C3F161B">
      <w:pPr>
        <w:widowControl/>
        <w:adjustRightInd/>
        <w:jc w:val="left"/>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40D0E222">
      <w:pPr>
        <w:spacing w:line="360" w:lineRule="auto"/>
        <w:ind w:right="420" w:firstLine="3614" w:firstLineChars="100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14:paraId="16DB8C00">
      <w:pPr>
        <w:spacing w:line="360" w:lineRule="auto"/>
        <w:jc w:val="center"/>
        <w:outlineLvl w:val="0"/>
        <w:rPr>
          <w:rFonts w:ascii="仿宋" w:hAnsi="仿宋" w:eastAsia="仿宋" w:cs="仿宋"/>
          <w:b/>
          <w:kern w:val="0"/>
          <w:sz w:val="24"/>
          <w:highlight w:val="none"/>
        </w:rPr>
      </w:pPr>
    </w:p>
    <w:p w14:paraId="1AACA2F9">
      <w:pPr>
        <w:spacing w:line="360" w:lineRule="auto"/>
        <w:jc w:val="center"/>
        <w:outlineLvl w:val="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37D4F35B">
      <w:pPr>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rPr>
        <w:t>（1）投标函</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14:paraId="0C1FA3F2">
      <w:pPr>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rPr>
        <w:t>（3）分包意向协议</w:t>
      </w:r>
      <w:r>
        <w:rPr>
          <w:rFonts w:hint="eastAsia" w:ascii="仿宋" w:hAnsi="仿宋" w:eastAsia="仿宋" w:cs="仿宋"/>
          <w:highlight w:val="none"/>
        </w:rPr>
        <w:t>…………………………………………………………………………（页码）</w:t>
      </w:r>
    </w:p>
    <w:p w14:paraId="4DEBFD9B">
      <w:pPr>
        <w:snapToGrid w:val="0"/>
        <w:spacing w:line="360" w:lineRule="auto"/>
        <w:ind w:firstLine="480" w:firstLineChars="200"/>
        <w:rPr>
          <w:rFonts w:ascii="仿宋" w:hAnsi="仿宋" w:eastAsia="仿宋" w:cs="仿宋"/>
          <w:highlight w:val="none"/>
        </w:rPr>
      </w:pPr>
      <w:r>
        <w:rPr>
          <w:rFonts w:hint="eastAsia" w:ascii="仿宋" w:hAnsi="仿宋" w:eastAsia="仿宋" w:cs="仿宋"/>
          <w:sz w:val="24"/>
          <w:highlight w:val="none"/>
        </w:rPr>
        <w:t>（4）符合性审查资料</w:t>
      </w:r>
      <w:r>
        <w:rPr>
          <w:rFonts w:hint="eastAsia" w:ascii="仿宋" w:hAnsi="仿宋" w:eastAsia="仿宋" w:cs="仿宋"/>
          <w:highlight w:val="none"/>
        </w:rPr>
        <w:t>………………………………………………………………………（页码）</w:t>
      </w:r>
    </w:p>
    <w:p w14:paraId="16267588">
      <w:pPr>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rPr>
        <w:t>（5）评标标准相应的商务技术资料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r>
        <w:rPr>
          <w:rFonts w:hint="eastAsia" w:ascii="仿宋" w:hAnsi="仿宋" w:eastAsia="仿宋" w:cs="仿宋"/>
          <w:sz w:val="24"/>
          <w:highlight w:val="none"/>
        </w:rPr>
        <w:t>（6）投标标的清单</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r>
        <w:rPr>
          <w:rFonts w:hint="eastAsia" w:ascii="仿宋" w:hAnsi="仿宋" w:eastAsia="仿宋" w:cs="仿宋"/>
          <w:sz w:val="24"/>
          <w:highlight w:val="none"/>
        </w:rPr>
        <w:t>（7）商务技术偏离表</w:t>
      </w:r>
      <w:r>
        <w:rPr>
          <w:rFonts w:hint="eastAsia" w:ascii="仿宋" w:hAnsi="仿宋" w:eastAsia="仿宋" w:cs="仿宋"/>
          <w:highlight w:val="none"/>
        </w:rPr>
        <w:t>………………………………………………………………………（页码）</w:t>
      </w:r>
    </w:p>
    <w:p w14:paraId="70432CEA">
      <w:pPr>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r>
        <w:rPr>
          <w:rFonts w:hint="eastAsia" w:ascii="仿宋" w:hAnsi="仿宋" w:eastAsia="仿宋" w:cs="仿宋"/>
          <w:highlight w:val="none"/>
        </w:rPr>
        <w:t>…………………………………………………（页码）</w:t>
      </w:r>
    </w:p>
    <w:p w14:paraId="486999BA">
      <w:pPr>
        <w:snapToGrid w:val="0"/>
        <w:spacing w:line="360" w:lineRule="auto"/>
        <w:jc w:val="center"/>
        <w:rPr>
          <w:rFonts w:ascii="仿宋" w:hAnsi="仿宋" w:eastAsia="仿宋" w:cs="仿宋"/>
          <w:b/>
          <w:kern w:val="0"/>
          <w:sz w:val="32"/>
          <w:szCs w:val="32"/>
          <w:highlight w:val="none"/>
          <w:lang w:val="zh-CN"/>
        </w:rPr>
      </w:pPr>
    </w:p>
    <w:p w14:paraId="6573D537">
      <w:pPr>
        <w:snapToGrid w:val="0"/>
        <w:spacing w:line="360" w:lineRule="auto"/>
        <w:jc w:val="center"/>
        <w:rPr>
          <w:rFonts w:ascii="仿宋" w:hAnsi="仿宋" w:eastAsia="仿宋" w:cs="仿宋"/>
          <w:b/>
          <w:kern w:val="0"/>
          <w:sz w:val="32"/>
          <w:szCs w:val="32"/>
          <w:highlight w:val="none"/>
          <w:lang w:val="zh-CN"/>
        </w:rPr>
      </w:pPr>
    </w:p>
    <w:p w14:paraId="1235F610">
      <w:pPr>
        <w:snapToGrid w:val="0"/>
        <w:spacing w:line="360" w:lineRule="auto"/>
        <w:jc w:val="center"/>
        <w:rPr>
          <w:rFonts w:ascii="仿宋" w:hAnsi="仿宋" w:eastAsia="仿宋" w:cs="仿宋"/>
          <w:b/>
          <w:kern w:val="0"/>
          <w:sz w:val="32"/>
          <w:szCs w:val="32"/>
          <w:highlight w:val="none"/>
          <w:lang w:val="zh-CN"/>
        </w:rPr>
      </w:pPr>
    </w:p>
    <w:p w14:paraId="48FF09A0">
      <w:pPr>
        <w:snapToGrid w:val="0"/>
        <w:spacing w:line="360" w:lineRule="auto"/>
        <w:jc w:val="center"/>
        <w:rPr>
          <w:rFonts w:ascii="仿宋" w:hAnsi="仿宋" w:eastAsia="仿宋" w:cs="仿宋"/>
          <w:b/>
          <w:kern w:val="0"/>
          <w:sz w:val="32"/>
          <w:szCs w:val="32"/>
          <w:highlight w:val="none"/>
          <w:lang w:val="zh-CN"/>
        </w:rPr>
      </w:pPr>
    </w:p>
    <w:p w14:paraId="3973E7B4">
      <w:pPr>
        <w:snapToGrid w:val="0"/>
        <w:spacing w:line="360" w:lineRule="auto"/>
        <w:jc w:val="center"/>
        <w:rPr>
          <w:rFonts w:ascii="仿宋" w:hAnsi="仿宋" w:eastAsia="仿宋" w:cs="仿宋"/>
          <w:b/>
          <w:kern w:val="0"/>
          <w:sz w:val="32"/>
          <w:szCs w:val="32"/>
          <w:highlight w:val="none"/>
          <w:lang w:val="zh-CN"/>
        </w:rPr>
      </w:pPr>
    </w:p>
    <w:p w14:paraId="0BA1D2CE">
      <w:pPr>
        <w:snapToGrid w:val="0"/>
        <w:spacing w:line="360" w:lineRule="auto"/>
        <w:jc w:val="center"/>
        <w:rPr>
          <w:rFonts w:ascii="仿宋" w:hAnsi="仿宋" w:eastAsia="仿宋" w:cs="仿宋"/>
          <w:b/>
          <w:kern w:val="0"/>
          <w:sz w:val="32"/>
          <w:szCs w:val="32"/>
          <w:highlight w:val="none"/>
          <w:lang w:val="zh-CN"/>
        </w:rPr>
      </w:pPr>
    </w:p>
    <w:p w14:paraId="19189693">
      <w:pPr>
        <w:snapToGrid w:val="0"/>
        <w:spacing w:line="360" w:lineRule="auto"/>
        <w:jc w:val="center"/>
        <w:rPr>
          <w:rFonts w:ascii="仿宋" w:hAnsi="仿宋" w:eastAsia="仿宋" w:cs="仿宋"/>
          <w:b/>
          <w:kern w:val="0"/>
          <w:sz w:val="32"/>
          <w:szCs w:val="32"/>
          <w:highlight w:val="none"/>
          <w:lang w:val="zh-CN"/>
        </w:rPr>
      </w:pPr>
    </w:p>
    <w:p w14:paraId="431AFA51">
      <w:pPr>
        <w:snapToGrid w:val="0"/>
        <w:spacing w:line="360" w:lineRule="auto"/>
        <w:jc w:val="center"/>
        <w:rPr>
          <w:rFonts w:ascii="仿宋" w:hAnsi="仿宋" w:eastAsia="仿宋" w:cs="仿宋"/>
          <w:b/>
          <w:kern w:val="0"/>
          <w:sz w:val="32"/>
          <w:szCs w:val="32"/>
          <w:highlight w:val="none"/>
          <w:lang w:val="zh-CN"/>
        </w:rPr>
      </w:pPr>
    </w:p>
    <w:p w14:paraId="12BD14DF">
      <w:pPr>
        <w:snapToGrid w:val="0"/>
        <w:spacing w:line="360" w:lineRule="auto"/>
        <w:jc w:val="center"/>
        <w:rPr>
          <w:rFonts w:ascii="仿宋" w:hAnsi="仿宋" w:eastAsia="仿宋" w:cs="仿宋"/>
          <w:b/>
          <w:kern w:val="0"/>
          <w:sz w:val="32"/>
          <w:szCs w:val="32"/>
          <w:highlight w:val="none"/>
          <w:lang w:val="zh-CN"/>
        </w:rPr>
      </w:pPr>
    </w:p>
    <w:p w14:paraId="07A9F6BC">
      <w:pPr>
        <w:snapToGrid w:val="0"/>
        <w:spacing w:line="360" w:lineRule="auto"/>
        <w:jc w:val="center"/>
        <w:rPr>
          <w:rFonts w:ascii="仿宋" w:hAnsi="仿宋" w:eastAsia="仿宋" w:cs="仿宋"/>
          <w:b/>
          <w:kern w:val="0"/>
          <w:sz w:val="32"/>
          <w:szCs w:val="32"/>
          <w:highlight w:val="none"/>
          <w:lang w:val="zh-CN"/>
        </w:rPr>
      </w:pPr>
    </w:p>
    <w:p w14:paraId="6943F36C">
      <w:pPr>
        <w:snapToGrid w:val="0"/>
        <w:spacing w:line="360" w:lineRule="auto"/>
        <w:jc w:val="center"/>
        <w:rPr>
          <w:rFonts w:ascii="仿宋" w:hAnsi="仿宋" w:eastAsia="仿宋" w:cs="仿宋"/>
          <w:b/>
          <w:kern w:val="0"/>
          <w:sz w:val="32"/>
          <w:szCs w:val="32"/>
          <w:highlight w:val="none"/>
          <w:lang w:val="zh-CN"/>
        </w:rPr>
      </w:pPr>
    </w:p>
    <w:p w14:paraId="06A2EBF9">
      <w:pPr>
        <w:snapToGrid w:val="0"/>
        <w:spacing w:line="360" w:lineRule="auto"/>
        <w:jc w:val="center"/>
        <w:rPr>
          <w:rFonts w:ascii="仿宋" w:hAnsi="仿宋" w:eastAsia="仿宋" w:cs="仿宋"/>
          <w:b/>
          <w:kern w:val="0"/>
          <w:sz w:val="32"/>
          <w:szCs w:val="32"/>
          <w:highlight w:val="none"/>
          <w:lang w:val="zh-CN"/>
        </w:rPr>
      </w:pPr>
    </w:p>
    <w:p w14:paraId="2519C0CC">
      <w:pPr>
        <w:rPr>
          <w:rFonts w:ascii="仿宋" w:hAnsi="仿宋" w:eastAsia="仿宋" w:cs="仿宋"/>
          <w:b/>
          <w:kern w:val="0"/>
          <w:sz w:val="32"/>
          <w:szCs w:val="32"/>
          <w:highlight w:val="none"/>
          <w:lang w:val="zh-CN"/>
        </w:rPr>
      </w:pPr>
    </w:p>
    <w:p w14:paraId="4CCD5589">
      <w:pPr>
        <w:widowControl/>
        <w:adjustRightInd/>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5F16CBCB">
      <w:pPr>
        <w:snapToGrid w:val="0"/>
        <w:spacing w:line="360" w:lineRule="auto"/>
        <w:jc w:val="center"/>
        <w:outlineLvl w:val="0"/>
        <w:rPr>
          <w:rFonts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06EDD554">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杭州市公安局交通警察支队、浙江信达咨询监理有限公司：</w:t>
      </w:r>
    </w:p>
    <w:p w14:paraId="7B4E4FE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我方参加你方组织的2025年杭州交警业务系统租赁使用服务-2025年5G便携式视音频设备使用项目【招标编号：HZSGAJ-2025-17（代)】招标的有关活动，并对此项目进行投标。为此：</w:t>
      </w:r>
    </w:p>
    <w:p w14:paraId="2BC1239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14:paraId="589B858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2、我方的投标文件包括以下内容：</w:t>
      </w:r>
    </w:p>
    <w:p w14:paraId="39C23BC0">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2.1资格文件：</w:t>
      </w:r>
    </w:p>
    <w:p w14:paraId="084AE3E7">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2.1.1承诺函；</w:t>
      </w:r>
    </w:p>
    <w:p w14:paraId="3DF23193">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2.1.2</w:t>
      </w:r>
      <w:r>
        <w:rPr>
          <w:rFonts w:hint="eastAsia" w:ascii="仿宋" w:hAnsi="仿宋" w:eastAsia="仿宋" w:cs="仿宋"/>
          <w:snapToGrid w:val="0"/>
          <w:kern w:val="28"/>
          <w:sz w:val="24"/>
          <w:szCs w:val="20"/>
          <w:highlight w:val="none"/>
        </w:rPr>
        <w:t>联合协议</w:t>
      </w:r>
      <w:bookmarkStart w:id="407" w:name="_Hlk101257010"/>
      <w:r>
        <w:rPr>
          <w:rFonts w:hint="eastAsia" w:ascii="仿宋" w:hAnsi="仿宋" w:eastAsia="仿宋" w:cs="仿宋"/>
          <w:sz w:val="24"/>
          <w:highlight w:val="none"/>
        </w:rPr>
        <w:t>（如果有)</w:t>
      </w:r>
      <w:bookmarkEnd w:id="407"/>
      <w:r>
        <w:rPr>
          <w:rFonts w:hint="eastAsia" w:ascii="仿宋" w:hAnsi="仿宋" w:eastAsia="仿宋" w:cs="仿宋"/>
          <w:snapToGrid w:val="0"/>
          <w:kern w:val="28"/>
          <w:sz w:val="24"/>
          <w:szCs w:val="20"/>
          <w:highlight w:val="none"/>
        </w:rPr>
        <w:t>；</w:t>
      </w:r>
    </w:p>
    <w:p w14:paraId="51B7BDCC">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2.1.3落实政府采购政策需满足的资格要求（中小企业声明函）；</w:t>
      </w:r>
    </w:p>
    <w:p w14:paraId="20DE5FFF">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2.1.4本项目的特定资格要求（如果有)。</w:t>
      </w:r>
    </w:p>
    <w:p w14:paraId="15B97F64">
      <w:pPr>
        <w:snapToGrid w:val="0"/>
        <w:spacing w:line="360" w:lineRule="auto"/>
        <w:ind w:left="210" w:leftChars="100" w:firstLine="480" w:firstLineChars="200"/>
        <w:rPr>
          <w:rFonts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2商务技术</w:t>
      </w:r>
      <w:r>
        <w:rPr>
          <w:rFonts w:hint="eastAsia" w:ascii="仿宋" w:hAnsi="仿宋" w:eastAsia="仿宋" w:cs="仿宋"/>
          <w:sz w:val="24"/>
          <w:highlight w:val="none"/>
          <w:lang w:val="zh-CN"/>
        </w:rPr>
        <w:t>文件：</w:t>
      </w:r>
    </w:p>
    <w:p w14:paraId="4AA5E753">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2.2.1投标函；</w:t>
      </w:r>
    </w:p>
    <w:p w14:paraId="56D4BAF2">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4D78B097">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2.2.3分包意向协议（如果有)；</w:t>
      </w:r>
    </w:p>
    <w:p w14:paraId="2E909344">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2.2.4符合性审查资料；</w:t>
      </w:r>
    </w:p>
    <w:p w14:paraId="6A44E22C">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2.2.5评标标准相应的商务技术资料；</w:t>
      </w:r>
    </w:p>
    <w:p w14:paraId="6439AE34">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2.2.6投标标的清单；</w:t>
      </w:r>
    </w:p>
    <w:p w14:paraId="046A0C9C">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2.2.7商务技术偏离表；</w:t>
      </w:r>
    </w:p>
    <w:p w14:paraId="5A5C76C5">
      <w:pPr>
        <w:snapToGrid w:val="0"/>
        <w:spacing w:line="360" w:lineRule="auto"/>
        <w:ind w:left="420" w:leftChars="200" w:firstLine="480" w:firstLineChars="200"/>
        <w:rPr>
          <w:rFonts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14:paraId="2D70EC79">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0E0BA347">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2.3.1开标一览表（报价表）；</w:t>
      </w:r>
    </w:p>
    <w:p w14:paraId="650AE7F9">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2.3.2报价情况说明（如果有）。</w:t>
      </w:r>
    </w:p>
    <w:p w14:paraId="78C10D1F">
      <w:pPr>
        <w:snapToGrid w:val="0"/>
        <w:spacing w:line="360" w:lineRule="auto"/>
        <w:ind w:firstLine="720" w:firstLineChars="300"/>
        <w:rPr>
          <w:rFonts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3、我方承诺除商务技术偏离表列出的偏离外，我方响应招标文件的全部要求。对投标文件中材料的真实性、合法性负责，积极配合采购人、采购代理机构复核投标文件中的资料。</w:t>
      </w:r>
    </w:p>
    <w:p w14:paraId="3EF6DD91">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4、如我方中标，我方承诺：</w:t>
      </w:r>
    </w:p>
    <w:p w14:paraId="77AB702B">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14:paraId="3BB6E102">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14:paraId="7EFB741C">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4.3按照招标文件要求提交履约保证金； </w:t>
      </w:r>
    </w:p>
    <w:p w14:paraId="0EA0701D">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14:paraId="23DF0E2E">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52D18C2">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6、其他补充说明:。</w:t>
      </w:r>
    </w:p>
    <w:p w14:paraId="15A2F165">
      <w:pPr>
        <w:spacing w:line="360" w:lineRule="auto"/>
        <w:ind w:firstLine="3600" w:firstLineChars="1500"/>
        <w:rPr>
          <w:rFonts w:ascii="仿宋" w:hAnsi="仿宋" w:eastAsia="仿宋" w:cs="仿宋"/>
          <w:sz w:val="24"/>
          <w:highlight w:val="none"/>
        </w:rPr>
      </w:pPr>
      <w:r>
        <w:rPr>
          <w:rFonts w:hint="eastAsia" w:ascii="仿宋" w:hAnsi="仿宋" w:eastAsia="仿宋" w:cs="仿宋"/>
          <w:sz w:val="24"/>
          <w:highlight w:val="none"/>
        </w:rPr>
        <w:t xml:space="preserve">投标人名称（电子签名）：                          </w:t>
      </w:r>
    </w:p>
    <w:p w14:paraId="12682EEA">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  年   月   日</w:t>
      </w:r>
    </w:p>
    <w:p w14:paraId="0600AE5B">
      <w:pPr>
        <w:snapToGrid w:val="0"/>
        <w:spacing w:line="360" w:lineRule="auto"/>
        <w:ind w:left="420" w:leftChars="200" w:firstLine="4200" w:firstLineChars="1750"/>
        <w:rPr>
          <w:rFonts w:ascii="仿宋" w:hAnsi="仿宋" w:eastAsia="仿宋" w:cs="仿宋"/>
          <w:kern w:val="0"/>
          <w:sz w:val="24"/>
          <w:highlight w:val="none"/>
          <w:u w:val="single"/>
        </w:rPr>
      </w:pPr>
    </w:p>
    <w:p w14:paraId="21A32E6E">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14:paraId="7D70F85B">
      <w:pPr>
        <w:snapToGrid w:val="0"/>
        <w:spacing w:line="360" w:lineRule="auto"/>
        <w:jc w:val="center"/>
        <w:rPr>
          <w:rFonts w:ascii="仿宋" w:hAnsi="仿宋" w:eastAsia="仿宋" w:cs="仿宋"/>
          <w:b/>
          <w:kern w:val="0"/>
          <w:sz w:val="32"/>
          <w:szCs w:val="32"/>
          <w:highlight w:val="none"/>
        </w:rPr>
      </w:pPr>
    </w:p>
    <w:p w14:paraId="0448E395">
      <w:pPr>
        <w:snapToGrid w:val="0"/>
        <w:spacing w:line="360" w:lineRule="auto"/>
        <w:rPr>
          <w:rFonts w:ascii="仿宋" w:hAnsi="仿宋" w:eastAsia="仿宋" w:cs="仿宋"/>
          <w:sz w:val="24"/>
          <w:highlight w:val="none"/>
        </w:rPr>
      </w:pPr>
    </w:p>
    <w:p w14:paraId="2DAC60FC">
      <w:pPr>
        <w:jc w:val="center"/>
        <w:rPr>
          <w:rFonts w:ascii="仿宋" w:hAnsi="仿宋" w:eastAsia="仿宋" w:cs="仿宋"/>
          <w:b/>
          <w:kern w:val="0"/>
          <w:sz w:val="32"/>
          <w:szCs w:val="32"/>
          <w:highlight w:val="none"/>
        </w:rPr>
      </w:pPr>
    </w:p>
    <w:p w14:paraId="69F45848">
      <w:pPr>
        <w:jc w:val="center"/>
        <w:rPr>
          <w:rFonts w:ascii="仿宋" w:hAnsi="仿宋" w:eastAsia="仿宋" w:cs="仿宋"/>
          <w:b/>
          <w:kern w:val="0"/>
          <w:sz w:val="32"/>
          <w:szCs w:val="32"/>
          <w:highlight w:val="none"/>
        </w:rPr>
      </w:pPr>
    </w:p>
    <w:p w14:paraId="1BF4890E">
      <w:pPr>
        <w:jc w:val="center"/>
        <w:rPr>
          <w:rFonts w:ascii="仿宋" w:hAnsi="仿宋" w:eastAsia="仿宋" w:cs="仿宋"/>
          <w:b/>
          <w:kern w:val="0"/>
          <w:sz w:val="32"/>
          <w:szCs w:val="32"/>
          <w:highlight w:val="none"/>
        </w:rPr>
      </w:pPr>
    </w:p>
    <w:p w14:paraId="1BE694F8">
      <w:pPr>
        <w:jc w:val="center"/>
        <w:rPr>
          <w:rFonts w:ascii="仿宋" w:hAnsi="仿宋" w:eastAsia="仿宋" w:cs="仿宋"/>
          <w:b/>
          <w:kern w:val="0"/>
          <w:sz w:val="32"/>
          <w:szCs w:val="32"/>
          <w:highlight w:val="none"/>
        </w:rPr>
      </w:pPr>
    </w:p>
    <w:p w14:paraId="2E232453">
      <w:pPr>
        <w:jc w:val="center"/>
        <w:rPr>
          <w:rFonts w:ascii="仿宋" w:hAnsi="仿宋" w:eastAsia="仿宋" w:cs="仿宋"/>
          <w:b/>
          <w:kern w:val="0"/>
          <w:sz w:val="32"/>
          <w:szCs w:val="32"/>
          <w:highlight w:val="none"/>
        </w:rPr>
      </w:pPr>
    </w:p>
    <w:p w14:paraId="18AE3D22">
      <w:pPr>
        <w:jc w:val="center"/>
        <w:rPr>
          <w:rFonts w:ascii="仿宋" w:hAnsi="仿宋" w:eastAsia="仿宋" w:cs="仿宋"/>
          <w:b/>
          <w:kern w:val="0"/>
          <w:sz w:val="32"/>
          <w:szCs w:val="32"/>
          <w:highlight w:val="none"/>
        </w:rPr>
      </w:pPr>
    </w:p>
    <w:p w14:paraId="68A84A89">
      <w:pPr>
        <w:jc w:val="center"/>
        <w:rPr>
          <w:rFonts w:ascii="仿宋" w:hAnsi="仿宋" w:eastAsia="仿宋" w:cs="仿宋"/>
          <w:b/>
          <w:kern w:val="0"/>
          <w:sz w:val="32"/>
          <w:szCs w:val="32"/>
          <w:highlight w:val="none"/>
        </w:rPr>
      </w:pPr>
    </w:p>
    <w:p w14:paraId="0E535C8F">
      <w:pPr>
        <w:jc w:val="center"/>
        <w:rPr>
          <w:rFonts w:ascii="仿宋" w:hAnsi="仿宋" w:eastAsia="仿宋" w:cs="仿宋"/>
          <w:b/>
          <w:kern w:val="0"/>
          <w:sz w:val="32"/>
          <w:szCs w:val="32"/>
          <w:highlight w:val="none"/>
        </w:rPr>
      </w:pPr>
    </w:p>
    <w:p w14:paraId="4AB6C980">
      <w:pPr>
        <w:jc w:val="center"/>
        <w:rPr>
          <w:rFonts w:ascii="仿宋" w:hAnsi="仿宋" w:eastAsia="仿宋" w:cs="仿宋"/>
          <w:b/>
          <w:kern w:val="0"/>
          <w:sz w:val="32"/>
          <w:szCs w:val="32"/>
          <w:highlight w:val="none"/>
        </w:rPr>
      </w:pPr>
    </w:p>
    <w:p w14:paraId="5945C422">
      <w:pPr>
        <w:jc w:val="center"/>
        <w:rPr>
          <w:rFonts w:ascii="仿宋" w:hAnsi="仿宋" w:eastAsia="仿宋" w:cs="仿宋"/>
          <w:b/>
          <w:kern w:val="0"/>
          <w:sz w:val="32"/>
          <w:szCs w:val="32"/>
          <w:highlight w:val="none"/>
        </w:rPr>
      </w:pPr>
    </w:p>
    <w:p w14:paraId="25AB88AF">
      <w:pPr>
        <w:jc w:val="center"/>
        <w:rPr>
          <w:rFonts w:ascii="仿宋" w:hAnsi="仿宋" w:eastAsia="仿宋" w:cs="仿宋"/>
          <w:b/>
          <w:kern w:val="0"/>
          <w:sz w:val="32"/>
          <w:szCs w:val="32"/>
          <w:highlight w:val="none"/>
        </w:rPr>
      </w:pPr>
    </w:p>
    <w:p w14:paraId="60E6B83D">
      <w:pPr>
        <w:jc w:val="center"/>
        <w:rPr>
          <w:rFonts w:ascii="仿宋" w:hAnsi="仿宋" w:eastAsia="仿宋" w:cs="仿宋"/>
          <w:b/>
          <w:kern w:val="0"/>
          <w:sz w:val="32"/>
          <w:szCs w:val="32"/>
          <w:highlight w:val="none"/>
        </w:rPr>
      </w:pPr>
    </w:p>
    <w:p w14:paraId="03EA0103">
      <w:pPr>
        <w:jc w:val="center"/>
        <w:rPr>
          <w:rFonts w:ascii="仿宋" w:hAnsi="仿宋" w:eastAsia="仿宋" w:cs="仿宋"/>
          <w:b/>
          <w:kern w:val="0"/>
          <w:sz w:val="32"/>
          <w:szCs w:val="32"/>
          <w:highlight w:val="none"/>
        </w:rPr>
      </w:pPr>
    </w:p>
    <w:p w14:paraId="6CF8A92C">
      <w:pPr>
        <w:jc w:val="center"/>
        <w:rPr>
          <w:rFonts w:ascii="仿宋" w:hAnsi="仿宋" w:eastAsia="仿宋" w:cs="仿宋"/>
          <w:b/>
          <w:kern w:val="0"/>
          <w:sz w:val="32"/>
          <w:szCs w:val="32"/>
          <w:highlight w:val="none"/>
        </w:rPr>
      </w:pPr>
    </w:p>
    <w:p w14:paraId="31452286">
      <w:pPr>
        <w:jc w:val="center"/>
        <w:rPr>
          <w:rFonts w:ascii="仿宋" w:hAnsi="仿宋" w:eastAsia="仿宋" w:cs="仿宋"/>
          <w:b/>
          <w:kern w:val="0"/>
          <w:sz w:val="32"/>
          <w:szCs w:val="32"/>
          <w:highlight w:val="none"/>
        </w:rPr>
      </w:pPr>
    </w:p>
    <w:p w14:paraId="7DE603B7">
      <w:pPr>
        <w:jc w:val="center"/>
        <w:rPr>
          <w:rFonts w:ascii="仿宋" w:hAnsi="仿宋" w:eastAsia="仿宋" w:cs="仿宋"/>
          <w:b/>
          <w:kern w:val="0"/>
          <w:sz w:val="32"/>
          <w:szCs w:val="32"/>
          <w:highlight w:val="none"/>
        </w:rPr>
      </w:pPr>
    </w:p>
    <w:p w14:paraId="30A07363">
      <w:pPr>
        <w:jc w:val="center"/>
        <w:rPr>
          <w:rFonts w:ascii="仿宋" w:hAnsi="仿宋" w:eastAsia="仿宋" w:cs="仿宋"/>
          <w:b/>
          <w:kern w:val="0"/>
          <w:sz w:val="32"/>
          <w:szCs w:val="32"/>
          <w:highlight w:val="none"/>
        </w:rPr>
      </w:pPr>
    </w:p>
    <w:p w14:paraId="328F1BC4">
      <w:pPr>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14:paraId="66537972">
      <w:pPr>
        <w:snapToGrid w:val="0"/>
        <w:spacing w:line="360" w:lineRule="auto"/>
        <w:rPr>
          <w:rFonts w:ascii="仿宋" w:hAnsi="仿宋" w:eastAsia="仿宋" w:cs="仿宋"/>
          <w:sz w:val="24"/>
          <w:highlight w:val="none"/>
        </w:rPr>
      </w:pPr>
    </w:p>
    <w:p w14:paraId="498134DC">
      <w:pPr>
        <w:snapToGrid w:val="0"/>
        <w:spacing w:line="360" w:lineRule="auto"/>
        <w:ind w:firstLine="2869" w:firstLineChars="893"/>
        <w:rPr>
          <w:rFonts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p>
    <w:p w14:paraId="2FA9935D">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杭州市公安局交通警察支队、浙江信达咨询监理有限公司</w:t>
      </w:r>
      <w:r>
        <w:rPr>
          <w:rFonts w:hint="eastAsia" w:ascii="仿宋" w:hAnsi="仿宋" w:eastAsia="仿宋" w:cs="仿宋"/>
          <w:kern w:val="0"/>
          <w:sz w:val="24"/>
          <w:highlight w:val="none"/>
          <w:lang w:val="zh-CN"/>
        </w:rPr>
        <w:t>：</w:t>
      </w:r>
    </w:p>
    <w:p w14:paraId="7F71BD20">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现委托（姓名）为我方代理人（身份证号码：，手机：，所在单位：），以我方名义处理2025年杭州交警业务系统租赁使用服务-2025年5G便携式视音频设备使用项目【招标编号：HZSGAJ-2025-17（代)】政府采购投标的一切事项，其法律后果由我方承担。</w:t>
      </w:r>
    </w:p>
    <w:p w14:paraId="14391948">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委托期限：自年月日起至年月日止。</w:t>
      </w:r>
    </w:p>
    <w:p w14:paraId="16ABC7C6">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特此告知。</w:t>
      </w:r>
    </w:p>
    <w:p w14:paraId="407C1787">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投标人名称(电子签名)：</w:t>
      </w:r>
    </w:p>
    <w:p w14:paraId="74F4C74C">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15EC8E69">
      <w:pPr>
        <w:snapToGrid w:val="0"/>
        <w:spacing w:line="360" w:lineRule="auto"/>
        <w:rPr>
          <w:rFonts w:ascii="仿宋" w:hAnsi="仿宋" w:eastAsia="仿宋" w:cs="仿宋"/>
          <w:sz w:val="24"/>
          <w:highlight w:val="none"/>
        </w:rPr>
      </w:pPr>
    </w:p>
    <w:p w14:paraId="71FC465B">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授权委托书（适用于联合体投标）</w:t>
      </w:r>
    </w:p>
    <w:p w14:paraId="5D905B33">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杭州市公安局交通警察支队、浙江信达咨询监理有限公司</w:t>
      </w:r>
      <w:r>
        <w:rPr>
          <w:rFonts w:hint="eastAsia" w:ascii="仿宋" w:hAnsi="仿宋" w:eastAsia="仿宋" w:cs="仿宋"/>
          <w:kern w:val="0"/>
          <w:sz w:val="24"/>
          <w:highlight w:val="none"/>
          <w:lang w:val="zh-CN"/>
        </w:rPr>
        <w:t>：</w:t>
      </w:r>
    </w:p>
    <w:p w14:paraId="55737455">
      <w:pPr>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lang w:val="zh-CN"/>
        </w:rPr>
        <w:t>现委托（姓名）为我方代理人（身份证号码：，手机：，所在单位：），以我方名义处理</w:t>
      </w:r>
      <w:r>
        <w:rPr>
          <w:rFonts w:hint="eastAsia" w:ascii="仿宋" w:hAnsi="仿宋" w:eastAsia="仿宋" w:cs="仿宋"/>
          <w:sz w:val="24"/>
          <w:highlight w:val="none"/>
        </w:rPr>
        <w:t>2025年杭州交警业务系统租赁使用服务-2025年5G便携式视音频设备使用项目【招标编号：HZSGAJ-2025-17（代)】</w:t>
      </w:r>
      <w:r>
        <w:rPr>
          <w:rFonts w:hint="eastAsia" w:ascii="仿宋" w:hAnsi="仿宋" w:eastAsia="仿宋" w:cs="仿宋"/>
          <w:kern w:val="0"/>
          <w:sz w:val="24"/>
          <w:highlight w:val="none"/>
          <w:lang w:val="zh-CN"/>
        </w:rPr>
        <w:t>政府采购投标的一切事项，其法律后果由我方承担。</w:t>
      </w:r>
    </w:p>
    <w:p w14:paraId="21CB8843">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自年月日起至年月日止。</w:t>
      </w:r>
    </w:p>
    <w:p w14:paraId="573324D0">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特此告知。</w:t>
      </w:r>
    </w:p>
    <w:p w14:paraId="7A4AFA71">
      <w:pPr>
        <w:jc w:val="center"/>
        <w:rPr>
          <w:rFonts w:ascii="仿宋" w:hAnsi="仿宋" w:eastAsia="仿宋" w:cs="仿宋"/>
          <w:b/>
          <w:kern w:val="0"/>
          <w:sz w:val="32"/>
          <w:szCs w:val="32"/>
          <w:highlight w:val="none"/>
        </w:rPr>
      </w:pPr>
    </w:p>
    <w:p w14:paraId="17752AF4">
      <w:pPr>
        <w:rPr>
          <w:rFonts w:ascii="仿宋" w:hAnsi="仿宋" w:eastAsia="仿宋" w:cs="仿宋"/>
          <w:highlight w:val="none"/>
        </w:rPr>
      </w:pPr>
    </w:p>
    <w:p w14:paraId="7D820333">
      <w:pPr>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5F4212FB">
      <w:pPr>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0A393F59">
      <w:pPr>
        <w:snapToGrid w:val="0"/>
        <w:spacing w:line="360" w:lineRule="auto"/>
        <w:ind w:firstLine="5760" w:firstLineChars="2400"/>
        <w:rPr>
          <w:rFonts w:ascii="仿宋" w:hAnsi="仿宋" w:eastAsia="仿宋" w:cs="仿宋"/>
          <w:highlight w:val="none"/>
        </w:rPr>
      </w:pPr>
      <w:r>
        <w:rPr>
          <w:rFonts w:hint="eastAsia" w:ascii="仿宋" w:hAnsi="仿宋" w:eastAsia="仿宋" w:cs="仿宋"/>
          <w:kern w:val="0"/>
          <w:sz w:val="24"/>
          <w:highlight w:val="none"/>
          <w:lang w:val="zh-CN"/>
        </w:rPr>
        <w:t>……</w:t>
      </w:r>
    </w:p>
    <w:p w14:paraId="24D1CC8C">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6BED7F4E">
      <w:pPr>
        <w:autoSpaceDE w:val="0"/>
        <w:autoSpaceDN w:val="0"/>
        <w:spacing w:line="360" w:lineRule="auto"/>
        <w:jc w:val="center"/>
        <w:rPr>
          <w:rFonts w:ascii="仿宋" w:hAnsi="仿宋" w:eastAsia="仿宋" w:cs="仿宋"/>
          <w:b/>
          <w:kern w:val="0"/>
          <w:sz w:val="32"/>
          <w:szCs w:val="32"/>
          <w:highlight w:val="none"/>
          <w:lang w:val="zh-CN"/>
        </w:rPr>
      </w:pPr>
    </w:p>
    <w:p w14:paraId="37203404">
      <w:pPr>
        <w:autoSpaceDE w:val="0"/>
        <w:autoSpaceDN w:val="0"/>
        <w:spacing w:line="360" w:lineRule="auto"/>
        <w:jc w:val="center"/>
        <w:rPr>
          <w:rFonts w:ascii="仿宋" w:hAnsi="仿宋" w:eastAsia="仿宋" w:cs="仿宋"/>
          <w:b/>
          <w:kern w:val="0"/>
          <w:sz w:val="32"/>
          <w:szCs w:val="32"/>
          <w:highlight w:val="none"/>
          <w:lang w:val="zh-CN"/>
        </w:rPr>
      </w:pPr>
    </w:p>
    <w:p w14:paraId="0FE75035">
      <w:pPr>
        <w:autoSpaceDE w:val="0"/>
        <w:autoSpaceDN w:val="0"/>
        <w:spacing w:line="360" w:lineRule="auto"/>
        <w:jc w:val="center"/>
        <w:rPr>
          <w:rFonts w:ascii="仿宋" w:hAnsi="仿宋" w:eastAsia="仿宋" w:cs="仿宋"/>
          <w:b/>
          <w:kern w:val="0"/>
          <w:sz w:val="32"/>
          <w:szCs w:val="32"/>
          <w:highlight w:val="none"/>
          <w:lang w:val="zh-CN"/>
        </w:rPr>
      </w:pPr>
    </w:p>
    <w:p w14:paraId="11E40CCB">
      <w:pPr>
        <w:autoSpaceDE w:val="0"/>
        <w:autoSpaceDN w:val="0"/>
        <w:spacing w:line="360" w:lineRule="auto"/>
        <w:jc w:val="center"/>
        <w:rPr>
          <w:rFonts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1EBCA3BC">
      <w:pPr>
        <w:pStyle w:val="139"/>
        <w:spacing w:line="360" w:lineRule="auto"/>
        <w:rPr>
          <w:rFonts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26E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B1E1DC">
            <w:pPr>
              <w:pStyle w:val="139"/>
              <w:adjustRightInd w:val="0"/>
              <w:spacing w:line="360" w:lineRule="auto"/>
              <w:rPr>
                <w:rFonts w:ascii="仿宋" w:hAnsi="仿宋" w:eastAsia="仿宋" w:cs="仿宋"/>
                <w:bCs/>
                <w:sz w:val="24"/>
                <w:highlight w:val="none"/>
              </w:rPr>
            </w:pPr>
            <w:r>
              <w:rPr>
                <w:rFonts w:hint="eastAsia" w:ascii="仿宋" w:hAnsi="仿宋" w:eastAsia="仿宋" w:cs="仿宋"/>
                <w:bCs/>
                <w:sz w:val="24"/>
                <w:highlight w:val="none"/>
              </w:rPr>
              <w:t>正面：                                 反面：</w:t>
            </w:r>
          </w:p>
          <w:p w14:paraId="57F378B7">
            <w:pPr>
              <w:pStyle w:val="139"/>
              <w:adjustRightInd w:val="0"/>
              <w:spacing w:line="360" w:lineRule="auto"/>
              <w:rPr>
                <w:rFonts w:ascii="仿宋" w:hAnsi="仿宋" w:eastAsia="仿宋" w:cs="仿宋"/>
                <w:bCs/>
                <w:sz w:val="24"/>
                <w:highlight w:val="none"/>
              </w:rPr>
            </w:pPr>
          </w:p>
        </w:tc>
      </w:tr>
    </w:tbl>
    <w:p w14:paraId="344E9971">
      <w:pPr>
        <w:snapToGrid w:val="0"/>
        <w:spacing w:line="360" w:lineRule="auto"/>
        <w:ind w:firstLine="576"/>
        <w:jc w:val="center"/>
        <w:rPr>
          <w:rFonts w:ascii="仿宋" w:hAnsi="仿宋" w:eastAsia="仿宋" w:cs="仿宋"/>
          <w:kern w:val="0"/>
          <w:sz w:val="24"/>
          <w:highlight w:val="none"/>
          <w:lang w:val="zh-CN"/>
        </w:rPr>
      </w:pPr>
    </w:p>
    <w:p w14:paraId="18B03ABE">
      <w:pPr>
        <w:snapToGrid w:val="0"/>
        <w:spacing w:line="360" w:lineRule="auto"/>
        <w:ind w:firstLine="576"/>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                              </w:t>
      </w:r>
    </w:p>
    <w:p w14:paraId="5F2A8F50">
      <w:pPr>
        <w:spacing w:line="360" w:lineRule="auto"/>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27C43C42">
      <w:pPr>
        <w:jc w:val="center"/>
        <w:rPr>
          <w:rFonts w:ascii="仿宋" w:hAnsi="仿宋" w:eastAsia="仿宋" w:cs="仿宋"/>
          <w:b/>
          <w:kern w:val="0"/>
          <w:sz w:val="32"/>
          <w:szCs w:val="32"/>
          <w:highlight w:val="none"/>
        </w:rPr>
      </w:pPr>
    </w:p>
    <w:p w14:paraId="75F45A7A">
      <w:pPr>
        <w:jc w:val="center"/>
        <w:rPr>
          <w:rFonts w:ascii="仿宋" w:hAnsi="仿宋" w:eastAsia="仿宋" w:cs="仿宋"/>
          <w:b/>
          <w:kern w:val="0"/>
          <w:sz w:val="32"/>
          <w:szCs w:val="32"/>
          <w:highlight w:val="none"/>
        </w:rPr>
      </w:pPr>
    </w:p>
    <w:p w14:paraId="236F9179">
      <w:pPr>
        <w:jc w:val="center"/>
        <w:rPr>
          <w:rFonts w:ascii="仿宋" w:hAnsi="仿宋" w:eastAsia="仿宋" w:cs="仿宋"/>
          <w:b/>
          <w:kern w:val="0"/>
          <w:sz w:val="32"/>
          <w:szCs w:val="32"/>
          <w:highlight w:val="none"/>
        </w:rPr>
      </w:pPr>
    </w:p>
    <w:p w14:paraId="49D894B4">
      <w:pPr>
        <w:jc w:val="center"/>
        <w:rPr>
          <w:rFonts w:ascii="仿宋" w:hAnsi="仿宋" w:eastAsia="仿宋" w:cs="仿宋"/>
          <w:b/>
          <w:kern w:val="0"/>
          <w:sz w:val="32"/>
          <w:szCs w:val="32"/>
          <w:highlight w:val="none"/>
        </w:rPr>
      </w:pPr>
    </w:p>
    <w:p w14:paraId="2AF49F40">
      <w:pPr>
        <w:jc w:val="center"/>
        <w:rPr>
          <w:rFonts w:ascii="仿宋" w:hAnsi="仿宋" w:eastAsia="仿宋" w:cs="仿宋"/>
          <w:b/>
          <w:kern w:val="0"/>
          <w:sz w:val="32"/>
          <w:szCs w:val="32"/>
          <w:highlight w:val="none"/>
        </w:rPr>
      </w:pPr>
    </w:p>
    <w:p w14:paraId="78FBA0DD">
      <w:pPr>
        <w:jc w:val="center"/>
        <w:rPr>
          <w:rFonts w:ascii="仿宋" w:hAnsi="仿宋" w:eastAsia="仿宋" w:cs="仿宋"/>
          <w:b/>
          <w:kern w:val="0"/>
          <w:sz w:val="32"/>
          <w:szCs w:val="32"/>
          <w:highlight w:val="none"/>
        </w:rPr>
      </w:pPr>
    </w:p>
    <w:p w14:paraId="74132C17">
      <w:pPr>
        <w:jc w:val="center"/>
        <w:rPr>
          <w:rFonts w:ascii="仿宋" w:hAnsi="仿宋" w:eastAsia="仿宋" w:cs="仿宋"/>
          <w:b/>
          <w:kern w:val="0"/>
          <w:sz w:val="32"/>
          <w:szCs w:val="32"/>
          <w:highlight w:val="none"/>
        </w:rPr>
      </w:pPr>
    </w:p>
    <w:p w14:paraId="2BAF6BDB">
      <w:pPr>
        <w:jc w:val="center"/>
        <w:rPr>
          <w:rFonts w:ascii="仿宋" w:hAnsi="仿宋" w:eastAsia="仿宋" w:cs="仿宋"/>
          <w:b/>
          <w:kern w:val="0"/>
          <w:sz w:val="32"/>
          <w:szCs w:val="32"/>
          <w:highlight w:val="none"/>
        </w:rPr>
      </w:pPr>
    </w:p>
    <w:p w14:paraId="2751C429">
      <w:pPr>
        <w:jc w:val="center"/>
        <w:rPr>
          <w:rFonts w:ascii="仿宋" w:hAnsi="仿宋" w:eastAsia="仿宋" w:cs="仿宋"/>
          <w:b/>
          <w:kern w:val="0"/>
          <w:sz w:val="32"/>
          <w:szCs w:val="32"/>
          <w:highlight w:val="none"/>
        </w:rPr>
      </w:pPr>
    </w:p>
    <w:p w14:paraId="0FD7A0E8">
      <w:pPr>
        <w:jc w:val="center"/>
        <w:rPr>
          <w:rFonts w:ascii="仿宋" w:hAnsi="仿宋" w:eastAsia="仿宋" w:cs="仿宋"/>
          <w:b/>
          <w:kern w:val="0"/>
          <w:sz w:val="32"/>
          <w:szCs w:val="32"/>
          <w:highlight w:val="none"/>
        </w:rPr>
      </w:pPr>
    </w:p>
    <w:p w14:paraId="73A398F5">
      <w:pPr>
        <w:snapToGrid w:val="0"/>
        <w:spacing w:line="360" w:lineRule="auto"/>
        <w:ind w:right="480"/>
        <w:rPr>
          <w:rFonts w:ascii="仿宋" w:hAnsi="仿宋" w:eastAsia="仿宋" w:cs="仿宋"/>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E9D7BE4">
      <w:pPr>
        <w:snapToGrid w:val="0"/>
        <w:spacing w:line="360" w:lineRule="auto"/>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三、分包意向协议（如果有）</w:t>
      </w:r>
    </w:p>
    <w:p w14:paraId="4C6B4AA1">
      <w:pPr>
        <w:widowControl/>
        <w:spacing w:line="360" w:lineRule="auto"/>
        <w:ind w:firstLine="120" w:firstLineChars="50"/>
        <w:jc w:val="left"/>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sz w:val="24"/>
          <w:highlight w:val="none"/>
        </w:rPr>
        <w:t>]</w:t>
      </w:r>
    </w:p>
    <w:p w14:paraId="2212C152">
      <w:pPr>
        <w:snapToGrid w:val="0"/>
        <w:spacing w:line="360" w:lineRule="auto"/>
        <w:rPr>
          <w:rFonts w:ascii="仿宋" w:hAnsi="仿宋" w:eastAsia="仿宋" w:cs="仿宋"/>
          <w:kern w:val="0"/>
          <w:sz w:val="24"/>
          <w:highlight w:val="none"/>
        </w:rPr>
      </w:pPr>
    </w:p>
    <w:p w14:paraId="3EFA06AF">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14:paraId="4C20CB25">
      <w:pPr>
        <w:jc w:val="center"/>
        <w:rPr>
          <w:rFonts w:ascii="仿宋" w:hAnsi="仿宋" w:eastAsia="仿宋" w:cs="仿宋"/>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0B5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AEADC80">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14:paraId="7543A0EC">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14:paraId="689313BD">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14:paraId="271A8259">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投标文件中的</w:t>
            </w:r>
          </w:p>
          <w:p w14:paraId="32AA596B">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页码位置</w:t>
            </w:r>
          </w:p>
        </w:tc>
      </w:tr>
      <w:tr w14:paraId="2A9D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C2E6F5">
            <w:pPr>
              <w:jc w:val="center"/>
              <w:rPr>
                <w:rFonts w:ascii="仿宋" w:hAnsi="仿宋" w:eastAsia="仿宋" w:cs="仿宋"/>
                <w:sz w:val="24"/>
                <w:highlight w:val="none"/>
              </w:rPr>
            </w:pPr>
            <w:r>
              <w:rPr>
                <w:rFonts w:hint="eastAsia" w:ascii="仿宋" w:hAnsi="仿宋" w:eastAsia="仿宋" w:cs="仿宋"/>
                <w:sz w:val="24"/>
                <w:highlight w:val="none"/>
              </w:rPr>
              <w:t>1</w:t>
            </w:r>
          </w:p>
        </w:tc>
        <w:tc>
          <w:tcPr>
            <w:tcW w:w="4991" w:type="dxa"/>
            <w:tcBorders>
              <w:left w:val="single" w:color="auto" w:sz="4" w:space="0"/>
            </w:tcBorders>
          </w:tcPr>
          <w:p w14:paraId="00D7B571">
            <w:pPr>
              <w:spacing w:line="360" w:lineRule="auto"/>
              <w:rPr>
                <w:rFonts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2551" w:type="dxa"/>
            <w:tcBorders>
              <w:left w:val="single" w:color="auto" w:sz="4" w:space="0"/>
            </w:tcBorders>
            <w:vAlign w:val="center"/>
          </w:tcPr>
          <w:p w14:paraId="4F802941">
            <w:pPr>
              <w:rPr>
                <w:rFonts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c>
          <w:tcPr>
            <w:tcW w:w="1418" w:type="dxa"/>
            <w:tcBorders>
              <w:left w:val="single" w:color="auto" w:sz="4" w:space="0"/>
            </w:tcBorders>
          </w:tcPr>
          <w:p w14:paraId="193B958C">
            <w:pPr>
              <w:rPr>
                <w:rFonts w:ascii="仿宋" w:hAnsi="仿宋" w:eastAsia="仿宋" w:cs="仿宋"/>
                <w:sz w:val="24"/>
                <w:highlight w:val="none"/>
              </w:rPr>
            </w:pPr>
          </w:p>
          <w:p w14:paraId="2BE5A310">
            <w:pPr>
              <w:rPr>
                <w:rFonts w:ascii="仿宋" w:hAnsi="仿宋" w:eastAsia="仿宋" w:cs="仿宋"/>
                <w:sz w:val="24"/>
                <w:highlight w:val="none"/>
              </w:rPr>
            </w:pPr>
            <w:r>
              <w:rPr>
                <w:rFonts w:hint="eastAsia" w:ascii="仿宋" w:hAnsi="仿宋" w:eastAsia="仿宋" w:cs="仿宋"/>
                <w:sz w:val="24"/>
                <w:highlight w:val="none"/>
              </w:rPr>
              <w:t>见投标文件</w:t>
            </w:r>
          </w:p>
          <w:p w14:paraId="4C4B6CB4">
            <w:pPr>
              <w:rPr>
                <w:rFonts w:ascii="仿宋" w:hAnsi="仿宋" w:eastAsia="仿宋" w:cs="仿宋"/>
                <w:highlight w:val="none"/>
              </w:rPr>
            </w:pPr>
            <w:r>
              <w:rPr>
                <w:rFonts w:hint="eastAsia" w:ascii="仿宋" w:hAnsi="仿宋" w:eastAsia="仿宋" w:cs="仿宋"/>
                <w:sz w:val="24"/>
                <w:highlight w:val="none"/>
              </w:rPr>
              <w:t>第页</w:t>
            </w:r>
          </w:p>
        </w:tc>
      </w:tr>
      <w:tr w14:paraId="359A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44613A">
            <w:pPr>
              <w:jc w:val="center"/>
              <w:rPr>
                <w:rFonts w:ascii="仿宋" w:hAnsi="仿宋" w:eastAsia="仿宋" w:cs="仿宋"/>
                <w:sz w:val="24"/>
                <w:highlight w:val="none"/>
              </w:rPr>
            </w:pPr>
            <w:r>
              <w:rPr>
                <w:rFonts w:hint="eastAsia" w:ascii="仿宋" w:hAnsi="仿宋" w:eastAsia="仿宋" w:cs="仿宋"/>
                <w:sz w:val="24"/>
                <w:highlight w:val="none"/>
              </w:rPr>
              <w:t>2</w:t>
            </w:r>
          </w:p>
        </w:tc>
        <w:tc>
          <w:tcPr>
            <w:tcW w:w="4991" w:type="dxa"/>
            <w:tcBorders>
              <w:left w:val="single" w:color="auto" w:sz="4" w:space="0"/>
            </w:tcBorders>
          </w:tcPr>
          <w:p w14:paraId="44F8A55D">
            <w:pPr>
              <w:spacing w:line="360" w:lineRule="auto"/>
              <w:rPr>
                <w:rFonts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2551" w:type="dxa"/>
            <w:tcBorders>
              <w:left w:val="single" w:color="auto" w:sz="4" w:space="0"/>
            </w:tcBorders>
            <w:vAlign w:val="center"/>
          </w:tcPr>
          <w:p w14:paraId="3F788BDF">
            <w:pPr>
              <w:rPr>
                <w:rFonts w:ascii="仿宋" w:hAnsi="仿宋" w:eastAsia="仿宋" w:cs="仿宋"/>
                <w:sz w:val="24"/>
                <w:highlight w:val="none"/>
              </w:rPr>
            </w:pPr>
            <w:r>
              <w:rPr>
                <w:rFonts w:hint="eastAsia" w:ascii="仿宋" w:hAnsi="仿宋" w:eastAsia="仿宋" w:cs="仿宋"/>
                <w:sz w:val="24"/>
                <w:highlight w:val="none"/>
              </w:rPr>
              <w:t>投标函</w:t>
            </w:r>
          </w:p>
        </w:tc>
        <w:tc>
          <w:tcPr>
            <w:tcW w:w="1418" w:type="dxa"/>
            <w:tcBorders>
              <w:left w:val="single" w:color="auto" w:sz="4" w:space="0"/>
            </w:tcBorders>
          </w:tcPr>
          <w:p w14:paraId="19DE7AAE">
            <w:pPr>
              <w:rPr>
                <w:rFonts w:ascii="仿宋" w:hAnsi="仿宋" w:eastAsia="仿宋" w:cs="仿宋"/>
                <w:highlight w:val="none"/>
              </w:rPr>
            </w:pPr>
            <w:r>
              <w:rPr>
                <w:rFonts w:hint="eastAsia" w:ascii="仿宋" w:hAnsi="仿宋" w:eastAsia="仿宋" w:cs="仿宋"/>
                <w:sz w:val="24"/>
                <w:highlight w:val="none"/>
              </w:rPr>
              <w:t>见投标文件第页</w:t>
            </w:r>
          </w:p>
        </w:tc>
      </w:tr>
      <w:tr w14:paraId="1883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C50619">
            <w:pPr>
              <w:jc w:val="center"/>
              <w:rPr>
                <w:rFonts w:ascii="仿宋" w:hAnsi="仿宋" w:eastAsia="仿宋" w:cs="仿宋"/>
                <w:sz w:val="24"/>
                <w:highlight w:val="none"/>
              </w:rPr>
            </w:pPr>
            <w:r>
              <w:rPr>
                <w:rFonts w:hint="eastAsia" w:ascii="仿宋" w:hAnsi="仿宋" w:eastAsia="仿宋" w:cs="仿宋"/>
                <w:sz w:val="24"/>
                <w:highlight w:val="none"/>
              </w:rPr>
              <w:t>3</w:t>
            </w:r>
          </w:p>
        </w:tc>
        <w:tc>
          <w:tcPr>
            <w:tcW w:w="4991" w:type="dxa"/>
            <w:tcBorders>
              <w:left w:val="single" w:color="auto" w:sz="4" w:space="0"/>
            </w:tcBorders>
          </w:tcPr>
          <w:p w14:paraId="7087E1D2">
            <w:pPr>
              <w:spacing w:line="360" w:lineRule="auto"/>
              <w:rPr>
                <w:rFonts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2551" w:type="dxa"/>
            <w:tcBorders>
              <w:left w:val="single" w:color="auto" w:sz="4" w:space="0"/>
            </w:tcBorders>
            <w:vAlign w:val="center"/>
          </w:tcPr>
          <w:p w14:paraId="28184CDA">
            <w:pPr>
              <w:rPr>
                <w:rFonts w:ascii="仿宋" w:hAnsi="仿宋" w:eastAsia="仿宋" w:cs="仿宋"/>
                <w:sz w:val="24"/>
                <w:highlight w:val="none"/>
              </w:rPr>
            </w:pPr>
            <w:r>
              <w:rPr>
                <w:rFonts w:hint="eastAsia" w:ascii="仿宋" w:hAnsi="仿宋" w:eastAsia="仿宋" w:cs="仿宋"/>
                <w:kern w:val="0"/>
                <w:sz w:val="24"/>
                <w:highlight w:val="none"/>
              </w:rPr>
              <w:t>招标文件其它实质性要求相应的材料（“▲” 系指实质性要求条款，招标文件无其它实质性要求的，无需提供）</w:t>
            </w:r>
          </w:p>
        </w:tc>
        <w:tc>
          <w:tcPr>
            <w:tcW w:w="1418" w:type="dxa"/>
            <w:tcBorders>
              <w:left w:val="single" w:color="auto" w:sz="4" w:space="0"/>
            </w:tcBorders>
          </w:tcPr>
          <w:p w14:paraId="5553E431">
            <w:pPr>
              <w:rPr>
                <w:rFonts w:ascii="仿宋" w:hAnsi="仿宋" w:eastAsia="仿宋" w:cs="仿宋"/>
                <w:highlight w:val="none"/>
              </w:rPr>
            </w:pPr>
            <w:r>
              <w:rPr>
                <w:rFonts w:hint="eastAsia" w:ascii="仿宋" w:hAnsi="仿宋" w:eastAsia="仿宋" w:cs="仿宋"/>
                <w:sz w:val="24"/>
                <w:highlight w:val="none"/>
              </w:rPr>
              <w:t>见投标文件第页</w:t>
            </w:r>
          </w:p>
        </w:tc>
      </w:tr>
    </w:tbl>
    <w:p w14:paraId="49BD124B">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14:paraId="681830FB">
      <w:pPr>
        <w:jc w:val="center"/>
        <w:rPr>
          <w:rFonts w:ascii="仿宋" w:hAnsi="仿宋" w:eastAsia="仿宋" w:cs="仿宋"/>
          <w:b/>
          <w:kern w:val="0"/>
          <w:sz w:val="32"/>
          <w:szCs w:val="32"/>
          <w:highlight w:val="none"/>
        </w:rPr>
      </w:pPr>
    </w:p>
    <w:p w14:paraId="7E8F8C9E">
      <w:pPr>
        <w:jc w:val="center"/>
        <w:rPr>
          <w:rFonts w:ascii="仿宋" w:hAnsi="仿宋" w:eastAsia="仿宋" w:cs="仿宋"/>
          <w:b/>
          <w:kern w:val="0"/>
          <w:sz w:val="32"/>
          <w:szCs w:val="32"/>
          <w:highlight w:val="none"/>
        </w:rPr>
      </w:pPr>
    </w:p>
    <w:p w14:paraId="0D64165B">
      <w:pPr>
        <w:jc w:val="center"/>
        <w:rPr>
          <w:rFonts w:ascii="仿宋" w:hAnsi="仿宋" w:eastAsia="仿宋" w:cs="仿宋"/>
          <w:b/>
          <w:kern w:val="0"/>
          <w:sz w:val="32"/>
          <w:szCs w:val="32"/>
          <w:highlight w:val="none"/>
        </w:rPr>
      </w:pPr>
    </w:p>
    <w:p w14:paraId="435FDA79">
      <w:pPr>
        <w:jc w:val="center"/>
        <w:rPr>
          <w:rFonts w:ascii="仿宋" w:hAnsi="仿宋" w:eastAsia="仿宋" w:cs="仿宋"/>
          <w:b/>
          <w:kern w:val="0"/>
          <w:sz w:val="32"/>
          <w:szCs w:val="32"/>
          <w:highlight w:val="none"/>
        </w:rPr>
      </w:pPr>
    </w:p>
    <w:p w14:paraId="217D16F5">
      <w:pPr>
        <w:jc w:val="center"/>
        <w:rPr>
          <w:rFonts w:ascii="仿宋" w:hAnsi="仿宋" w:eastAsia="仿宋" w:cs="仿宋"/>
          <w:b/>
          <w:kern w:val="0"/>
          <w:sz w:val="32"/>
          <w:szCs w:val="32"/>
          <w:highlight w:val="none"/>
        </w:rPr>
      </w:pPr>
    </w:p>
    <w:p w14:paraId="19AD5AAF">
      <w:pPr>
        <w:jc w:val="center"/>
        <w:rPr>
          <w:rFonts w:ascii="仿宋" w:hAnsi="仿宋" w:eastAsia="仿宋" w:cs="仿宋"/>
          <w:b/>
          <w:kern w:val="0"/>
          <w:sz w:val="32"/>
          <w:szCs w:val="32"/>
          <w:highlight w:val="none"/>
        </w:rPr>
      </w:pPr>
    </w:p>
    <w:p w14:paraId="493FD6DF">
      <w:pPr>
        <w:jc w:val="center"/>
        <w:rPr>
          <w:rFonts w:ascii="仿宋" w:hAnsi="仿宋" w:eastAsia="仿宋" w:cs="仿宋"/>
          <w:b/>
          <w:kern w:val="0"/>
          <w:sz w:val="32"/>
          <w:szCs w:val="32"/>
          <w:highlight w:val="none"/>
        </w:rPr>
      </w:pPr>
    </w:p>
    <w:p w14:paraId="4D30A750">
      <w:pPr>
        <w:jc w:val="center"/>
        <w:rPr>
          <w:rFonts w:ascii="仿宋" w:hAnsi="仿宋" w:eastAsia="仿宋" w:cs="仿宋"/>
          <w:b/>
          <w:kern w:val="0"/>
          <w:sz w:val="32"/>
          <w:szCs w:val="32"/>
          <w:highlight w:val="none"/>
        </w:rPr>
      </w:pPr>
    </w:p>
    <w:p w14:paraId="09F53B1B">
      <w:pPr>
        <w:jc w:val="center"/>
        <w:rPr>
          <w:rFonts w:ascii="仿宋" w:hAnsi="仿宋" w:eastAsia="仿宋" w:cs="仿宋"/>
          <w:b/>
          <w:kern w:val="0"/>
          <w:sz w:val="32"/>
          <w:szCs w:val="32"/>
          <w:highlight w:val="none"/>
        </w:rPr>
      </w:pPr>
    </w:p>
    <w:p w14:paraId="591A898D">
      <w:pPr>
        <w:jc w:val="center"/>
        <w:rPr>
          <w:rFonts w:ascii="仿宋" w:hAnsi="仿宋" w:eastAsia="仿宋" w:cs="仿宋"/>
          <w:b/>
          <w:kern w:val="0"/>
          <w:sz w:val="32"/>
          <w:szCs w:val="32"/>
          <w:highlight w:val="none"/>
        </w:rPr>
      </w:pPr>
    </w:p>
    <w:p w14:paraId="3AEA6687">
      <w:pPr>
        <w:jc w:val="center"/>
        <w:rPr>
          <w:rFonts w:ascii="仿宋" w:hAnsi="仿宋" w:eastAsia="仿宋" w:cs="仿宋"/>
          <w:b/>
          <w:kern w:val="0"/>
          <w:sz w:val="32"/>
          <w:szCs w:val="32"/>
          <w:highlight w:val="none"/>
        </w:rPr>
      </w:pPr>
    </w:p>
    <w:p w14:paraId="362620F1">
      <w:pPr>
        <w:jc w:val="center"/>
        <w:rPr>
          <w:rFonts w:ascii="仿宋" w:hAnsi="仿宋" w:eastAsia="仿宋" w:cs="仿宋"/>
          <w:b/>
          <w:kern w:val="0"/>
          <w:sz w:val="32"/>
          <w:szCs w:val="32"/>
          <w:highlight w:val="none"/>
        </w:rPr>
      </w:pPr>
    </w:p>
    <w:p w14:paraId="3F2C2F81">
      <w:pPr>
        <w:jc w:val="center"/>
        <w:rPr>
          <w:rFonts w:ascii="仿宋" w:hAnsi="仿宋" w:eastAsia="仿宋" w:cs="仿宋"/>
          <w:b/>
          <w:kern w:val="0"/>
          <w:sz w:val="32"/>
          <w:szCs w:val="32"/>
          <w:highlight w:val="none"/>
        </w:rPr>
      </w:pPr>
    </w:p>
    <w:p w14:paraId="5EECAECB">
      <w:pPr>
        <w:jc w:val="center"/>
        <w:rPr>
          <w:rFonts w:ascii="仿宋" w:hAnsi="仿宋" w:eastAsia="仿宋" w:cs="仿宋"/>
          <w:b/>
          <w:kern w:val="0"/>
          <w:sz w:val="32"/>
          <w:szCs w:val="32"/>
          <w:highlight w:val="none"/>
        </w:rPr>
      </w:pPr>
    </w:p>
    <w:p w14:paraId="709F0C33">
      <w:pPr>
        <w:jc w:val="center"/>
        <w:rPr>
          <w:rFonts w:ascii="仿宋" w:hAnsi="仿宋" w:eastAsia="仿宋" w:cs="仿宋"/>
          <w:b/>
          <w:kern w:val="0"/>
          <w:sz w:val="32"/>
          <w:szCs w:val="32"/>
          <w:highlight w:val="none"/>
        </w:rPr>
      </w:pPr>
    </w:p>
    <w:p w14:paraId="750EEAAD">
      <w:pPr>
        <w:jc w:val="center"/>
        <w:rPr>
          <w:rFonts w:ascii="仿宋" w:hAnsi="仿宋" w:eastAsia="仿宋" w:cs="仿宋"/>
          <w:highlight w:val="none"/>
        </w:rPr>
      </w:pPr>
      <w:r>
        <w:rPr>
          <w:rFonts w:hint="eastAsia" w:ascii="仿宋" w:hAnsi="仿宋" w:eastAsia="仿宋" w:cs="仿宋"/>
          <w:b/>
          <w:kern w:val="0"/>
          <w:sz w:val="32"/>
          <w:szCs w:val="32"/>
          <w:highlight w:val="none"/>
        </w:rPr>
        <w:t>五、评标标准相应的商务技术资料</w:t>
      </w:r>
    </w:p>
    <w:p w14:paraId="7FBA4BD9">
      <w:pPr>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823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186087F">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序号</w:t>
            </w:r>
          </w:p>
        </w:tc>
        <w:tc>
          <w:tcPr>
            <w:tcW w:w="5465" w:type="dxa"/>
          </w:tcPr>
          <w:p w14:paraId="06110BE4">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投标文件中评标标准相应的商务技术资料目录*</w:t>
            </w:r>
          </w:p>
        </w:tc>
        <w:tc>
          <w:tcPr>
            <w:tcW w:w="3046" w:type="dxa"/>
          </w:tcPr>
          <w:p w14:paraId="713003B6">
            <w:pPr>
              <w:snapToGrid w:val="0"/>
              <w:spacing w:line="240" w:lineRule="atLeast"/>
              <w:jc w:val="center"/>
              <w:rPr>
                <w:rFonts w:ascii="仿宋" w:hAnsi="仿宋" w:eastAsia="仿宋" w:cs="仿宋"/>
                <w:bCs/>
                <w:sz w:val="24"/>
                <w:highlight w:val="none"/>
              </w:rPr>
            </w:pPr>
            <w:r>
              <w:rPr>
                <w:rFonts w:hint="eastAsia" w:ascii="仿宋" w:hAnsi="仿宋" w:eastAsia="仿宋" w:cs="仿宋"/>
                <w:bCs/>
                <w:sz w:val="24"/>
                <w:highlight w:val="none"/>
              </w:rPr>
              <w:t>投标文件中的页码位置</w:t>
            </w:r>
          </w:p>
        </w:tc>
      </w:tr>
      <w:tr w14:paraId="2D9A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5C7BAB">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1</w:t>
            </w:r>
          </w:p>
        </w:tc>
        <w:tc>
          <w:tcPr>
            <w:tcW w:w="5465" w:type="dxa"/>
            <w:tcBorders>
              <w:left w:val="single" w:color="auto" w:sz="4" w:space="0"/>
            </w:tcBorders>
          </w:tcPr>
          <w:p w14:paraId="76FA0514">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XXX（预先填写）</w:t>
            </w:r>
          </w:p>
        </w:tc>
        <w:tc>
          <w:tcPr>
            <w:tcW w:w="3046" w:type="dxa"/>
            <w:tcBorders>
              <w:left w:val="single" w:color="auto" w:sz="4" w:space="0"/>
            </w:tcBorders>
          </w:tcPr>
          <w:p w14:paraId="6797F672">
            <w:pPr>
              <w:jc w:val="center"/>
              <w:rPr>
                <w:rFonts w:ascii="仿宋" w:hAnsi="仿宋" w:eastAsia="仿宋" w:cs="仿宋"/>
                <w:bCs/>
                <w:sz w:val="24"/>
                <w:highlight w:val="none"/>
              </w:rPr>
            </w:pPr>
            <w:r>
              <w:rPr>
                <w:rFonts w:hint="eastAsia" w:ascii="仿宋" w:hAnsi="仿宋" w:eastAsia="仿宋" w:cs="仿宋"/>
                <w:bCs/>
                <w:sz w:val="24"/>
                <w:highlight w:val="none"/>
              </w:rPr>
              <w:t>见投标文件第</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页</w:t>
            </w:r>
          </w:p>
        </w:tc>
      </w:tr>
      <w:tr w14:paraId="6E80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DED92D8">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2</w:t>
            </w:r>
          </w:p>
        </w:tc>
        <w:tc>
          <w:tcPr>
            <w:tcW w:w="5465" w:type="dxa"/>
            <w:tcBorders>
              <w:left w:val="single" w:color="auto" w:sz="4" w:space="0"/>
            </w:tcBorders>
          </w:tcPr>
          <w:p w14:paraId="0C0889C3">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XXX</w:t>
            </w:r>
          </w:p>
        </w:tc>
        <w:tc>
          <w:tcPr>
            <w:tcW w:w="3046" w:type="dxa"/>
            <w:tcBorders>
              <w:left w:val="single" w:color="auto" w:sz="4" w:space="0"/>
            </w:tcBorders>
          </w:tcPr>
          <w:p w14:paraId="54643162">
            <w:pPr>
              <w:jc w:val="center"/>
              <w:rPr>
                <w:rFonts w:ascii="仿宋" w:hAnsi="仿宋" w:eastAsia="仿宋" w:cs="仿宋"/>
                <w:bCs/>
                <w:sz w:val="24"/>
                <w:highlight w:val="none"/>
              </w:rPr>
            </w:pPr>
            <w:r>
              <w:rPr>
                <w:rFonts w:hint="eastAsia" w:ascii="仿宋" w:hAnsi="仿宋" w:eastAsia="仿宋" w:cs="仿宋"/>
                <w:bCs/>
                <w:sz w:val="24"/>
                <w:highlight w:val="none"/>
              </w:rPr>
              <w:t>见投标文件第</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页</w:t>
            </w:r>
          </w:p>
        </w:tc>
      </w:tr>
      <w:tr w14:paraId="4A76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093E923">
            <w:pPr>
              <w:snapToGrid w:val="0"/>
              <w:spacing w:line="360" w:lineRule="auto"/>
              <w:jc w:val="center"/>
              <w:rPr>
                <w:rFonts w:ascii="仿宋" w:hAnsi="仿宋" w:eastAsia="仿宋" w:cs="仿宋"/>
                <w:bCs/>
                <w:sz w:val="24"/>
                <w:highlight w:val="none"/>
              </w:rPr>
            </w:pPr>
            <w:r>
              <w:rPr>
                <w:rFonts w:hint="eastAsia" w:ascii="仿宋" w:hAnsi="仿宋" w:eastAsia="仿宋" w:cs="仿宋"/>
                <w:kern w:val="0"/>
                <w:sz w:val="24"/>
                <w:highlight w:val="none"/>
              </w:rPr>
              <w:t>……</w:t>
            </w:r>
          </w:p>
        </w:tc>
        <w:tc>
          <w:tcPr>
            <w:tcW w:w="5465" w:type="dxa"/>
            <w:tcBorders>
              <w:left w:val="single" w:color="auto" w:sz="4" w:space="0"/>
            </w:tcBorders>
          </w:tcPr>
          <w:p w14:paraId="637A5DB4">
            <w:pPr>
              <w:snapToGrid w:val="0"/>
              <w:spacing w:line="360" w:lineRule="auto"/>
              <w:jc w:val="center"/>
              <w:rPr>
                <w:rFonts w:ascii="仿宋" w:hAnsi="仿宋" w:eastAsia="仿宋" w:cs="仿宋"/>
                <w:bCs/>
                <w:sz w:val="24"/>
                <w:highlight w:val="none"/>
              </w:rPr>
            </w:pPr>
          </w:p>
        </w:tc>
        <w:tc>
          <w:tcPr>
            <w:tcW w:w="3046" w:type="dxa"/>
            <w:tcBorders>
              <w:left w:val="single" w:color="auto" w:sz="4" w:space="0"/>
            </w:tcBorders>
          </w:tcPr>
          <w:p w14:paraId="4887A587">
            <w:pPr>
              <w:jc w:val="center"/>
              <w:rPr>
                <w:rFonts w:ascii="仿宋" w:hAnsi="仿宋" w:eastAsia="仿宋" w:cs="仿宋"/>
                <w:bCs/>
                <w:sz w:val="24"/>
                <w:highlight w:val="none"/>
              </w:rPr>
            </w:pPr>
            <w:r>
              <w:rPr>
                <w:rFonts w:hint="eastAsia" w:ascii="仿宋" w:hAnsi="仿宋" w:eastAsia="仿宋" w:cs="仿宋"/>
                <w:bCs/>
                <w:sz w:val="24"/>
                <w:highlight w:val="none"/>
              </w:rPr>
              <w:t>见投标文件第</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页</w:t>
            </w:r>
          </w:p>
        </w:tc>
      </w:tr>
    </w:tbl>
    <w:p w14:paraId="13E5C412">
      <w:pPr>
        <w:jc w:val="center"/>
        <w:rPr>
          <w:rFonts w:ascii="仿宋" w:hAnsi="仿宋" w:eastAsia="仿宋" w:cs="仿宋"/>
          <w:b/>
          <w:kern w:val="0"/>
          <w:sz w:val="32"/>
          <w:szCs w:val="32"/>
          <w:highlight w:val="none"/>
        </w:rPr>
      </w:pPr>
    </w:p>
    <w:p w14:paraId="5B19A853">
      <w:pPr>
        <w:jc w:val="center"/>
        <w:rPr>
          <w:rFonts w:ascii="仿宋" w:hAnsi="仿宋" w:eastAsia="仿宋" w:cs="仿宋"/>
          <w:b/>
          <w:kern w:val="0"/>
          <w:sz w:val="32"/>
          <w:szCs w:val="32"/>
          <w:highlight w:val="none"/>
        </w:rPr>
      </w:pPr>
    </w:p>
    <w:p w14:paraId="0A5BEDA9">
      <w:pPr>
        <w:jc w:val="center"/>
        <w:rPr>
          <w:rFonts w:ascii="仿宋" w:hAnsi="仿宋" w:eastAsia="仿宋" w:cs="仿宋"/>
          <w:b/>
          <w:kern w:val="0"/>
          <w:sz w:val="32"/>
          <w:szCs w:val="32"/>
          <w:highlight w:val="none"/>
        </w:rPr>
      </w:pPr>
    </w:p>
    <w:p w14:paraId="0AFC8D21">
      <w:pPr>
        <w:numPr>
          <w:ilvl w:val="0"/>
          <w:numId w:val="4"/>
        </w:numPr>
        <w:ind w:firstLine="2891" w:firstLineChars="900"/>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B0F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E1EE81">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FA3B0FA">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D360A2F">
            <w:pPr>
              <w:spacing w:line="360" w:lineRule="auto"/>
              <w:jc w:val="center"/>
              <w:rPr>
                <w:rFonts w:ascii="仿宋" w:hAnsi="仿宋" w:eastAsia="仿宋" w:cs="仿宋"/>
                <w:b/>
                <w:sz w:val="24"/>
                <w:highlight w:val="none"/>
              </w:rPr>
            </w:pPr>
          </w:p>
          <w:p w14:paraId="37932AF6">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D1D0D4D">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5F29359">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4F165F9">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备注</w:t>
            </w:r>
          </w:p>
        </w:tc>
      </w:tr>
      <w:tr w14:paraId="0CA0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DE4D8A">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6F4515B">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040688C4">
            <w:pPr>
              <w:snapToGrid w:val="0"/>
              <w:spacing w:line="360" w:lineRule="auto"/>
              <w:jc w:val="center"/>
              <w:rPr>
                <w:rFonts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0D83101">
            <w:pPr>
              <w:snapToGrid w:val="0"/>
              <w:spacing w:line="360" w:lineRule="auto"/>
              <w:jc w:val="center"/>
              <w:rPr>
                <w:rFonts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F3FD03E">
            <w:pPr>
              <w:spacing w:line="360" w:lineRule="auto"/>
              <w:jc w:val="center"/>
              <w:rPr>
                <w:rFonts w:ascii="仿宋" w:hAnsi="仿宋" w:eastAsia="仿宋" w:cs="仿宋"/>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C015089">
            <w:pPr>
              <w:spacing w:line="360" w:lineRule="auto"/>
              <w:jc w:val="center"/>
              <w:rPr>
                <w:rFonts w:ascii="仿宋" w:hAnsi="仿宋" w:eastAsia="仿宋" w:cs="仿宋"/>
                <w:sz w:val="24"/>
                <w:highlight w:val="none"/>
              </w:rPr>
            </w:pPr>
          </w:p>
        </w:tc>
      </w:tr>
      <w:tr w14:paraId="6D5D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E3A6D0">
            <w:pPr>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6F14538">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632229A">
            <w:pPr>
              <w:snapToGrid w:val="0"/>
              <w:spacing w:line="360" w:lineRule="auto"/>
              <w:jc w:val="center"/>
              <w:rPr>
                <w:rFonts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8F8BE02">
            <w:pPr>
              <w:snapToGrid w:val="0"/>
              <w:spacing w:line="360" w:lineRule="auto"/>
              <w:jc w:val="center"/>
              <w:rPr>
                <w:rFonts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3C97A3A">
            <w:pPr>
              <w:spacing w:line="360" w:lineRule="auto"/>
              <w:jc w:val="center"/>
              <w:rPr>
                <w:rFonts w:ascii="仿宋" w:hAnsi="仿宋" w:eastAsia="仿宋" w:cs="仿宋"/>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9B42F2B">
            <w:pPr>
              <w:spacing w:line="360" w:lineRule="auto"/>
              <w:jc w:val="center"/>
              <w:rPr>
                <w:rFonts w:ascii="仿宋" w:hAnsi="仿宋" w:eastAsia="仿宋" w:cs="仿宋"/>
                <w:sz w:val="24"/>
                <w:highlight w:val="none"/>
              </w:rPr>
            </w:pPr>
          </w:p>
        </w:tc>
      </w:tr>
      <w:tr w14:paraId="217F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732AFA">
            <w:pPr>
              <w:spacing w:line="360" w:lineRule="auto"/>
              <w:jc w:val="center"/>
              <w:rPr>
                <w:rFonts w:ascii="仿宋" w:hAnsi="仿宋" w:eastAsia="仿宋" w:cs="仿宋"/>
                <w:sz w:val="24"/>
                <w:highlight w:val="none"/>
              </w:rPr>
            </w:pPr>
            <w:r>
              <w:rPr>
                <w:rFonts w:hint="eastAsia" w:ascii="仿宋" w:hAnsi="仿宋" w:eastAsia="仿宋" w:cs="仿宋"/>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D5A3E3F">
            <w:pPr>
              <w:snapToGrid w:val="0"/>
              <w:spacing w:line="360" w:lineRule="auto"/>
              <w:jc w:val="center"/>
              <w:rPr>
                <w:rFonts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B1890C8">
            <w:pPr>
              <w:snapToGrid w:val="0"/>
              <w:spacing w:line="360" w:lineRule="auto"/>
              <w:jc w:val="center"/>
              <w:rPr>
                <w:rFonts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10676D4">
            <w:pPr>
              <w:snapToGrid w:val="0"/>
              <w:spacing w:line="360" w:lineRule="auto"/>
              <w:jc w:val="center"/>
              <w:rPr>
                <w:rFonts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0ED3EA">
            <w:pPr>
              <w:spacing w:line="360" w:lineRule="auto"/>
              <w:jc w:val="center"/>
              <w:rPr>
                <w:rFonts w:ascii="仿宋" w:hAnsi="仿宋" w:eastAsia="仿宋" w:cs="仿宋"/>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4F6A6A4">
            <w:pPr>
              <w:spacing w:line="360" w:lineRule="auto"/>
              <w:jc w:val="center"/>
              <w:rPr>
                <w:rFonts w:ascii="仿宋" w:hAnsi="仿宋" w:eastAsia="仿宋" w:cs="仿宋"/>
                <w:sz w:val="24"/>
                <w:highlight w:val="none"/>
              </w:rPr>
            </w:pPr>
          </w:p>
        </w:tc>
      </w:tr>
    </w:tbl>
    <w:p w14:paraId="7242DAE0">
      <w:pPr>
        <w:spacing w:line="360" w:lineRule="auto"/>
        <w:ind w:right="420"/>
        <w:rPr>
          <w:rFonts w:ascii="仿宋" w:hAnsi="仿宋" w:eastAsia="仿宋" w:cs="仿宋"/>
          <w:sz w:val="24"/>
          <w:highlight w:val="none"/>
        </w:rPr>
      </w:pPr>
    </w:p>
    <w:p w14:paraId="03CF8297">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14:paraId="26C9FFDA">
      <w:pPr>
        <w:jc w:val="center"/>
        <w:rPr>
          <w:rFonts w:ascii="仿宋" w:hAnsi="仿宋" w:eastAsia="仿宋" w:cs="仿宋"/>
          <w:b/>
          <w:kern w:val="0"/>
          <w:sz w:val="32"/>
          <w:szCs w:val="32"/>
          <w:highlight w:val="none"/>
        </w:rPr>
      </w:pPr>
    </w:p>
    <w:p w14:paraId="53215354">
      <w:pPr>
        <w:jc w:val="center"/>
        <w:rPr>
          <w:rFonts w:ascii="仿宋" w:hAnsi="仿宋" w:eastAsia="仿宋" w:cs="仿宋"/>
          <w:b/>
          <w:kern w:val="0"/>
          <w:sz w:val="32"/>
          <w:szCs w:val="32"/>
          <w:highlight w:val="none"/>
        </w:rPr>
      </w:pPr>
    </w:p>
    <w:p w14:paraId="4ACDAC58">
      <w:pPr>
        <w:jc w:val="center"/>
        <w:rPr>
          <w:rFonts w:ascii="仿宋" w:hAnsi="仿宋" w:eastAsia="仿宋" w:cs="仿宋"/>
          <w:b/>
          <w:kern w:val="0"/>
          <w:sz w:val="32"/>
          <w:szCs w:val="32"/>
          <w:highlight w:val="none"/>
        </w:rPr>
      </w:pPr>
    </w:p>
    <w:p w14:paraId="1E96E6C2">
      <w:pPr>
        <w:jc w:val="center"/>
        <w:rPr>
          <w:rFonts w:ascii="仿宋" w:hAnsi="仿宋" w:eastAsia="仿宋" w:cs="仿宋"/>
          <w:b/>
          <w:kern w:val="0"/>
          <w:sz w:val="32"/>
          <w:szCs w:val="32"/>
          <w:highlight w:val="none"/>
        </w:rPr>
      </w:pPr>
    </w:p>
    <w:p w14:paraId="28353FA7">
      <w:pPr>
        <w:jc w:val="center"/>
        <w:rPr>
          <w:rFonts w:ascii="仿宋" w:hAnsi="仿宋" w:eastAsia="仿宋" w:cs="仿宋"/>
          <w:b/>
          <w:kern w:val="0"/>
          <w:sz w:val="32"/>
          <w:szCs w:val="32"/>
          <w:highlight w:val="none"/>
        </w:rPr>
      </w:pPr>
    </w:p>
    <w:p w14:paraId="158C7D00">
      <w:pPr>
        <w:jc w:val="center"/>
        <w:rPr>
          <w:rFonts w:ascii="仿宋" w:hAnsi="仿宋" w:eastAsia="仿宋" w:cs="仿宋"/>
          <w:b/>
          <w:kern w:val="0"/>
          <w:sz w:val="32"/>
          <w:szCs w:val="32"/>
          <w:highlight w:val="none"/>
        </w:rPr>
      </w:pPr>
    </w:p>
    <w:p w14:paraId="7A3C47AE">
      <w:pPr>
        <w:jc w:val="center"/>
        <w:rPr>
          <w:rFonts w:ascii="仿宋" w:hAnsi="仿宋" w:eastAsia="仿宋" w:cs="仿宋"/>
          <w:b/>
          <w:kern w:val="0"/>
          <w:sz w:val="32"/>
          <w:szCs w:val="32"/>
          <w:highlight w:val="none"/>
        </w:rPr>
      </w:pPr>
    </w:p>
    <w:p w14:paraId="5D31B9FD">
      <w:pPr>
        <w:jc w:val="center"/>
        <w:rPr>
          <w:rFonts w:ascii="仿宋" w:hAnsi="仿宋" w:eastAsia="仿宋" w:cs="仿宋"/>
          <w:b/>
          <w:kern w:val="0"/>
          <w:sz w:val="32"/>
          <w:szCs w:val="32"/>
          <w:highlight w:val="none"/>
        </w:rPr>
      </w:pPr>
    </w:p>
    <w:p w14:paraId="6B2874E7">
      <w:pPr>
        <w:jc w:val="center"/>
        <w:rPr>
          <w:rFonts w:ascii="仿宋" w:hAnsi="仿宋" w:eastAsia="仿宋" w:cs="仿宋"/>
          <w:b/>
          <w:kern w:val="0"/>
          <w:sz w:val="32"/>
          <w:szCs w:val="32"/>
          <w:highlight w:val="none"/>
        </w:rPr>
      </w:pPr>
    </w:p>
    <w:p w14:paraId="483E3049">
      <w:pPr>
        <w:jc w:val="center"/>
        <w:rPr>
          <w:rFonts w:ascii="仿宋" w:hAnsi="仿宋" w:eastAsia="仿宋" w:cs="仿宋"/>
          <w:b/>
          <w:kern w:val="0"/>
          <w:sz w:val="32"/>
          <w:szCs w:val="32"/>
          <w:highlight w:val="none"/>
        </w:rPr>
      </w:pPr>
    </w:p>
    <w:p w14:paraId="71F22876">
      <w:pPr>
        <w:jc w:val="center"/>
        <w:rPr>
          <w:rFonts w:ascii="仿宋" w:hAnsi="仿宋" w:eastAsia="仿宋" w:cs="仿宋"/>
          <w:b/>
          <w:kern w:val="0"/>
          <w:sz w:val="32"/>
          <w:szCs w:val="32"/>
          <w:highlight w:val="none"/>
        </w:rPr>
      </w:pPr>
    </w:p>
    <w:p w14:paraId="742ADD65">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EC6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7F3F77">
            <w:pP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Pr>
          <w:p w14:paraId="33A80610">
            <w:pPr>
              <w:jc w:val="center"/>
              <w:rPr>
                <w:rFonts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tcPr>
          <w:p w14:paraId="39778103">
            <w:pPr>
              <w:jc w:val="center"/>
              <w:rPr>
                <w:rFonts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tcPr>
          <w:p w14:paraId="2430F759">
            <w:pPr>
              <w:jc w:val="center"/>
              <w:rPr>
                <w:rFonts w:ascii="仿宋" w:hAnsi="仿宋" w:eastAsia="仿宋" w:cs="仿宋"/>
                <w:b/>
                <w:bCs/>
                <w:sz w:val="24"/>
                <w:highlight w:val="none"/>
              </w:rPr>
            </w:pPr>
            <w:r>
              <w:rPr>
                <w:rFonts w:hint="eastAsia" w:ascii="仿宋" w:hAnsi="仿宋" w:eastAsia="仿宋" w:cs="仿宋"/>
                <w:b/>
                <w:bCs/>
                <w:sz w:val="24"/>
                <w:highlight w:val="none"/>
              </w:rPr>
              <w:t>偏离说明</w:t>
            </w:r>
          </w:p>
        </w:tc>
      </w:tr>
      <w:tr w14:paraId="2BA7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F191DD">
            <w:pPr>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tcBorders>
              <w:left w:val="single" w:color="auto" w:sz="4" w:space="0"/>
            </w:tcBorders>
          </w:tcPr>
          <w:p w14:paraId="5F62AD7A">
            <w:pPr>
              <w:jc w:val="center"/>
              <w:rPr>
                <w:rFonts w:ascii="仿宋" w:hAnsi="仿宋" w:eastAsia="仿宋" w:cs="仿宋"/>
                <w:b/>
                <w:kern w:val="0"/>
                <w:sz w:val="32"/>
                <w:szCs w:val="32"/>
                <w:highlight w:val="none"/>
              </w:rPr>
            </w:pPr>
          </w:p>
        </w:tc>
        <w:tc>
          <w:tcPr>
            <w:tcW w:w="3546" w:type="dxa"/>
            <w:tcBorders>
              <w:left w:val="single" w:color="auto" w:sz="4" w:space="0"/>
            </w:tcBorders>
          </w:tcPr>
          <w:p w14:paraId="69C9092A">
            <w:pPr>
              <w:jc w:val="center"/>
              <w:rPr>
                <w:rFonts w:ascii="仿宋" w:hAnsi="仿宋" w:eastAsia="仿宋" w:cs="仿宋"/>
                <w:b/>
                <w:kern w:val="0"/>
                <w:sz w:val="32"/>
                <w:szCs w:val="32"/>
                <w:highlight w:val="none"/>
              </w:rPr>
            </w:pPr>
          </w:p>
        </w:tc>
        <w:tc>
          <w:tcPr>
            <w:tcW w:w="1276" w:type="dxa"/>
            <w:tcBorders>
              <w:left w:val="single" w:color="auto" w:sz="4" w:space="0"/>
            </w:tcBorders>
          </w:tcPr>
          <w:p w14:paraId="674266F7">
            <w:pPr>
              <w:jc w:val="center"/>
              <w:rPr>
                <w:rFonts w:ascii="仿宋" w:hAnsi="仿宋" w:eastAsia="仿宋" w:cs="仿宋"/>
                <w:b/>
                <w:kern w:val="0"/>
                <w:sz w:val="32"/>
                <w:szCs w:val="32"/>
                <w:highlight w:val="none"/>
              </w:rPr>
            </w:pPr>
          </w:p>
        </w:tc>
      </w:tr>
      <w:tr w14:paraId="6062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40F3ED">
            <w:pPr>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tcBorders>
              <w:left w:val="single" w:color="auto" w:sz="4" w:space="0"/>
            </w:tcBorders>
          </w:tcPr>
          <w:p w14:paraId="7F73F3A4">
            <w:pPr>
              <w:jc w:val="center"/>
              <w:rPr>
                <w:rFonts w:ascii="仿宋" w:hAnsi="仿宋" w:eastAsia="仿宋" w:cs="仿宋"/>
                <w:b/>
                <w:kern w:val="0"/>
                <w:sz w:val="32"/>
                <w:szCs w:val="32"/>
                <w:highlight w:val="none"/>
              </w:rPr>
            </w:pPr>
          </w:p>
        </w:tc>
        <w:tc>
          <w:tcPr>
            <w:tcW w:w="3546" w:type="dxa"/>
            <w:tcBorders>
              <w:left w:val="single" w:color="auto" w:sz="4" w:space="0"/>
            </w:tcBorders>
          </w:tcPr>
          <w:p w14:paraId="4F6CBE4D">
            <w:pPr>
              <w:jc w:val="center"/>
              <w:rPr>
                <w:rFonts w:ascii="仿宋" w:hAnsi="仿宋" w:eastAsia="仿宋" w:cs="仿宋"/>
                <w:b/>
                <w:kern w:val="0"/>
                <w:sz w:val="32"/>
                <w:szCs w:val="32"/>
                <w:highlight w:val="none"/>
              </w:rPr>
            </w:pPr>
          </w:p>
        </w:tc>
        <w:tc>
          <w:tcPr>
            <w:tcW w:w="1276" w:type="dxa"/>
            <w:tcBorders>
              <w:left w:val="single" w:color="auto" w:sz="4" w:space="0"/>
            </w:tcBorders>
          </w:tcPr>
          <w:p w14:paraId="199E1ACE">
            <w:pPr>
              <w:jc w:val="center"/>
              <w:rPr>
                <w:rFonts w:ascii="仿宋" w:hAnsi="仿宋" w:eastAsia="仿宋" w:cs="仿宋"/>
                <w:b/>
                <w:kern w:val="0"/>
                <w:sz w:val="32"/>
                <w:szCs w:val="32"/>
                <w:highlight w:val="none"/>
              </w:rPr>
            </w:pPr>
          </w:p>
        </w:tc>
      </w:tr>
      <w:tr w14:paraId="1CD2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0489B6">
            <w:pPr>
              <w:jc w:val="center"/>
              <w:rPr>
                <w:rFonts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tcBorders>
              <w:left w:val="single" w:color="auto" w:sz="4" w:space="0"/>
            </w:tcBorders>
          </w:tcPr>
          <w:p w14:paraId="362108C6">
            <w:pPr>
              <w:jc w:val="center"/>
              <w:rPr>
                <w:rFonts w:ascii="仿宋" w:hAnsi="仿宋" w:eastAsia="仿宋" w:cs="仿宋"/>
                <w:b/>
                <w:kern w:val="0"/>
                <w:sz w:val="32"/>
                <w:szCs w:val="32"/>
                <w:highlight w:val="none"/>
              </w:rPr>
            </w:pPr>
          </w:p>
        </w:tc>
        <w:tc>
          <w:tcPr>
            <w:tcW w:w="3546" w:type="dxa"/>
            <w:tcBorders>
              <w:left w:val="single" w:color="auto" w:sz="4" w:space="0"/>
            </w:tcBorders>
          </w:tcPr>
          <w:p w14:paraId="47AFAC4A">
            <w:pPr>
              <w:jc w:val="center"/>
              <w:rPr>
                <w:rFonts w:ascii="仿宋" w:hAnsi="仿宋" w:eastAsia="仿宋" w:cs="仿宋"/>
                <w:b/>
                <w:kern w:val="0"/>
                <w:sz w:val="32"/>
                <w:szCs w:val="32"/>
                <w:highlight w:val="none"/>
              </w:rPr>
            </w:pPr>
          </w:p>
        </w:tc>
        <w:tc>
          <w:tcPr>
            <w:tcW w:w="1276" w:type="dxa"/>
            <w:tcBorders>
              <w:left w:val="single" w:color="auto" w:sz="4" w:space="0"/>
            </w:tcBorders>
          </w:tcPr>
          <w:p w14:paraId="1971DAEE">
            <w:pPr>
              <w:jc w:val="center"/>
              <w:rPr>
                <w:rFonts w:ascii="仿宋" w:hAnsi="仿宋" w:eastAsia="仿宋" w:cs="仿宋"/>
                <w:b/>
                <w:kern w:val="0"/>
                <w:sz w:val="32"/>
                <w:szCs w:val="32"/>
                <w:highlight w:val="none"/>
              </w:rPr>
            </w:pPr>
          </w:p>
        </w:tc>
      </w:tr>
    </w:tbl>
    <w:p w14:paraId="55624BA5">
      <w:pPr>
        <w:jc w:val="center"/>
        <w:rPr>
          <w:rFonts w:ascii="仿宋" w:hAnsi="仿宋" w:eastAsia="仿宋" w:cs="仿宋"/>
          <w:b/>
          <w:kern w:val="0"/>
          <w:sz w:val="32"/>
          <w:szCs w:val="32"/>
          <w:highlight w:val="none"/>
        </w:rPr>
      </w:pPr>
    </w:p>
    <w:p w14:paraId="4EEECD24">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注：1.按本格式和要求提供。</w:t>
      </w:r>
    </w:p>
    <w:p w14:paraId="4B3AA2F5">
      <w:pPr>
        <w:spacing w:line="360" w:lineRule="auto"/>
        <w:ind w:right="420"/>
        <w:rPr>
          <w:rFonts w:ascii="仿宋" w:hAnsi="仿宋" w:eastAsia="仿宋" w:cs="仿宋"/>
          <w:sz w:val="24"/>
          <w:highlight w:val="none"/>
        </w:rPr>
      </w:pPr>
      <w:r>
        <w:rPr>
          <w:rFonts w:hint="eastAsia" w:ascii="仿宋" w:hAnsi="仿宋" w:eastAsia="仿宋" w:cs="仿宋"/>
          <w:sz w:val="24"/>
          <w:highlight w:val="none"/>
        </w:rPr>
        <w:t>2.本表格所反映的偏离情况与“符合性审查资料”、“评标标准相应的商务技术资料”不一致的，以“符合性审查资料”、“评标标准相应的商务技术资料”为准。</w:t>
      </w:r>
    </w:p>
    <w:p w14:paraId="3C1E8E6D">
      <w:pPr>
        <w:spacing w:line="360" w:lineRule="auto"/>
        <w:ind w:right="420"/>
        <w:rPr>
          <w:rFonts w:ascii="仿宋" w:hAnsi="仿宋" w:eastAsia="仿宋" w:cs="仿宋"/>
          <w:sz w:val="24"/>
          <w:highlight w:val="none"/>
        </w:rPr>
      </w:pPr>
      <w:r>
        <w:rPr>
          <w:rFonts w:hint="eastAsia" w:ascii="仿宋" w:hAnsi="仿宋" w:eastAsia="仿宋" w:cs="仿宋"/>
          <w:sz w:val="24"/>
          <w:highlight w:val="none"/>
        </w:rPr>
        <w:t>3.投标人须保证：除商务技术偏离表列出的偏离外，投标人响应招标文件的全部非实质性要求。</w:t>
      </w:r>
    </w:p>
    <w:p w14:paraId="26F87192">
      <w:pPr>
        <w:spacing w:line="360" w:lineRule="auto"/>
        <w:ind w:right="420"/>
        <w:rPr>
          <w:rFonts w:ascii="仿宋" w:hAnsi="仿宋" w:eastAsia="仿宋" w:cs="仿宋"/>
          <w:sz w:val="24"/>
          <w:highlight w:val="none"/>
        </w:rPr>
      </w:pPr>
    </w:p>
    <w:p w14:paraId="756EC7CB">
      <w:pPr>
        <w:ind w:firstLine="1911" w:firstLineChars="595"/>
        <w:rPr>
          <w:rFonts w:ascii="仿宋" w:hAnsi="仿宋" w:eastAsia="仿宋" w:cs="仿宋"/>
          <w:b/>
          <w:bCs/>
          <w:sz w:val="32"/>
          <w:szCs w:val="32"/>
          <w:highlight w:val="none"/>
        </w:rPr>
      </w:pPr>
    </w:p>
    <w:p w14:paraId="3352F0C6">
      <w:pPr>
        <w:ind w:firstLine="1911" w:firstLineChars="595"/>
        <w:rPr>
          <w:rFonts w:ascii="仿宋" w:hAnsi="仿宋" w:eastAsia="仿宋" w:cs="仿宋"/>
          <w:b/>
          <w:bCs/>
          <w:sz w:val="32"/>
          <w:szCs w:val="32"/>
          <w:highlight w:val="none"/>
        </w:rPr>
      </w:pPr>
    </w:p>
    <w:p w14:paraId="6B8EB5EB">
      <w:pPr>
        <w:ind w:firstLine="1911" w:firstLineChars="595"/>
        <w:rPr>
          <w:rFonts w:ascii="仿宋" w:hAnsi="仿宋" w:eastAsia="仿宋" w:cs="仿宋"/>
          <w:b/>
          <w:bCs/>
          <w:sz w:val="32"/>
          <w:szCs w:val="32"/>
          <w:highlight w:val="none"/>
        </w:rPr>
      </w:pPr>
    </w:p>
    <w:p w14:paraId="0453F6AF">
      <w:pPr>
        <w:widowControl/>
        <w:adjustRightInd/>
        <w:jc w:val="left"/>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62ECCD6B">
      <w:pPr>
        <w:ind w:firstLine="1911" w:firstLineChars="595"/>
        <w:rPr>
          <w:rFonts w:ascii="仿宋" w:hAnsi="仿宋" w:eastAsia="仿宋" w:cs="仿宋"/>
          <w:b/>
          <w:kern w:val="0"/>
          <w:sz w:val="32"/>
          <w:szCs w:val="32"/>
          <w:highlight w:val="none"/>
        </w:rPr>
      </w:pPr>
      <w:r>
        <w:rPr>
          <w:rFonts w:hint="eastAsia" w:ascii="仿宋" w:hAnsi="仿宋" w:eastAsia="仿宋" w:cs="仿宋"/>
          <w:b/>
          <w:bCs/>
          <w:sz w:val="32"/>
          <w:szCs w:val="32"/>
          <w:highlight w:val="none"/>
        </w:rPr>
        <w:t>八</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政府采购供应商廉洁自律承诺书</w:t>
      </w:r>
    </w:p>
    <w:p w14:paraId="5A731F50">
      <w:pPr>
        <w:snapToGrid w:val="0"/>
        <w:spacing w:line="360" w:lineRule="auto"/>
        <w:rPr>
          <w:rFonts w:ascii="仿宋" w:hAnsi="仿宋" w:eastAsia="仿宋" w:cs="仿宋"/>
          <w:sz w:val="24"/>
          <w:highlight w:val="none"/>
        </w:rPr>
      </w:pPr>
    </w:p>
    <w:p w14:paraId="48A9002A">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杭州市公安局交通警察支队、浙江信达咨询监理有限公司</w:t>
      </w:r>
      <w:r>
        <w:rPr>
          <w:rFonts w:hint="eastAsia" w:ascii="仿宋" w:hAnsi="仿宋" w:eastAsia="仿宋" w:cs="仿宋"/>
          <w:kern w:val="0"/>
          <w:sz w:val="24"/>
          <w:highlight w:val="none"/>
          <w:lang w:val="zh-CN"/>
        </w:rPr>
        <w:t>：</w:t>
      </w:r>
    </w:p>
    <w:p w14:paraId="47FEE9C7">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384F8679">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74FB6DFA">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6F0E1B9B">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0EA47E0C">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1B9F549D">
      <w:pPr>
        <w:autoSpaceDE w:val="0"/>
        <w:autoSpaceDN w:val="0"/>
        <w:spacing w:line="360" w:lineRule="auto"/>
        <w:ind w:left="481" w:leftChars="229"/>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42138941">
      <w:pPr>
        <w:autoSpaceDE w:val="0"/>
        <w:autoSpaceDN w:val="0"/>
        <w:spacing w:line="360" w:lineRule="auto"/>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4F78A7B0">
      <w:pPr>
        <w:autoSpaceDE w:val="0"/>
        <w:autoSpaceDN w:val="0"/>
        <w:spacing w:line="360" w:lineRule="auto"/>
        <w:ind w:left="481" w:leftChars="229"/>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14:paraId="568C20D4">
      <w:pPr>
        <w:autoSpaceDE w:val="0"/>
        <w:autoSpaceDN w:val="0"/>
        <w:spacing w:line="360" w:lineRule="auto"/>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0E0B84B4">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5682FE20">
      <w:pPr>
        <w:autoSpaceDE w:val="0"/>
        <w:autoSpaceDN w:val="0"/>
        <w:spacing w:line="360" w:lineRule="auto"/>
        <w:ind w:left="2"/>
        <w:jc w:val="left"/>
        <w:rPr>
          <w:rFonts w:ascii="仿宋" w:hAnsi="仿宋" w:eastAsia="仿宋" w:cs="仿宋"/>
          <w:kern w:val="0"/>
          <w:sz w:val="24"/>
          <w:highlight w:val="none"/>
          <w:lang w:val="zh-CN"/>
        </w:rPr>
      </w:pPr>
    </w:p>
    <w:p w14:paraId="48522D39">
      <w:pPr>
        <w:autoSpaceDE w:val="0"/>
        <w:autoSpaceDN w:val="0"/>
        <w:spacing w:line="360" w:lineRule="auto"/>
        <w:ind w:left="2"/>
        <w:jc w:val="left"/>
        <w:rPr>
          <w:rFonts w:ascii="仿宋" w:hAnsi="仿宋" w:eastAsia="仿宋" w:cs="仿宋"/>
          <w:kern w:val="0"/>
          <w:sz w:val="24"/>
          <w:highlight w:val="none"/>
          <w:lang w:val="zh-CN"/>
        </w:rPr>
      </w:pPr>
    </w:p>
    <w:p w14:paraId="45A874F2">
      <w:pPr>
        <w:autoSpaceDE w:val="0"/>
        <w:autoSpaceDN w:val="0"/>
        <w:spacing w:line="360" w:lineRule="auto"/>
        <w:ind w:left="2"/>
        <w:jc w:val="left"/>
        <w:rPr>
          <w:rFonts w:ascii="仿宋" w:hAnsi="仿宋" w:eastAsia="仿宋" w:cs="仿宋"/>
          <w:kern w:val="0"/>
          <w:sz w:val="24"/>
          <w:highlight w:val="none"/>
          <w:lang w:val="zh-CN"/>
        </w:rPr>
      </w:pPr>
    </w:p>
    <w:p w14:paraId="73CC2EB4">
      <w:pPr>
        <w:autoSpaceDE w:val="0"/>
        <w:autoSpaceDN w:val="0"/>
        <w:spacing w:line="360" w:lineRule="auto"/>
        <w:ind w:left="2" w:leftChars="1" w:right="1120" w:firstLine="4560" w:firstLineChars="19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61D6A685">
      <w:pPr>
        <w:spacing w:line="360" w:lineRule="auto"/>
        <w:ind w:left="4620" w:leftChars="2200"/>
        <w:rPr>
          <w:rFonts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61314088">
      <w:pPr>
        <w:spacing w:line="360" w:lineRule="auto"/>
        <w:jc w:val="center"/>
        <w:rPr>
          <w:rFonts w:ascii="仿宋" w:hAnsi="仿宋" w:eastAsia="仿宋" w:cs="仿宋"/>
          <w:b/>
          <w:bCs/>
          <w:sz w:val="24"/>
          <w:highlight w:val="none"/>
        </w:rPr>
      </w:pPr>
    </w:p>
    <w:p w14:paraId="7F1E70F6">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14:paraId="726E2B7E">
      <w:pPr>
        <w:spacing w:line="360" w:lineRule="auto"/>
        <w:jc w:val="center"/>
        <w:rPr>
          <w:rFonts w:ascii="仿宋" w:hAnsi="仿宋" w:eastAsia="仿宋" w:cs="仿宋"/>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FD1A991">
      <w:pPr>
        <w:spacing w:line="360" w:lineRule="auto"/>
        <w:jc w:val="center"/>
        <w:outlineLvl w:val="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40F3784C">
      <w:pPr>
        <w:spacing w:line="360" w:lineRule="auto"/>
        <w:jc w:val="center"/>
        <w:outlineLvl w:val="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327AEF4C">
      <w:pPr>
        <w:spacing w:line="360" w:lineRule="auto"/>
        <w:jc w:val="center"/>
        <w:outlineLvl w:val="0"/>
        <w:rPr>
          <w:rFonts w:ascii="仿宋" w:hAnsi="仿宋" w:eastAsia="仿宋" w:cs="仿宋"/>
          <w:b/>
          <w:kern w:val="0"/>
          <w:sz w:val="36"/>
          <w:szCs w:val="36"/>
          <w:highlight w:val="none"/>
        </w:rPr>
      </w:pPr>
    </w:p>
    <w:p w14:paraId="2A4F3478">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（1）开标一览表（报价表）………………………………………………………（页码）</w:t>
      </w:r>
    </w:p>
    <w:p w14:paraId="30BDDEAD">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（2）报价情况说明…………………………………………………………………（页码）</w:t>
      </w:r>
    </w:p>
    <w:p w14:paraId="19BAB1DF">
      <w:pPr>
        <w:snapToGrid w:val="0"/>
        <w:spacing w:line="360" w:lineRule="auto"/>
        <w:ind w:right="480"/>
        <w:jc w:val="center"/>
        <w:rPr>
          <w:rFonts w:ascii="仿宋" w:hAnsi="仿宋" w:eastAsia="仿宋" w:cs="仿宋"/>
          <w:b/>
          <w:kern w:val="0"/>
          <w:sz w:val="32"/>
          <w:szCs w:val="32"/>
          <w:highlight w:val="none"/>
        </w:rPr>
      </w:pPr>
    </w:p>
    <w:p w14:paraId="3331FC19">
      <w:pPr>
        <w:snapToGrid w:val="0"/>
        <w:spacing w:line="360" w:lineRule="auto"/>
        <w:ind w:right="480"/>
        <w:jc w:val="center"/>
        <w:rPr>
          <w:rFonts w:ascii="仿宋" w:hAnsi="仿宋" w:eastAsia="仿宋" w:cs="仿宋"/>
          <w:b/>
          <w:kern w:val="0"/>
          <w:sz w:val="32"/>
          <w:szCs w:val="32"/>
          <w:highlight w:val="none"/>
        </w:rPr>
      </w:pPr>
    </w:p>
    <w:p w14:paraId="2B302813">
      <w:pPr>
        <w:snapToGrid w:val="0"/>
        <w:spacing w:line="360" w:lineRule="auto"/>
        <w:ind w:right="480"/>
        <w:jc w:val="center"/>
        <w:rPr>
          <w:rFonts w:ascii="仿宋" w:hAnsi="仿宋" w:eastAsia="仿宋" w:cs="仿宋"/>
          <w:b/>
          <w:kern w:val="0"/>
          <w:sz w:val="32"/>
          <w:szCs w:val="32"/>
          <w:highlight w:val="none"/>
        </w:rPr>
      </w:pPr>
    </w:p>
    <w:p w14:paraId="2A633007">
      <w:pPr>
        <w:snapToGrid w:val="0"/>
        <w:spacing w:line="360" w:lineRule="auto"/>
        <w:ind w:right="480"/>
        <w:jc w:val="center"/>
        <w:rPr>
          <w:rFonts w:ascii="仿宋" w:hAnsi="仿宋" w:eastAsia="仿宋" w:cs="仿宋"/>
          <w:b/>
          <w:kern w:val="0"/>
          <w:sz w:val="32"/>
          <w:szCs w:val="32"/>
          <w:highlight w:val="none"/>
        </w:rPr>
      </w:pPr>
    </w:p>
    <w:p w14:paraId="621BDCAB">
      <w:pPr>
        <w:snapToGrid w:val="0"/>
        <w:spacing w:line="360" w:lineRule="auto"/>
        <w:ind w:right="480"/>
        <w:jc w:val="center"/>
        <w:rPr>
          <w:rFonts w:ascii="仿宋" w:hAnsi="仿宋" w:eastAsia="仿宋" w:cs="仿宋"/>
          <w:b/>
          <w:kern w:val="0"/>
          <w:sz w:val="32"/>
          <w:szCs w:val="32"/>
          <w:highlight w:val="none"/>
        </w:rPr>
      </w:pPr>
    </w:p>
    <w:p w14:paraId="12983872">
      <w:pPr>
        <w:snapToGrid w:val="0"/>
        <w:spacing w:line="360" w:lineRule="auto"/>
        <w:ind w:right="480"/>
        <w:jc w:val="center"/>
        <w:rPr>
          <w:rFonts w:ascii="仿宋" w:hAnsi="仿宋" w:eastAsia="仿宋" w:cs="仿宋"/>
          <w:b/>
          <w:kern w:val="0"/>
          <w:sz w:val="32"/>
          <w:szCs w:val="32"/>
          <w:highlight w:val="none"/>
        </w:rPr>
      </w:pPr>
    </w:p>
    <w:p w14:paraId="0EF41614">
      <w:pPr>
        <w:snapToGrid w:val="0"/>
        <w:spacing w:line="360" w:lineRule="auto"/>
        <w:ind w:right="480"/>
        <w:jc w:val="center"/>
        <w:rPr>
          <w:rFonts w:ascii="仿宋" w:hAnsi="仿宋" w:eastAsia="仿宋" w:cs="仿宋"/>
          <w:b/>
          <w:kern w:val="0"/>
          <w:sz w:val="32"/>
          <w:szCs w:val="32"/>
          <w:highlight w:val="none"/>
        </w:rPr>
      </w:pPr>
    </w:p>
    <w:p w14:paraId="7E56093A">
      <w:pPr>
        <w:snapToGrid w:val="0"/>
        <w:spacing w:line="360" w:lineRule="auto"/>
        <w:ind w:right="480"/>
        <w:jc w:val="center"/>
        <w:rPr>
          <w:rFonts w:ascii="仿宋" w:hAnsi="仿宋" w:eastAsia="仿宋" w:cs="仿宋"/>
          <w:b/>
          <w:kern w:val="0"/>
          <w:sz w:val="32"/>
          <w:szCs w:val="32"/>
          <w:highlight w:val="none"/>
        </w:rPr>
      </w:pPr>
    </w:p>
    <w:p w14:paraId="3E071375">
      <w:pPr>
        <w:snapToGrid w:val="0"/>
        <w:spacing w:line="360" w:lineRule="auto"/>
        <w:ind w:right="480"/>
        <w:jc w:val="center"/>
        <w:rPr>
          <w:rFonts w:ascii="仿宋" w:hAnsi="仿宋" w:eastAsia="仿宋" w:cs="仿宋"/>
          <w:b/>
          <w:kern w:val="0"/>
          <w:sz w:val="32"/>
          <w:szCs w:val="32"/>
          <w:highlight w:val="none"/>
        </w:rPr>
      </w:pPr>
    </w:p>
    <w:p w14:paraId="11566378">
      <w:pPr>
        <w:snapToGrid w:val="0"/>
        <w:spacing w:line="360" w:lineRule="auto"/>
        <w:ind w:right="480"/>
        <w:jc w:val="center"/>
        <w:rPr>
          <w:rFonts w:ascii="仿宋" w:hAnsi="仿宋" w:eastAsia="仿宋" w:cs="仿宋"/>
          <w:b/>
          <w:kern w:val="0"/>
          <w:sz w:val="32"/>
          <w:szCs w:val="32"/>
          <w:highlight w:val="none"/>
        </w:rPr>
      </w:pPr>
    </w:p>
    <w:p w14:paraId="3B1CDAD1">
      <w:pPr>
        <w:snapToGrid w:val="0"/>
        <w:spacing w:line="360" w:lineRule="auto"/>
        <w:ind w:right="480"/>
        <w:jc w:val="center"/>
        <w:rPr>
          <w:rFonts w:ascii="仿宋" w:hAnsi="仿宋" w:eastAsia="仿宋" w:cs="仿宋"/>
          <w:b/>
          <w:kern w:val="0"/>
          <w:sz w:val="32"/>
          <w:szCs w:val="32"/>
          <w:highlight w:val="none"/>
        </w:rPr>
      </w:pPr>
    </w:p>
    <w:p w14:paraId="691707CE">
      <w:pPr>
        <w:snapToGrid w:val="0"/>
        <w:spacing w:line="360" w:lineRule="auto"/>
        <w:ind w:right="480"/>
        <w:jc w:val="center"/>
        <w:rPr>
          <w:rFonts w:ascii="仿宋" w:hAnsi="仿宋" w:eastAsia="仿宋" w:cs="仿宋"/>
          <w:b/>
          <w:kern w:val="0"/>
          <w:sz w:val="32"/>
          <w:szCs w:val="32"/>
          <w:highlight w:val="none"/>
        </w:rPr>
      </w:pPr>
    </w:p>
    <w:p w14:paraId="72583DC0">
      <w:pPr>
        <w:snapToGrid w:val="0"/>
        <w:spacing w:line="360" w:lineRule="auto"/>
        <w:ind w:right="480"/>
        <w:jc w:val="center"/>
        <w:rPr>
          <w:rFonts w:ascii="仿宋" w:hAnsi="仿宋" w:eastAsia="仿宋" w:cs="仿宋"/>
          <w:b/>
          <w:kern w:val="0"/>
          <w:sz w:val="32"/>
          <w:szCs w:val="32"/>
          <w:highlight w:val="none"/>
        </w:rPr>
      </w:pPr>
    </w:p>
    <w:p w14:paraId="28E96F28">
      <w:pPr>
        <w:snapToGrid w:val="0"/>
        <w:spacing w:line="360" w:lineRule="auto"/>
        <w:ind w:right="480"/>
        <w:jc w:val="center"/>
        <w:rPr>
          <w:rFonts w:ascii="仿宋" w:hAnsi="仿宋" w:eastAsia="仿宋" w:cs="仿宋"/>
          <w:b/>
          <w:kern w:val="0"/>
          <w:sz w:val="32"/>
          <w:szCs w:val="32"/>
          <w:highlight w:val="none"/>
        </w:rPr>
      </w:pPr>
    </w:p>
    <w:p w14:paraId="30920E87">
      <w:pPr>
        <w:snapToGrid w:val="0"/>
        <w:spacing w:line="360" w:lineRule="auto"/>
        <w:ind w:right="480"/>
        <w:jc w:val="center"/>
        <w:rPr>
          <w:rFonts w:ascii="仿宋" w:hAnsi="仿宋" w:eastAsia="仿宋" w:cs="仿宋"/>
          <w:b/>
          <w:kern w:val="0"/>
          <w:sz w:val="32"/>
          <w:szCs w:val="32"/>
          <w:highlight w:val="none"/>
        </w:rPr>
      </w:pPr>
    </w:p>
    <w:p w14:paraId="1BAC1280">
      <w:pPr>
        <w:pStyle w:val="627"/>
        <w:keepNext w:val="0"/>
        <w:pageBreakBefore w:val="0"/>
        <w:tabs>
          <w:tab w:val="clear" w:pos="720"/>
        </w:tabs>
        <w:snapToGrid w:val="0"/>
        <w:spacing w:before="120" w:after="120"/>
        <w:ind w:firstLine="643"/>
        <w:outlineLvl w:val="9"/>
        <w:rPr>
          <w:rFonts w:ascii="仿宋" w:hAnsi="仿宋" w:eastAsia="仿宋" w:cs="仿宋"/>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2BC0352">
      <w:pPr>
        <w:pStyle w:val="627"/>
        <w:keepNext w:val="0"/>
        <w:pageBreakBefore w:val="0"/>
        <w:tabs>
          <w:tab w:val="clear" w:pos="720"/>
        </w:tabs>
        <w:snapToGrid w:val="0"/>
        <w:spacing w:before="120" w:after="120"/>
        <w:ind w:firstLine="643"/>
        <w:outlineLvl w:val="9"/>
        <w:rPr>
          <w:rFonts w:ascii="仿宋" w:hAnsi="仿宋" w:eastAsia="仿宋" w:cs="仿宋"/>
          <w:kern w:val="2"/>
          <w:sz w:val="32"/>
          <w:szCs w:val="32"/>
          <w:highlight w:val="none"/>
        </w:rPr>
      </w:pPr>
      <w:r>
        <w:rPr>
          <w:rFonts w:hint="eastAsia" w:ascii="仿宋" w:hAnsi="仿宋" w:eastAsia="仿宋" w:cs="仿宋"/>
          <w:kern w:val="2"/>
          <w:sz w:val="32"/>
          <w:szCs w:val="32"/>
          <w:highlight w:val="none"/>
        </w:rPr>
        <w:t>一、开标一览表（报价表）</w:t>
      </w:r>
    </w:p>
    <w:p w14:paraId="4394DD43">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杭州市公安局交通警察支队、浙江信达咨询监理有限公司</w:t>
      </w:r>
      <w:r>
        <w:rPr>
          <w:rFonts w:hint="eastAsia" w:ascii="仿宋" w:hAnsi="仿宋" w:eastAsia="仿宋" w:cs="仿宋"/>
          <w:kern w:val="0"/>
          <w:sz w:val="24"/>
          <w:highlight w:val="none"/>
          <w:lang w:val="zh-CN"/>
        </w:rPr>
        <w:t>：</w:t>
      </w:r>
    </w:p>
    <w:p w14:paraId="1536CAF3">
      <w:pPr>
        <w:snapToGrid w:val="0"/>
        <w:spacing w:line="360" w:lineRule="auto"/>
        <w:ind w:firstLine="482"/>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highlight w:val="none"/>
        </w:rPr>
        <w:t>2025年杭州交警业务系统租赁使用服务-2025年5G便携式视音频设备使用项目</w:t>
      </w:r>
      <w:r>
        <w:rPr>
          <w:rFonts w:hint="eastAsia" w:ascii="仿宋" w:hAnsi="仿宋" w:eastAsia="仿宋" w:cs="仿宋"/>
          <w:kern w:val="0"/>
          <w:sz w:val="24"/>
          <w:highlight w:val="none"/>
          <w:lang w:val="zh-CN"/>
        </w:rPr>
        <w:t>【招标编号：</w:t>
      </w:r>
      <w:r>
        <w:rPr>
          <w:rFonts w:hint="eastAsia" w:ascii="仿宋" w:hAnsi="仿宋" w:eastAsia="仿宋" w:cs="仿宋"/>
          <w:sz w:val="24"/>
          <w:highlight w:val="none"/>
        </w:rPr>
        <w:t>HZSGAJ-2025-17（代)】的实施</w:t>
      </w:r>
      <w:r>
        <w:rPr>
          <w:rFonts w:hint="eastAsia" w:ascii="仿宋" w:hAnsi="仿宋" w:eastAsia="仿宋" w:cs="仿宋"/>
          <w:kern w:val="0"/>
          <w:sz w:val="24"/>
          <w:highlight w:val="none"/>
          <w:lang w:val="zh-CN"/>
        </w:rPr>
        <w:t>。</w:t>
      </w:r>
    </w:p>
    <w:p w14:paraId="43EAC4AD">
      <w:pPr>
        <w:spacing w:line="360" w:lineRule="auto"/>
        <w:jc w:val="center"/>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开标一览表（报价表）(单位均为人民币元)</w:t>
      </w:r>
    </w:p>
    <w:tbl>
      <w:tblPr>
        <w:tblStyle w:val="62"/>
        <w:tblW w:w="14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3937"/>
        <w:gridCol w:w="751"/>
        <w:gridCol w:w="753"/>
        <w:gridCol w:w="903"/>
        <w:gridCol w:w="1572"/>
        <w:gridCol w:w="1606"/>
        <w:gridCol w:w="2299"/>
        <w:gridCol w:w="903"/>
        <w:gridCol w:w="1061"/>
      </w:tblGrid>
      <w:tr w14:paraId="081E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vAlign w:val="center"/>
          </w:tcPr>
          <w:p w14:paraId="7016617E">
            <w:pPr>
              <w:widowControl/>
              <w:adjustRightInd/>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序号</w:t>
            </w:r>
          </w:p>
        </w:tc>
        <w:tc>
          <w:tcPr>
            <w:tcW w:w="3709" w:type="dxa"/>
            <w:tcBorders>
              <w:top w:val="single" w:color="auto" w:sz="4" w:space="0"/>
              <w:left w:val="single" w:color="auto" w:sz="4" w:space="0"/>
              <w:bottom w:val="single" w:color="auto" w:sz="4" w:space="0"/>
              <w:right w:val="single" w:color="auto" w:sz="4" w:space="0"/>
            </w:tcBorders>
            <w:vAlign w:val="center"/>
          </w:tcPr>
          <w:p w14:paraId="06380AE6">
            <w:pPr>
              <w:widowControl/>
              <w:adjustRightInd/>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设备名称</w:t>
            </w:r>
          </w:p>
        </w:tc>
        <w:tc>
          <w:tcPr>
            <w:tcW w:w="708" w:type="dxa"/>
            <w:tcBorders>
              <w:top w:val="single" w:color="auto" w:sz="4" w:space="0"/>
              <w:left w:val="single" w:color="auto" w:sz="4" w:space="0"/>
              <w:bottom w:val="single" w:color="auto" w:sz="4" w:space="0"/>
              <w:right w:val="single" w:color="auto" w:sz="4" w:space="0"/>
            </w:tcBorders>
            <w:vAlign w:val="center"/>
          </w:tcPr>
          <w:p w14:paraId="60FB427E">
            <w:pPr>
              <w:widowControl/>
              <w:jc w:val="center"/>
              <w:rPr>
                <w:rFonts w:ascii="仿宋" w:hAnsi="仿宋" w:eastAsia="仿宋" w:cs="仿宋"/>
                <w:b/>
                <w:bCs/>
                <w:kern w:val="0"/>
                <w:sz w:val="24"/>
                <w:highlight w:val="none"/>
              </w:rPr>
            </w:pPr>
            <w:r>
              <w:rPr>
                <w:rFonts w:hint="eastAsia" w:ascii="仿宋" w:hAnsi="仿宋" w:eastAsia="仿宋" w:cs="仿宋"/>
                <w:b/>
                <w:bCs/>
                <w:snapToGrid w:val="0"/>
                <w:sz w:val="24"/>
                <w:highlight w:val="none"/>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1E66EDB2">
            <w:pPr>
              <w:widowControl/>
              <w:adjustRightInd/>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0CB26936">
            <w:pPr>
              <w:widowControl/>
              <w:jc w:val="center"/>
              <w:rPr>
                <w:rFonts w:ascii="仿宋" w:hAnsi="仿宋" w:eastAsia="仿宋" w:cs="仿宋"/>
                <w:b/>
                <w:bCs/>
                <w:kern w:val="0"/>
                <w:sz w:val="24"/>
                <w:highlight w:val="none"/>
              </w:rPr>
            </w:pPr>
            <w:r>
              <w:rPr>
                <w:rFonts w:hint="eastAsia" w:ascii="仿宋" w:hAnsi="仿宋" w:eastAsia="仿宋" w:cs="仿宋"/>
                <w:b/>
                <w:bCs/>
                <w:snapToGrid w:val="0"/>
                <w:sz w:val="24"/>
                <w:highlight w:val="none"/>
              </w:rPr>
              <w:t>月数</w:t>
            </w:r>
          </w:p>
        </w:tc>
        <w:tc>
          <w:tcPr>
            <w:tcW w:w="1481" w:type="dxa"/>
            <w:tcBorders>
              <w:top w:val="single" w:color="auto" w:sz="4" w:space="0"/>
              <w:left w:val="single" w:color="auto" w:sz="4" w:space="0"/>
              <w:bottom w:val="single" w:color="auto" w:sz="4" w:space="0"/>
              <w:right w:val="single" w:color="auto" w:sz="4" w:space="0"/>
            </w:tcBorders>
            <w:vAlign w:val="center"/>
          </w:tcPr>
          <w:p w14:paraId="0C69DBE1">
            <w:pPr>
              <w:widowControl/>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品</w:t>
            </w:r>
            <w:r>
              <w:rPr>
                <w:rFonts w:hint="eastAsia" w:ascii="仿宋" w:hAnsi="仿宋" w:eastAsia="仿宋" w:cs="仿宋"/>
                <w:b/>
                <w:bCs/>
                <w:snapToGrid w:val="0"/>
                <w:sz w:val="24"/>
                <w:highlight w:val="none"/>
              </w:rPr>
              <w:t>牌、型号</w:t>
            </w:r>
          </w:p>
        </w:tc>
        <w:tc>
          <w:tcPr>
            <w:tcW w:w="1513" w:type="dxa"/>
            <w:tcBorders>
              <w:top w:val="single" w:color="auto" w:sz="4" w:space="0"/>
              <w:left w:val="single" w:color="auto" w:sz="4" w:space="0"/>
              <w:bottom w:val="single" w:color="auto" w:sz="4" w:space="0"/>
              <w:right w:val="single" w:color="auto" w:sz="4" w:space="0"/>
            </w:tcBorders>
            <w:vAlign w:val="center"/>
          </w:tcPr>
          <w:p w14:paraId="3863D71F">
            <w:pPr>
              <w:widowControl/>
              <w:jc w:val="center"/>
              <w:rPr>
                <w:rFonts w:ascii="仿宋" w:hAnsi="仿宋" w:eastAsia="仿宋" w:cs="仿宋"/>
                <w:b/>
                <w:bCs/>
                <w:kern w:val="0"/>
                <w:sz w:val="24"/>
                <w:highlight w:val="none"/>
              </w:rPr>
            </w:pPr>
            <w:r>
              <w:rPr>
                <w:rFonts w:hint="eastAsia" w:ascii="仿宋" w:hAnsi="仿宋" w:eastAsia="仿宋" w:cs="仿宋"/>
                <w:b/>
                <w:bCs/>
                <w:snapToGrid w:val="0"/>
                <w:sz w:val="24"/>
                <w:highlight w:val="none"/>
              </w:rPr>
              <w:t>规格配置</w:t>
            </w:r>
          </w:p>
        </w:tc>
        <w:tc>
          <w:tcPr>
            <w:tcW w:w="2166" w:type="dxa"/>
            <w:tcBorders>
              <w:top w:val="single" w:color="auto" w:sz="4" w:space="0"/>
              <w:left w:val="single" w:color="auto" w:sz="4" w:space="0"/>
              <w:bottom w:val="single" w:color="auto" w:sz="4" w:space="0"/>
              <w:right w:val="single" w:color="auto" w:sz="4" w:space="0"/>
            </w:tcBorders>
            <w:vAlign w:val="center"/>
          </w:tcPr>
          <w:p w14:paraId="4043B2A7">
            <w:pPr>
              <w:widowControl/>
              <w:jc w:val="center"/>
              <w:rPr>
                <w:rFonts w:ascii="仿宋" w:hAnsi="仿宋" w:eastAsia="仿宋" w:cs="仿宋"/>
                <w:b/>
                <w:bCs/>
                <w:sz w:val="24"/>
                <w:highlight w:val="none"/>
              </w:rPr>
            </w:pPr>
            <w:r>
              <w:rPr>
                <w:rFonts w:hint="eastAsia" w:ascii="仿宋" w:hAnsi="仿宋" w:eastAsia="仿宋" w:cs="仿宋"/>
                <w:b/>
                <w:bCs/>
                <w:kern w:val="0"/>
                <w:sz w:val="24"/>
                <w:highlight w:val="none"/>
              </w:rPr>
              <w:t>单价</w:t>
            </w:r>
          </w:p>
          <w:p w14:paraId="25AB4356">
            <w:pPr>
              <w:widowControl/>
              <w:adjustRightInd/>
              <w:jc w:val="center"/>
              <w:rPr>
                <w:rFonts w:ascii="仿宋" w:hAnsi="仿宋" w:eastAsia="仿宋" w:cs="仿宋"/>
                <w:b/>
                <w:bCs/>
                <w:kern w:val="0"/>
                <w:sz w:val="24"/>
                <w:highlight w:val="none"/>
              </w:rPr>
            </w:pPr>
            <w:r>
              <w:rPr>
                <w:rFonts w:hint="eastAsia" w:ascii="仿宋" w:hAnsi="仿宋" w:eastAsia="仿宋" w:cs="仿宋"/>
                <w:b/>
                <w:bCs/>
                <w:snapToGrid w:val="0"/>
                <w:sz w:val="24"/>
                <w:highlight w:val="none"/>
              </w:rPr>
              <w:t>[元/月/台（套、个）]</w:t>
            </w:r>
          </w:p>
        </w:tc>
        <w:tc>
          <w:tcPr>
            <w:tcW w:w="851" w:type="dxa"/>
            <w:tcBorders>
              <w:top w:val="single" w:color="auto" w:sz="4" w:space="0"/>
              <w:left w:val="single" w:color="auto" w:sz="4" w:space="0"/>
              <w:bottom w:val="single" w:color="auto" w:sz="4" w:space="0"/>
              <w:right w:val="single" w:color="auto" w:sz="4" w:space="0"/>
            </w:tcBorders>
            <w:vAlign w:val="center"/>
          </w:tcPr>
          <w:p w14:paraId="73AD320A">
            <w:pPr>
              <w:jc w:val="center"/>
              <w:rPr>
                <w:rFonts w:ascii="仿宋" w:hAnsi="仿宋" w:eastAsia="仿宋" w:cs="仿宋"/>
                <w:b/>
                <w:bCs/>
                <w:snapToGrid w:val="0"/>
                <w:sz w:val="24"/>
                <w:highlight w:val="none"/>
              </w:rPr>
            </w:pPr>
            <w:r>
              <w:rPr>
                <w:rFonts w:hint="eastAsia" w:ascii="仿宋" w:hAnsi="仿宋" w:eastAsia="仿宋" w:cs="仿宋"/>
                <w:b/>
                <w:bCs/>
                <w:snapToGrid w:val="0"/>
                <w:sz w:val="24"/>
                <w:highlight w:val="none"/>
              </w:rPr>
              <w:t>合价（元）</w:t>
            </w:r>
          </w:p>
        </w:tc>
        <w:tc>
          <w:tcPr>
            <w:tcW w:w="1000" w:type="dxa"/>
            <w:tcBorders>
              <w:top w:val="single" w:color="auto" w:sz="4" w:space="0"/>
              <w:left w:val="single" w:color="auto" w:sz="4" w:space="0"/>
              <w:bottom w:val="single" w:color="auto" w:sz="4" w:space="0"/>
              <w:right w:val="single" w:color="auto" w:sz="4" w:space="0"/>
            </w:tcBorders>
            <w:vAlign w:val="center"/>
          </w:tcPr>
          <w:p w14:paraId="51E8D06C">
            <w:pPr>
              <w:jc w:val="center"/>
              <w:rPr>
                <w:rFonts w:ascii="仿宋" w:hAnsi="仿宋" w:eastAsia="仿宋" w:cs="仿宋"/>
                <w:b/>
                <w:bCs/>
                <w:snapToGrid w:val="0"/>
                <w:sz w:val="24"/>
                <w:highlight w:val="none"/>
              </w:rPr>
            </w:pPr>
            <w:r>
              <w:rPr>
                <w:rFonts w:hint="eastAsia" w:ascii="仿宋" w:hAnsi="仿宋" w:eastAsia="仿宋" w:cs="仿宋"/>
                <w:b/>
                <w:bCs/>
                <w:snapToGrid w:val="0"/>
                <w:sz w:val="24"/>
                <w:highlight w:val="none"/>
              </w:rPr>
              <w:t>备注</w:t>
            </w:r>
          </w:p>
        </w:tc>
      </w:tr>
      <w:tr w14:paraId="491F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5713CF5">
            <w:pPr>
              <w:spacing w:line="360" w:lineRule="auto"/>
              <w:jc w:val="center"/>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1</w:t>
            </w:r>
          </w:p>
        </w:tc>
        <w:tc>
          <w:tcPr>
            <w:tcW w:w="3709" w:type="dxa"/>
            <w:tcBorders>
              <w:top w:val="single" w:color="auto" w:sz="4" w:space="0"/>
              <w:left w:val="single" w:color="auto" w:sz="4" w:space="0"/>
              <w:bottom w:val="single" w:color="auto" w:sz="4" w:space="0"/>
              <w:right w:val="single" w:color="auto" w:sz="4" w:space="0"/>
            </w:tcBorders>
            <w:vAlign w:val="center"/>
          </w:tcPr>
          <w:p w14:paraId="3A686DFA">
            <w:pPr>
              <w:spacing w:line="360" w:lineRule="auto"/>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5G便携式视音频设备</w:t>
            </w:r>
          </w:p>
        </w:tc>
        <w:tc>
          <w:tcPr>
            <w:tcW w:w="708" w:type="dxa"/>
            <w:tcBorders>
              <w:top w:val="single" w:color="auto" w:sz="4" w:space="0"/>
              <w:left w:val="single" w:color="auto" w:sz="4" w:space="0"/>
              <w:bottom w:val="single" w:color="auto" w:sz="4" w:space="0"/>
              <w:right w:val="single" w:color="auto" w:sz="4" w:space="0"/>
            </w:tcBorders>
            <w:vAlign w:val="center"/>
          </w:tcPr>
          <w:p w14:paraId="21C36453">
            <w:pPr>
              <w:spacing w:line="360" w:lineRule="auto"/>
              <w:jc w:val="center"/>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台</w:t>
            </w:r>
          </w:p>
        </w:tc>
        <w:tc>
          <w:tcPr>
            <w:tcW w:w="709" w:type="dxa"/>
            <w:tcBorders>
              <w:top w:val="single" w:color="auto" w:sz="4" w:space="0"/>
              <w:left w:val="single" w:color="auto" w:sz="4" w:space="0"/>
              <w:bottom w:val="single" w:color="auto" w:sz="4" w:space="0"/>
              <w:right w:val="single" w:color="auto" w:sz="4" w:space="0"/>
            </w:tcBorders>
            <w:vAlign w:val="center"/>
          </w:tcPr>
          <w:p w14:paraId="608ED555">
            <w:pPr>
              <w:spacing w:line="360" w:lineRule="auto"/>
              <w:jc w:val="center"/>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1800</w:t>
            </w:r>
          </w:p>
        </w:tc>
        <w:tc>
          <w:tcPr>
            <w:tcW w:w="851" w:type="dxa"/>
            <w:tcBorders>
              <w:top w:val="single" w:color="auto" w:sz="4" w:space="0"/>
              <w:left w:val="single" w:color="auto" w:sz="4" w:space="0"/>
              <w:bottom w:val="single" w:color="auto" w:sz="4" w:space="0"/>
              <w:right w:val="single" w:color="auto" w:sz="4" w:space="0"/>
            </w:tcBorders>
            <w:vAlign w:val="center"/>
          </w:tcPr>
          <w:p w14:paraId="42B03F99">
            <w:pPr>
              <w:widowControl/>
              <w:jc w:val="center"/>
              <w:rPr>
                <w:rFonts w:ascii="仿宋" w:hAnsi="仿宋" w:eastAsia="仿宋" w:cs="仿宋"/>
                <w:kern w:val="0"/>
                <w:sz w:val="24"/>
                <w:highlight w:val="none"/>
              </w:rPr>
            </w:pPr>
            <w:r>
              <w:rPr>
                <w:rFonts w:hint="eastAsia" w:ascii="仿宋" w:hAnsi="仿宋" w:eastAsia="仿宋" w:cs="仿宋"/>
                <w:sz w:val="24"/>
                <w:highlight w:val="none"/>
              </w:rPr>
              <w:t>12</w:t>
            </w:r>
          </w:p>
        </w:tc>
        <w:tc>
          <w:tcPr>
            <w:tcW w:w="1481" w:type="dxa"/>
            <w:tcBorders>
              <w:top w:val="single" w:color="auto" w:sz="4" w:space="0"/>
              <w:left w:val="single" w:color="auto" w:sz="4" w:space="0"/>
              <w:bottom w:val="single" w:color="auto" w:sz="4" w:space="0"/>
              <w:right w:val="single" w:color="auto" w:sz="4" w:space="0"/>
            </w:tcBorders>
          </w:tcPr>
          <w:p w14:paraId="3CCE0B66">
            <w:pPr>
              <w:widowControl/>
              <w:adjustRightInd/>
              <w:jc w:val="center"/>
              <w:rPr>
                <w:rFonts w:ascii="仿宋" w:hAnsi="仿宋" w:eastAsia="仿宋" w:cs="仿宋"/>
                <w:kern w:val="0"/>
                <w:sz w:val="24"/>
                <w:highlight w:val="none"/>
              </w:rPr>
            </w:pPr>
          </w:p>
        </w:tc>
        <w:tc>
          <w:tcPr>
            <w:tcW w:w="1513" w:type="dxa"/>
            <w:tcBorders>
              <w:top w:val="single" w:color="auto" w:sz="4" w:space="0"/>
              <w:left w:val="single" w:color="auto" w:sz="4" w:space="0"/>
              <w:bottom w:val="single" w:color="auto" w:sz="4" w:space="0"/>
              <w:right w:val="single" w:color="auto" w:sz="4" w:space="0"/>
            </w:tcBorders>
          </w:tcPr>
          <w:p w14:paraId="3A1FA08D">
            <w:pPr>
              <w:widowControl/>
              <w:adjustRightInd/>
              <w:jc w:val="center"/>
              <w:rPr>
                <w:rFonts w:ascii="仿宋" w:hAnsi="仿宋" w:eastAsia="仿宋" w:cs="仿宋"/>
                <w:kern w:val="0"/>
                <w:sz w:val="24"/>
                <w:highlight w:val="none"/>
              </w:rPr>
            </w:pPr>
          </w:p>
        </w:tc>
        <w:tc>
          <w:tcPr>
            <w:tcW w:w="2166" w:type="dxa"/>
            <w:tcBorders>
              <w:top w:val="single" w:color="auto" w:sz="4" w:space="0"/>
              <w:left w:val="single" w:color="auto" w:sz="4" w:space="0"/>
              <w:bottom w:val="single" w:color="auto" w:sz="4" w:space="0"/>
              <w:right w:val="single" w:color="auto" w:sz="4" w:space="0"/>
            </w:tcBorders>
            <w:vAlign w:val="center"/>
          </w:tcPr>
          <w:p w14:paraId="65A61CBE">
            <w:pPr>
              <w:widowControl/>
              <w:adjustRightInd/>
              <w:jc w:val="center"/>
              <w:rPr>
                <w:rFonts w:ascii="仿宋" w:hAnsi="仿宋" w:eastAsia="仿宋" w:cs="仿宋"/>
                <w:kern w:val="0"/>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1808931">
            <w:pPr>
              <w:widowControl/>
              <w:adjustRightInd/>
              <w:jc w:val="center"/>
              <w:rPr>
                <w:rFonts w:ascii="仿宋" w:hAnsi="仿宋" w:eastAsia="仿宋" w:cs="仿宋"/>
                <w:kern w:val="0"/>
                <w:sz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7CB654E4">
            <w:pPr>
              <w:widowControl/>
              <w:adjustRightInd/>
              <w:jc w:val="center"/>
              <w:rPr>
                <w:rFonts w:ascii="仿宋" w:hAnsi="仿宋" w:eastAsia="仿宋" w:cs="仿宋"/>
                <w:kern w:val="0"/>
                <w:sz w:val="24"/>
                <w:highlight w:val="none"/>
              </w:rPr>
            </w:pPr>
          </w:p>
        </w:tc>
      </w:tr>
      <w:tr w14:paraId="5948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B15697F">
            <w:pPr>
              <w:spacing w:line="360" w:lineRule="auto"/>
              <w:jc w:val="center"/>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2</w:t>
            </w:r>
          </w:p>
        </w:tc>
        <w:tc>
          <w:tcPr>
            <w:tcW w:w="3709" w:type="dxa"/>
            <w:tcBorders>
              <w:top w:val="single" w:color="auto" w:sz="4" w:space="0"/>
              <w:left w:val="single" w:color="auto" w:sz="4" w:space="0"/>
              <w:bottom w:val="single" w:color="auto" w:sz="4" w:space="0"/>
              <w:right w:val="single" w:color="auto" w:sz="4" w:space="0"/>
            </w:tcBorders>
            <w:vAlign w:val="center"/>
          </w:tcPr>
          <w:p w14:paraId="7AC60008">
            <w:pPr>
              <w:spacing w:line="360" w:lineRule="auto"/>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国产化采集站</w:t>
            </w:r>
          </w:p>
        </w:tc>
        <w:tc>
          <w:tcPr>
            <w:tcW w:w="708" w:type="dxa"/>
            <w:tcBorders>
              <w:top w:val="single" w:color="auto" w:sz="4" w:space="0"/>
              <w:left w:val="single" w:color="auto" w:sz="4" w:space="0"/>
              <w:bottom w:val="single" w:color="auto" w:sz="4" w:space="0"/>
              <w:right w:val="single" w:color="auto" w:sz="4" w:space="0"/>
            </w:tcBorders>
            <w:vAlign w:val="center"/>
          </w:tcPr>
          <w:p w14:paraId="0AD8019A">
            <w:pPr>
              <w:spacing w:line="360" w:lineRule="auto"/>
              <w:jc w:val="center"/>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台</w:t>
            </w:r>
          </w:p>
        </w:tc>
        <w:tc>
          <w:tcPr>
            <w:tcW w:w="709" w:type="dxa"/>
            <w:tcBorders>
              <w:top w:val="single" w:color="auto" w:sz="4" w:space="0"/>
              <w:left w:val="single" w:color="auto" w:sz="4" w:space="0"/>
              <w:bottom w:val="single" w:color="auto" w:sz="4" w:space="0"/>
              <w:right w:val="single" w:color="auto" w:sz="4" w:space="0"/>
            </w:tcBorders>
            <w:vAlign w:val="center"/>
          </w:tcPr>
          <w:p w14:paraId="19CE3205">
            <w:pPr>
              <w:spacing w:line="360" w:lineRule="auto"/>
              <w:jc w:val="center"/>
              <w:rPr>
                <w:rFonts w:ascii="仿宋" w:hAnsi="仿宋" w:eastAsia="仿宋" w:cs="仿宋"/>
                <w:kern w:val="0"/>
                <w:sz w:val="24"/>
                <w:highlight w:val="none"/>
                <w:lang w:bidi="zh-CN"/>
              </w:rPr>
            </w:pPr>
            <w:r>
              <w:rPr>
                <w:rFonts w:hint="eastAsia" w:ascii="仿宋" w:hAnsi="仿宋" w:eastAsia="仿宋" w:cs="仿宋"/>
                <w:kern w:val="0"/>
                <w:sz w:val="24"/>
                <w:highlight w:val="none"/>
                <w:lang w:bidi="zh-CN"/>
              </w:rPr>
              <w:t>87</w:t>
            </w:r>
          </w:p>
        </w:tc>
        <w:tc>
          <w:tcPr>
            <w:tcW w:w="851" w:type="dxa"/>
            <w:tcBorders>
              <w:top w:val="single" w:color="auto" w:sz="4" w:space="0"/>
              <w:left w:val="single" w:color="auto" w:sz="4" w:space="0"/>
              <w:bottom w:val="single" w:color="auto" w:sz="4" w:space="0"/>
              <w:right w:val="single" w:color="auto" w:sz="4" w:space="0"/>
            </w:tcBorders>
            <w:vAlign w:val="center"/>
          </w:tcPr>
          <w:p w14:paraId="63DC41D9">
            <w:pPr>
              <w:widowControl/>
              <w:jc w:val="center"/>
              <w:rPr>
                <w:rFonts w:ascii="仿宋" w:hAnsi="仿宋" w:eastAsia="仿宋" w:cs="仿宋"/>
                <w:kern w:val="0"/>
                <w:sz w:val="24"/>
                <w:highlight w:val="none"/>
              </w:rPr>
            </w:pPr>
            <w:r>
              <w:rPr>
                <w:rFonts w:hint="eastAsia" w:ascii="仿宋" w:hAnsi="仿宋" w:eastAsia="仿宋" w:cs="仿宋"/>
                <w:sz w:val="24"/>
                <w:highlight w:val="none"/>
              </w:rPr>
              <w:t>12</w:t>
            </w:r>
          </w:p>
        </w:tc>
        <w:tc>
          <w:tcPr>
            <w:tcW w:w="1481" w:type="dxa"/>
            <w:tcBorders>
              <w:top w:val="single" w:color="auto" w:sz="4" w:space="0"/>
              <w:left w:val="single" w:color="auto" w:sz="4" w:space="0"/>
              <w:bottom w:val="single" w:color="auto" w:sz="4" w:space="0"/>
              <w:right w:val="single" w:color="auto" w:sz="4" w:space="0"/>
            </w:tcBorders>
          </w:tcPr>
          <w:p w14:paraId="2FEB35DA">
            <w:pPr>
              <w:widowControl/>
              <w:adjustRightInd/>
              <w:jc w:val="center"/>
              <w:rPr>
                <w:rFonts w:ascii="仿宋" w:hAnsi="仿宋" w:eastAsia="仿宋" w:cs="仿宋"/>
                <w:kern w:val="0"/>
                <w:sz w:val="24"/>
                <w:highlight w:val="none"/>
              </w:rPr>
            </w:pPr>
          </w:p>
        </w:tc>
        <w:tc>
          <w:tcPr>
            <w:tcW w:w="1513" w:type="dxa"/>
            <w:tcBorders>
              <w:top w:val="single" w:color="auto" w:sz="4" w:space="0"/>
              <w:left w:val="single" w:color="auto" w:sz="4" w:space="0"/>
              <w:bottom w:val="single" w:color="auto" w:sz="4" w:space="0"/>
              <w:right w:val="single" w:color="auto" w:sz="4" w:space="0"/>
            </w:tcBorders>
          </w:tcPr>
          <w:p w14:paraId="3AECB51D">
            <w:pPr>
              <w:widowControl/>
              <w:adjustRightInd/>
              <w:jc w:val="center"/>
              <w:rPr>
                <w:rFonts w:ascii="仿宋" w:hAnsi="仿宋" w:eastAsia="仿宋" w:cs="仿宋"/>
                <w:kern w:val="0"/>
                <w:sz w:val="24"/>
                <w:highlight w:val="none"/>
              </w:rPr>
            </w:pPr>
          </w:p>
        </w:tc>
        <w:tc>
          <w:tcPr>
            <w:tcW w:w="2166" w:type="dxa"/>
            <w:tcBorders>
              <w:top w:val="single" w:color="auto" w:sz="4" w:space="0"/>
              <w:left w:val="single" w:color="auto" w:sz="4" w:space="0"/>
              <w:bottom w:val="single" w:color="auto" w:sz="4" w:space="0"/>
              <w:right w:val="single" w:color="auto" w:sz="4" w:space="0"/>
            </w:tcBorders>
            <w:vAlign w:val="center"/>
          </w:tcPr>
          <w:p w14:paraId="01200A22">
            <w:pPr>
              <w:widowControl/>
              <w:adjustRightInd/>
              <w:jc w:val="center"/>
              <w:rPr>
                <w:rFonts w:ascii="仿宋" w:hAnsi="仿宋" w:eastAsia="仿宋" w:cs="仿宋"/>
                <w:kern w:val="0"/>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91A865A">
            <w:pPr>
              <w:widowControl/>
              <w:adjustRightInd/>
              <w:jc w:val="center"/>
              <w:rPr>
                <w:rFonts w:ascii="仿宋" w:hAnsi="仿宋" w:eastAsia="仿宋" w:cs="仿宋"/>
                <w:kern w:val="0"/>
                <w:sz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25A34417">
            <w:pPr>
              <w:widowControl/>
              <w:adjustRightInd/>
              <w:jc w:val="center"/>
              <w:rPr>
                <w:rFonts w:ascii="仿宋" w:hAnsi="仿宋" w:eastAsia="仿宋" w:cs="仿宋"/>
                <w:kern w:val="0"/>
                <w:sz w:val="24"/>
                <w:highlight w:val="none"/>
              </w:rPr>
            </w:pPr>
          </w:p>
        </w:tc>
      </w:tr>
      <w:tr w14:paraId="68FB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3153477">
            <w:pPr>
              <w:spacing w:line="360" w:lineRule="auto"/>
              <w:jc w:val="center"/>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3</w:t>
            </w:r>
          </w:p>
        </w:tc>
        <w:tc>
          <w:tcPr>
            <w:tcW w:w="3709" w:type="dxa"/>
            <w:tcBorders>
              <w:top w:val="single" w:color="auto" w:sz="4" w:space="0"/>
              <w:left w:val="single" w:color="auto" w:sz="4" w:space="0"/>
              <w:bottom w:val="single" w:color="auto" w:sz="4" w:space="0"/>
              <w:right w:val="single" w:color="auto" w:sz="4" w:space="0"/>
            </w:tcBorders>
            <w:vAlign w:val="center"/>
          </w:tcPr>
          <w:p w14:paraId="78CBCE87">
            <w:pPr>
              <w:spacing w:line="360" w:lineRule="auto"/>
              <w:rPr>
                <w:rFonts w:ascii="仿宋" w:hAnsi="仿宋" w:eastAsia="仿宋" w:cs="仿宋"/>
                <w:bCs/>
                <w:kern w:val="0"/>
                <w:sz w:val="24"/>
                <w:highlight w:val="none"/>
                <w:lang w:bidi="zh-CN"/>
              </w:rPr>
            </w:pPr>
            <w:r>
              <w:rPr>
                <w:rFonts w:hint="eastAsia" w:ascii="仿宋" w:hAnsi="仿宋" w:eastAsia="仿宋" w:cs="仿宋"/>
                <w:kern w:val="0"/>
                <w:sz w:val="22"/>
                <w:highlight w:val="none"/>
              </w:rPr>
              <w:t>便携式视音频证据管理系统迁移改造</w:t>
            </w:r>
          </w:p>
        </w:tc>
        <w:tc>
          <w:tcPr>
            <w:tcW w:w="708" w:type="dxa"/>
            <w:tcBorders>
              <w:top w:val="single" w:color="auto" w:sz="4" w:space="0"/>
              <w:left w:val="single" w:color="auto" w:sz="4" w:space="0"/>
              <w:bottom w:val="single" w:color="auto" w:sz="4" w:space="0"/>
              <w:right w:val="single" w:color="auto" w:sz="4" w:space="0"/>
            </w:tcBorders>
            <w:vAlign w:val="center"/>
          </w:tcPr>
          <w:p w14:paraId="655B777B">
            <w:pPr>
              <w:spacing w:line="360" w:lineRule="auto"/>
              <w:jc w:val="center"/>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套</w:t>
            </w:r>
          </w:p>
        </w:tc>
        <w:tc>
          <w:tcPr>
            <w:tcW w:w="709" w:type="dxa"/>
            <w:tcBorders>
              <w:top w:val="single" w:color="auto" w:sz="4" w:space="0"/>
              <w:left w:val="single" w:color="auto" w:sz="4" w:space="0"/>
              <w:bottom w:val="single" w:color="auto" w:sz="4" w:space="0"/>
              <w:right w:val="single" w:color="auto" w:sz="4" w:space="0"/>
            </w:tcBorders>
            <w:vAlign w:val="center"/>
          </w:tcPr>
          <w:p w14:paraId="098065DE">
            <w:pPr>
              <w:spacing w:line="360" w:lineRule="auto"/>
              <w:jc w:val="center"/>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1</w:t>
            </w:r>
          </w:p>
        </w:tc>
        <w:tc>
          <w:tcPr>
            <w:tcW w:w="851" w:type="dxa"/>
            <w:tcBorders>
              <w:top w:val="single" w:color="auto" w:sz="4" w:space="0"/>
              <w:left w:val="single" w:color="auto" w:sz="4" w:space="0"/>
              <w:bottom w:val="single" w:color="auto" w:sz="4" w:space="0"/>
              <w:right w:val="single" w:color="auto" w:sz="4" w:space="0"/>
            </w:tcBorders>
            <w:vAlign w:val="center"/>
          </w:tcPr>
          <w:p w14:paraId="5371F0E0">
            <w:pPr>
              <w:widowControl/>
              <w:jc w:val="center"/>
              <w:rPr>
                <w:rFonts w:ascii="仿宋" w:hAnsi="仿宋" w:eastAsia="仿宋" w:cs="仿宋"/>
                <w:sz w:val="24"/>
                <w:highlight w:val="none"/>
              </w:rPr>
            </w:pPr>
            <w:r>
              <w:rPr>
                <w:rFonts w:hint="eastAsia" w:ascii="仿宋" w:hAnsi="仿宋" w:eastAsia="仿宋" w:cs="仿宋"/>
                <w:sz w:val="24"/>
                <w:highlight w:val="none"/>
              </w:rPr>
              <w:t>12</w:t>
            </w:r>
          </w:p>
        </w:tc>
        <w:tc>
          <w:tcPr>
            <w:tcW w:w="1481" w:type="dxa"/>
            <w:tcBorders>
              <w:top w:val="single" w:color="auto" w:sz="4" w:space="0"/>
              <w:left w:val="single" w:color="auto" w:sz="4" w:space="0"/>
              <w:bottom w:val="single" w:color="auto" w:sz="4" w:space="0"/>
              <w:right w:val="single" w:color="auto" w:sz="4" w:space="0"/>
            </w:tcBorders>
          </w:tcPr>
          <w:p w14:paraId="070F8F47">
            <w:pPr>
              <w:widowControl/>
              <w:adjustRightInd/>
              <w:jc w:val="center"/>
              <w:rPr>
                <w:rFonts w:ascii="仿宋" w:hAnsi="仿宋" w:eastAsia="仿宋" w:cs="仿宋"/>
                <w:kern w:val="0"/>
                <w:sz w:val="24"/>
                <w:highlight w:val="none"/>
              </w:rPr>
            </w:pPr>
          </w:p>
        </w:tc>
        <w:tc>
          <w:tcPr>
            <w:tcW w:w="1513" w:type="dxa"/>
            <w:tcBorders>
              <w:top w:val="single" w:color="auto" w:sz="4" w:space="0"/>
              <w:left w:val="single" w:color="auto" w:sz="4" w:space="0"/>
              <w:bottom w:val="single" w:color="auto" w:sz="4" w:space="0"/>
              <w:right w:val="single" w:color="auto" w:sz="4" w:space="0"/>
            </w:tcBorders>
          </w:tcPr>
          <w:p w14:paraId="4B97B30A">
            <w:pPr>
              <w:widowControl/>
              <w:adjustRightInd/>
              <w:jc w:val="center"/>
              <w:rPr>
                <w:rFonts w:ascii="仿宋" w:hAnsi="仿宋" w:eastAsia="仿宋" w:cs="仿宋"/>
                <w:kern w:val="0"/>
                <w:sz w:val="24"/>
                <w:highlight w:val="none"/>
              </w:rPr>
            </w:pPr>
          </w:p>
        </w:tc>
        <w:tc>
          <w:tcPr>
            <w:tcW w:w="2166" w:type="dxa"/>
            <w:tcBorders>
              <w:top w:val="single" w:color="auto" w:sz="4" w:space="0"/>
              <w:left w:val="single" w:color="auto" w:sz="4" w:space="0"/>
              <w:bottom w:val="single" w:color="auto" w:sz="4" w:space="0"/>
              <w:right w:val="single" w:color="auto" w:sz="4" w:space="0"/>
            </w:tcBorders>
            <w:vAlign w:val="center"/>
          </w:tcPr>
          <w:p w14:paraId="0DB0F593">
            <w:pPr>
              <w:widowControl/>
              <w:adjustRightInd/>
              <w:jc w:val="center"/>
              <w:rPr>
                <w:rFonts w:ascii="仿宋" w:hAnsi="仿宋" w:eastAsia="仿宋" w:cs="仿宋"/>
                <w:kern w:val="0"/>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EB340F5">
            <w:pPr>
              <w:widowControl/>
              <w:adjustRightInd/>
              <w:jc w:val="center"/>
              <w:rPr>
                <w:rFonts w:ascii="仿宋" w:hAnsi="仿宋" w:eastAsia="仿宋" w:cs="仿宋"/>
                <w:kern w:val="0"/>
                <w:sz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1D0AA696">
            <w:pPr>
              <w:widowControl/>
              <w:adjustRightInd/>
              <w:jc w:val="center"/>
              <w:rPr>
                <w:rFonts w:ascii="仿宋" w:hAnsi="仿宋" w:eastAsia="仿宋" w:cs="仿宋"/>
                <w:kern w:val="0"/>
                <w:sz w:val="24"/>
                <w:highlight w:val="none"/>
              </w:rPr>
            </w:pPr>
          </w:p>
        </w:tc>
      </w:tr>
      <w:tr w14:paraId="623A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vAlign w:val="center"/>
          </w:tcPr>
          <w:p w14:paraId="1D25E336">
            <w:pPr>
              <w:spacing w:line="360" w:lineRule="auto"/>
              <w:jc w:val="center"/>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4</w:t>
            </w:r>
          </w:p>
        </w:tc>
        <w:tc>
          <w:tcPr>
            <w:tcW w:w="3709" w:type="dxa"/>
            <w:tcBorders>
              <w:top w:val="single" w:color="auto" w:sz="4" w:space="0"/>
              <w:left w:val="single" w:color="auto" w:sz="4" w:space="0"/>
              <w:bottom w:val="single" w:color="auto" w:sz="4" w:space="0"/>
              <w:right w:val="single" w:color="auto" w:sz="4" w:space="0"/>
            </w:tcBorders>
            <w:vAlign w:val="center"/>
          </w:tcPr>
          <w:p w14:paraId="5072AAE7">
            <w:pPr>
              <w:spacing w:line="360" w:lineRule="auto"/>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服务器</w:t>
            </w:r>
          </w:p>
        </w:tc>
        <w:tc>
          <w:tcPr>
            <w:tcW w:w="708" w:type="dxa"/>
            <w:tcBorders>
              <w:top w:val="single" w:color="auto" w:sz="4" w:space="0"/>
              <w:left w:val="single" w:color="auto" w:sz="4" w:space="0"/>
              <w:bottom w:val="single" w:color="auto" w:sz="4" w:space="0"/>
              <w:right w:val="single" w:color="auto" w:sz="4" w:space="0"/>
            </w:tcBorders>
            <w:vAlign w:val="center"/>
          </w:tcPr>
          <w:p w14:paraId="1DAE1DA6">
            <w:pPr>
              <w:spacing w:line="360" w:lineRule="auto"/>
              <w:jc w:val="center"/>
              <w:rPr>
                <w:rFonts w:ascii="仿宋" w:hAnsi="仿宋" w:eastAsia="仿宋" w:cs="仿宋"/>
                <w:bCs/>
                <w:kern w:val="0"/>
                <w:sz w:val="24"/>
                <w:highlight w:val="none"/>
                <w:lang w:bidi="zh-CN"/>
              </w:rPr>
            </w:pPr>
            <w:r>
              <w:rPr>
                <w:rFonts w:hint="eastAsia" w:ascii="仿宋" w:hAnsi="仿宋" w:eastAsia="仿宋" w:cs="仿宋"/>
                <w:bCs/>
                <w:kern w:val="0"/>
                <w:sz w:val="24"/>
                <w:highlight w:val="none"/>
                <w:lang w:bidi="zh-CN"/>
              </w:rPr>
              <w:t>个</w:t>
            </w:r>
          </w:p>
        </w:tc>
        <w:tc>
          <w:tcPr>
            <w:tcW w:w="709" w:type="dxa"/>
            <w:tcBorders>
              <w:top w:val="single" w:color="auto" w:sz="4" w:space="0"/>
              <w:left w:val="single" w:color="auto" w:sz="4" w:space="0"/>
              <w:bottom w:val="single" w:color="auto" w:sz="4" w:space="0"/>
              <w:right w:val="single" w:color="auto" w:sz="4" w:space="0"/>
            </w:tcBorders>
            <w:vAlign w:val="center"/>
          </w:tcPr>
          <w:p w14:paraId="3B781B81">
            <w:pPr>
              <w:spacing w:line="360" w:lineRule="auto"/>
              <w:jc w:val="center"/>
              <w:rPr>
                <w:rFonts w:ascii="仿宋" w:hAnsi="仿宋" w:eastAsia="仿宋" w:cs="仿宋"/>
                <w:bCs/>
                <w:kern w:val="0"/>
                <w:sz w:val="24"/>
                <w:highlight w:val="none"/>
                <w:lang w:bidi="zh-CN"/>
              </w:rPr>
            </w:pPr>
            <w:r>
              <w:rPr>
                <w:rFonts w:hint="eastAsia" w:ascii="仿宋" w:hAnsi="仿宋" w:eastAsia="仿宋" w:cs="仿宋"/>
                <w:kern w:val="0"/>
                <w:sz w:val="24"/>
                <w:highlight w:val="none"/>
                <w:lang w:bidi="zh-CN"/>
              </w:rPr>
              <w:t>1</w:t>
            </w:r>
          </w:p>
        </w:tc>
        <w:tc>
          <w:tcPr>
            <w:tcW w:w="851" w:type="dxa"/>
            <w:tcBorders>
              <w:top w:val="single" w:color="auto" w:sz="4" w:space="0"/>
              <w:left w:val="single" w:color="auto" w:sz="4" w:space="0"/>
              <w:bottom w:val="single" w:color="auto" w:sz="4" w:space="0"/>
              <w:right w:val="single" w:color="auto" w:sz="4" w:space="0"/>
            </w:tcBorders>
            <w:vAlign w:val="center"/>
          </w:tcPr>
          <w:p w14:paraId="29C62677">
            <w:pPr>
              <w:widowControl/>
              <w:jc w:val="center"/>
              <w:rPr>
                <w:rFonts w:ascii="仿宋" w:hAnsi="仿宋" w:eastAsia="仿宋" w:cs="仿宋"/>
                <w:kern w:val="0"/>
                <w:sz w:val="24"/>
                <w:highlight w:val="none"/>
              </w:rPr>
            </w:pPr>
            <w:r>
              <w:rPr>
                <w:rFonts w:hint="eastAsia" w:ascii="仿宋" w:hAnsi="仿宋" w:eastAsia="仿宋" w:cs="仿宋"/>
                <w:sz w:val="24"/>
                <w:highlight w:val="none"/>
              </w:rPr>
              <w:t>12</w:t>
            </w:r>
          </w:p>
        </w:tc>
        <w:tc>
          <w:tcPr>
            <w:tcW w:w="1481" w:type="dxa"/>
            <w:tcBorders>
              <w:top w:val="single" w:color="auto" w:sz="4" w:space="0"/>
              <w:left w:val="single" w:color="auto" w:sz="4" w:space="0"/>
              <w:bottom w:val="single" w:color="auto" w:sz="4" w:space="0"/>
              <w:right w:val="single" w:color="auto" w:sz="4" w:space="0"/>
            </w:tcBorders>
          </w:tcPr>
          <w:p w14:paraId="77F0B381">
            <w:pPr>
              <w:widowControl/>
              <w:adjustRightInd/>
              <w:jc w:val="center"/>
              <w:rPr>
                <w:rFonts w:ascii="仿宋" w:hAnsi="仿宋" w:eastAsia="仿宋" w:cs="仿宋"/>
                <w:kern w:val="0"/>
                <w:sz w:val="24"/>
                <w:highlight w:val="none"/>
              </w:rPr>
            </w:pPr>
          </w:p>
        </w:tc>
        <w:tc>
          <w:tcPr>
            <w:tcW w:w="1513" w:type="dxa"/>
            <w:tcBorders>
              <w:top w:val="single" w:color="auto" w:sz="4" w:space="0"/>
              <w:left w:val="single" w:color="auto" w:sz="4" w:space="0"/>
              <w:bottom w:val="single" w:color="auto" w:sz="4" w:space="0"/>
              <w:right w:val="single" w:color="auto" w:sz="4" w:space="0"/>
            </w:tcBorders>
          </w:tcPr>
          <w:p w14:paraId="5B33A529">
            <w:pPr>
              <w:widowControl/>
              <w:adjustRightInd/>
              <w:jc w:val="center"/>
              <w:rPr>
                <w:rFonts w:ascii="仿宋" w:hAnsi="仿宋" w:eastAsia="仿宋" w:cs="仿宋"/>
                <w:kern w:val="0"/>
                <w:sz w:val="24"/>
                <w:highlight w:val="none"/>
              </w:rPr>
            </w:pPr>
          </w:p>
        </w:tc>
        <w:tc>
          <w:tcPr>
            <w:tcW w:w="2166" w:type="dxa"/>
            <w:tcBorders>
              <w:top w:val="single" w:color="auto" w:sz="4" w:space="0"/>
              <w:left w:val="single" w:color="auto" w:sz="4" w:space="0"/>
              <w:bottom w:val="single" w:color="auto" w:sz="4" w:space="0"/>
              <w:right w:val="single" w:color="auto" w:sz="4" w:space="0"/>
            </w:tcBorders>
            <w:vAlign w:val="center"/>
          </w:tcPr>
          <w:p w14:paraId="3AD3AB20">
            <w:pPr>
              <w:widowControl/>
              <w:adjustRightInd/>
              <w:jc w:val="center"/>
              <w:rPr>
                <w:rFonts w:ascii="仿宋" w:hAnsi="仿宋" w:eastAsia="仿宋" w:cs="仿宋"/>
                <w:kern w:val="0"/>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FFC2FA2">
            <w:pPr>
              <w:widowControl/>
              <w:adjustRightInd/>
              <w:jc w:val="center"/>
              <w:rPr>
                <w:rFonts w:ascii="仿宋" w:hAnsi="仿宋" w:eastAsia="仿宋" w:cs="仿宋"/>
                <w:kern w:val="0"/>
                <w:sz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539166CF">
            <w:pPr>
              <w:widowControl/>
              <w:adjustRightInd/>
              <w:jc w:val="center"/>
              <w:rPr>
                <w:rFonts w:ascii="仿宋" w:hAnsi="仿宋" w:eastAsia="仿宋" w:cs="仿宋"/>
                <w:kern w:val="0"/>
                <w:sz w:val="24"/>
                <w:highlight w:val="none"/>
              </w:rPr>
            </w:pPr>
          </w:p>
        </w:tc>
      </w:tr>
      <w:tr w14:paraId="52D2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569" w:type="dxa"/>
            <w:gridSpan w:val="2"/>
            <w:tcBorders>
              <w:top w:val="single" w:color="auto" w:sz="4" w:space="0"/>
              <w:left w:val="single" w:color="auto" w:sz="4" w:space="0"/>
              <w:bottom w:val="single" w:color="auto" w:sz="4" w:space="0"/>
              <w:right w:val="single" w:color="auto" w:sz="4" w:space="0"/>
            </w:tcBorders>
          </w:tcPr>
          <w:p w14:paraId="278198D6">
            <w:pPr>
              <w:widowControl/>
              <w:jc w:val="center"/>
              <w:rPr>
                <w:rFonts w:ascii="仿宋" w:hAnsi="仿宋" w:eastAsia="仿宋" w:cs="仿宋"/>
                <w:kern w:val="0"/>
                <w:sz w:val="24"/>
                <w:highlight w:val="none"/>
              </w:rPr>
            </w:pPr>
            <w:r>
              <w:rPr>
                <w:rFonts w:hint="eastAsia" w:ascii="仿宋" w:hAnsi="仿宋" w:eastAsia="仿宋" w:cs="仿宋"/>
                <w:b/>
                <w:bCs/>
                <w:snapToGrid w:val="0"/>
                <w:sz w:val="24"/>
                <w:highlight w:val="none"/>
              </w:rPr>
              <w:t>投标报价（小写）人民币</w:t>
            </w:r>
          </w:p>
        </w:tc>
        <w:tc>
          <w:tcPr>
            <w:tcW w:w="9279" w:type="dxa"/>
            <w:gridSpan w:val="8"/>
            <w:tcBorders>
              <w:top w:val="single" w:color="auto" w:sz="4" w:space="0"/>
              <w:left w:val="single" w:color="auto" w:sz="4" w:space="0"/>
              <w:bottom w:val="single" w:color="auto" w:sz="4" w:space="0"/>
              <w:right w:val="single" w:color="auto" w:sz="4" w:space="0"/>
            </w:tcBorders>
            <w:vAlign w:val="center"/>
          </w:tcPr>
          <w:p w14:paraId="63B95F8F">
            <w:pPr>
              <w:widowControl/>
              <w:jc w:val="center"/>
              <w:rPr>
                <w:rFonts w:ascii="仿宋" w:hAnsi="仿宋" w:eastAsia="仿宋" w:cs="仿宋"/>
                <w:kern w:val="0"/>
                <w:sz w:val="24"/>
                <w:highlight w:val="none"/>
              </w:rPr>
            </w:pPr>
          </w:p>
        </w:tc>
      </w:tr>
      <w:tr w14:paraId="185E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569" w:type="dxa"/>
            <w:gridSpan w:val="2"/>
            <w:tcBorders>
              <w:top w:val="single" w:color="auto" w:sz="4" w:space="0"/>
              <w:left w:val="single" w:color="auto" w:sz="4" w:space="0"/>
              <w:bottom w:val="single" w:color="auto" w:sz="4" w:space="0"/>
              <w:right w:val="single" w:color="auto" w:sz="4" w:space="0"/>
            </w:tcBorders>
          </w:tcPr>
          <w:p w14:paraId="731C50DC">
            <w:pPr>
              <w:widowControl/>
              <w:jc w:val="center"/>
              <w:rPr>
                <w:rFonts w:ascii="仿宋" w:hAnsi="仿宋" w:eastAsia="仿宋" w:cs="仿宋"/>
                <w:kern w:val="0"/>
                <w:sz w:val="24"/>
                <w:highlight w:val="none"/>
              </w:rPr>
            </w:pPr>
            <w:r>
              <w:rPr>
                <w:rFonts w:hint="eastAsia" w:ascii="仿宋" w:hAnsi="仿宋" w:eastAsia="仿宋" w:cs="仿宋"/>
                <w:b/>
                <w:bCs/>
                <w:snapToGrid w:val="0"/>
                <w:sz w:val="24"/>
                <w:highlight w:val="none"/>
              </w:rPr>
              <w:t>投标报价（大写）人民币</w:t>
            </w:r>
          </w:p>
        </w:tc>
        <w:tc>
          <w:tcPr>
            <w:tcW w:w="9279" w:type="dxa"/>
            <w:gridSpan w:val="8"/>
            <w:tcBorders>
              <w:top w:val="single" w:color="auto" w:sz="4" w:space="0"/>
              <w:left w:val="single" w:color="auto" w:sz="4" w:space="0"/>
              <w:bottom w:val="single" w:color="auto" w:sz="4" w:space="0"/>
              <w:right w:val="single" w:color="auto" w:sz="4" w:space="0"/>
            </w:tcBorders>
            <w:vAlign w:val="center"/>
          </w:tcPr>
          <w:p w14:paraId="3F2CE5EE">
            <w:pPr>
              <w:widowControl/>
              <w:jc w:val="center"/>
              <w:rPr>
                <w:rFonts w:ascii="仿宋" w:hAnsi="仿宋" w:eastAsia="仿宋" w:cs="仿宋"/>
                <w:kern w:val="0"/>
                <w:sz w:val="24"/>
                <w:highlight w:val="none"/>
              </w:rPr>
            </w:pPr>
          </w:p>
        </w:tc>
      </w:tr>
    </w:tbl>
    <w:p w14:paraId="7A8E6095">
      <w:pPr>
        <w:snapToGrid w:val="0"/>
        <w:spacing w:line="360" w:lineRule="auto"/>
        <w:ind w:left="480"/>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08B2F106">
      <w:pPr>
        <w:spacing w:line="360" w:lineRule="auto"/>
        <w:ind w:left="-2" w:leftChars="-1"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b/>
          <w:kern w:val="0"/>
          <w:sz w:val="24"/>
          <w:highlight w:val="none"/>
          <w:lang w:val="zh-CN"/>
        </w:rPr>
        <w:t>；</w:t>
      </w:r>
      <w:r>
        <w:rPr>
          <w:rFonts w:hint="eastAsia" w:ascii="仿宋" w:hAnsi="仿宋" w:eastAsia="仿宋" w:cs="仿宋"/>
          <w:kern w:val="0"/>
          <w:sz w:val="24"/>
          <w:highlight w:val="none"/>
          <w:lang w:val="zh-CN"/>
        </w:rPr>
        <w:t>。</w:t>
      </w:r>
    </w:p>
    <w:p w14:paraId="5FCDBF0B">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kern w:val="0"/>
          <w:sz w:val="24"/>
          <w:highlight w:val="none"/>
          <w:lang w:val="zh-CN"/>
        </w:rPr>
        <w:t>采购内容未包含在《开标一览表（报价表）》名称栏中，投标人不能作出合理解释的，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投标文件含有采购人不能接受的附加条件的，投标无效。</w:t>
      </w:r>
    </w:p>
    <w:p w14:paraId="7B0C33A0">
      <w:pPr>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3E170F5">
      <w:pPr>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szCs w:val="22"/>
          <w:highlight w:val="none"/>
          <w:lang w:val="zh-CN"/>
        </w:rPr>
        <w:t>4、</w:t>
      </w:r>
      <w:r>
        <w:rPr>
          <w:rFonts w:hint="eastAsia" w:ascii="仿宋" w:hAnsi="仿宋" w:eastAsia="仿宋" w:cs="仿宋"/>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B38E9F">
      <w:pPr>
        <w:spacing w:line="360" w:lineRule="auto"/>
        <w:ind w:firstLine="482" w:firstLineChars="200"/>
        <w:rPr>
          <w:rFonts w:ascii="仿宋" w:hAnsi="仿宋" w:eastAsia="仿宋" w:cs="仿宋"/>
          <w:b/>
          <w:kern w:val="0"/>
          <w:sz w:val="24"/>
          <w:highlight w:val="none"/>
        </w:rPr>
      </w:pPr>
    </w:p>
    <w:p w14:paraId="60566648">
      <w:pPr>
        <w:pStyle w:val="627"/>
        <w:keepNext w:val="0"/>
        <w:pageBreakBefore w:val="0"/>
        <w:tabs>
          <w:tab w:val="clear" w:pos="720"/>
        </w:tabs>
        <w:snapToGrid w:val="0"/>
        <w:spacing w:before="120" w:after="120"/>
        <w:ind w:firstLine="643"/>
        <w:outlineLvl w:val="9"/>
        <w:rPr>
          <w:rFonts w:ascii="仿宋" w:hAnsi="仿宋" w:eastAsia="仿宋" w:cs="仿宋"/>
          <w:kern w:val="2"/>
          <w:sz w:val="32"/>
          <w:szCs w:val="32"/>
          <w:highlight w:val="none"/>
        </w:rPr>
      </w:pPr>
    </w:p>
    <w:p w14:paraId="56331F6C">
      <w:pPr>
        <w:pStyle w:val="627"/>
        <w:keepNext w:val="0"/>
        <w:pageBreakBefore w:val="0"/>
        <w:tabs>
          <w:tab w:val="clear" w:pos="720"/>
        </w:tabs>
        <w:snapToGrid w:val="0"/>
        <w:spacing w:before="120" w:after="120"/>
        <w:ind w:firstLine="643"/>
        <w:outlineLvl w:val="9"/>
        <w:rPr>
          <w:rFonts w:ascii="仿宋" w:hAnsi="仿宋" w:eastAsia="仿宋" w:cs="仿宋"/>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A04C78B">
      <w:pPr>
        <w:pStyle w:val="627"/>
        <w:keepNext w:val="0"/>
        <w:pageBreakBefore w:val="0"/>
        <w:tabs>
          <w:tab w:val="clear" w:pos="720"/>
        </w:tabs>
        <w:snapToGrid w:val="0"/>
        <w:spacing w:before="120" w:after="120"/>
        <w:ind w:firstLine="643"/>
        <w:outlineLvl w:val="9"/>
        <w:rPr>
          <w:rFonts w:ascii="仿宋" w:hAnsi="仿宋" w:eastAsia="仿宋" w:cs="仿宋"/>
          <w:kern w:val="2"/>
          <w:sz w:val="32"/>
          <w:szCs w:val="32"/>
          <w:highlight w:val="none"/>
        </w:rPr>
      </w:pPr>
      <w:r>
        <w:rPr>
          <w:rFonts w:hint="eastAsia" w:ascii="仿宋" w:hAnsi="仿宋" w:eastAsia="仿宋" w:cs="仿宋"/>
          <w:kern w:val="2"/>
          <w:sz w:val="32"/>
          <w:szCs w:val="32"/>
          <w:highlight w:val="none"/>
        </w:rPr>
        <w:t>二、报价情况说明（如果有）</w:t>
      </w:r>
    </w:p>
    <w:p w14:paraId="660B3D5A">
      <w:pPr>
        <w:widowControl/>
        <w:spacing w:line="360" w:lineRule="auto"/>
        <w:ind w:firstLine="120" w:firstLineChars="50"/>
        <w:jc w:val="left"/>
        <w:rPr>
          <w:rFonts w:ascii="仿宋" w:hAnsi="仿宋" w:eastAsia="仿宋" w:cs="仿宋"/>
          <w:b/>
          <w:sz w:val="24"/>
          <w:highlight w:val="none"/>
        </w:rPr>
      </w:pPr>
      <w:r>
        <w:rPr>
          <w:rFonts w:hint="eastAsia" w:ascii="仿宋" w:hAnsi="仿宋" w:eastAsia="仿宋" w:cs="仿宋"/>
          <w:b/>
          <w:sz w:val="24"/>
          <w:highlight w:val="none"/>
        </w:rPr>
        <w:t>（如供应商报价低于项目预算50%的，应当提交本文档，详细阐述不影响产品质量或者诚信履约的具体原因。）</w:t>
      </w:r>
    </w:p>
    <w:p w14:paraId="4FAFEB50">
      <w:pPr>
        <w:pStyle w:val="627"/>
        <w:keepNext w:val="0"/>
        <w:pageBreakBefore w:val="0"/>
        <w:tabs>
          <w:tab w:val="clear" w:pos="720"/>
        </w:tabs>
        <w:snapToGrid w:val="0"/>
        <w:spacing w:before="120" w:after="120"/>
        <w:ind w:firstLine="643"/>
        <w:outlineLvl w:val="9"/>
        <w:rPr>
          <w:rFonts w:ascii="仿宋" w:hAnsi="仿宋" w:eastAsia="仿宋" w:cs="仿宋"/>
          <w:kern w:val="2"/>
          <w:sz w:val="32"/>
          <w:szCs w:val="32"/>
          <w:highlight w:val="none"/>
        </w:rPr>
      </w:pPr>
    </w:p>
    <w:p w14:paraId="74C4174E">
      <w:pPr>
        <w:pStyle w:val="627"/>
        <w:keepNext w:val="0"/>
        <w:pageBreakBefore w:val="0"/>
        <w:tabs>
          <w:tab w:val="clear" w:pos="720"/>
        </w:tabs>
        <w:snapToGrid w:val="0"/>
        <w:spacing w:before="120" w:after="120"/>
        <w:ind w:firstLine="643"/>
        <w:outlineLvl w:val="9"/>
        <w:rPr>
          <w:rFonts w:ascii="仿宋" w:hAnsi="仿宋" w:eastAsia="仿宋" w:cs="仿宋"/>
          <w:kern w:val="2"/>
          <w:sz w:val="32"/>
          <w:szCs w:val="32"/>
          <w:highlight w:val="none"/>
        </w:rPr>
      </w:pPr>
    </w:p>
    <w:p w14:paraId="3C819F28">
      <w:pPr>
        <w:spacing w:line="360" w:lineRule="auto"/>
        <w:ind w:right="420" w:firstLine="3614" w:firstLineChars="1000"/>
        <w:rPr>
          <w:rFonts w:ascii="仿宋" w:hAnsi="仿宋" w:eastAsia="仿宋" w:cs="仿宋"/>
          <w:b/>
          <w:kern w:val="0"/>
          <w:sz w:val="36"/>
          <w:szCs w:val="36"/>
          <w:highlight w:val="none"/>
        </w:rPr>
      </w:pPr>
    </w:p>
    <w:p w14:paraId="11BDD45B">
      <w:pPr>
        <w:spacing w:line="360" w:lineRule="auto"/>
        <w:ind w:right="420" w:firstLine="3614" w:firstLineChars="1000"/>
        <w:rPr>
          <w:rFonts w:ascii="仿宋" w:hAnsi="仿宋" w:eastAsia="仿宋" w:cs="仿宋"/>
          <w:b/>
          <w:kern w:val="0"/>
          <w:sz w:val="36"/>
          <w:szCs w:val="36"/>
          <w:highlight w:val="none"/>
        </w:rPr>
      </w:pPr>
    </w:p>
    <w:p w14:paraId="43D4DEFF">
      <w:pPr>
        <w:spacing w:line="360" w:lineRule="auto"/>
        <w:ind w:right="420" w:firstLine="3614" w:firstLineChars="1000"/>
        <w:rPr>
          <w:rFonts w:ascii="仿宋" w:hAnsi="仿宋" w:eastAsia="仿宋" w:cs="仿宋"/>
          <w:b/>
          <w:kern w:val="0"/>
          <w:sz w:val="36"/>
          <w:szCs w:val="36"/>
          <w:highlight w:val="none"/>
        </w:rPr>
      </w:pPr>
    </w:p>
    <w:p w14:paraId="6B640A66">
      <w:pPr>
        <w:spacing w:line="360" w:lineRule="auto"/>
        <w:ind w:right="420" w:firstLine="3614" w:firstLineChars="1000"/>
        <w:rPr>
          <w:rFonts w:ascii="仿宋" w:hAnsi="仿宋" w:eastAsia="仿宋" w:cs="仿宋"/>
          <w:b/>
          <w:kern w:val="0"/>
          <w:sz w:val="36"/>
          <w:szCs w:val="36"/>
          <w:highlight w:val="none"/>
        </w:rPr>
      </w:pPr>
    </w:p>
    <w:p w14:paraId="65DF0B49">
      <w:pPr>
        <w:spacing w:line="360" w:lineRule="auto"/>
        <w:ind w:right="420" w:firstLine="3614" w:firstLineChars="1000"/>
        <w:rPr>
          <w:rFonts w:ascii="仿宋" w:hAnsi="仿宋" w:eastAsia="仿宋" w:cs="仿宋"/>
          <w:b/>
          <w:kern w:val="0"/>
          <w:sz w:val="36"/>
          <w:szCs w:val="36"/>
          <w:highlight w:val="none"/>
        </w:rPr>
      </w:pPr>
    </w:p>
    <w:p w14:paraId="3D26DFD2">
      <w:pPr>
        <w:spacing w:line="360" w:lineRule="auto"/>
        <w:ind w:right="420" w:firstLine="3614" w:firstLineChars="1000"/>
        <w:rPr>
          <w:rFonts w:ascii="仿宋" w:hAnsi="仿宋" w:eastAsia="仿宋" w:cs="仿宋"/>
          <w:b/>
          <w:kern w:val="0"/>
          <w:sz w:val="36"/>
          <w:szCs w:val="36"/>
          <w:highlight w:val="none"/>
        </w:rPr>
      </w:pPr>
    </w:p>
    <w:p w14:paraId="12775E41">
      <w:pPr>
        <w:spacing w:line="360" w:lineRule="auto"/>
        <w:ind w:right="420" w:firstLine="3614" w:firstLineChars="1000"/>
        <w:rPr>
          <w:rFonts w:ascii="仿宋" w:hAnsi="仿宋" w:eastAsia="仿宋" w:cs="仿宋"/>
          <w:b/>
          <w:kern w:val="0"/>
          <w:sz w:val="36"/>
          <w:szCs w:val="36"/>
          <w:highlight w:val="none"/>
        </w:rPr>
      </w:pPr>
    </w:p>
    <w:p w14:paraId="62B3953D">
      <w:pPr>
        <w:spacing w:line="360" w:lineRule="auto"/>
        <w:ind w:right="420" w:firstLine="3614" w:firstLineChars="1000"/>
        <w:rPr>
          <w:rFonts w:ascii="仿宋" w:hAnsi="仿宋" w:eastAsia="仿宋" w:cs="仿宋"/>
          <w:b/>
          <w:kern w:val="0"/>
          <w:sz w:val="36"/>
          <w:szCs w:val="36"/>
          <w:highlight w:val="none"/>
        </w:rPr>
      </w:pPr>
    </w:p>
    <w:p w14:paraId="6FA2DF70">
      <w:pPr>
        <w:spacing w:line="360" w:lineRule="auto"/>
        <w:ind w:right="420" w:firstLine="3614" w:firstLineChars="1000"/>
        <w:rPr>
          <w:rFonts w:ascii="仿宋" w:hAnsi="仿宋" w:eastAsia="仿宋" w:cs="仿宋"/>
          <w:b/>
          <w:kern w:val="0"/>
          <w:sz w:val="36"/>
          <w:szCs w:val="36"/>
          <w:highlight w:val="none"/>
        </w:rPr>
      </w:pPr>
    </w:p>
    <w:p w14:paraId="422EF83D">
      <w:pPr>
        <w:spacing w:line="360" w:lineRule="auto"/>
        <w:ind w:right="420" w:firstLine="3614" w:firstLineChars="1000"/>
        <w:rPr>
          <w:rFonts w:ascii="仿宋" w:hAnsi="仿宋" w:eastAsia="仿宋" w:cs="仿宋"/>
          <w:b/>
          <w:kern w:val="0"/>
          <w:sz w:val="36"/>
          <w:szCs w:val="36"/>
          <w:highlight w:val="none"/>
        </w:rPr>
      </w:pPr>
    </w:p>
    <w:p w14:paraId="0FDF535A">
      <w:pPr>
        <w:spacing w:line="360" w:lineRule="auto"/>
        <w:ind w:right="420" w:firstLine="3614" w:firstLineChars="1000"/>
        <w:rPr>
          <w:rFonts w:ascii="仿宋" w:hAnsi="仿宋" w:eastAsia="仿宋" w:cs="仿宋"/>
          <w:b/>
          <w:kern w:val="0"/>
          <w:sz w:val="36"/>
          <w:szCs w:val="36"/>
          <w:highlight w:val="none"/>
        </w:rPr>
      </w:pPr>
    </w:p>
    <w:p w14:paraId="18BE8CDC">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highlight w:val="none"/>
        </w:rPr>
      </w:pPr>
      <w:r>
        <w:rPr>
          <w:rFonts w:hint="eastAsia" w:ascii="仿宋" w:hAnsi="仿宋" w:eastAsia="仿宋" w:cs="仿宋"/>
          <w:highlight w:val="none"/>
        </w:rPr>
        <w:t>附件</w:t>
      </w:r>
    </w:p>
    <w:p w14:paraId="27ACF662">
      <w:pPr>
        <w:spacing w:line="360" w:lineRule="auto"/>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2D095FCA">
      <w:pPr>
        <w:spacing w:line="360" w:lineRule="auto"/>
        <w:jc w:val="center"/>
        <w:rPr>
          <w:rFonts w:ascii="仿宋" w:hAnsi="仿宋" w:eastAsia="仿宋" w:cs="仿宋"/>
          <w:b/>
          <w:spacing w:val="6"/>
          <w:sz w:val="32"/>
          <w:szCs w:val="32"/>
          <w:highlight w:val="none"/>
        </w:rPr>
      </w:pPr>
      <w:bookmarkStart w:id="408" w:name="OLE_LINK13"/>
      <w:bookmarkStart w:id="409" w:name="OLE_LINK14"/>
      <w:r>
        <w:rPr>
          <w:rFonts w:hint="eastAsia" w:ascii="仿宋" w:hAnsi="仿宋" w:eastAsia="仿宋" w:cs="仿宋"/>
          <w:b/>
          <w:spacing w:val="6"/>
          <w:sz w:val="32"/>
          <w:szCs w:val="32"/>
          <w:highlight w:val="none"/>
        </w:rPr>
        <w:t>残疾人福利性单位声明函</w:t>
      </w:r>
    </w:p>
    <w:bookmarkEnd w:id="408"/>
    <w:bookmarkEnd w:id="409"/>
    <w:p w14:paraId="7D7AB1EF">
      <w:pPr>
        <w:spacing w:line="360" w:lineRule="auto"/>
        <w:rPr>
          <w:rFonts w:ascii="仿宋" w:hAnsi="仿宋" w:eastAsia="仿宋" w:cs="仿宋"/>
          <w:b/>
          <w:spacing w:val="6"/>
          <w:sz w:val="30"/>
          <w:szCs w:val="30"/>
          <w:highlight w:val="none"/>
        </w:rPr>
      </w:pPr>
    </w:p>
    <w:p w14:paraId="703ABB8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highlight w:val="none"/>
          <w:u w:val="single"/>
        </w:rPr>
        <w:t>(采购人)</w:t>
      </w:r>
      <w:r>
        <w:rPr>
          <w:rFonts w:hint="eastAsia" w:ascii="仿宋" w:hAnsi="仿宋" w:eastAsia="仿宋" w:cs="仿宋"/>
          <w:sz w:val="24"/>
          <w:highlight w:val="none"/>
        </w:rPr>
        <w:t>_单位的_</w:t>
      </w:r>
      <w:r>
        <w:rPr>
          <w:rFonts w:hint="eastAsia" w:ascii="仿宋" w:hAnsi="仿宋" w:eastAsia="仿宋" w:cs="仿宋"/>
          <w:sz w:val="24"/>
          <w:highlight w:val="none"/>
          <w:u w:val="single"/>
        </w:rPr>
        <w:t>2025年杭州交警业务系统租赁使用服务-2025年5G便携式视音频设备使用项目</w:t>
      </w:r>
      <w:r>
        <w:rPr>
          <w:rFonts w:hint="eastAsia" w:ascii="仿宋" w:hAnsi="仿宋" w:eastAsia="仿宋" w:cs="仿宋"/>
          <w:sz w:val="24"/>
          <w:highlight w:val="none"/>
        </w:rPr>
        <w:t>__项目采购活动提供本单位制造的货物（由本单位承担工程/提供服务），或者提供其他残疾人福利性单位制造的货物（不包括使用非残疾人福利性单位注册商标的货物）。</w:t>
      </w:r>
    </w:p>
    <w:p w14:paraId="28BBDDF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3629ED19">
      <w:pPr>
        <w:spacing w:line="360" w:lineRule="auto"/>
        <w:ind w:firstLine="480" w:firstLineChars="200"/>
        <w:rPr>
          <w:rFonts w:ascii="仿宋" w:hAnsi="仿宋" w:eastAsia="仿宋" w:cs="仿宋"/>
          <w:sz w:val="24"/>
          <w:highlight w:val="none"/>
        </w:rPr>
      </w:pPr>
    </w:p>
    <w:p w14:paraId="455C127C">
      <w:pPr>
        <w:spacing w:line="360" w:lineRule="auto"/>
        <w:ind w:firstLine="480" w:firstLineChars="200"/>
        <w:rPr>
          <w:rFonts w:ascii="仿宋" w:hAnsi="仿宋" w:eastAsia="仿宋" w:cs="仿宋"/>
          <w:sz w:val="24"/>
          <w:highlight w:val="none"/>
        </w:rPr>
      </w:pPr>
    </w:p>
    <w:p w14:paraId="79BFCC6C">
      <w:pPr>
        <w:tabs>
          <w:tab w:val="left" w:pos="4860"/>
        </w:tabs>
        <w:spacing w:line="360" w:lineRule="auto"/>
        <w:ind w:right="1560" w:firstLine="480" w:firstLineChars="200"/>
        <w:jc w:val="center"/>
        <w:rPr>
          <w:rFonts w:ascii="仿宋" w:hAnsi="仿宋" w:eastAsia="仿宋" w:cs="仿宋"/>
          <w:sz w:val="24"/>
          <w:highlight w:val="none"/>
        </w:rPr>
      </w:pP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14:paraId="241A2191">
      <w:pPr>
        <w:tabs>
          <w:tab w:val="left" w:pos="4860"/>
        </w:tabs>
        <w:spacing w:line="360" w:lineRule="auto"/>
        <w:ind w:right="1560" w:firstLine="480" w:firstLineChars="200"/>
        <w:jc w:val="center"/>
        <w:rPr>
          <w:rFonts w:ascii="仿宋" w:hAnsi="仿宋" w:eastAsia="仿宋" w:cs="仿宋"/>
          <w:sz w:val="24"/>
          <w:highlight w:val="none"/>
        </w:rPr>
      </w:pPr>
      <w:r>
        <w:rPr>
          <w:rFonts w:hint="eastAsia" w:ascii="仿宋" w:hAnsi="仿宋" w:eastAsia="仿宋" w:cs="仿宋"/>
          <w:sz w:val="24"/>
          <w:highlight w:val="none"/>
        </w:rPr>
        <w:t xml:space="preserve">       日  期：</w:t>
      </w:r>
    </w:p>
    <w:p w14:paraId="38DEB7EE">
      <w:pPr>
        <w:spacing w:line="360" w:lineRule="auto"/>
        <w:ind w:firstLine="480" w:firstLineChars="200"/>
        <w:rPr>
          <w:rFonts w:ascii="仿宋" w:hAnsi="仿宋" w:eastAsia="仿宋" w:cs="仿宋"/>
          <w:sz w:val="24"/>
          <w:highlight w:val="none"/>
        </w:rPr>
      </w:pPr>
    </w:p>
    <w:p w14:paraId="07F67533">
      <w:pPr>
        <w:spacing w:line="360" w:lineRule="auto"/>
        <w:ind w:firstLine="420" w:firstLineChars="200"/>
        <w:rPr>
          <w:rFonts w:ascii="仿宋" w:hAnsi="仿宋" w:eastAsia="仿宋" w:cs="仿宋"/>
          <w:highlight w:val="none"/>
        </w:rPr>
      </w:pPr>
    </w:p>
    <w:p w14:paraId="6FB525AC">
      <w:pPr>
        <w:spacing w:line="360" w:lineRule="auto"/>
        <w:ind w:firstLine="420" w:firstLineChars="200"/>
        <w:rPr>
          <w:rFonts w:ascii="仿宋" w:hAnsi="仿宋" w:eastAsia="仿宋" w:cs="仿宋"/>
          <w:highlight w:val="none"/>
        </w:rPr>
      </w:pPr>
    </w:p>
    <w:p w14:paraId="5AA3C6E9">
      <w:pPr>
        <w:spacing w:line="360" w:lineRule="auto"/>
        <w:ind w:firstLine="420" w:firstLineChars="200"/>
        <w:rPr>
          <w:rFonts w:ascii="仿宋" w:hAnsi="仿宋" w:eastAsia="仿宋" w:cs="仿宋"/>
          <w:highlight w:val="none"/>
        </w:rPr>
      </w:pPr>
    </w:p>
    <w:p w14:paraId="7C303E5C">
      <w:pPr>
        <w:spacing w:line="360" w:lineRule="auto"/>
        <w:ind w:firstLine="420" w:firstLineChars="200"/>
        <w:rPr>
          <w:rFonts w:ascii="仿宋" w:hAnsi="仿宋" w:eastAsia="仿宋" w:cs="仿宋"/>
          <w:highlight w:val="none"/>
        </w:rPr>
      </w:pPr>
    </w:p>
    <w:p w14:paraId="1C6253E8">
      <w:pPr>
        <w:spacing w:line="360" w:lineRule="auto"/>
        <w:rPr>
          <w:rFonts w:ascii="仿宋" w:hAnsi="仿宋" w:eastAsia="仿宋" w:cs="仿宋"/>
          <w:b/>
          <w:sz w:val="24"/>
          <w:highlight w:val="none"/>
        </w:rPr>
      </w:pPr>
    </w:p>
    <w:p w14:paraId="329ACA83">
      <w:pPr>
        <w:spacing w:line="360" w:lineRule="auto"/>
        <w:rPr>
          <w:rFonts w:ascii="仿宋" w:hAnsi="仿宋" w:eastAsia="仿宋" w:cs="仿宋"/>
          <w:b/>
          <w:sz w:val="24"/>
          <w:highlight w:val="none"/>
        </w:rPr>
      </w:pPr>
    </w:p>
    <w:p w14:paraId="59C4D719">
      <w:pPr>
        <w:spacing w:line="360" w:lineRule="auto"/>
        <w:rPr>
          <w:rFonts w:ascii="仿宋" w:hAnsi="仿宋" w:eastAsia="仿宋" w:cs="仿宋"/>
          <w:b/>
          <w:sz w:val="24"/>
          <w:highlight w:val="none"/>
        </w:rPr>
      </w:pPr>
    </w:p>
    <w:p w14:paraId="3DDAD9A3">
      <w:pPr>
        <w:spacing w:line="360" w:lineRule="auto"/>
        <w:rPr>
          <w:rFonts w:ascii="仿宋" w:hAnsi="仿宋" w:eastAsia="仿宋" w:cs="仿宋"/>
          <w:b/>
          <w:sz w:val="24"/>
          <w:highlight w:val="none"/>
        </w:rPr>
      </w:pPr>
    </w:p>
    <w:p w14:paraId="27E273E1">
      <w:pPr>
        <w:spacing w:line="360" w:lineRule="auto"/>
        <w:rPr>
          <w:rFonts w:ascii="仿宋" w:hAnsi="仿宋" w:eastAsia="仿宋" w:cs="仿宋"/>
          <w:b/>
          <w:sz w:val="24"/>
          <w:highlight w:val="none"/>
        </w:rPr>
      </w:pPr>
    </w:p>
    <w:p w14:paraId="06218CC2">
      <w:pPr>
        <w:spacing w:line="360" w:lineRule="auto"/>
        <w:rPr>
          <w:rFonts w:ascii="仿宋" w:hAnsi="仿宋" w:eastAsia="仿宋" w:cs="仿宋"/>
          <w:b/>
          <w:sz w:val="24"/>
          <w:highlight w:val="none"/>
        </w:rPr>
      </w:pPr>
    </w:p>
    <w:p w14:paraId="3F5EC51E">
      <w:pPr>
        <w:spacing w:line="360" w:lineRule="auto"/>
        <w:rPr>
          <w:rFonts w:ascii="仿宋" w:hAnsi="仿宋" w:eastAsia="仿宋" w:cs="仿宋"/>
          <w:b/>
          <w:sz w:val="24"/>
          <w:highlight w:val="none"/>
        </w:rPr>
      </w:pPr>
    </w:p>
    <w:p w14:paraId="1ACA0ABF">
      <w:pPr>
        <w:spacing w:line="360" w:lineRule="auto"/>
        <w:rPr>
          <w:rFonts w:ascii="仿宋" w:hAnsi="仿宋" w:eastAsia="仿宋" w:cs="仿宋"/>
          <w:b/>
          <w:sz w:val="24"/>
          <w:highlight w:val="none"/>
        </w:rPr>
      </w:pPr>
    </w:p>
    <w:p w14:paraId="4ED4BD4E">
      <w:pPr>
        <w:spacing w:line="360" w:lineRule="auto"/>
        <w:rPr>
          <w:rFonts w:ascii="仿宋" w:hAnsi="仿宋" w:eastAsia="仿宋" w:cs="仿宋"/>
          <w:b/>
          <w:sz w:val="24"/>
          <w:highlight w:val="none"/>
        </w:rPr>
      </w:pPr>
    </w:p>
    <w:p w14:paraId="64F82267">
      <w:pPr>
        <w:spacing w:line="360" w:lineRule="auto"/>
        <w:jc w:val="left"/>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27B1BA5B">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1147E7BA">
      <w:pPr>
        <w:snapToGrid w:val="0"/>
        <w:spacing w:before="240" w:beforeLines="100" w:line="360" w:lineRule="auto"/>
        <w:rPr>
          <w:rFonts w:ascii="仿宋" w:hAnsi="仿宋" w:eastAsia="仿宋" w:cs="仿宋"/>
          <w:bCs/>
          <w:sz w:val="24"/>
          <w:highlight w:val="none"/>
        </w:rPr>
      </w:pPr>
      <w:r>
        <w:rPr>
          <w:rFonts w:hint="eastAsia" w:ascii="仿宋" w:hAnsi="仿宋" w:eastAsia="仿宋" w:cs="仿宋"/>
          <w:bCs/>
          <w:sz w:val="24"/>
          <w:highlight w:val="none"/>
        </w:rPr>
        <w:t>一、质疑供应商基本信息</w:t>
      </w:r>
    </w:p>
    <w:p w14:paraId="071CEFD1">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质疑供应商：</w:t>
      </w:r>
    </w:p>
    <w:p w14:paraId="7A6C1D00">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地址：邮编：</w:t>
      </w:r>
    </w:p>
    <w:p w14:paraId="295D366A">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联系人：联系电话：</w:t>
      </w:r>
    </w:p>
    <w:p w14:paraId="698332C1">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授权代表：</w:t>
      </w:r>
    </w:p>
    <w:p w14:paraId="2F628C08">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联系电话：</w:t>
      </w:r>
    </w:p>
    <w:p w14:paraId="26F63368">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 邮编：</w:t>
      </w:r>
    </w:p>
    <w:p w14:paraId="03162CF3">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二、质疑项目基本情况</w:t>
      </w:r>
    </w:p>
    <w:p w14:paraId="138E016E">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质疑项目的名称：</w:t>
      </w:r>
    </w:p>
    <w:p w14:paraId="35F9E9F0">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质疑项目的编号：包号：</w:t>
      </w:r>
    </w:p>
    <w:p w14:paraId="1E0E489B">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采购人名称：</w:t>
      </w:r>
    </w:p>
    <w:p w14:paraId="51614F14">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采购文件获取日期：</w:t>
      </w:r>
    </w:p>
    <w:p w14:paraId="4AED8DB6">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三、质疑事项具体内容</w:t>
      </w:r>
    </w:p>
    <w:p w14:paraId="2B4CA0C3">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质疑事项1：</w:t>
      </w:r>
    </w:p>
    <w:p w14:paraId="621CD471">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事实依据：</w:t>
      </w:r>
    </w:p>
    <w:p w14:paraId="6F5483FE">
      <w:pPr>
        <w:snapToGrid w:val="0"/>
        <w:spacing w:line="360" w:lineRule="auto"/>
        <w:rPr>
          <w:rFonts w:ascii="仿宋" w:hAnsi="仿宋" w:eastAsia="仿宋" w:cs="仿宋"/>
          <w:sz w:val="24"/>
          <w:highlight w:val="none"/>
        </w:rPr>
      </w:pPr>
    </w:p>
    <w:p w14:paraId="38749236">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法律依据：</w:t>
      </w:r>
    </w:p>
    <w:p w14:paraId="06243C2E">
      <w:pPr>
        <w:snapToGrid w:val="0"/>
        <w:spacing w:line="360" w:lineRule="auto"/>
        <w:rPr>
          <w:rFonts w:ascii="仿宋" w:hAnsi="仿宋" w:eastAsia="仿宋" w:cs="仿宋"/>
          <w:sz w:val="24"/>
          <w:highlight w:val="none"/>
          <w:u w:val="dotted"/>
        </w:rPr>
      </w:pPr>
    </w:p>
    <w:p w14:paraId="7F2FE0C5">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质疑事项2</w:t>
      </w:r>
    </w:p>
    <w:p w14:paraId="1F26B5A8">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w:t>
      </w:r>
    </w:p>
    <w:p w14:paraId="58BF3681">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52368E82">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请求：</w:t>
      </w:r>
    </w:p>
    <w:p w14:paraId="7502A5BF">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签字(签章)：                   公章：                      </w:t>
      </w:r>
    </w:p>
    <w:p w14:paraId="6858DEA5">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日期：    </w:t>
      </w:r>
    </w:p>
    <w:p w14:paraId="627DE259">
      <w:pPr>
        <w:spacing w:line="360" w:lineRule="auto"/>
        <w:jc w:val="center"/>
        <w:rPr>
          <w:rFonts w:ascii="仿宋" w:hAnsi="仿宋" w:eastAsia="仿宋" w:cs="仿宋"/>
          <w:b/>
          <w:bCs/>
          <w:sz w:val="24"/>
          <w:highlight w:val="none"/>
        </w:rPr>
      </w:pPr>
    </w:p>
    <w:p w14:paraId="477A7F24">
      <w:pPr>
        <w:spacing w:line="360" w:lineRule="auto"/>
        <w:rPr>
          <w:rFonts w:ascii="仿宋" w:hAnsi="仿宋" w:eastAsia="仿宋" w:cs="仿宋"/>
          <w:b/>
          <w:sz w:val="24"/>
          <w:highlight w:val="none"/>
        </w:rPr>
      </w:pPr>
    </w:p>
    <w:p w14:paraId="7CE44DC7">
      <w:pPr>
        <w:spacing w:line="360" w:lineRule="auto"/>
        <w:rPr>
          <w:rFonts w:ascii="仿宋" w:hAnsi="仿宋" w:eastAsia="仿宋" w:cs="仿宋"/>
          <w:b/>
          <w:sz w:val="24"/>
          <w:highlight w:val="none"/>
        </w:rPr>
      </w:pPr>
    </w:p>
    <w:p w14:paraId="77979A4F">
      <w:pPr>
        <w:spacing w:line="360" w:lineRule="auto"/>
        <w:rPr>
          <w:rFonts w:ascii="仿宋" w:hAnsi="仿宋" w:eastAsia="仿宋" w:cs="仿宋"/>
          <w:b/>
          <w:sz w:val="24"/>
          <w:highlight w:val="none"/>
        </w:rPr>
      </w:pPr>
    </w:p>
    <w:p w14:paraId="7211F730">
      <w:pPr>
        <w:spacing w:line="360" w:lineRule="auto"/>
        <w:rPr>
          <w:rFonts w:ascii="仿宋" w:hAnsi="仿宋" w:eastAsia="仿宋" w:cs="仿宋"/>
          <w:b/>
          <w:sz w:val="24"/>
          <w:highlight w:val="none"/>
        </w:rPr>
      </w:pPr>
      <w:r>
        <w:rPr>
          <w:rFonts w:hint="eastAsia" w:ascii="仿宋" w:hAnsi="仿宋" w:eastAsia="仿宋" w:cs="仿宋"/>
          <w:b/>
          <w:sz w:val="24"/>
          <w:highlight w:val="none"/>
        </w:rPr>
        <w:t>质疑函制作说明：</w:t>
      </w:r>
    </w:p>
    <w:p w14:paraId="38F3C067">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5CBF964D">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4817C877">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33A45D1F">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7944BDB0">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318BD0FF">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6776C5B7">
      <w:pPr>
        <w:widowControl/>
        <w:spacing w:line="360" w:lineRule="auto"/>
        <w:ind w:firstLine="600" w:firstLineChars="200"/>
        <w:jc w:val="left"/>
        <w:rPr>
          <w:rFonts w:ascii="仿宋" w:hAnsi="仿宋" w:eastAsia="仿宋" w:cs="仿宋"/>
          <w:sz w:val="30"/>
          <w:szCs w:val="30"/>
          <w:highlight w:val="none"/>
        </w:rPr>
      </w:pPr>
    </w:p>
    <w:p w14:paraId="1EB2FAC3">
      <w:pPr>
        <w:spacing w:line="360" w:lineRule="auto"/>
        <w:jc w:val="center"/>
        <w:rPr>
          <w:rFonts w:ascii="仿宋" w:hAnsi="仿宋" w:eastAsia="仿宋" w:cs="仿宋"/>
          <w:b/>
          <w:spacing w:val="6"/>
          <w:sz w:val="32"/>
          <w:szCs w:val="32"/>
          <w:highlight w:val="none"/>
        </w:rPr>
      </w:pPr>
    </w:p>
    <w:p w14:paraId="4186B0B6">
      <w:pPr>
        <w:spacing w:line="360" w:lineRule="auto"/>
        <w:jc w:val="center"/>
        <w:rPr>
          <w:rFonts w:ascii="仿宋" w:hAnsi="仿宋" w:eastAsia="仿宋" w:cs="仿宋"/>
          <w:b/>
          <w:spacing w:val="6"/>
          <w:sz w:val="32"/>
          <w:szCs w:val="32"/>
          <w:highlight w:val="none"/>
        </w:rPr>
      </w:pPr>
    </w:p>
    <w:p w14:paraId="427D9E6B">
      <w:pPr>
        <w:spacing w:line="360" w:lineRule="auto"/>
        <w:jc w:val="center"/>
        <w:rPr>
          <w:rFonts w:ascii="仿宋" w:hAnsi="仿宋" w:eastAsia="仿宋" w:cs="仿宋"/>
          <w:b/>
          <w:spacing w:val="6"/>
          <w:sz w:val="32"/>
          <w:szCs w:val="32"/>
          <w:highlight w:val="none"/>
        </w:rPr>
      </w:pPr>
    </w:p>
    <w:p w14:paraId="73918E6E">
      <w:pPr>
        <w:spacing w:line="360" w:lineRule="auto"/>
        <w:jc w:val="center"/>
        <w:rPr>
          <w:rFonts w:ascii="仿宋" w:hAnsi="仿宋" w:eastAsia="仿宋" w:cs="仿宋"/>
          <w:b/>
          <w:spacing w:val="6"/>
          <w:sz w:val="32"/>
          <w:szCs w:val="32"/>
          <w:highlight w:val="none"/>
        </w:rPr>
      </w:pPr>
    </w:p>
    <w:p w14:paraId="73DE01C8">
      <w:pPr>
        <w:spacing w:line="360" w:lineRule="auto"/>
        <w:jc w:val="center"/>
        <w:rPr>
          <w:rFonts w:ascii="仿宋" w:hAnsi="仿宋" w:eastAsia="仿宋" w:cs="仿宋"/>
          <w:b/>
          <w:spacing w:val="6"/>
          <w:sz w:val="32"/>
          <w:szCs w:val="32"/>
          <w:highlight w:val="none"/>
        </w:rPr>
      </w:pPr>
    </w:p>
    <w:p w14:paraId="7F00BA16">
      <w:pPr>
        <w:spacing w:line="360" w:lineRule="auto"/>
        <w:jc w:val="center"/>
        <w:rPr>
          <w:rFonts w:ascii="仿宋" w:hAnsi="仿宋" w:eastAsia="仿宋" w:cs="仿宋"/>
          <w:b/>
          <w:spacing w:val="6"/>
          <w:sz w:val="32"/>
          <w:szCs w:val="32"/>
          <w:highlight w:val="none"/>
        </w:rPr>
      </w:pPr>
    </w:p>
    <w:p w14:paraId="155F1D7B">
      <w:pPr>
        <w:spacing w:line="360" w:lineRule="auto"/>
        <w:jc w:val="center"/>
        <w:rPr>
          <w:rFonts w:ascii="仿宋" w:hAnsi="仿宋" w:eastAsia="仿宋" w:cs="仿宋"/>
          <w:b/>
          <w:spacing w:val="6"/>
          <w:sz w:val="32"/>
          <w:szCs w:val="32"/>
          <w:highlight w:val="none"/>
        </w:rPr>
      </w:pPr>
    </w:p>
    <w:p w14:paraId="16F32FE2">
      <w:pPr>
        <w:spacing w:line="360" w:lineRule="auto"/>
        <w:jc w:val="center"/>
        <w:rPr>
          <w:rFonts w:ascii="仿宋" w:hAnsi="仿宋" w:eastAsia="仿宋" w:cs="仿宋"/>
          <w:b/>
          <w:spacing w:val="6"/>
          <w:sz w:val="32"/>
          <w:szCs w:val="32"/>
          <w:highlight w:val="none"/>
        </w:rPr>
      </w:pPr>
    </w:p>
    <w:p w14:paraId="2F5330F2">
      <w:pPr>
        <w:spacing w:line="360" w:lineRule="auto"/>
        <w:jc w:val="center"/>
        <w:rPr>
          <w:rFonts w:ascii="仿宋" w:hAnsi="仿宋" w:eastAsia="仿宋" w:cs="仿宋"/>
          <w:b/>
          <w:spacing w:val="6"/>
          <w:sz w:val="32"/>
          <w:szCs w:val="32"/>
          <w:highlight w:val="none"/>
        </w:rPr>
      </w:pPr>
    </w:p>
    <w:p w14:paraId="32755865">
      <w:pPr>
        <w:spacing w:line="360" w:lineRule="auto"/>
        <w:jc w:val="center"/>
        <w:rPr>
          <w:rFonts w:ascii="仿宋" w:hAnsi="仿宋" w:eastAsia="仿宋" w:cs="仿宋"/>
          <w:b/>
          <w:spacing w:val="6"/>
          <w:sz w:val="32"/>
          <w:szCs w:val="32"/>
          <w:highlight w:val="none"/>
        </w:rPr>
      </w:pPr>
    </w:p>
    <w:p w14:paraId="184BE11D">
      <w:pPr>
        <w:spacing w:line="360" w:lineRule="auto"/>
        <w:jc w:val="center"/>
        <w:rPr>
          <w:rFonts w:ascii="仿宋" w:hAnsi="仿宋" w:eastAsia="仿宋" w:cs="仿宋"/>
          <w:b/>
          <w:spacing w:val="6"/>
          <w:sz w:val="32"/>
          <w:szCs w:val="32"/>
          <w:highlight w:val="none"/>
        </w:rPr>
      </w:pPr>
    </w:p>
    <w:p w14:paraId="75650382">
      <w:pPr>
        <w:spacing w:line="360" w:lineRule="auto"/>
        <w:jc w:val="center"/>
        <w:rPr>
          <w:rFonts w:ascii="仿宋" w:hAnsi="仿宋" w:eastAsia="仿宋" w:cs="仿宋"/>
          <w:b/>
          <w:spacing w:val="6"/>
          <w:sz w:val="32"/>
          <w:szCs w:val="32"/>
          <w:highlight w:val="none"/>
        </w:rPr>
      </w:pPr>
    </w:p>
    <w:p w14:paraId="1A29F95C">
      <w:pPr>
        <w:spacing w:line="360" w:lineRule="auto"/>
        <w:jc w:val="left"/>
        <w:rPr>
          <w:rFonts w:ascii="仿宋" w:hAnsi="仿宋" w:eastAsia="仿宋" w:cs="仿宋"/>
          <w:b/>
          <w:spacing w:val="6"/>
          <w:sz w:val="32"/>
          <w:szCs w:val="32"/>
          <w:highlight w:val="none"/>
        </w:rPr>
      </w:pPr>
    </w:p>
    <w:p w14:paraId="16CF6916">
      <w:pPr>
        <w:spacing w:line="360" w:lineRule="auto"/>
        <w:jc w:val="left"/>
        <w:rPr>
          <w:rFonts w:ascii="仿宋" w:hAnsi="仿宋" w:eastAsia="仿宋" w:cs="仿宋"/>
          <w:b/>
          <w:spacing w:val="6"/>
          <w:sz w:val="32"/>
          <w:szCs w:val="32"/>
          <w:highlight w:val="none"/>
        </w:rPr>
      </w:pPr>
    </w:p>
    <w:p w14:paraId="5DBAE00A">
      <w:pPr>
        <w:spacing w:line="360" w:lineRule="auto"/>
        <w:jc w:val="left"/>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515B91D8">
      <w:pPr>
        <w:spacing w:line="360" w:lineRule="auto"/>
        <w:jc w:val="center"/>
        <w:rPr>
          <w:rFonts w:ascii="仿宋" w:hAnsi="仿宋" w:eastAsia="仿宋" w:cs="仿宋"/>
          <w:b/>
          <w:sz w:val="24"/>
          <w:highlight w:val="none"/>
        </w:rPr>
      </w:pPr>
    </w:p>
    <w:p w14:paraId="31DED7B7">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2888D35F">
      <w:pPr>
        <w:spacing w:line="360" w:lineRule="auto"/>
        <w:rPr>
          <w:rFonts w:ascii="仿宋" w:hAnsi="仿宋" w:eastAsia="仿宋" w:cs="仿宋"/>
          <w:sz w:val="24"/>
          <w:highlight w:val="none"/>
        </w:rPr>
      </w:pPr>
      <w:r>
        <w:rPr>
          <w:rFonts w:hint="eastAsia" w:ascii="仿宋" w:hAnsi="仿宋" w:eastAsia="仿宋" w:cs="仿宋"/>
          <w:sz w:val="24"/>
          <w:highlight w:val="none"/>
        </w:rPr>
        <w:t>一、投诉相关主体基本情况</w:t>
      </w:r>
    </w:p>
    <w:p w14:paraId="41940B29">
      <w:pPr>
        <w:spacing w:line="360" w:lineRule="auto"/>
        <w:rPr>
          <w:rFonts w:ascii="仿宋" w:hAnsi="仿宋" w:eastAsia="仿宋" w:cs="仿宋"/>
          <w:sz w:val="24"/>
          <w:highlight w:val="none"/>
          <w:u w:val="dotted"/>
        </w:rPr>
      </w:pPr>
      <w:r>
        <w:rPr>
          <w:rFonts w:hint="eastAsia" w:ascii="仿宋" w:hAnsi="仿宋" w:eastAsia="仿宋" w:cs="仿宋"/>
          <w:sz w:val="24"/>
          <w:highlight w:val="none"/>
        </w:rPr>
        <w:t>投诉人：</w:t>
      </w:r>
    </w:p>
    <w:p w14:paraId="6D3D6495">
      <w:pPr>
        <w:spacing w:line="360" w:lineRule="auto"/>
        <w:rPr>
          <w:rFonts w:ascii="仿宋" w:hAnsi="仿宋" w:eastAsia="仿宋" w:cs="仿宋"/>
          <w:sz w:val="24"/>
          <w:highlight w:val="none"/>
          <w:u w:val="single"/>
        </w:rPr>
      </w:pPr>
      <w:r>
        <w:rPr>
          <w:rFonts w:hint="eastAsia" w:ascii="仿宋" w:hAnsi="仿宋" w:eastAsia="仿宋" w:cs="仿宋"/>
          <w:sz w:val="24"/>
          <w:highlight w:val="none"/>
        </w:rPr>
        <w:t>地     址：邮编：</w:t>
      </w:r>
    </w:p>
    <w:p w14:paraId="39693D57">
      <w:pPr>
        <w:tabs>
          <w:tab w:val="left" w:pos="6510"/>
        </w:tabs>
        <w:spacing w:line="360" w:lineRule="auto"/>
        <w:jc w:val="left"/>
        <w:rPr>
          <w:rFonts w:ascii="仿宋" w:hAnsi="仿宋" w:eastAsia="仿宋" w:cs="仿宋"/>
          <w:sz w:val="24"/>
          <w:highlight w:val="none"/>
        </w:rPr>
      </w:pPr>
      <w:r>
        <w:rPr>
          <w:rFonts w:hint="eastAsia" w:ascii="仿宋" w:hAnsi="仿宋" w:eastAsia="仿宋" w:cs="仿宋"/>
          <w:sz w:val="24"/>
          <w:highlight w:val="none"/>
        </w:rPr>
        <w:t>法定代表人/主要负责人：</w:t>
      </w:r>
    </w:p>
    <w:p w14:paraId="0914A8C9">
      <w:pPr>
        <w:tabs>
          <w:tab w:val="left" w:pos="6510"/>
        </w:tabs>
        <w:spacing w:line="360" w:lineRule="auto"/>
        <w:rPr>
          <w:rFonts w:ascii="仿宋" w:hAnsi="仿宋" w:eastAsia="仿宋" w:cs="仿宋"/>
          <w:sz w:val="24"/>
          <w:highlight w:val="none"/>
          <w:u w:val="dotted"/>
        </w:rPr>
      </w:pPr>
      <w:r>
        <w:rPr>
          <w:rFonts w:hint="eastAsia" w:ascii="仿宋" w:hAnsi="仿宋" w:eastAsia="仿宋" w:cs="仿宋"/>
          <w:sz w:val="24"/>
          <w:highlight w:val="none"/>
        </w:rPr>
        <w:t>联系电话：</w:t>
      </w:r>
    </w:p>
    <w:p w14:paraId="6BA6CF18">
      <w:pPr>
        <w:spacing w:line="360" w:lineRule="auto"/>
        <w:rPr>
          <w:rFonts w:ascii="仿宋" w:hAnsi="仿宋" w:eastAsia="仿宋" w:cs="仿宋"/>
          <w:sz w:val="24"/>
          <w:highlight w:val="none"/>
          <w:u w:val="dotted"/>
        </w:rPr>
      </w:pPr>
      <w:r>
        <w:rPr>
          <w:rFonts w:hint="eastAsia" w:ascii="仿宋" w:hAnsi="仿宋" w:eastAsia="仿宋" w:cs="仿宋"/>
          <w:sz w:val="24"/>
          <w:highlight w:val="none"/>
        </w:rPr>
        <w:t>授权代表：联系电话</w:t>
      </w:r>
      <w:r>
        <w:rPr>
          <w:rFonts w:hint="eastAsia" w:ascii="仿宋" w:hAnsi="仿宋" w:eastAsia="仿宋" w:cs="仿宋"/>
          <w:sz w:val="24"/>
          <w:highlight w:val="none"/>
          <w:u w:val="dotted"/>
        </w:rPr>
        <w:t xml:space="preserve">：                  </w:t>
      </w:r>
    </w:p>
    <w:p w14:paraId="3720839E">
      <w:pPr>
        <w:spacing w:line="360" w:lineRule="auto"/>
        <w:rPr>
          <w:rFonts w:ascii="仿宋" w:hAnsi="仿宋" w:eastAsia="仿宋" w:cs="仿宋"/>
          <w:sz w:val="24"/>
          <w:highlight w:val="none"/>
          <w:u w:val="dotted"/>
        </w:rPr>
      </w:pPr>
      <w:r>
        <w:rPr>
          <w:rFonts w:hint="eastAsia" w:ascii="仿宋" w:hAnsi="仿宋" w:eastAsia="仿宋" w:cs="仿宋"/>
          <w:sz w:val="24"/>
          <w:highlight w:val="none"/>
        </w:rPr>
        <w:t>地     址：邮编：</w:t>
      </w:r>
    </w:p>
    <w:p w14:paraId="756C2298">
      <w:pPr>
        <w:spacing w:line="360" w:lineRule="auto"/>
        <w:rPr>
          <w:rFonts w:ascii="仿宋" w:hAnsi="仿宋" w:eastAsia="仿宋" w:cs="仿宋"/>
          <w:sz w:val="24"/>
          <w:highlight w:val="none"/>
          <w:u w:val="single"/>
        </w:rPr>
      </w:pPr>
      <w:r>
        <w:rPr>
          <w:rFonts w:hint="eastAsia" w:ascii="仿宋" w:hAnsi="仿宋" w:eastAsia="仿宋" w:cs="仿宋"/>
          <w:sz w:val="24"/>
          <w:highlight w:val="none"/>
        </w:rPr>
        <w:t>被投诉人1：</w:t>
      </w:r>
    </w:p>
    <w:p w14:paraId="263879DC">
      <w:pPr>
        <w:spacing w:line="360" w:lineRule="auto"/>
        <w:rPr>
          <w:rFonts w:ascii="仿宋" w:hAnsi="仿宋" w:eastAsia="仿宋" w:cs="仿宋"/>
          <w:sz w:val="24"/>
          <w:highlight w:val="none"/>
          <w:u w:val="single"/>
        </w:rPr>
      </w:pPr>
      <w:r>
        <w:rPr>
          <w:rFonts w:hint="eastAsia" w:ascii="仿宋" w:hAnsi="仿宋" w:eastAsia="仿宋" w:cs="仿宋"/>
          <w:sz w:val="24"/>
          <w:highlight w:val="none"/>
        </w:rPr>
        <w:t>地     址：邮编：</w:t>
      </w:r>
    </w:p>
    <w:p w14:paraId="3144710D">
      <w:pPr>
        <w:spacing w:line="360" w:lineRule="auto"/>
        <w:rPr>
          <w:rFonts w:ascii="仿宋" w:hAnsi="仿宋" w:eastAsia="仿宋" w:cs="仿宋"/>
          <w:sz w:val="24"/>
          <w:highlight w:val="none"/>
          <w:u w:val="single"/>
        </w:rPr>
      </w:pPr>
      <w:r>
        <w:rPr>
          <w:rFonts w:hint="eastAsia" w:ascii="仿宋" w:hAnsi="仿宋" w:eastAsia="仿宋" w:cs="仿宋"/>
          <w:sz w:val="24"/>
          <w:highlight w:val="none"/>
        </w:rPr>
        <w:t>联系人：联系电话：</w:t>
      </w:r>
    </w:p>
    <w:p w14:paraId="0D0C515C">
      <w:pPr>
        <w:spacing w:line="360" w:lineRule="auto"/>
        <w:rPr>
          <w:rFonts w:ascii="仿宋" w:hAnsi="仿宋" w:eastAsia="仿宋" w:cs="仿宋"/>
          <w:sz w:val="24"/>
          <w:highlight w:val="none"/>
        </w:rPr>
      </w:pPr>
      <w:r>
        <w:rPr>
          <w:rFonts w:hint="eastAsia" w:ascii="仿宋" w:hAnsi="仿宋" w:eastAsia="仿宋" w:cs="仿宋"/>
          <w:sz w:val="24"/>
          <w:highlight w:val="none"/>
        </w:rPr>
        <w:t>被投诉人2</w:t>
      </w:r>
    </w:p>
    <w:p w14:paraId="2CBB5A38">
      <w:pPr>
        <w:spacing w:line="360" w:lineRule="auto"/>
        <w:rPr>
          <w:rFonts w:ascii="仿宋" w:hAnsi="仿宋" w:eastAsia="仿宋" w:cs="仿宋"/>
          <w:sz w:val="24"/>
          <w:highlight w:val="none"/>
          <w:u w:val="dotted"/>
        </w:rPr>
      </w:pPr>
      <w:r>
        <w:rPr>
          <w:rFonts w:hint="eastAsia" w:ascii="仿宋" w:hAnsi="仿宋" w:eastAsia="仿宋" w:cs="仿宋"/>
          <w:sz w:val="24"/>
          <w:highlight w:val="none"/>
        </w:rPr>
        <w:t>……</w:t>
      </w:r>
    </w:p>
    <w:p w14:paraId="125E00DA">
      <w:pPr>
        <w:spacing w:line="360" w:lineRule="auto"/>
        <w:rPr>
          <w:rFonts w:ascii="仿宋" w:hAnsi="仿宋" w:eastAsia="仿宋" w:cs="仿宋"/>
          <w:sz w:val="24"/>
          <w:highlight w:val="none"/>
          <w:u w:val="single"/>
        </w:rPr>
      </w:pPr>
      <w:r>
        <w:rPr>
          <w:rFonts w:hint="eastAsia" w:ascii="仿宋" w:hAnsi="仿宋" w:eastAsia="仿宋" w:cs="仿宋"/>
          <w:sz w:val="24"/>
          <w:highlight w:val="none"/>
        </w:rPr>
        <w:t>相关供应商：</w:t>
      </w:r>
    </w:p>
    <w:p w14:paraId="002BD116">
      <w:pPr>
        <w:spacing w:line="360" w:lineRule="auto"/>
        <w:rPr>
          <w:rFonts w:ascii="仿宋" w:hAnsi="仿宋" w:eastAsia="仿宋" w:cs="仿宋"/>
          <w:sz w:val="24"/>
          <w:highlight w:val="none"/>
          <w:u w:val="single"/>
        </w:rPr>
      </w:pPr>
      <w:r>
        <w:rPr>
          <w:rFonts w:hint="eastAsia" w:ascii="仿宋" w:hAnsi="仿宋" w:eastAsia="仿宋" w:cs="仿宋"/>
          <w:sz w:val="24"/>
          <w:highlight w:val="none"/>
        </w:rPr>
        <w:t>地     址：邮编：</w:t>
      </w:r>
    </w:p>
    <w:p w14:paraId="1F84D00A">
      <w:pPr>
        <w:spacing w:line="360" w:lineRule="auto"/>
        <w:rPr>
          <w:rFonts w:ascii="仿宋" w:hAnsi="仿宋" w:eastAsia="仿宋" w:cs="仿宋"/>
          <w:sz w:val="24"/>
          <w:highlight w:val="none"/>
          <w:u w:val="single"/>
        </w:rPr>
      </w:pPr>
      <w:r>
        <w:rPr>
          <w:rFonts w:hint="eastAsia" w:ascii="仿宋" w:hAnsi="仿宋" w:eastAsia="仿宋" w:cs="仿宋"/>
          <w:sz w:val="24"/>
          <w:highlight w:val="none"/>
        </w:rPr>
        <w:t>联系人：联系电话：</w:t>
      </w:r>
    </w:p>
    <w:p w14:paraId="1F3937A4">
      <w:pPr>
        <w:spacing w:line="360" w:lineRule="auto"/>
        <w:rPr>
          <w:rFonts w:ascii="仿宋" w:hAnsi="仿宋" w:eastAsia="仿宋" w:cs="仿宋"/>
          <w:sz w:val="24"/>
          <w:highlight w:val="none"/>
        </w:rPr>
      </w:pPr>
      <w:r>
        <w:rPr>
          <w:rFonts w:hint="eastAsia" w:ascii="仿宋" w:hAnsi="仿宋" w:eastAsia="仿宋" w:cs="仿宋"/>
          <w:sz w:val="24"/>
          <w:highlight w:val="none"/>
        </w:rPr>
        <w:t>二、投诉项目基本情况</w:t>
      </w:r>
    </w:p>
    <w:p w14:paraId="23E5B991">
      <w:pPr>
        <w:spacing w:line="360" w:lineRule="auto"/>
        <w:rPr>
          <w:rFonts w:ascii="仿宋" w:hAnsi="仿宋" w:eastAsia="仿宋" w:cs="仿宋"/>
          <w:sz w:val="24"/>
          <w:highlight w:val="none"/>
          <w:u w:val="dotted"/>
        </w:rPr>
      </w:pPr>
      <w:r>
        <w:rPr>
          <w:rFonts w:hint="eastAsia" w:ascii="仿宋" w:hAnsi="仿宋" w:eastAsia="仿宋" w:cs="仿宋"/>
          <w:sz w:val="24"/>
          <w:highlight w:val="none"/>
        </w:rPr>
        <w:t>采购项目名称：</w:t>
      </w:r>
    </w:p>
    <w:p w14:paraId="169DCA7E">
      <w:pPr>
        <w:spacing w:line="360" w:lineRule="auto"/>
        <w:rPr>
          <w:rFonts w:ascii="仿宋" w:hAnsi="仿宋" w:eastAsia="仿宋" w:cs="仿宋"/>
          <w:sz w:val="24"/>
          <w:highlight w:val="none"/>
          <w:u w:val="single"/>
        </w:rPr>
      </w:pPr>
      <w:r>
        <w:rPr>
          <w:rFonts w:hint="eastAsia" w:ascii="仿宋" w:hAnsi="仿宋" w:eastAsia="仿宋" w:cs="仿宋"/>
          <w:sz w:val="24"/>
          <w:highlight w:val="none"/>
        </w:rPr>
        <w:t>采购项目编号：包号：</w:t>
      </w:r>
    </w:p>
    <w:p w14:paraId="504FE877">
      <w:pPr>
        <w:spacing w:line="360" w:lineRule="auto"/>
        <w:rPr>
          <w:rFonts w:ascii="仿宋" w:hAnsi="仿宋" w:eastAsia="仿宋" w:cs="仿宋"/>
          <w:sz w:val="24"/>
          <w:highlight w:val="none"/>
        </w:rPr>
      </w:pPr>
      <w:r>
        <w:rPr>
          <w:rFonts w:hint="eastAsia" w:ascii="仿宋" w:hAnsi="仿宋" w:eastAsia="仿宋" w:cs="仿宋"/>
          <w:sz w:val="24"/>
          <w:highlight w:val="none"/>
        </w:rPr>
        <w:t>采购人名称：</w:t>
      </w:r>
    </w:p>
    <w:p w14:paraId="5762E031">
      <w:pPr>
        <w:spacing w:line="360" w:lineRule="auto"/>
        <w:rPr>
          <w:rFonts w:ascii="仿宋" w:hAnsi="仿宋" w:eastAsia="仿宋" w:cs="仿宋"/>
          <w:sz w:val="24"/>
          <w:highlight w:val="none"/>
          <w:u w:val="single"/>
        </w:rPr>
      </w:pPr>
      <w:r>
        <w:rPr>
          <w:rFonts w:hint="eastAsia" w:ascii="仿宋" w:hAnsi="仿宋" w:eastAsia="仿宋" w:cs="仿宋"/>
          <w:sz w:val="24"/>
          <w:highlight w:val="none"/>
        </w:rPr>
        <w:t>代理机构名称：</w:t>
      </w:r>
    </w:p>
    <w:p w14:paraId="2F109EB7">
      <w:pPr>
        <w:spacing w:line="360" w:lineRule="auto"/>
        <w:rPr>
          <w:rFonts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14:paraId="04966FCA">
      <w:pPr>
        <w:spacing w:line="360" w:lineRule="auto"/>
        <w:rPr>
          <w:rFonts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14:paraId="6125BC68">
      <w:pPr>
        <w:spacing w:line="360" w:lineRule="auto"/>
        <w:rPr>
          <w:rFonts w:ascii="仿宋" w:hAnsi="仿宋" w:eastAsia="仿宋" w:cs="仿宋"/>
          <w:sz w:val="24"/>
          <w:highlight w:val="none"/>
        </w:rPr>
      </w:pPr>
      <w:r>
        <w:rPr>
          <w:rFonts w:hint="eastAsia" w:ascii="仿宋" w:hAnsi="仿宋" w:eastAsia="仿宋" w:cs="仿宋"/>
          <w:sz w:val="24"/>
          <w:highlight w:val="none"/>
        </w:rPr>
        <w:t>三、质疑基本情况</w:t>
      </w:r>
    </w:p>
    <w:p w14:paraId="48AD5D30">
      <w:pPr>
        <w:spacing w:line="360" w:lineRule="auto"/>
        <w:ind w:firstLine="480" w:firstLineChars="200"/>
        <w:rPr>
          <w:rFonts w:ascii="仿宋" w:hAnsi="仿宋" w:eastAsia="仿宋" w:cs="仿宋"/>
          <w:sz w:val="24"/>
          <w:highlight w:val="none"/>
          <w:u w:val="dotted"/>
        </w:rPr>
      </w:pPr>
      <w:r>
        <w:rPr>
          <w:rFonts w:hint="eastAsia" w:ascii="仿宋" w:hAnsi="仿宋" w:eastAsia="仿宋" w:cs="仿宋"/>
          <w:sz w:val="24"/>
          <w:highlight w:val="none"/>
        </w:rPr>
        <w:t>投诉人于年月日,向提出质疑，质疑事项为：</w:t>
      </w:r>
    </w:p>
    <w:p w14:paraId="55EB6FD3">
      <w:pPr>
        <w:spacing w:line="360" w:lineRule="auto"/>
        <w:rPr>
          <w:rFonts w:ascii="仿宋" w:hAnsi="仿宋" w:eastAsia="仿宋" w:cs="仿宋"/>
          <w:sz w:val="24"/>
          <w:highlight w:val="none"/>
          <w:u w:val="dotted"/>
        </w:rPr>
      </w:pPr>
    </w:p>
    <w:p w14:paraId="01D70401">
      <w:pPr>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于年月日,就质疑事项作出了答复/没有在法定期限内作出答复。</w:t>
      </w:r>
    </w:p>
    <w:p w14:paraId="25AEAFD2">
      <w:pPr>
        <w:spacing w:line="360" w:lineRule="auto"/>
        <w:rPr>
          <w:rFonts w:ascii="仿宋" w:hAnsi="仿宋" w:eastAsia="仿宋" w:cs="仿宋"/>
          <w:sz w:val="24"/>
          <w:highlight w:val="none"/>
        </w:rPr>
      </w:pPr>
      <w:r>
        <w:rPr>
          <w:rFonts w:hint="eastAsia" w:ascii="仿宋" w:hAnsi="仿宋" w:eastAsia="仿宋" w:cs="仿宋"/>
          <w:sz w:val="24"/>
          <w:highlight w:val="none"/>
        </w:rPr>
        <w:t>四、投诉事项具体内容</w:t>
      </w:r>
    </w:p>
    <w:p w14:paraId="7B8B7B4C">
      <w:pPr>
        <w:spacing w:line="360" w:lineRule="auto"/>
        <w:rPr>
          <w:rFonts w:ascii="仿宋" w:hAnsi="仿宋" w:eastAsia="仿宋" w:cs="仿宋"/>
          <w:sz w:val="24"/>
          <w:highlight w:val="none"/>
          <w:u w:val="single"/>
        </w:rPr>
      </w:pPr>
      <w:r>
        <w:rPr>
          <w:rFonts w:hint="eastAsia" w:ascii="仿宋" w:hAnsi="仿宋" w:eastAsia="仿宋" w:cs="仿宋"/>
          <w:sz w:val="24"/>
          <w:highlight w:val="none"/>
        </w:rPr>
        <w:t>投诉事项 1：</w:t>
      </w:r>
    </w:p>
    <w:p w14:paraId="511DEE96">
      <w:pPr>
        <w:spacing w:line="360" w:lineRule="auto"/>
        <w:rPr>
          <w:rFonts w:ascii="仿宋" w:hAnsi="仿宋" w:eastAsia="仿宋" w:cs="仿宋"/>
          <w:sz w:val="24"/>
          <w:highlight w:val="none"/>
        </w:rPr>
      </w:pPr>
      <w:r>
        <w:rPr>
          <w:rFonts w:hint="eastAsia" w:ascii="仿宋" w:hAnsi="仿宋" w:eastAsia="仿宋" w:cs="仿宋"/>
          <w:sz w:val="24"/>
          <w:highlight w:val="none"/>
        </w:rPr>
        <w:t>事实依据：</w:t>
      </w:r>
    </w:p>
    <w:p w14:paraId="26CFE9AC">
      <w:pPr>
        <w:spacing w:line="360" w:lineRule="auto"/>
        <w:rPr>
          <w:rFonts w:ascii="仿宋" w:hAnsi="仿宋" w:eastAsia="仿宋" w:cs="仿宋"/>
          <w:sz w:val="24"/>
          <w:highlight w:val="none"/>
          <w:u w:val="dotted"/>
        </w:rPr>
      </w:pPr>
    </w:p>
    <w:p w14:paraId="6EC4A8AC">
      <w:pPr>
        <w:spacing w:line="360" w:lineRule="auto"/>
        <w:rPr>
          <w:rFonts w:ascii="仿宋" w:hAnsi="仿宋" w:eastAsia="仿宋" w:cs="仿宋"/>
          <w:sz w:val="24"/>
          <w:highlight w:val="none"/>
          <w:u w:val="single"/>
        </w:rPr>
      </w:pPr>
      <w:r>
        <w:rPr>
          <w:rFonts w:hint="eastAsia" w:ascii="仿宋" w:hAnsi="仿宋" w:eastAsia="仿宋" w:cs="仿宋"/>
          <w:sz w:val="24"/>
          <w:highlight w:val="none"/>
        </w:rPr>
        <w:t>法律依据：</w:t>
      </w:r>
    </w:p>
    <w:p w14:paraId="005811A8">
      <w:pPr>
        <w:spacing w:line="360" w:lineRule="auto"/>
        <w:rPr>
          <w:rFonts w:ascii="仿宋" w:hAnsi="仿宋" w:eastAsia="仿宋" w:cs="仿宋"/>
          <w:sz w:val="24"/>
          <w:highlight w:val="none"/>
          <w:u w:val="dotted"/>
        </w:rPr>
      </w:pPr>
    </w:p>
    <w:p w14:paraId="5E76B0C4">
      <w:pPr>
        <w:spacing w:line="360" w:lineRule="auto"/>
        <w:rPr>
          <w:rFonts w:ascii="仿宋" w:hAnsi="仿宋" w:eastAsia="仿宋" w:cs="仿宋"/>
          <w:sz w:val="24"/>
          <w:highlight w:val="none"/>
        </w:rPr>
      </w:pPr>
      <w:r>
        <w:rPr>
          <w:rFonts w:hint="eastAsia" w:ascii="仿宋" w:hAnsi="仿宋" w:eastAsia="仿宋" w:cs="仿宋"/>
          <w:sz w:val="24"/>
          <w:highlight w:val="none"/>
        </w:rPr>
        <w:t>投诉事项2</w:t>
      </w:r>
    </w:p>
    <w:p w14:paraId="599F25DD">
      <w:pPr>
        <w:spacing w:line="360" w:lineRule="auto"/>
        <w:rPr>
          <w:rFonts w:ascii="仿宋" w:hAnsi="仿宋" w:eastAsia="仿宋" w:cs="仿宋"/>
          <w:sz w:val="24"/>
          <w:highlight w:val="none"/>
          <w:u w:val="dotted"/>
        </w:rPr>
      </w:pPr>
      <w:r>
        <w:rPr>
          <w:rFonts w:hint="eastAsia" w:ascii="仿宋" w:hAnsi="仿宋" w:eastAsia="仿宋" w:cs="仿宋"/>
          <w:sz w:val="24"/>
          <w:highlight w:val="none"/>
        </w:rPr>
        <w:t>……</w:t>
      </w:r>
    </w:p>
    <w:p w14:paraId="43115A65">
      <w:pPr>
        <w:spacing w:line="360" w:lineRule="auto"/>
        <w:rPr>
          <w:rFonts w:ascii="仿宋" w:hAnsi="仿宋" w:eastAsia="仿宋" w:cs="仿宋"/>
          <w:sz w:val="24"/>
          <w:highlight w:val="none"/>
        </w:rPr>
      </w:pPr>
      <w:r>
        <w:rPr>
          <w:rFonts w:hint="eastAsia" w:ascii="仿宋" w:hAnsi="仿宋" w:eastAsia="仿宋" w:cs="仿宋"/>
          <w:sz w:val="24"/>
          <w:highlight w:val="none"/>
        </w:rPr>
        <w:t>五、与投诉事项相关的投诉请求</w:t>
      </w:r>
    </w:p>
    <w:p w14:paraId="11C8F390">
      <w:pPr>
        <w:spacing w:line="360" w:lineRule="auto"/>
        <w:rPr>
          <w:rFonts w:ascii="仿宋" w:hAnsi="仿宋" w:eastAsia="仿宋" w:cs="仿宋"/>
          <w:sz w:val="24"/>
          <w:highlight w:val="none"/>
        </w:rPr>
      </w:pPr>
      <w:r>
        <w:rPr>
          <w:rFonts w:hint="eastAsia" w:ascii="仿宋" w:hAnsi="仿宋" w:eastAsia="仿宋" w:cs="仿宋"/>
          <w:sz w:val="24"/>
          <w:highlight w:val="none"/>
        </w:rPr>
        <w:t>请求：</w:t>
      </w:r>
    </w:p>
    <w:p w14:paraId="0F41DFC5">
      <w:pPr>
        <w:spacing w:line="360" w:lineRule="auto"/>
        <w:rPr>
          <w:rFonts w:ascii="仿宋" w:hAnsi="仿宋" w:eastAsia="仿宋" w:cs="仿宋"/>
          <w:sz w:val="24"/>
          <w:highlight w:val="none"/>
          <w:u w:val="single"/>
        </w:rPr>
      </w:pPr>
    </w:p>
    <w:p w14:paraId="38370D94">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签字(签章)：                   公章：                      </w:t>
      </w:r>
    </w:p>
    <w:p w14:paraId="3CE31642">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日期：    </w:t>
      </w:r>
    </w:p>
    <w:p w14:paraId="6D6B8745">
      <w:pPr>
        <w:spacing w:line="360" w:lineRule="auto"/>
        <w:rPr>
          <w:rFonts w:ascii="仿宋" w:hAnsi="仿宋" w:eastAsia="仿宋" w:cs="仿宋"/>
          <w:b/>
          <w:sz w:val="24"/>
          <w:highlight w:val="none"/>
        </w:rPr>
      </w:pPr>
    </w:p>
    <w:p w14:paraId="51869BB7">
      <w:pPr>
        <w:spacing w:line="360" w:lineRule="auto"/>
        <w:rPr>
          <w:rFonts w:ascii="仿宋" w:hAnsi="仿宋" w:eastAsia="仿宋" w:cs="仿宋"/>
          <w:b/>
          <w:sz w:val="24"/>
          <w:highlight w:val="none"/>
        </w:rPr>
      </w:pPr>
    </w:p>
    <w:p w14:paraId="3BE05153">
      <w:pPr>
        <w:spacing w:line="360" w:lineRule="auto"/>
        <w:rPr>
          <w:rFonts w:ascii="仿宋" w:hAnsi="仿宋" w:eastAsia="仿宋" w:cs="仿宋"/>
          <w:b/>
          <w:sz w:val="24"/>
          <w:highlight w:val="none"/>
        </w:rPr>
      </w:pPr>
      <w:r>
        <w:rPr>
          <w:rFonts w:hint="eastAsia" w:ascii="仿宋" w:hAnsi="仿宋" w:eastAsia="仿宋" w:cs="仿宋"/>
          <w:b/>
          <w:sz w:val="24"/>
          <w:highlight w:val="none"/>
        </w:rPr>
        <w:t>投诉书制作说明：</w:t>
      </w:r>
    </w:p>
    <w:p w14:paraId="4729190F">
      <w:pPr>
        <w:widowControl/>
        <w:spacing w:line="360" w:lineRule="auto"/>
        <w:ind w:firstLine="480" w:firstLineChars="200"/>
        <w:rPr>
          <w:rFonts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58B119B5">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2420446B">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2754062D">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56CDD11F">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0B70A59D">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4919D4C8">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7247A165">
      <w:pPr>
        <w:spacing w:line="360" w:lineRule="auto"/>
        <w:rPr>
          <w:rFonts w:ascii="仿宋" w:hAnsi="仿宋" w:eastAsia="仿宋" w:cs="仿宋"/>
          <w:b/>
          <w:sz w:val="24"/>
          <w:highlight w:val="none"/>
        </w:rPr>
      </w:pPr>
    </w:p>
    <w:p w14:paraId="585EEF7D">
      <w:pPr>
        <w:autoSpaceDE w:val="0"/>
        <w:autoSpaceDN w:val="0"/>
        <w:jc w:val="center"/>
        <w:rPr>
          <w:rFonts w:ascii="仿宋" w:hAnsi="仿宋" w:eastAsia="仿宋" w:cs="仿宋"/>
          <w:b/>
          <w:spacing w:val="6"/>
          <w:sz w:val="32"/>
          <w:szCs w:val="32"/>
          <w:highlight w:val="none"/>
        </w:rPr>
      </w:pPr>
    </w:p>
    <w:p w14:paraId="6EF4A82B">
      <w:pPr>
        <w:autoSpaceDE w:val="0"/>
        <w:autoSpaceDN w:val="0"/>
        <w:jc w:val="center"/>
        <w:rPr>
          <w:rFonts w:ascii="仿宋" w:hAnsi="仿宋" w:eastAsia="仿宋" w:cs="仿宋"/>
          <w:b/>
          <w:spacing w:val="6"/>
          <w:sz w:val="32"/>
          <w:szCs w:val="32"/>
          <w:highlight w:val="none"/>
        </w:rPr>
      </w:pPr>
    </w:p>
    <w:p w14:paraId="4040762A">
      <w:pPr>
        <w:autoSpaceDE w:val="0"/>
        <w:autoSpaceDN w:val="0"/>
        <w:jc w:val="center"/>
        <w:rPr>
          <w:rFonts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14:paraId="257D0483">
      <w:pPr>
        <w:spacing w:line="360" w:lineRule="auto"/>
        <w:rPr>
          <w:rFonts w:ascii="仿宋" w:hAnsi="仿宋" w:eastAsia="仿宋" w:cs="仿宋"/>
          <w:sz w:val="24"/>
          <w:highlight w:val="none"/>
          <w:u w:val="single"/>
        </w:rPr>
      </w:pPr>
    </w:p>
    <w:p w14:paraId="20F01316">
      <w:pPr>
        <w:spacing w:line="360" w:lineRule="auto"/>
        <w:rPr>
          <w:rFonts w:ascii="仿宋" w:hAnsi="仿宋" w:eastAsia="仿宋" w:cs="仿宋"/>
          <w:sz w:val="24"/>
          <w:highlight w:val="none"/>
        </w:rPr>
      </w:pPr>
      <w:r>
        <w:rPr>
          <w:rFonts w:hint="eastAsia" w:ascii="仿宋" w:hAnsi="仿宋" w:eastAsia="仿宋" w:cs="仿宋"/>
          <w:sz w:val="24"/>
          <w:highlight w:val="none"/>
          <w:u w:val="single"/>
        </w:rPr>
        <w:t>杭州市公安局交通警察支队、浙江信达咨询监理有限公司：</w:t>
      </w:r>
    </w:p>
    <w:p w14:paraId="6C12A67F">
      <w:pPr>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你方组织的2025年杭州交警业务系统租赁使用服务-2025年5G便携式视音频设备使用项目【招标编号：HZSGAJ-2025-17（代)】</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73A7B66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特此说明。</w:t>
      </w:r>
    </w:p>
    <w:p w14:paraId="4351F11E">
      <w:pPr>
        <w:spacing w:line="360" w:lineRule="auto"/>
        <w:ind w:firstLine="494"/>
        <w:rPr>
          <w:rFonts w:ascii="仿宋" w:hAnsi="仿宋" w:eastAsia="仿宋" w:cs="仿宋"/>
          <w:sz w:val="24"/>
          <w:highlight w:val="none"/>
        </w:rPr>
      </w:pPr>
    </w:p>
    <w:p w14:paraId="1B3EC992">
      <w:pPr>
        <w:spacing w:line="360" w:lineRule="auto"/>
        <w:ind w:firstLine="494"/>
        <w:rPr>
          <w:rFonts w:ascii="仿宋" w:hAnsi="仿宋" w:eastAsia="仿宋" w:cs="仿宋"/>
          <w:sz w:val="24"/>
          <w:highlight w:val="none"/>
        </w:rPr>
      </w:pPr>
    </w:p>
    <w:p w14:paraId="0D748284">
      <w:pPr>
        <w:spacing w:line="360" w:lineRule="auto"/>
        <w:ind w:firstLine="494"/>
        <w:rPr>
          <w:rFonts w:ascii="仿宋" w:hAnsi="仿宋" w:eastAsia="仿宋" w:cs="仿宋"/>
          <w:sz w:val="24"/>
          <w:highlight w:val="none"/>
        </w:rPr>
      </w:pPr>
    </w:p>
    <w:p w14:paraId="383BFEC7">
      <w:pPr>
        <w:spacing w:line="360" w:lineRule="auto"/>
        <w:ind w:firstLine="494"/>
        <w:rPr>
          <w:rFonts w:ascii="仿宋" w:hAnsi="仿宋" w:eastAsia="仿宋" w:cs="仿宋"/>
          <w:sz w:val="24"/>
          <w:highlight w:val="none"/>
        </w:rPr>
      </w:pPr>
    </w:p>
    <w:p w14:paraId="196EDD42">
      <w:pPr>
        <w:spacing w:line="360" w:lineRule="auto"/>
        <w:ind w:right="480" w:firstLine="4080" w:firstLineChars="1700"/>
        <w:rPr>
          <w:rFonts w:ascii="仿宋" w:hAnsi="仿宋" w:eastAsia="仿宋" w:cs="仿宋"/>
          <w:sz w:val="24"/>
          <w:highlight w:val="none"/>
        </w:rPr>
      </w:pPr>
      <w:r>
        <w:rPr>
          <w:rFonts w:hint="eastAsia" w:ascii="仿宋" w:hAnsi="仿宋" w:eastAsia="仿宋" w:cs="仿宋"/>
          <w:sz w:val="24"/>
          <w:highlight w:val="none"/>
        </w:rPr>
        <w:t>投标单位（法定名称章）：</w:t>
      </w:r>
    </w:p>
    <w:p w14:paraId="62111432">
      <w:pPr>
        <w:ind w:right="1440" w:firstLine="494"/>
        <w:jc w:val="center"/>
        <w:rPr>
          <w:rFonts w:ascii="仿宋" w:hAnsi="仿宋" w:eastAsia="仿宋" w:cs="仿宋"/>
          <w:sz w:val="24"/>
          <w:highlight w:val="none"/>
        </w:rPr>
      </w:pPr>
      <w:r>
        <w:rPr>
          <w:rFonts w:hint="eastAsia" w:ascii="仿宋" w:hAnsi="仿宋" w:eastAsia="仿宋" w:cs="仿宋"/>
          <w:sz w:val="24"/>
          <w:highlight w:val="none"/>
        </w:rPr>
        <w:t xml:space="preserve">                              日期：       年     月     日</w:t>
      </w:r>
    </w:p>
    <w:p w14:paraId="003A2CDF">
      <w:pPr>
        <w:rPr>
          <w:rFonts w:ascii="仿宋" w:hAnsi="仿宋" w:eastAsia="仿宋" w:cs="仿宋"/>
          <w:sz w:val="24"/>
          <w:highlight w:val="none"/>
        </w:rPr>
      </w:pPr>
      <w:r>
        <w:rPr>
          <w:rFonts w:hint="eastAsia" w:ascii="仿宋" w:hAnsi="仿宋" w:eastAsia="仿宋" w:cs="仿宋"/>
          <w:b/>
          <w:bCs/>
          <w:sz w:val="24"/>
          <w:highlight w:val="none"/>
        </w:rPr>
        <w:t>附：</w:t>
      </w:r>
    </w:p>
    <w:p w14:paraId="375EE0AA">
      <w:pPr>
        <w:spacing w:line="360" w:lineRule="auto"/>
        <w:rPr>
          <w:rFonts w:ascii="仿宋" w:hAnsi="仿宋" w:eastAsia="仿宋" w:cs="仿宋"/>
          <w:bCs/>
          <w:sz w:val="24"/>
          <w:highlight w:val="none"/>
        </w:rPr>
      </w:pPr>
      <w:r>
        <w:rPr>
          <w:rFonts w:ascii="仿宋" w:hAnsi="仿宋" w:eastAsia="仿宋" w:cs="仿宋"/>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3033395</wp:posOffset>
                </wp:positionH>
                <wp:positionV relativeFrom="paragraph">
                  <wp:posOffset>356235</wp:posOffset>
                </wp:positionV>
                <wp:extent cx="2704465" cy="2253615"/>
                <wp:effectExtent l="0" t="0" r="19684" b="13335"/>
                <wp:wrapNone/>
                <wp:docPr id="3"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7" o:spid="_x0000_s1026" o:spt="1" style="position:absolute;left:0pt;margin-left:238.85pt;margin-top:28.05pt;height:177.45pt;width:212.95pt;z-index:-251657216;mso-width-relative:page;mso-height-relative:page;" fillcolor="#FFFFFF" filled="t" stroked="t" coordsize="21600,21600" o:gfxdata="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barANgAAAAKAQAADwAAAAAA&#10;AAABACAAAAAiAAAAZHJzL2Rvd25yZXYueG1sUEsBAhQAFAAAAAgAh07iQIN5LhsTAgAAUAQAAA4A&#10;AAAAAAAAAQAgAAAAJwEAAGRycy9lMm9Eb2MueG1sUEsFBgAAAAAGAAYAWQEAAKwFAAAAAA==&#10;">
                <v:fill on="t" focussize="0,0"/>
                <v:stroke color="#000000" joinstyle="miter"/>
                <v:imagedata o:title=""/>
                <o:lock v:ext="edit" aspectratio="f"/>
              </v:rect>
            </w:pict>
          </mc:Fallback>
        </mc:AlternateContent>
      </w:r>
      <w:r>
        <w:rPr>
          <w:rFonts w:ascii="仿宋" w:hAnsi="仿宋" w:eastAsia="仿宋" w:cs="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3TsFjYAAAACgEAAA8AAAAA&#10;AAAAAQAgAAAAIgAAAGRycy9kb3ducmV2LnhtbFBLAQIUABQAAAAIAIdO4kCy+rtNFAIAAFAEAAAO&#10;AAAAAAAAAAEAIAAAACcBAABkcnMvZTJvRG9jLnhtbFBLBQYAAAAABgAGAFkBAACtBQAAAAA=&#10;">
                <v:fill on="t" focussize="0,0"/>
                <v:stroke color="#000000"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14:paraId="0907F812">
      <w:pPr>
        <w:autoSpaceDE w:val="0"/>
        <w:autoSpaceDN w:val="0"/>
        <w:jc w:val="center"/>
        <w:rPr>
          <w:rFonts w:ascii="仿宋" w:hAnsi="仿宋" w:eastAsia="仿宋" w:cs="仿宋"/>
          <w:b/>
          <w:spacing w:val="6"/>
          <w:sz w:val="32"/>
          <w:szCs w:val="32"/>
          <w:highlight w:val="none"/>
        </w:rPr>
      </w:pPr>
    </w:p>
    <w:p w14:paraId="27687F3D">
      <w:pPr>
        <w:autoSpaceDE w:val="0"/>
        <w:autoSpaceDN w:val="0"/>
        <w:jc w:val="center"/>
        <w:rPr>
          <w:rFonts w:ascii="仿宋" w:hAnsi="仿宋" w:eastAsia="仿宋" w:cs="仿宋"/>
          <w:b/>
          <w:spacing w:val="6"/>
          <w:sz w:val="32"/>
          <w:szCs w:val="32"/>
          <w:highlight w:val="none"/>
        </w:rPr>
      </w:pPr>
    </w:p>
    <w:p w14:paraId="5C53507D">
      <w:pPr>
        <w:autoSpaceDE w:val="0"/>
        <w:autoSpaceDN w:val="0"/>
        <w:jc w:val="center"/>
        <w:rPr>
          <w:rFonts w:ascii="仿宋" w:hAnsi="仿宋" w:eastAsia="仿宋" w:cs="仿宋"/>
          <w:b/>
          <w:spacing w:val="6"/>
          <w:sz w:val="32"/>
          <w:szCs w:val="32"/>
          <w:highlight w:val="none"/>
        </w:rPr>
      </w:pPr>
    </w:p>
    <w:p w14:paraId="0EBDD839">
      <w:pPr>
        <w:autoSpaceDE w:val="0"/>
        <w:autoSpaceDN w:val="0"/>
        <w:jc w:val="center"/>
        <w:rPr>
          <w:rFonts w:ascii="仿宋" w:hAnsi="仿宋" w:eastAsia="仿宋" w:cs="仿宋"/>
          <w:b/>
          <w:spacing w:val="6"/>
          <w:sz w:val="32"/>
          <w:szCs w:val="32"/>
          <w:highlight w:val="none"/>
        </w:rPr>
      </w:pPr>
    </w:p>
    <w:p w14:paraId="5D4AB10D">
      <w:pPr>
        <w:autoSpaceDE w:val="0"/>
        <w:autoSpaceDN w:val="0"/>
        <w:jc w:val="center"/>
        <w:rPr>
          <w:rFonts w:ascii="仿宋" w:hAnsi="仿宋" w:eastAsia="仿宋" w:cs="仿宋"/>
          <w:b/>
          <w:spacing w:val="6"/>
          <w:sz w:val="32"/>
          <w:szCs w:val="32"/>
          <w:highlight w:val="none"/>
        </w:rPr>
      </w:pPr>
    </w:p>
    <w:p w14:paraId="6AD0ABF8">
      <w:pPr>
        <w:autoSpaceDE w:val="0"/>
        <w:autoSpaceDN w:val="0"/>
        <w:jc w:val="center"/>
        <w:rPr>
          <w:rFonts w:ascii="仿宋" w:hAnsi="仿宋" w:eastAsia="仿宋" w:cs="仿宋"/>
          <w:b/>
          <w:spacing w:val="6"/>
          <w:sz w:val="32"/>
          <w:szCs w:val="32"/>
          <w:highlight w:val="none"/>
        </w:rPr>
      </w:pPr>
    </w:p>
    <w:p w14:paraId="5B539651">
      <w:pPr>
        <w:autoSpaceDE w:val="0"/>
        <w:autoSpaceDN w:val="0"/>
        <w:jc w:val="center"/>
        <w:rPr>
          <w:rFonts w:ascii="仿宋" w:hAnsi="仿宋" w:eastAsia="仿宋" w:cs="仿宋"/>
          <w:b/>
          <w:spacing w:val="6"/>
          <w:sz w:val="32"/>
          <w:szCs w:val="32"/>
          <w:highlight w:val="none"/>
        </w:rPr>
      </w:pPr>
    </w:p>
    <w:p w14:paraId="0E669BDC">
      <w:pPr>
        <w:autoSpaceDE w:val="0"/>
        <w:autoSpaceDN w:val="0"/>
        <w:jc w:val="center"/>
        <w:rPr>
          <w:rFonts w:ascii="仿宋" w:hAnsi="仿宋" w:eastAsia="仿宋" w:cs="仿宋"/>
          <w:b/>
          <w:spacing w:val="6"/>
          <w:sz w:val="32"/>
          <w:szCs w:val="32"/>
          <w:highlight w:val="none"/>
        </w:rPr>
      </w:pPr>
    </w:p>
    <w:p w14:paraId="676C5A85">
      <w:pPr>
        <w:autoSpaceDE w:val="0"/>
        <w:autoSpaceDN w:val="0"/>
        <w:jc w:val="center"/>
        <w:rPr>
          <w:rFonts w:ascii="仿宋" w:hAnsi="仿宋" w:eastAsia="仿宋" w:cs="仿宋"/>
          <w:b/>
          <w:spacing w:val="6"/>
          <w:sz w:val="32"/>
          <w:szCs w:val="32"/>
          <w:highlight w:val="none"/>
        </w:rPr>
      </w:pPr>
    </w:p>
    <w:p w14:paraId="5EEE09C6">
      <w:pPr>
        <w:autoSpaceDE w:val="0"/>
        <w:autoSpaceDN w:val="0"/>
        <w:jc w:val="center"/>
        <w:rPr>
          <w:rFonts w:ascii="仿宋" w:hAnsi="仿宋" w:eastAsia="仿宋" w:cs="仿宋"/>
          <w:b/>
          <w:spacing w:val="6"/>
          <w:sz w:val="32"/>
          <w:szCs w:val="32"/>
          <w:highlight w:val="none"/>
        </w:rPr>
      </w:pPr>
    </w:p>
    <w:p w14:paraId="3F69D27A">
      <w:pPr>
        <w:autoSpaceDE w:val="0"/>
        <w:autoSpaceDN w:val="0"/>
        <w:jc w:val="center"/>
        <w:rPr>
          <w:rFonts w:ascii="仿宋" w:hAnsi="仿宋" w:eastAsia="仿宋" w:cs="仿宋"/>
          <w:b/>
          <w:spacing w:val="6"/>
          <w:sz w:val="32"/>
          <w:szCs w:val="32"/>
          <w:highlight w:val="none"/>
        </w:rPr>
      </w:pPr>
    </w:p>
    <w:p w14:paraId="5649FB0C">
      <w:pPr>
        <w:autoSpaceDE w:val="0"/>
        <w:autoSpaceDN w:val="0"/>
        <w:jc w:val="center"/>
        <w:rPr>
          <w:rFonts w:ascii="仿宋" w:hAnsi="仿宋" w:eastAsia="仿宋" w:cs="仿宋"/>
          <w:b/>
          <w:spacing w:val="6"/>
          <w:sz w:val="32"/>
          <w:szCs w:val="32"/>
          <w:highlight w:val="none"/>
        </w:rPr>
      </w:pPr>
    </w:p>
    <w:p w14:paraId="0A26E3D9">
      <w:pPr>
        <w:autoSpaceDE w:val="0"/>
        <w:autoSpaceDN w:val="0"/>
        <w:jc w:val="center"/>
        <w:rPr>
          <w:rFonts w:ascii="仿宋" w:hAnsi="仿宋" w:eastAsia="仿宋" w:cs="仿宋"/>
          <w:b/>
          <w:spacing w:val="6"/>
          <w:sz w:val="32"/>
          <w:szCs w:val="32"/>
          <w:highlight w:val="none"/>
        </w:rPr>
      </w:pPr>
    </w:p>
    <w:p w14:paraId="7D65D897">
      <w:pPr>
        <w:autoSpaceDE w:val="0"/>
        <w:autoSpaceDN w:val="0"/>
        <w:jc w:val="center"/>
        <w:rPr>
          <w:rFonts w:ascii="仿宋" w:hAnsi="仿宋" w:eastAsia="仿宋" w:cs="仿宋"/>
          <w:b/>
          <w:spacing w:val="6"/>
          <w:sz w:val="32"/>
          <w:szCs w:val="32"/>
          <w:highlight w:val="none"/>
        </w:rPr>
      </w:pPr>
    </w:p>
    <w:p w14:paraId="393862F6">
      <w:pPr>
        <w:autoSpaceDE w:val="0"/>
        <w:autoSpaceDN w:val="0"/>
        <w:jc w:val="center"/>
        <w:rPr>
          <w:rFonts w:ascii="仿宋" w:hAnsi="仿宋" w:eastAsia="仿宋" w:cs="仿宋"/>
          <w:b/>
          <w:spacing w:val="6"/>
          <w:sz w:val="32"/>
          <w:szCs w:val="32"/>
          <w:highlight w:val="none"/>
        </w:rPr>
      </w:pPr>
    </w:p>
    <w:p w14:paraId="29B3536A">
      <w:pPr>
        <w:autoSpaceDE w:val="0"/>
        <w:autoSpaceDN w:val="0"/>
        <w:jc w:val="center"/>
        <w:rPr>
          <w:rFonts w:ascii="仿宋" w:hAnsi="仿宋" w:eastAsia="仿宋" w:cs="仿宋"/>
          <w:b/>
          <w:spacing w:val="6"/>
          <w:sz w:val="32"/>
          <w:szCs w:val="32"/>
          <w:highlight w:val="none"/>
        </w:rPr>
      </w:pPr>
    </w:p>
    <w:p w14:paraId="35FC4E06">
      <w:pPr>
        <w:autoSpaceDE w:val="0"/>
        <w:autoSpaceDN w:val="0"/>
        <w:jc w:val="center"/>
        <w:rPr>
          <w:rFonts w:ascii="仿宋" w:hAnsi="仿宋" w:eastAsia="仿宋" w:cs="仿宋"/>
          <w:b/>
          <w:spacing w:val="6"/>
          <w:sz w:val="32"/>
          <w:szCs w:val="32"/>
          <w:highlight w:val="none"/>
        </w:rPr>
      </w:pPr>
    </w:p>
    <w:p w14:paraId="42FF58FA">
      <w:pPr>
        <w:autoSpaceDE w:val="0"/>
        <w:autoSpaceDN w:val="0"/>
        <w:jc w:val="center"/>
        <w:rPr>
          <w:rFonts w:ascii="仿宋" w:hAnsi="仿宋" w:eastAsia="仿宋" w:cs="仿宋"/>
          <w:b/>
          <w:kern w:val="0"/>
          <w:sz w:val="32"/>
          <w:szCs w:val="32"/>
          <w:highlight w:val="none"/>
          <w:lang w:val="zh-CN"/>
        </w:rPr>
      </w:pPr>
      <w:r>
        <w:rPr>
          <w:rFonts w:hint="eastAsia" w:ascii="仿宋" w:hAnsi="仿宋" w:eastAsia="仿宋" w:cs="仿宋"/>
          <w:b/>
          <w:spacing w:val="6"/>
          <w:sz w:val="32"/>
          <w:szCs w:val="32"/>
          <w:highlight w:val="none"/>
        </w:rPr>
        <w:t>附件5：</w:t>
      </w:r>
      <w:r>
        <w:rPr>
          <w:rFonts w:hint="eastAsia" w:ascii="仿宋" w:hAnsi="仿宋" w:eastAsia="仿宋" w:cs="仿宋"/>
          <w:b/>
          <w:kern w:val="0"/>
          <w:sz w:val="32"/>
          <w:szCs w:val="32"/>
          <w:highlight w:val="none"/>
          <w:lang w:val="zh-CN"/>
        </w:rPr>
        <w:t>联合协议</w:t>
      </w:r>
    </w:p>
    <w:p w14:paraId="37C1B910">
      <w:pPr>
        <w:widowControl/>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14:paraId="3B2775F1">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2025年杭州交警业务系统租赁使用服务-2025年5G便携式视音频设备使用项目【招标编号：HZSGAJ-2025-17（代)】</w:t>
      </w:r>
      <w:r>
        <w:rPr>
          <w:rFonts w:hint="eastAsia" w:ascii="仿宋" w:hAnsi="仿宋" w:eastAsia="仿宋" w:cs="仿宋"/>
          <w:kern w:val="0"/>
          <w:sz w:val="24"/>
          <w:highlight w:val="none"/>
          <w:lang w:val="zh-CN"/>
        </w:rPr>
        <w:t xml:space="preserve">投标。 </w:t>
      </w:r>
    </w:p>
    <w:p w14:paraId="6F5F6035">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51418CAC">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14:paraId="374F5B80">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p>
    <w:p w14:paraId="0162C4FA">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p>
    <w:p w14:paraId="2A5B4526">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p>
    <w:p w14:paraId="24C92513">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w:t>
      </w:r>
    </w:p>
    <w:p w14:paraId="204234AD">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14:paraId="2CDD1FED">
      <w:pPr>
        <w:snapToGrid w:val="0"/>
        <w:spacing w:line="360" w:lineRule="auto"/>
        <w:ind w:firstLine="576"/>
        <w:rPr>
          <w:rFonts w:ascii="仿宋" w:hAnsi="仿宋" w:eastAsia="仿宋" w:cs="仿宋"/>
          <w:b/>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w:t>
      </w:r>
      <w:bookmarkStart w:id="410" w:name="_Hlk101131882"/>
      <w:r>
        <w:rPr>
          <w:rFonts w:hint="eastAsia" w:ascii="仿宋" w:hAnsi="仿宋" w:eastAsia="仿宋" w:cs="仿宋"/>
          <w:kern w:val="0"/>
          <w:sz w:val="24"/>
          <w:highlight w:val="none"/>
          <w:u w:val="single"/>
        </w:rPr>
        <w:t>联合体成员X,……</w:t>
      </w:r>
      <w:bookmarkEnd w:id="410"/>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提供的服务由小微企业承接，其合同份额占到合同总金额%以上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w:t>
      </w:r>
      <w:bookmarkStart w:id="411" w:name="_Hlk101133598"/>
      <w:r>
        <w:rPr>
          <w:rFonts w:hint="eastAsia" w:ascii="仿宋" w:hAnsi="仿宋" w:eastAsia="仿宋" w:cs="仿宋"/>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highlight w:val="none"/>
        </w:rPr>
        <w:t>拟享受以上价格扣除政策的，填写有关内容。</w:t>
      </w:r>
      <w:bookmarkEnd w:id="411"/>
      <w:r>
        <w:rPr>
          <w:rFonts w:hint="eastAsia" w:ascii="仿宋" w:hAnsi="仿宋" w:eastAsia="仿宋" w:cs="仿宋"/>
          <w:b/>
          <w:kern w:val="0"/>
          <w:sz w:val="24"/>
          <w:highlight w:val="none"/>
          <w:lang w:val="zh-CN"/>
        </w:rPr>
        <w:t>）</w:t>
      </w:r>
    </w:p>
    <w:p w14:paraId="4C86BDA8">
      <w:pPr>
        <w:spacing w:line="360" w:lineRule="auto"/>
        <w:ind w:firstLine="480" w:firstLineChars="200"/>
        <w:rPr>
          <w:rFonts w:ascii="仿宋" w:hAnsi="仿宋" w:eastAsia="仿宋" w:cs="仿宋"/>
          <w:b/>
          <w:bCs/>
          <w:kern w:val="0"/>
          <w:sz w:val="24"/>
          <w:highlight w:val="none"/>
          <w:lang w:val="zh-CN"/>
        </w:rPr>
      </w:pPr>
      <w:r>
        <w:rPr>
          <w:rFonts w:hint="eastAsia" w:ascii="仿宋" w:hAnsi="仿宋" w:eastAsia="仿宋" w:cs="仿宋"/>
          <w:sz w:val="24"/>
          <w:highlight w:val="none"/>
        </w:rPr>
        <w:t>2、</w:t>
      </w:r>
      <w:bookmarkStart w:id="412" w:name="_Hlk101133173"/>
      <w:r>
        <w:rPr>
          <w:rFonts w:hint="eastAsia" w:ascii="仿宋" w:hAnsi="仿宋" w:eastAsia="仿宋" w:cs="仿宋"/>
          <w:sz w:val="24"/>
          <w:highlight w:val="none"/>
        </w:rPr>
        <w:t>中小企业合同金额达到%，小微企业合同金额达到%</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bookmarkEnd w:id="412"/>
    </w:p>
    <w:p w14:paraId="3713E444">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7519DD21">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14:paraId="6030F94E">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15FDC629">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1AEFAADC">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7EF001B9">
      <w:pPr>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4F3DACA1">
      <w:pPr>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542D4415">
      <w:pPr>
        <w:snapToGrid w:val="0"/>
        <w:spacing w:line="360" w:lineRule="auto"/>
        <w:ind w:right="960"/>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6921FA90">
      <w:pPr>
        <w:snapToGrid w:val="0"/>
        <w:spacing w:line="360" w:lineRule="auto"/>
        <w:jc w:val="righ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6B017E71">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14:paraId="3F34AE8B">
      <w:pPr>
        <w:autoSpaceDE w:val="0"/>
        <w:autoSpaceDN w:val="0"/>
        <w:jc w:val="center"/>
        <w:rPr>
          <w:rFonts w:ascii="仿宋" w:hAnsi="仿宋" w:eastAsia="仿宋" w:cs="仿宋"/>
          <w:b/>
          <w:spacing w:val="6"/>
          <w:sz w:val="32"/>
          <w:szCs w:val="32"/>
          <w:highlight w:val="none"/>
        </w:rPr>
      </w:pPr>
    </w:p>
    <w:p w14:paraId="764E2ED0">
      <w:pPr>
        <w:autoSpaceDE w:val="0"/>
        <w:autoSpaceDN w:val="0"/>
        <w:jc w:val="center"/>
        <w:rPr>
          <w:rFonts w:ascii="仿宋" w:hAnsi="仿宋" w:eastAsia="仿宋" w:cs="仿宋"/>
          <w:b/>
          <w:spacing w:val="6"/>
          <w:sz w:val="32"/>
          <w:szCs w:val="32"/>
          <w:highlight w:val="none"/>
        </w:rPr>
      </w:pPr>
    </w:p>
    <w:p w14:paraId="3F80E0DC">
      <w:pPr>
        <w:autoSpaceDE w:val="0"/>
        <w:autoSpaceDN w:val="0"/>
        <w:jc w:val="center"/>
        <w:rPr>
          <w:rFonts w:ascii="仿宋" w:hAnsi="仿宋" w:eastAsia="仿宋" w:cs="仿宋"/>
          <w:b/>
          <w:spacing w:val="6"/>
          <w:sz w:val="32"/>
          <w:szCs w:val="32"/>
          <w:highlight w:val="none"/>
        </w:rPr>
      </w:pPr>
    </w:p>
    <w:p w14:paraId="786CBF43">
      <w:pPr>
        <w:autoSpaceDE w:val="0"/>
        <w:autoSpaceDN w:val="0"/>
        <w:jc w:val="center"/>
        <w:rPr>
          <w:rFonts w:ascii="仿宋" w:hAnsi="仿宋" w:eastAsia="仿宋" w:cs="仿宋"/>
          <w:b/>
          <w:spacing w:val="6"/>
          <w:sz w:val="32"/>
          <w:szCs w:val="32"/>
          <w:highlight w:val="none"/>
        </w:rPr>
      </w:pPr>
    </w:p>
    <w:p w14:paraId="2C5979AC">
      <w:pPr>
        <w:autoSpaceDE w:val="0"/>
        <w:autoSpaceDN w:val="0"/>
        <w:jc w:val="center"/>
        <w:rPr>
          <w:rFonts w:ascii="仿宋" w:hAnsi="仿宋" w:eastAsia="仿宋" w:cs="仿宋"/>
          <w:b/>
          <w:spacing w:val="6"/>
          <w:sz w:val="32"/>
          <w:szCs w:val="32"/>
          <w:highlight w:val="none"/>
        </w:rPr>
      </w:pPr>
    </w:p>
    <w:p w14:paraId="52769D17">
      <w:pPr>
        <w:autoSpaceDE w:val="0"/>
        <w:autoSpaceDN w:val="0"/>
        <w:jc w:val="center"/>
        <w:rPr>
          <w:rFonts w:ascii="仿宋" w:hAnsi="仿宋" w:eastAsia="仿宋" w:cs="仿宋"/>
          <w:b/>
          <w:spacing w:val="6"/>
          <w:sz w:val="32"/>
          <w:szCs w:val="32"/>
          <w:highlight w:val="none"/>
        </w:rPr>
      </w:pPr>
    </w:p>
    <w:p w14:paraId="4682685C">
      <w:pPr>
        <w:autoSpaceDE w:val="0"/>
        <w:autoSpaceDN w:val="0"/>
        <w:jc w:val="center"/>
        <w:rPr>
          <w:rFonts w:ascii="仿宋" w:hAnsi="仿宋" w:eastAsia="仿宋" w:cs="仿宋"/>
          <w:b/>
          <w:spacing w:val="6"/>
          <w:sz w:val="32"/>
          <w:szCs w:val="32"/>
          <w:highlight w:val="none"/>
        </w:rPr>
      </w:pPr>
    </w:p>
    <w:p w14:paraId="0E9067EB">
      <w:pPr>
        <w:autoSpaceDE w:val="0"/>
        <w:autoSpaceDN w:val="0"/>
        <w:jc w:val="center"/>
        <w:rPr>
          <w:rFonts w:ascii="仿宋" w:hAnsi="仿宋" w:eastAsia="仿宋" w:cs="仿宋"/>
          <w:b/>
          <w:spacing w:val="6"/>
          <w:sz w:val="32"/>
          <w:szCs w:val="32"/>
          <w:highlight w:val="none"/>
        </w:rPr>
      </w:pPr>
    </w:p>
    <w:p w14:paraId="4B0771D2">
      <w:pPr>
        <w:autoSpaceDE w:val="0"/>
        <w:autoSpaceDN w:val="0"/>
        <w:jc w:val="center"/>
        <w:rPr>
          <w:rFonts w:ascii="仿宋" w:hAnsi="仿宋" w:eastAsia="仿宋" w:cs="仿宋"/>
          <w:b/>
          <w:spacing w:val="6"/>
          <w:sz w:val="32"/>
          <w:szCs w:val="32"/>
          <w:highlight w:val="none"/>
        </w:rPr>
      </w:pPr>
    </w:p>
    <w:p w14:paraId="624BAF56">
      <w:pPr>
        <w:widowControl/>
        <w:adjustRightInd/>
        <w:jc w:val="left"/>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575B07F0">
      <w:pPr>
        <w:autoSpaceDE w:val="0"/>
        <w:autoSpaceDN w:val="0"/>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附件6：分包意向协议</w:t>
      </w:r>
    </w:p>
    <w:p w14:paraId="3E1FCBF7">
      <w:pPr>
        <w:widowControl/>
        <w:spacing w:line="360" w:lineRule="auto"/>
        <w:ind w:firstLine="120" w:firstLineChars="50"/>
        <w:jc w:val="left"/>
        <w:rPr>
          <w:rFonts w:ascii="仿宋" w:hAnsi="仿宋" w:eastAsia="仿宋" w:cs="仿宋"/>
          <w:sz w:val="24"/>
          <w:highlight w:val="none"/>
        </w:rPr>
      </w:pPr>
    </w:p>
    <w:p w14:paraId="269B773D">
      <w:pPr>
        <w:widowControl/>
        <w:spacing w:line="360" w:lineRule="auto"/>
        <w:ind w:firstLine="120" w:firstLineChars="50"/>
        <w:jc w:val="left"/>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351C540C">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2025年杭州交警业务系统租赁使用服务-2025年5G便携式视音频设备使用项目【招标编号：HZSGAJ-2025-17（代)】</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5213EC12">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51D6F5EA">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（分包供应商2名称），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032ECEE0">
      <w:pPr>
        <w:pStyle w:val="3"/>
        <w:ind w:left="664" w:leftChars="316" w:firstLine="229" w:firstLineChars="95"/>
        <w:rPr>
          <w:rFonts w:ascii="仿宋" w:eastAsia="仿宋" w:cs="仿宋"/>
          <w:kern w:val="0"/>
          <w:sz w:val="24"/>
          <w:szCs w:val="24"/>
          <w:highlight w:val="none"/>
        </w:rPr>
      </w:pPr>
      <w:r>
        <w:rPr>
          <w:rFonts w:hint="eastAsia" w:ascii="仿宋" w:eastAsia="仿宋" w:cs="仿宋"/>
          <w:kern w:val="0"/>
          <w:sz w:val="24"/>
          <w:szCs w:val="24"/>
          <w:highlight w:val="none"/>
        </w:rPr>
        <w:t>……</w:t>
      </w:r>
    </w:p>
    <w:p w14:paraId="4D087AA9">
      <w:pPr>
        <w:rPr>
          <w:rFonts w:ascii="仿宋" w:hAnsi="仿宋" w:eastAsia="仿宋" w:cs="仿宋"/>
          <w:highlight w:val="none"/>
        </w:rPr>
      </w:pPr>
    </w:p>
    <w:p w14:paraId="551313EB">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w:t>
      </w:r>
    </w:p>
    <w:p w14:paraId="303FA6B5">
      <w:pPr>
        <w:snapToGrid w:val="0"/>
        <w:spacing w:line="360" w:lineRule="auto"/>
        <w:ind w:firstLine="576"/>
        <w:rPr>
          <w:rFonts w:ascii="仿宋" w:hAnsi="仿宋" w:eastAsia="仿宋" w:cs="仿宋"/>
          <w:b/>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（分包供应商X,……）提供的服务全部由小微企业承接，</w:t>
      </w:r>
      <w:r>
        <w:rPr>
          <w:rFonts w:hint="eastAsia" w:ascii="仿宋" w:hAnsi="仿宋" w:eastAsia="仿宋" w:cs="仿宋"/>
          <w:kern w:val="0"/>
          <w:sz w:val="24"/>
          <w:highlight w:val="none"/>
        </w:rPr>
        <w:t>其合同份额占到合同总金额%以上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14:paraId="30A35433">
      <w:pPr>
        <w:spacing w:line="360" w:lineRule="auto"/>
        <w:ind w:firstLine="480" w:firstLineChars="200"/>
        <w:rPr>
          <w:rFonts w:ascii="仿宋" w:hAnsi="仿宋" w:eastAsia="仿宋" w:cs="仿宋"/>
          <w:b/>
          <w:bCs/>
          <w:kern w:val="0"/>
          <w:sz w:val="24"/>
          <w:highlight w:val="none"/>
          <w:lang w:val="zh-CN"/>
        </w:rPr>
      </w:pPr>
      <w:r>
        <w:rPr>
          <w:rFonts w:hint="eastAsia" w:ascii="仿宋" w:hAnsi="仿宋" w:eastAsia="仿宋" w:cs="仿宋"/>
          <w:sz w:val="24"/>
          <w:highlight w:val="none"/>
        </w:rPr>
        <w:t>2、中小企业合同金额达到%，小微企业合同金额达到%</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要求合同分包形式参加的项目或采购包，供应商按招标文件第一部分招标公告申请人的资格要求中规定的</w:t>
      </w:r>
      <w:r>
        <w:rPr>
          <w:rFonts w:hint="eastAsia" w:ascii="仿宋" w:hAnsi="仿宋" w:eastAsia="仿宋" w:cs="仿宋"/>
          <w:b/>
          <w:kern w:val="0"/>
          <w:sz w:val="24"/>
          <w:highlight w:val="none"/>
          <w:lang w:val="zh-CN"/>
        </w:rPr>
        <w:t>分包意向协议</w:t>
      </w:r>
      <w:r>
        <w:rPr>
          <w:rFonts w:hint="eastAsia" w:ascii="仿宋" w:hAnsi="仿宋" w:eastAsia="仿宋" w:cs="仿宋"/>
          <w:b/>
          <w:bCs/>
          <w:sz w:val="24"/>
          <w:highlight w:val="none"/>
        </w:rPr>
        <w:t>中中小企业、小微企业合同金额应当达到的比例要求填写。</w:t>
      </w:r>
      <w:r>
        <w:rPr>
          <w:rFonts w:hint="eastAsia" w:ascii="仿宋" w:hAnsi="仿宋" w:eastAsia="仿宋" w:cs="仿宋"/>
          <w:b/>
          <w:bCs/>
          <w:kern w:val="0"/>
          <w:sz w:val="24"/>
          <w:highlight w:val="none"/>
          <w:lang w:val="zh-CN"/>
        </w:rPr>
        <w:t>）</w:t>
      </w:r>
    </w:p>
    <w:p w14:paraId="1184D447">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14:paraId="0A3320EF">
      <w:pPr>
        <w:snapToGrid w:val="0"/>
        <w:spacing w:line="360" w:lineRule="auto"/>
        <w:ind w:firstLine="576"/>
        <w:rPr>
          <w:rFonts w:ascii="仿宋" w:hAnsi="仿宋" w:eastAsia="仿宋" w:cs="仿宋"/>
          <w:highlight w:val="none"/>
          <w:u w:val="single"/>
        </w:rPr>
      </w:pPr>
    </w:p>
    <w:p w14:paraId="5C8F4A2C">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14:paraId="66213080">
      <w:pPr>
        <w:snapToGrid w:val="0"/>
        <w:spacing w:line="360" w:lineRule="auto"/>
        <w:ind w:firstLine="576"/>
        <w:rPr>
          <w:rFonts w:ascii="仿宋" w:hAnsi="仿宋" w:eastAsia="仿宋" w:cs="仿宋"/>
          <w:kern w:val="0"/>
          <w:sz w:val="24"/>
          <w:highlight w:val="none"/>
          <w:lang w:val="zh-CN"/>
        </w:rPr>
      </w:pPr>
    </w:p>
    <w:p w14:paraId="5E8DF966">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14:paraId="3B2D37AC">
      <w:pPr>
        <w:snapToGrid w:val="0"/>
        <w:spacing w:line="360" w:lineRule="auto"/>
        <w:ind w:left="573" w:leftChars="273"/>
        <w:rPr>
          <w:rFonts w:ascii="仿宋" w:hAnsi="仿宋" w:eastAsia="仿宋" w:cs="仿宋"/>
          <w:kern w:val="0"/>
          <w:sz w:val="24"/>
          <w:highlight w:val="none"/>
          <w:lang w:val="zh-CN"/>
        </w:rPr>
      </w:pPr>
    </w:p>
    <w:p w14:paraId="5F5CBF9E">
      <w:pPr>
        <w:snapToGrid w:val="0"/>
        <w:spacing w:line="360" w:lineRule="auto"/>
        <w:ind w:left="573" w:leftChars="273"/>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14:paraId="58A1882A">
      <w:pPr>
        <w:snapToGrid w:val="0"/>
        <w:spacing w:line="360" w:lineRule="auto"/>
        <w:ind w:firstLine="576"/>
        <w:rPr>
          <w:rFonts w:ascii="仿宋" w:hAnsi="仿宋" w:eastAsia="仿宋" w:cs="仿宋"/>
          <w:kern w:val="0"/>
          <w:sz w:val="24"/>
          <w:highlight w:val="none"/>
          <w:lang w:val="zh-CN"/>
        </w:rPr>
      </w:pPr>
    </w:p>
    <w:p w14:paraId="381CAB42">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14:paraId="3CCEDE9E">
      <w:pPr>
        <w:snapToGrid w:val="0"/>
        <w:spacing w:line="360" w:lineRule="auto"/>
        <w:ind w:firstLine="576"/>
        <w:rPr>
          <w:rFonts w:ascii="仿宋" w:hAnsi="仿宋" w:eastAsia="仿宋" w:cs="仿宋"/>
          <w:kern w:val="0"/>
          <w:sz w:val="24"/>
          <w:highlight w:val="none"/>
          <w:lang w:val="zh-CN"/>
        </w:rPr>
      </w:pPr>
    </w:p>
    <w:p w14:paraId="13C3629B">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八、其他</w:t>
      </w:r>
    </w:p>
    <w:p w14:paraId="7D524712">
      <w:pPr>
        <w:snapToGrid w:val="0"/>
        <w:spacing w:line="360" w:lineRule="auto"/>
        <w:ind w:left="5758" w:leftChars="342" w:hanging="5040" w:hangingChars="2100"/>
        <w:rPr>
          <w:rFonts w:ascii="仿宋" w:hAnsi="仿宋" w:eastAsia="仿宋" w:cs="仿宋"/>
          <w:kern w:val="0"/>
          <w:sz w:val="24"/>
          <w:highlight w:val="none"/>
          <w:lang w:val="zh-CN"/>
        </w:rPr>
      </w:pPr>
      <w:r>
        <w:rPr>
          <w:rFonts w:hint="eastAsia" w:ascii="仿宋" w:hAnsi="仿宋" w:eastAsia="仿宋" w:cs="仿宋"/>
          <w:sz w:val="24"/>
          <w:highlight w:val="none"/>
        </w:rPr>
        <w:t>中小企业合同金额达到%，小微企业合同金额达到%</w:t>
      </w:r>
      <w:r>
        <w:rPr>
          <w:rFonts w:hint="eastAsia" w:ascii="仿宋" w:hAnsi="仿宋" w:eastAsia="仿宋" w:cs="仿宋"/>
          <w:kern w:val="0"/>
          <w:sz w:val="24"/>
          <w:highlight w:val="none"/>
          <w:lang w:val="zh-CN"/>
        </w:rPr>
        <w:t xml:space="preserve">  。                                           投标人名称(电子签名)：</w:t>
      </w:r>
    </w:p>
    <w:p w14:paraId="7DDF9F3F">
      <w:pPr>
        <w:snapToGrid w:val="0"/>
        <w:spacing w:line="360" w:lineRule="auto"/>
        <w:jc w:val="righ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分包供应商名称(电子签名/公章)：</w:t>
      </w:r>
    </w:p>
    <w:p w14:paraId="2AD6E1E0">
      <w:pPr>
        <w:snapToGrid w:val="0"/>
        <w:spacing w:line="360" w:lineRule="auto"/>
        <w:ind w:firstLine="5760" w:firstLineChars="2400"/>
        <w:rPr>
          <w:rFonts w:ascii="仿宋" w:hAnsi="仿宋" w:eastAsia="仿宋" w:cs="仿宋"/>
          <w:highlight w:val="none"/>
        </w:rPr>
      </w:pPr>
      <w:r>
        <w:rPr>
          <w:rFonts w:hint="eastAsia" w:ascii="仿宋" w:hAnsi="仿宋" w:eastAsia="仿宋" w:cs="仿宋"/>
          <w:kern w:val="0"/>
          <w:sz w:val="24"/>
          <w:highlight w:val="none"/>
          <w:lang w:val="zh-CN"/>
        </w:rPr>
        <w:t>……</w:t>
      </w:r>
    </w:p>
    <w:p w14:paraId="5A717FC9">
      <w:pPr>
        <w:snapToGrid w:val="0"/>
        <w:spacing w:line="360" w:lineRule="auto"/>
        <w:ind w:left="5758" w:leftChars="342" w:hanging="5040" w:hanging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2AE55392">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14:paraId="749E3FB0">
      <w:pPr>
        <w:autoSpaceDE w:val="0"/>
        <w:autoSpaceDN w:val="0"/>
        <w:jc w:val="center"/>
        <w:rPr>
          <w:rFonts w:ascii="仿宋" w:hAnsi="仿宋" w:eastAsia="仿宋" w:cs="仿宋"/>
          <w:b/>
          <w:spacing w:val="6"/>
          <w:sz w:val="32"/>
          <w:szCs w:val="32"/>
          <w:highlight w:val="none"/>
        </w:rPr>
      </w:pPr>
    </w:p>
    <w:p w14:paraId="1B29CF0A">
      <w:pPr>
        <w:autoSpaceDE w:val="0"/>
        <w:autoSpaceDN w:val="0"/>
        <w:jc w:val="center"/>
        <w:rPr>
          <w:rFonts w:ascii="仿宋" w:hAnsi="仿宋" w:eastAsia="仿宋" w:cs="仿宋"/>
          <w:b/>
          <w:spacing w:val="6"/>
          <w:sz w:val="32"/>
          <w:szCs w:val="32"/>
          <w:highlight w:val="none"/>
        </w:rPr>
      </w:pPr>
    </w:p>
    <w:p w14:paraId="2619F79D">
      <w:pPr>
        <w:autoSpaceDE w:val="0"/>
        <w:autoSpaceDN w:val="0"/>
        <w:jc w:val="center"/>
        <w:rPr>
          <w:rFonts w:ascii="仿宋" w:hAnsi="仿宋" w:eastAsia="仿宋" w:cs="仿宋"/>
          <w:b/>
          <w:spacing w:val="6"/>
          <w:sz w:val="32"/>
          <w:szCs w:val="32"/>
          <w:highlight w:val="none"/>
        </w:rPr>
      </w:pPr>
    </w:p>
    <w:p w14:paraId="782F7E64">
      <w:pPr>
        <w:autoSpaceDE w:val="0"/>
        <w:autoSpaceDN w:val="0"/>
        <w:jc w:val="center"/>
        <w:rPr>
          <w:rFonts w:ascii="仿宋" w:hAnsi="仿宋" w:eastAsia="仿宋" w:cs="仿宋"/>
          <w:b/>
          <w:spacing w:val="6"/>
          <w:sz w:val="32"/>
          <w:szCs w:val="32"/>
          <w:highlight w:val="none"/>
        </w:rPr>
      </w:pPr>
    </w:p>
    <w:p w14:paraId="3E556886">
      <w:pPr>
        <w:autoSpaceDE w:val="0"/>
        <w:autoSpaceDN w:val="0"/>
        <w:jc w:val="center"/>
        <w:rPr>
          <w:rFonts w:ascii="仿宋" w:hAnsi="仿宋" w:eastAsia="仿宋" w:cs="仿宋"/>
          <w:b/>
          <w:spacing w:val="6"/>
          <w:sz w:val="32"/>
          <w:szCs w:val="32"/>
          <w:highlight w:val="none"/>
        </w:rPr>
      </w:pPr>
    </w:p>
    <w:p w14:paraId="0DF74DAD">
      <w:pPr>
        <w:autoSpaceDE w:val="0"/>
        <w:autoSpaceDN w:val="0"/>
        <w:jc w:val="center"/>
        <w:rPr>
          <w:rFonts w:ascii="仿宋" w:hAnsi="仿宋" w:eastAsia="仿宋" w:cs="仿宋"/>
          <w:b/>
          <w:spacing w:val="6"/>
          <w:sz w:val="32"/>
          <w:szCs w:val="32"/>
          <w:highlight w:val="none"/>
        </w:rPr>
      </w:pPr>
    </w:p>
    <w:p w14:paraId="0E02779E">
      <w:pPr>
        <w:autoSpaceDE w:val="0"/>
        <w:autoSpaceDN w:val="0"/>
        <w:jc w:val="center"/>
        <w:rPr>
          <w:rFonts w:ascii="仿宋" w:hAnsi="仿宋" w:eastAsia="仿宋" w:cs="仿宋"/>
          <w:b/>
          <w:spacing w:val="6"/>
          <w:sz w:val="32"/>
          <w:szCs w:val="32"/>
          <w:highlight w:val="none"/>
        </w:rPr>
      </w:pPr>
    </w:p>
    <w:p w14:paraId="50333D67">
      <w:pPr>
        <w:autoSpaceDE w:val="0"/>
        <w:autoSpaceDN w:val="0"/>
        <w:jc w:val="center"/>
        <w:rPr>
          <w:rFonts w:ascii="仿宋" w:hAnsi="仿宋" w:eastAsia="仿宋" w:cs="仿宋"/>
          <w:b/>
          <w:spacing w:val="6"/>
          <w:sz w:val="32"/>
          <w:szCs w:val="32"/>
          <w:highlight w:val="none"/>
        </w:rPr>
      </w:pPr>
    </w:p>
    <w:p w14:paraId="6A50FE06">
      <w:pPr>
        <w:autoSpaceDE w:val="0"/>
        <w:autoSpaceDN w:val="0"/>
        <w:jc w:val="center"/>
        <w:rPr>
          <w:rFonts w:ascii="仿宋" w:hAnsi="仿宋" w:eastAsia="仿宋" w:cs="仿宋"/>
          <w:b/>
          <w:spacing w:val="6"/>
          <w:sz w:val="32"/>
          <w:szCs w:val="32"/>
          <w:highlight w:val="none"/>
        </w:rPr>
      </w:pPr>
    </w:p>
    <w:p w14:paraId="44CB8F44">
      <w:pPr>
        <w:autoSpaceDE w:val="0"/>
        <w:autoSpaceDN w:val="0"/>
        <w:jc w:val="center"/>
        <w:rPr>
          <w:rFonts w:ascii="仿宋" w:hAnsi="仿宋" w:eastAsia="仿宋" w:cs="仿宋"/>
          <w:b/>
          <w:spacing w:val="6"/>
          <w:sz w:val="32"/>
          <w:szCs w:val="32"/>
          <w:highlight w:val="none"/>
        </w:rPr>
      </w:pPr>
    </w:p>
    <w:p w14:paraId="0EE3F831">
      <w:pPr>
        <w:autoSpaceDE w:val="0"/>
        <w:autoSpaceDN w:val="0"/>
        <w:jc w:val="center"/>
        <w:rPr>
          <w:rFonts w:ascii="仿宋" w:hAnsi="仿宋" w:eastAsia="仿宋" w:cs="仿宋"/>
          <w:b/>
          <w:spacing w:val="6"/>
          <w:sz w:val="32"/>
          <w:szCs w:val="32"/>
          <w:highlight w:val="none"/>
        </w:rPr>
      </w:pPr>
    </w:p>
    <w:p w14:paraId="2DEA33F9">
      <w:pPr>
        <w:autoSpaceDE w:val="0"/>
        <w:autoSpaceDN w:val="0"/>
        <w:jc w:val="center"/>
        <w:rPr>
          <w:rFonts w:ascii="仿宋" w:hAnsi="仿宋" w:eastAsia="仿宋" w:cs="仿宋"/>
          <w:b/>
          <w:spacing w:val="6"/>
          <w:sz w:val="32"/>
          <w:szCs w:val="32"/>
          <w:highlight w:val="none"/>
        </w:rPr>
      </w:pPr>
    </w:p>
    <w:p w14:paraId="5DBD062A">
      <w:pPr>
        <w:autoSpaceDE w:val="0"/>
        <w:autoSpaceDN w:val="0"/>
        <w:jc w:val="center"/>
        <w:rPr>
          <w:rFonts w:ascii="仿宋" w:hAnsi="仿宋" w:eastAsia="仿宋" w:cs="仿宋"/>
          <w:b/>
          <w:spacing w:val="6"/>
          <w:sz w:val="32"/>
          <w:szCs w:val="32"/>
          <w:highlight w:val="none"/>
        </w:rPr>
      </w:pPr>
    </w:p>
    <w:p w14:paraId="42AF01DB">
      <w:pPr>
        <w:autoSpaceDE w:val="0"/>
        <w:autoSpaceDN w:val="0"/>
        <w:jc w:val="center"/>
        <w:rPr>
          <w:rFonts w:ascii="仿宋" w:hAnsi="仿宋" w:eastAsia="仿宋" w:cs="仿宋"/>
          <w:b/>
          <w:spacing w:val="6"/>
          <w:sz w:val="32"/>
          <w:szCs w:val="32"/>
          <w:highlight w:val="none"/>
        </w:rPr>
      </w:pPr>
    </w:p>
    <w:p w14:paraId="4332FB8C">
      <w:pPr>
        <w:autoSpaceDE w:val="0"/>
        <w:autoSpaceDN w:val="0"/>
        <w:jc w:val="center"/>
        <w:rPr>
          <w:rFonts w:ascii="仿宋" w:hAnsi="仿宋" w:eastAsia="仿宋" w:cs="仿宋"/>
          <w:b/>
          <w:spacing w:val="6"/>
          <w:sz w:val="32"/>
          <w:szCs w:val="32"/>
          <w:highlight w:val="none"/>
        </w:rPr>
      </w:pPr>
    </w:p>
    <w:p w14:paraId="098310E6">
      <w:pPr>
        <w:autoSpaceDE w:val="0"/>
        <w:autoSpaceDN w:val="0"/>
        <w:jc w:val="center"/>
        <w:rPr>
          <w:rFonts w:ascii="仿宋" w:hAnsi="仿宋" w:eastAsia="仿宋" w:cs="仿宋"/>
          <w:b/>
          <w:spacing w:val="6"/>
          <w:sz w:val="32"/>
          <w:szCs w:val="32"/>
          <w:highlight w:val="none"/>
        </w:rPr>
      </w:pPr>
    </w:p>
    <w:p w14:paraId="02239810">
      <w:pPr>
        <w:autoSpaceDE w:val="0"/>
        <w:autoSpaceDN w:val="0"/>
        <w:jc w:val="center"/>
        <w:rPr>
          <w:rFonts w:ascii="仿宋" w:hAnsi="仿宋" w:eastAsia="仿宋" w:cs="仿宋"/>
          <w:b/>
          <w:spacing w:val="6"/>
          <w:sz w:val="32"/>
          <w:szCs w:val="32"/>
          <w:highlight w:val="none"/>
        </w:rPr>
      </w:pPr>
    </w:p>
    <w:p w14:paraId="0DDB4B72">
      <w:pPr>
        <w:autoSpaceDE w:val="0"/>
        <w:autoSpaceDN w:val="0"/>
        <w:jc w:val="center"/>
        <w:rPr>
          <w:rFonts w:ascii="仿宋" w:hAnsi="仿宋" w:eastAsia="仿宋" w:cs="仿宋"/>
          <w:b/>
          <w:spacing w:val="6"/>
          <w:sz w:val="32"/>
          <w:szCs w:val="32"/>
          <w:highlight w:val="none"/>
        </w:rPr>
      </w:pPr>
    </w:p>
    <w:p w14:paraId="0ED6204D">
      <w:pPr>
        <w:autoSpaceDE w:val="0"/>
        <w:autoSpaceDN w:val="0"/>
        <w:jc w:val="center"/>
        <w:rPr>
          <w:rFonts w:ascii="仿宋" w:hAnsi="仿宋" w:eastAsia="仿宋" w:cs="仿宋"/>
          <w:b/>
          <w:spacing w:val="6"/>
          <w:sz w:val="32"/>
          <w:szCs w:val="32"/>
          <w:highlight w:val="none"/>
        </w:rPr>
      </w:pPr>
    </w:p>
    <w:p w14:paraId="1090DC74">
      <w:pPr>
        <w:autoSpaceDE w:val="0"/>
        <w:autoSpaceDN w:val="0"/>
        <w:jc w:val="center"/>
        <w:rPr>
          <w:rFonts w:ascii="仿宋" w:hAnsi="仿宋" w:eastAsia="仿宋" w:cs="仿宋"/>
          <w:b/>
          <w:spacing w:val="6"/>
          <w:sz w:val="32"/>
          <w:szCs w:val="32"/>
          <w:highlight w:val="none"/>
        </w:rPr>
      </w:pPr>
    </w:p>
    <w:p w14:paraId="7AA73F46">
      <w:pPr>
        <w:autoSpaceDE w:val="0"/>
        <w:autoSpaceDN w:val="0"/>
        <w:jc w:val="center"/>
        <w:rPr>
          <w:rFonts w:ascii="仿宋" w:hAnsi="仿宋" w:eastAsia="仿宋" w:cs="仿宋"/>
          <w:b/>
          <w:spacing w:val="6"/>
          <w:sz w:val="32"/>
          <w:szCs w:val="32"/>
          <w:highlight w:val="none"/>
        </w:rPr>
      </w:pPr>
    </w:p>
    <w:p w14:paraId="2AD3E892">
      <w:pPr>
        <w:autoSpaceDE w:val="0"/>
        <w:autoSpaceDN w:val="0"/>
        <w:jc w:val="center"/>
        <w:rPr>
          <w:rFonts w:ascii="仿宋" w:hAnsi="仿宋" w:eastAsia="仿宋" w:cs="仿宋"/>
          <w:b/>
          <w:spacing w:val="6"/>
          <w:sz w:val="32"/>
          <w:szCs w:val="32"/>
          <w:highlight w:val="none"/>
        </w:rPr>
      </w:pPr>
    </w:p>
    <w:p w14:paraId="7476091C">
      <w:pPr>
        <w:autoSpaceDE w:val="0"/>
        <w:autoSpaceDN w:val="0"/>
        <w:jc w:val="center"/>
        <w:rPr>
          <w:rFonts w:ascii="仿宋" w:hAnsi="仿宋" w:eastAsia="仿宋" w:cs="仿宋"/>
          <w:b/>
          <w:spacing w:val="6"/>
          <w:sz w:val="32"/>
          <w:szCs w:val="32"/>
          <w:highlight w:val="none"/>
        </w:rPr>
      </w:pPr>
    </w:p>
    <w:p w14:paraId="24A8A451">
      <w:pPr>
        <w:autoSpaceDE w:val="0"/>
        <w:autoSpaceDN w:val="0"/>
        <w:jc w:val="center"/>
        <w:rPr>
          <w:rFonts w:ascii="仿宋" w:hAnsi="仿宋" w:eastAsia="仿宋" w:cs="仿宋"/>
          <w:b/>
          <w:spacing w:val="6"/>
          <w:sz w:val="32"/>
          <w:szCs w:val="32"/>
          <w:highlight w:val="none"/>
        </w:rPr>
      </w:pPr>
    </w:p>
    <w:p w14:paraId="36934A5A">
      <w:pPr>
        <w:autoSpaceDE w:val="0"/>
        <w:autoSpaceDN w:val="0"/>
        <w:jc w:val="center"/>
        <w:rPr>
          <w:rFonts w:ascii="仿宋" w:hAnsi="仿宋" w:eastAsia="仿宋" w:cs="仿宋"/>
          <w:b/>
          <w:spacing w:val="6"/>
          <w:sz w:val="32"/>
          <w:szCs w:val="32"/>
          <w:highlight w:val="none"/>
        </w:rPr>
      </w:pPr>
    </w:p>
    <w:p w14:paraId="34FECAF1">
      <w:pPr>
        <w:autoSpaceDE w:val="0"/>
        <w:autoSpaceDN w:val="0"/>
        <w:jc w:val="center"/>
        <w:rPr>
          <w:rFonts w:ascii="仿宋" w:hAnsi="仿宋" w:eastAsia="仿宋" w:cs="仿宋"/>
          <w:b/>
          <w:spacing w:val="6"/>
          <w:sz w:val="32"/>
          <w:szCs w:val="32"/>
          <w:highlight w:val="none"/>
        </w:rPr>
      </w:pPr>
    </w:p>
    <w:p w14:paraId="5825215F">
      <w:pPr>
        <w:autoSpaceDE w:val="0"/>
        <w:autoSpaceDN w:val="0"/>
        <w:jc w:val="center"/>
        <w:rPr>
          <w:rFonts w:ascii="仿宋" w:hAnsi="仿宋" w:eastAsia="仿宋" w:cs="仿宋"/>
          <w:b/>
          <w:spacing w:val="6"/>
          <w:sz w:val="32"/>
          <w:szCs w:val="32"/>
          <w:highlight w:val="none"/>
        </w:rPr>
      </w:pPr>
    </w:p>
    <w:p w14:paraId="0858FCB6">
      <w:pPr>
        <w:autoSpaceDE w:val="0"/>
        <w:autoSpaceDN w:val="0"/>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附件7：中小企业声明函</w:t>
      </w:r>
    </w:p>
    <w:p w14:paraId="36D0A7AB">
      <w:pPr>
        <w:spacing w:line="360" w:lineRule="auto"/>
        <w:jc w:val="center"/>
        <w:rPr>
          <w:rFonts w:ascii="仿宋" w:hAnsi="仿宋" w:eastAsia="仿宋" w:cs="仿宋"/>
          <w:sz w:val="24"/>
          <w:highlight w:val="none"/>
          <w:u w:val="single"/>
        </w:rPr>
      </w:pPr>
    </w:p>
    <w:p w14:paraId="151536BA">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中小企业声明函（服务）</w:t>
      </w:r>
    </w:p>
    <w:p w14:paraId="65EEA510">
      <w:pPr>
        <w:spacing w:line="360" w:lineRule="auto"/>
        <w:ind w:firstLine="360" w:firstLineChars="150"/>
        <w:jc w:val="left"/>
        <w:rPr>
          <w:rFonts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w:t>
      </w:r>
      <w:r>
        <w:rPr>
          <w:rFonts w:hint="eastAsia" w:ascii="仿宋" w:hAnsi="仿宋" w:eastAsia="仿宋" w:cs="仿宋"/>
          <w:sz w:val="24"/>
          <w:highlight w:val="none"/>
          <w:u w:val="single"/>
        </w:rPr>
        <w:t>杭州市公安局交通警察支队</w:t>
      </w:r>
      <w:r>
        <w:rPr>
          <w:rFonts w:hint="eastAsia" w:ascii="仿宋" w:hAnsi="仿宋" w:eastAsia="仿宋" w:cs="仿宋"/>
          <w:sz w:val="24"/>
          <w:highlight w:val="none"/>
        </w:rPr>
        <w:t>的</w:t>
      </w:r>
      <w:r>
        <w:rPr>
          <w:rFonts w:hint="eastAsia" w:ascii="仿宋" w:hAnsi="仿宋" w:eastAsia="仿宋" w:cs="仿宋"/>
          <w:sz w:val="24"/>
          <w:highlight w:val="none"/>
          <w:u w:val="single"/>
        </w:rPr>
        <w:t>2025年杭州交警业务系统租赁使用服务-2025年5G便携式视音频设备使用项目</w:t>
      </w:r>
      <w:r>
        <w:rPr>
          <w:rFonts w:hint="eastAsia" w:ascii="仿宋" w:hAnsi="仿宋" w:eastAsia="仿宋" w:cs="仿宋"/>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495A518">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 xml:space="preserve"> （采购文件中明确的所属行业）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，从业人员人，营业收入为万元，资产总额为万元属于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3396D983">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 xml:space="preserve"> （标的名称），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 xml:space="preserve">（采购文件中明确的所属行业） </w:t>
      </w:r>
      <w:r>
        <w:rPr>
          <w:rFonts w:hint="eastAsia" w:ascii="仿宋" w:hAnsi="仿宋" w:eastAsia="仿宋" w:cs="仿宋"/>
          <w:sz w:val="24"/>
          <w:highlight w:val="none"/>
        </w:rPr>
        <w:t xml:space="preserve">；承建（承接）企业为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，从业人员人，营业收入为万元，资产总额为万元属于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39203608">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w:t>
      </w:r>
    </w:p>
    <w:p w14:paraId="032E0603">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34F235CF">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7167B68C">
      <w:pPr>
        <w:spacing w:line="360" w:lineRule="auto"/>
        <w:ind w:right="1760"/>
        <w:jc w:val="right"/>
        <w:rPr>
          <w:rFonts w:ascii="仿宋" w:hAnsi="仿宋" w:eastAsia="仿宋" w:cs="仿宋"/>
          <w:sz w:val="24"/>
          <w:highlight w:val="none"/>
        </w:rPr>
      </w:pPr>
      <w:r>
        <w:rPr>
          <w:rFonts w:hint="eastAsia" w:ascii="仿宋" w:hAnsi="仿宋" w:eastAsia="仿宋" w:cs="仿宋"/>
          <w:sz w:val="24"/>
          <w:highlight w:val="none"/>
        </w:rPr>
        <w:t>投标人名称（电子签名）：</w:t>
      </w:r>
    </w:p>
    <w:p w14:paraId="2DA79C05">
      <w:pPr>
        <w:spacing w:line="360" w:lineRule="auto"/>
        <w:ind w:right="1120" w:firstLine="4680" w:firstLineChars="1950"/>
        <w:rPr>
          <w:rFonts w:ascii="仿宋" w:hAnsi="仿宋" w:eastAsia="仿宋" w:cs="仿宋"/>
          <w:sz w:val="24"/>
          <w:highlight w:val="none"/>
        </w:rPr>
      </w:pPr>
      <w:r>
        <w:rPr>
          <w:rFonts w:hint="eastAsia" w:ascii="仿宋" w:hAnsi="仿宋" w:eastAsia="仿宋" w:cs="仿宋"/>
          <w:sz w:val="24"/>
          <w:highlight w:val="none"/>
        </w:rPr>
        <w:t>日 期：</w:t>
      </w:r>
    </w:p>
    <w:p w14:paraId="7689915D">
      <w:pPr>
        <w:spacing w:line="360" w:lineRule="auto"/>
        <w:ind w:firstLine="310" w:firstLineChars="147"/>
        <w:jc w:val="left"/>
        <w:rPr>
          <w:rFonts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14:paraId="065C8B89">
      <w:pPr>
        <w:spacing w:line="360" w:lineRule="auto"/>
        <w:ind w:right="420"/>
        <w:rPr>
          <w:rFonts w:ascii="仿宋" w:hAnsi="仿宋" w:eastAsia="仿宋" w:cs="仿宋"/>
          <w:sz w:val="24"/>
          <w:highlight w:val="none"/>
        </w:rPr>
      </w:pPr>
    </w:p>
    <w:p w14:paraId="182A59A7">
      <w:pPr>
        <w:spacing w:line="360" w:lineRule="auto"/>
        <w:ind w:right="420"/>
        <w:rPr>
          <w:rFonts w:ascii="仿宋" w:hAnsi="仿宋" w:eastAsia="仿宋" w:cs="仿宋"/>
          <w:sz w:val="24"/>
          <w:highlight w:val="none"/>
        </w:rPr>
      </w:pPr>
      <w:r>
        <w:rPr>
          <w:rFonts w:hint="eastAsia" w:ascii="仿宋" w:hAnsi="仿宋" w:eastAsia="仿宋" w:cs="仿宋"/>
          <w:sz w:val="24"/>
          <w:highlight w:val="none"/>
        </w:rPr>
        <w:t xml:space="preserve">   </w:t>
      </w:r>
    </w:p>
    <w:p w14:paraId="016F2901">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4CDBAB1A">
      <w:pPr>
        <w:spacing w:line="360" w:lineRule="auto"/>
        <w:ind w:right="420"/>
        <w:rPr>
          <w:rFonts w:ascii="仿宋" w:hAnsi="仿宋" w:eastAsia="仿宋" w:cs="仿宋"/>
          <w:highlight w:val="none"/>
        </w:rPr>
      </w:pPr>
    </w:p>
    <w:p w14:paraId="3235286A">
      <w:pPr>
        <w:spacing w:line="360" w:lineRule="auto"/>
        <w:rPr>
          <w:rFonts w:ascii="仿宋" w:hAnsi="仿宋" w:eastAsia="仿宋" w:cs="仿宋"/>
          <w:bCs/>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w:altName w:val="Lucida Sans Unicode"/>
    <w:panose1 w:val="00000000000000000000"/>
    <w:charset w:val="00"/>
    <w:family w:val="swiss"/>
    <w:pitch w:val="default"/>
    <w:sig w:usb0="00000000" w:usb1="00000000" w:usb2="00000008" w:usb3="00000000" w:csb0="6000009F" w:csb1="FFFF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Segoe Print"/>
    <w:panose1 w:val="00000000000000000000"/>
    <w:charset w:val="00"/>
    <w:family w:val="modern"/>
    <w:pitch w:val="default"/>
    <w:sig w:usb0="00000000" w:usb1="00000000"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9705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784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121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121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7FB9F">
    <w:pPr>
      <w:pStyle w:val="39"/>
      <w:framePr w:wrap="around" w:vAnchor="text" w:hAnchor="margin" w:xAlign="right" w:y="1"/>
      <w:rPr>
        <w:rStyle w:val="66"/>
      </w:rPr>
    </w:pPr>
    <w:r>
      <w:fldChar w:fldCharType="begin"/>
    </w:r>
    <w:r>
      <w:rPr>
        <w:rStyle w:val="66"/>
      </w:rPr>
      <w:instrText xml:space="preserve">PAGE  </w:instrText>
    </w:r>
    <w:r>
      <w:fldChar w:fldCharType="separate"/>
    </w:r>
    <w:r>
      <w:t xml:space="preserve"> </w:t>
    </w:r>
    <w:r>
      <w:fldChar w:fldCharType="end"/>
    </w:r>
  </w:p>
  <w:p w14:paraId="3C7D120F">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0116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121</w:t>
    </w:r>
    <w:r>
      <w:rPr>
        <w:rFonts w:hint="eastAsia" w:ascii="仿宋_GB2312" w:eastAsia="仿宋_GB2312"/>
        <w:kern w:val="0"/>
        <w:szCs w:val="21"/>
      </w:rPr>
      <w:fldChar w:fldCharType="end"/>
    </w:r>
    <w:bookmarkStart w:id="413" w:name="_Toc131845147"/>
    <w:bookmarkStart w:id="414" w:name="_Toc36110187"/>
    <w:bookmarkStart w:id="415" w:name="_Toc91899912"/>
    <w:bookmarkStart w:id="416" w:name="_Toc164085800"/>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47267">
    <w:pPr>
      <w:pStyle w:val="39"/>
      <w:framePr w:wrap="around" w:vAnchor="text" w:hAnchor="margin" w:xAlign="right" w:y="1"/>
      <w:rPr>
        <w:rStyle w:val="66"/>
      </w:rPr>
    </w:pPr>
    <w:r>
      <w:fldChar w:fldCharType="begin"/>
    </w:r>
    <w:r>
      <w:rPr>
        <w:rStyle w:val="66"/>
      </w:rPr>
      <w:instrText xml:space="preserve">PAGE  </w:instrText>
    </w:r>
    <w:r>
      <w:fldChar w:fldCharType="separate"/>
    </w:r>
    <w:r>
      <w:t xml:space="preserve"> </w:t>
    </w:r>
    <w:r>
      <w:fldChar w:fldCharType="end"/>
    </w:r>
  </w:p>
  <w:p w14:paraId="51D962F7">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F51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2F0D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121</w:t>
    </w:r>
    <w:r>
      <w:rPr>
        <w:rFonts w:hint="eastAsia" w:ascii="仿宋_GB2312" w:eastAsia="仿宋_GB2312"/>
        <w:kern w:val="0"/>
      </w:rPr>
      <w:fldChar w:fldCharType="end"/>
    </w:r>
    <w:r>
      <w:rPr>
        <w:rFonts w:hint="eastAsia" w:ascii="仿宋_GB2312" w:eastAsia="仿宋_GB2312"/>
        <w:kern w:val="0"/>
      </w:rPr>
      <w:t xml:space="preserve"> 页</w:t>
    </w:r>
  </w:p>
  <w:p w14:paraId="350BC6E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3431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121</w:t>
    </w:r>
    <w:r>
      <w:rPr>
        <w:rFonts w:hint="eastAsia" w:ascii="仿宋_GB2312" w:eastAsia="仿宋_GB2312"/>
        <w:kern w:val="0"/>
      </w:rPr>
      <w:fldChar w:fldCharType="end"/>
    </w:r>
    <w:r>
      <w:rPr>
        <w:rFonts w:hint="eastAsia" w:ascii="仿宋_GB2312" w:eastAsia="仿宋_GB2312"/>
        <w:kern w:val="0"/>
      </w:rPr>
      <w:t xml:space="preserve"> 页</w:t>
    </w:r>
  </w:p>
  <w:p w14:paraId="36B75AF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1C77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121</w:t>
    </w:r>
    <w:r>
      <w:rPr>
        <w:rFonts w:hint="eastAsia" w:ascii="仿宋_GB2312" w:eastAsia="仿宋_GB2312"/>
        <w:kern w:val="0"/>
      </w:rPr>
      <w:fldChar w:fldCharType="end"/>
    </w:r>
    <w:r>
      <w:rPr>
        <w:rFonts w:hint="eastAsia" w:ascii="仿宋_GB2312" w:eastAsia="仿宋_GB2312"/>
        <w:kern w:val="0"/>
      </w:rPr>
      <w:t xml:space="preserve"> 页</w:t>
    </w:r>
  </w:p>
  <w:p w14:paraId="4FCE04D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9F1A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121</w:t>
    </w:r>
    <w:r>
      <w:rPr>
        <w:rFonts w:hint="eastAsia" w:ascii="仿宋_GB2312" w:eastAsia="仿宋_GB2312"/>
        <w:kern w:val="0"/>
      </w:rPr>
      <w:fldChar w:fldCharType="end"/>
    </w:r>
    <w:r>
      <w:rPr>
        <w:rFonts w:hint="eastAsia" w:ascii="仿宋_GB2312" w:eastAsia="仿宋_GB2312"/>
        <w:kern w:val="0"/>
      </w:rPr>
      <w:t xml:space="preserve"> 页</w:t>
    </w:r>
  </w:p>
  <w:p w14:paraId="45992B8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C357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121</w:t>
    </w:r>
    <w:r>
      <w:rPr>
        <w:rFonts w:hint="eastAsia" w:ascii="仿宋_GB2312" w:eastAsia="仿宋_GB2312"/>
        <w:kern w:val="0"/>
      </w:rPr>
      <w:fldChar w:fldCharType="end"/>
    </w:r>
    <w:r>
      <w:rPr>
        <w:rFonts w:hint="eastAsia" w:ascii="仿宋_GB2312" w:eastAsia="仿宋_GB2312"/>
        <w:kern w:val="0"/>
      </w:rPr>
      <w:t xml:space="preserve"> 页</w:t>
    </w:r>
  </w:p>
  <w:p w14:paraId="7F37B56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B304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121</w:t>
    </w:r>
    <w:r>
      <w:rPr>
        <w:rFonts w:hint="eastAsia" w:ascii="仿宋_GB2312" w:eastAsia="仿宋_GB2312"/>
        <w:kern w:val="0"/>
      </w:rPr>
      <w:fldChar w:fldCharType="end"/>
    </w:r>
    <w:r>
      <w:rPr>
        <w:rFonts w:hint="eastAsia" w:ascii="仿宋_GB2312" w:eastAsia="仿宋_GB2312"/>
        <w:kern w:val="0"/>
      </w:rPr>
      <w:t xml:space="preserve"> 页</w:t>
    </w:r>
  </w:p>
  <w:p w14:paraId="6CC00FB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6D48">
    <w:pPr>
      <w:pStyle w:val="40"/>
      <w:pBdr>
        <w:bottom w:val="single" w:color="auto" w:sz="6" w:space="4"/>
      </w:pBdr>
      <w:jc w:val="right"/>
    </w:pPr>
    <w:r>
      <w:t>杭州市政府采购公开招标文件</w:t>
    </w:r>
  </w:p>
  <w:p w14:paraId="7113854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5B749">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9B34D">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C10A8">
    <w:pPr>
      <w:pStyle w:val="40"/>
      <w:rPr>
        <w:rFonts w:ascii="仿宋_GB2312" w:eastAsia="仿宋_GB2312"/>
        <w:b/>
        <w:i/>
        <w:u w:val="single"/>
      </w:rPr>
    </w:pPr>
    <w:r>
      <w:t>             杭州市政府采购公开招标文件</w:t>
    </w:r>
  </w:p>
  <w:p w14:paraId="1D329B0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01F11">
    <w:pPr>
      <w:pStyle w:val="40"/>
    </w:pPr>
    <w:r>
      <w:t></w:t>
    </w:r>
  </w:p>
  <w:p w14:paraId="14D69729">
    <w:pPr>
      <w:pStyle w:val="40"/>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43A01">
    <w:pPr>
      <w:pStyle w:val="40"/>
      <w:rPr>
        <w:rFonts w:ascii="仿宋_GB2312" w:eastAsia="仿宋_GB2312"/>
        <w:b/>
        <w:i/>
        <w:u w:val="single"/>
      </w:rPr>
    </w:pPr>
    <w:r>
      <w:t>杭州市政府采购公开招标文件</w:t>
    </w:r>
  </w:p>
  <w:p w14:paraId="4990F70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41F35">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37D8E">
    <w:pPr>
      <w:pStyle w:val="40"/>
      <w:jc w:val="right"/>
      <w:rPr>
        <w:rFonts w:ascii="仿宋_GB2312" w:eastAsia="仿宋_GB2312"/>
        <w:b/>
        <w:i/>
        <w:u w:val="single"/>
      </w:rPr>
    </w:pPr>
    <w:r>
      <w:t>杭州市政府采购公开招标文件</w:t>
    </w:r>
  </w:p>
  <w:p w14:paraId="2B84D2D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DD53B">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0CC2D">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645B98"/>
    <w:multiLevelType w:val="singleLevel"/>
    <w:tmpl w:val="FD645B98"/>
    <w:lvl w:ilvl="0" w:tentative="0">
      <w:start w:val="4"/>
      <w:numFmt w:val="decimal"/>
      <w:lvlText w:val="%1."/>
      <w:lvlJc w:val="left"/>
      <w:pPr>
        <w:tabs>
          <w:tab w:val="left" w:pos="312"/>
        </w:tabs>
      </w:pPr>
    </w:lvl>
  </w:abstractNum>
  <w:abstractNum w:abstractNumId="1">
    <w:nsid w:val="3C929161"/>
    <w:multiLevelType w:val="singleLevel"/>
    <w:tmpl w:val="3C929161"/>
    <w:lvl w:ilvl="0" w:tentative="0">
      <w:start w:val="6"/>
      <w:numFmt w:val="decimal"/>
      <w:suff w:val="nothing"/>
      <w:lvlText w:val="（%1）"/>
      <w:lvlJc w:val="left"/>
    </w:lvl>
  </w:abstractNum>
  <w:abstractNum w:abstractNumId="2">
    <w:nsid w:val="724C7E62"/>
    <w:multiLevelType w:val="singleLevel"/>
    <w:tmpl w:val="724C7E62"/>
    <w:lvl w:ilvl="0" w:tentative="0">
      <w:start w:val="6"/>
      <w:numFmt w:val="chineseCounting"/>
      <w:suff w:val="nothing"/>
      <w:lvlText w:val="%1、"/>
      <w:lvlJc w:val="left"/>
      <w:rPr>
        <w:rFonts w:hint="eastAsia"/>
      </w:rPr>
    </w:lvl>
  </w:abstractNum>
  <w:abstractNum w:abstractNumId="3">
    <w:nsid w:val="77B58F5C"/>
    <w:multiLevelType w:val="singleLevel"/>
    <w:tmpl w:val="77B58F5C"/>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OWNhMzM4YzVlMTBkMWM4MjU2NTNhZGI3ZDI4OGVjMTQifQ=="/>
  </w:docVars>
  <w:rsids>
    <w:rsidRoot w:val="00A544AA"/>
    <w:rsid w:val="00980FD5"/>
    <w:rsid w:val="00A544AA"/>
    <w:rsid w:val="00C5781D"/>
    <w:rsid w:val="00D60ED4"/>
    <w:rsid w:val="00FE1D84"/>
    <w:rsid w:val="07746E01"/>
    <w:rsid w:val="0C474AE5"/>
    <w:rsid w:val="11CC783A"/>
    <w:rsid w:val="11D111AA"/>
    <w:rsid w:val="1B414DF5"/>
    <w:rsid w:val="23D74548"/>
    <w:rsid w:val="2BD142C2"/>
    <w:rsid w:val="344D6161"/>
    <w:rsid w:val="3AB65C83"/>
    <w:rsid w:val="3E2D328B"/>
    <w:rsid w:val="419E3714"/>
    <w:rsid w:val="482120DF"/>
    <w:rsid w:val="485B4474"/>
    <w:rsid w:val="4B5D4A84"/>
    <w:rsid w:val="56E71755"/>
    <w:rsid w:val="5818245E"/>
    <w:rsid w:val="582866DC"/>
    <w:rsid w:val="5C380218"/>
    <w:rsid w:val="5CFB12A1"/>
    <w:rsid w:val="5E1C685D"/>
    <w:rsid w:val="62BE222E"/>
    <w:rsid w:val="638210D3"/>
    <w:rsid w:val="64B2376B"/>
    <w:rsid w:val="6D4F64CA"/>
    <w:rsid w:val="72213B95"/>
    <w:rsid w:val="74F579F0"/>
    <w:rsid w:val="75D92D50"/>
    <w:rsid w:val="7ED12D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74"/>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75"/>
    <w:autoRedefine/>
    <w:qFormat/>
    <w:uiPriority w:val="0"/>
    <w:pPr>
      <w:keepNext/>
      <w:keepLines/>
      <w:tabs>
        <w:tab w:val="left" w:pos="900"/>
      </w:tabs>
      <w:spacing w:before="260" w:after="260" w:line="415" w:lineRule="auto"/>
      <w:ind w:left="900" w:hanging="720"/>
      <w:outlineLvl w:val="2"/>
    </w:pPr>
    <w:rPr>
      <w:b/>
      <w:bCs/>
      <w:sz w:val="32"/>
      <w:szCs w:val="32"/>
    </w:rPr>
  </w:style>
  <w:style w:type="paragraph" w:styleId="6">
    <w:name w:val="heading 4"/>
    <w:basedOn w:val="1"/>
    <w:next w:val="1"/>
    <w:link w:val="76"/>
    <w:autoRedefine/>
    <w:qFormat/>
    <w:uiPriority w:val="0"/>
    <w:pPr>
      <w:keepNext/>
      <w:keepLines/>
      <w:tabs>
        <w:tab w:val="left" w:pos="864"/>
      </w:tabs>
      <w:spacing w:before="280" w:after="290" w:line="377" w:lineRule="auto"/>
      <w:ind w:left="864" w:hanging="864"/>
      <w:outlineLvl w:val="3"/>
    </w:pPr>
    <w:rPr>
      <w:rFonts w:ascii="Arial" w:hAnsi="Arial" w:eastAsia="黑体"/>
      <w:b/>
      <w:bCs/>
      <w:sz w:val="28"/>
      <w:szCs w:val="28"/>
      <w:lang w:val="zh-CN"/>
    </w:rPr>
  </w:style>
  <w:style w:type="paragraph" w:styleId="7">
    <w:name w:val="heading 5"/>
    <w:basedOn w:val="1"/>
    <w:next w:val="1"/>
    <w:link w:val="77"/>
    <w:autoRedefine/>
    <w:qFormat/>
    <w:uiPriority w:val="0"/>
    <w:pPr>
      <w:keepNext/>
      <w:keepLines/>
      <w:tabs>
        <w:tab w:val="left" w:pos="1008"/>
      </w:tabs>
      <w:spacing w:before="280" w:after="290" w:line="377" w:lineRule="auto"/>
      <w:ind w:left="1008" w:hanging="1008"/>
      <w:outlineLvl w:val="4"/>
    </w:pPr>
    <w:rPr>
      <w:b/>
      <w:bCs/>
      <w:sz w:val="28"/>
      <w:szCs w:val="28"/>
    </w:rPr>
  </w:style>
  <w:style w:type="paragraph" w:styleId="8">
    <w:name w:val="heading 6"/>
    <w:basedOn w:val="1"/>
    <w:next w:val="1"/>
    <w:link w:val="78"/>
    <w:autoRedefine/>
    <w:qFormat/>
    <w:uiPriority w:val="0"/>
    <w:pPr>
      <w:keepNext/>
      <w:keepLines/>
      <w:tabs>
        <w:tab w:val="left" w:pos="1152"/>
      </w:tabs>
      <w:spacing w:before="240" w:after="64" w:line="319" w:lineRule="auto"/>
      <w:ind w:left="1152" w:hanging="1152"/>
      <w:outlineLvl w:val="5"/>
    </w:pPr>
    <w:rPr>
      <w:rFonts w:ascii="Arial" w:hAnsi="Arial" w:eastAsia="黑体"/>
      <w:b/>
      <w:bCs/>
      <w:sz w:val="24"/>
    </w:rPr>
  </w:style>
  <w:style w:type="paragraph" w:styleId="9">
    <w:name w:val="heading 7"/>
    <w:basedOn w:val="1"/>
    <w:next w:val="1"/>
    <w:link w:val="79"/>
    <w:autoRedefine/>
    <w:qFormat/>
    <w:uiPriority w:val="0"/>
    <w:pPr>
      <w:keepNext/>
      <w:keepLines/>
      <w:tabs>
        <w:tab w:val="left" w:pos="1296"/>
      </w:tabs>
      <w:spacing w:before="240" w:after="64" w:line="319" w:lineRule="auto"/>
      <w:ind w:left="1296" w:hanging="1296"/>
      <w:outlineLvl w:val="6"/>
    </w:pPr>
    <w:rPr>
      <w:b/>
      <w:bCs/>
      <w:sz w:val="24"/>
    </w:rPr>
  </w:style>
  <w:style w:type="paragraph" w:styleId="10">
    <w:name w:val="heading 8"/>
    <w:basedOn w:val="1"/>
    <w:next w:val="1"/>
    <w:link w:val="80"/>
    <w:autoRedefine/>
    <w:qFormat/>
    <w:uiPriority w:val="0"/>
    <w:pPr>
      <w:keepNext/>
      <w:keepLines/>
      <w:tabs>
        <w:tab w:val="left" w:pos="1440"/>
      </w:tabs>
      <w:spacing w:before="240" w:after="64" w:line="319" w:lineRule="auto"/>
      <w:ind w:left="1440" w:hanging="1440"/>
      <w:outlineLvl w:val="7"/>
    </w:pPr>
    <w:rPr>
      <w:rFonts w:ascii="Arial" w:hAnsi="Arial" w:eastAsia="黑体"/>
      <w:sz w:val="24"/>
    </w:rPr>
  </w:style>
  <w:style w:type="paragraph" w:styleId="11">
    <w:name w:val="heading 9"/>
    <w:basedOn w:val="1"/>
    <w:next w:val="1"/>
    <w:link w:val="81"/>
    <w:autoRedefine/>
    <w:qFormat/>
    <w:uiPriority w:val="0"/>
    <w:pPr>
      <w:keepNext/>
      <w:keepLines/>
      <w:tabs>
        <w:tab w:val="left" w:pos="1584"/>
      </w:tabs>
      <w:spacing w:before="240" w:after="64" w:line="319" w:lineRule="auto"/>
      <w:ind w:left="1584" w:hanging="1584"/>
      <w:outlineLvl w:val="8"/>
    </w:pPr>
    <w:rPr>
      <w:rFonts w:ascii="Arial" w:hAnsi="Arial" w:eastAsia="黑体"/>
      <w:szCs w:val="21"/>
    </w:rPr>
  </w:style>
  <w:style w:type="character" w:default="1" w:styleId="63">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1200" w:leftChars="1200"/>
    </w:pPr>
  </w:style>
  <w:style w:type="paragraph" w:styleId="13">
    <w:name w:val="List Number 2"/>
    <w:basedOn w:val="1"/>
    <w:autoRedefine/>
    <w:qFormat/>
    <w:uiPriority w:val="0"/>
    <w:pPr>
      <w:widowControl/>
      <w:tabs>
        <w:tab w:val="left" w:pos="1697"/>
      </w:tabs>
      <w:adjustRightInd/>
      <w:spacing w:after="50" w:afterLines="50"/>
      <w:ind w:left="1697" w:hanging="420"/>
      <w:jc w:val="left"/>
    </w:pPr>
    <w:rPr>
      <w:kern w:val="0"/>
      <w:sz w:val="24"/>
      <w:szCs w:val="20"/>
    </w:rPr>
  </w:style>
  <w:style w:type="paragraph" w:styleId="14">
    <w:name w:val="List Bullet 4"/>
    <w:basedOn w:val="1"/>
    <w:autoRedefine/>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50"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qFormat/>
    <w:uiPriority w:val="0"/>
    <w:pPr>
      <w:shd w:val="clear" w:color="auto" w:fill="000080"/>
    </w:pPr>
  </w:style>
  <w:style w:type="paragraph" w:styleId="19">
    <w:name w:val="annotation text"/>
    <w:basedOn w:val="1"/>
    <w:autoRedefine/>
    <w:qFormat/>
    <w:uiPriority w:val="0"/>
    <w:pPr>
      <w:jc w:val="left"/>
    </w:pPr>
  </w:style>
  <w:style w:type="paragraph" w:styleId="20">
    <w:name w:val="Salutation"/>
    <w:basedOn w:val="1"/>
    <w:next w:val="1"/>
    <w:autoRedefine/>
    <w:qFormat/>
    <w:uiPriority w:val="0"/>
    <w:rPr>
      <w:rFonts w:ascii="仿宋_GB2312" w:eastAsia="仿宋_GB2312"/>
      <w:sz w:val="28"/>
      <w:szCs w:val="20"/>
    </w:rPr>
  </w:style>
  <w:style w:type="paragraph" w:styleId="21">
    <w:name w:val="Body Text 3"/>
    <w:basedOn w:val="1"/>
    <w:autoRedefine/>
    <w:qFormat/>
    <w:uiPriority w:val="0"/>
    <w:pPr>
      <w:jc w:val="center"/>
    </w:pPr>
    <w:rPr>
      <w:szCs w:val="20"/>
    </w:rPr>
  </w:style>
  <w:style w:type="paragraph" w:styleId="22">
    <w:name w:val="List Bullet 3"/>
    <w:basedOn w:val="1"/>
    <w:autoRedefine/>
    <w:qFormat/>
    <w:uiPriority w:val="0"/>
    <w:pPr>
      <w:snapToGrid w:val="0"/>
      <w:spacing w:line="360" w:lineRule="auto"/>
      <w:ind w:left="360" w:right="238" w:hanging="360"/>
      <w:contextualSpacing/>
    </w:pPr>
    <w:rPr>
      <w:sz w:val="24"/>
    </w:rPr>
  </w:style>
  <w:style w:type="paragraph" w:styleId="23">
    <w:name w:val="Body Text"/>
    <w:basedOn w:val="1"/>
    <w:next w:val="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autoRedefine/>
    <w:qFormat/>
    <w:uiPriority w:val="0"/>
    <w:pPr>
      <w:spacing w:line="480" w:lineRule="exact"/>
      <w:ind w:firstLine="20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50"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400" w:leftChars="200" w:hanging="200" w:hangingChars="200"/>
    </w:pPr>
    <w:rPr>
      <w:rFonts w:eastAsia="微软雅黑"/>
    </w:rPr>
  </w:style>
  <w:style w:type="paragraph" w:styleId="27">
    <w:name w:val="Block Text"/>
    <w:basedOn w:val="1"/>
    <w:autoRedefine/>
    <w:qFormat/>
    <w:uiPriority w:val="0"/>
    <w:pPr>
      <w:ind w:left="-171" w:leftChars="-171" w:right="-244" w:rightChars="-244" w:firstLine="239"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800" w:leftChars="800"/>
    </w:pPr>
  </w:style>
  <w:style w:type="paragraph" w:styleId="31">
    <w:name w:val="toc 3"/>
    <w:basedOn w:val="1"/>
    <w:next w:val="1"/>
    <w:autoRedefine/>
    <w:qFormat/>
    <w:uiPriority w:val="0"/>
    <w:pPr>
      <w:tabs>
        <w:tab w:val="right" w:leader="dot" w:pos="8268"/>
      </w:tabs>
      <w:spacing w:line="460" w:lineRule="exact"/>
      <w:ind w:left="400" w:leftChars="400" w:firstLine="482"/>
    </w:pPr>
    <w:rPr>
      <w:rFonts w:ascii="宋体" w:hAnsi="宋体"/>
    </w:rPr>
  </w:style>
  <w:style w:type="paragraph" w:styleId="32">
    <w:name w:val="Plain Text"/>
    <w:basedOn w:val="1"/>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1400" w:leftChars="1400"/>
    </w:pPr>
  </w:style>
  <w:style w:type="paragraph" w:styleId="35">
    <w:name w:val="Date"/>
    <w:basedOn w:val="1"/>
    <w:next w:val="1"/>
    <w:autoRedefine/>
    <w:qFormat/>
    <w:uiPriority w:val="0"/>
    <w:pPr>
      <w:ind w:left="2500" w:leftChars="2500"/>
    </w:pPr>
    <w:rPr>
      <w:rFonts w:ascii="宋体"/>
      <w:sz w:val="24"/>
      <w:szCs w:val="21"/>
      <w:lang w:val="zh-CN"/>
    </w:rPr>
  </w:style>
  <w:style w:type="paragraph" w:styleId="36">
    <w:name w:val="Body Text Indent 2"/>
    <w:basedOn w:val="1"/>
    <w:autoRedefine/>
    <w:qFormat/>
    <w:uiPriority w:val="0"/>
    <w:pPr>
      <w:spacing w:line="360" w:lineRule="auto"/>
      <w:ind w:firstLine="601"/>
      <w:textAlignment w:val="baseline"/>
    </w:pPr>
    <w:rPr>
      <w:rFonts w:ascii="宋体"/>
      <w:kern w:val="0"/>
      <w:sz w:val="28"/>
      <w:szCs w:val="20"/>
    </w:rPr>
  </w:style>
  <w:style w:type="paragraph" w:styleId="37">
    <w:name w:val="endnote text"/>
    <w:basedOn w:val="1"/>
    <w:autoRedefine/>
    <w:qFormat/>
    <w:uiPriority w:val="0"/>
    <w:rPr>
      <w:lang w:val="zh-CN"/>
    </w:rPr>
  </w:style>
  <w:style w:type="paragraph" w:styleId="38">
    <w:name w:val="Balloon Text"/>
    <w:basedOn w:val="1"/>
    <w:autoRedefine/>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60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1"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autoRedefine/>
    <w:qFormat/>
    <w:uiPriority w:val="0"/>
    <w:pPr>
      <w:adjustRightInd/>
      <w:snapToGrid/>
      <w:spacing w:before="60" w:after="60" w:line="300" w:lineRule="exact"/>
      <w:ind w:firstLine="0"/>
    </w:pPr>
    <w:rPr>
      <w:rFonts w:ascii="Calibri" w:hAnsi="Calibri"/>
      <w:snapToGrid/>
      <w:color w:val="0000FF"/>
      <w:kern w:val="0"/>
      <w:sz w:val="21"/>
    </w:rPr>
  </w:style>
  <w:style w:type="paragraph" w:styleId="50">
    <w:name w:val="toc 6"/>
    <w:basedOn w:val="1"/>
    <w:next w:val="1"/>
    <w:autoRedefine/>
    <w:qFormat/>
    <w:uiPriority w:val="0"/>
    <w:pPr>
      <w:ind w:left="1000" w:leftChars="1000"/>
    </w:pPr>
  </w:style>
  <w:style w:type="paragraph" w:styleId="51">
    <w:name w:val="List 5"/>
    <w:basedOn w:val="1"/>
    <w:autoRedefine/>
    <w:qFormat/>
    <w:uiPriority w:val="0"/>
    <w:pPr>
      <w:adjustRightInd/>
      <w:ind w:left="1000" w:leftChars="800" w:hanging="200" w:hangingChars="200"/>
    </w:pPr>
  </w:style>
  <w:style w:type="paragraph" w:styleId="52">
    <w:name w:val="Body Text Indent 3"/>
    <w:basedOn w:val="1"/>
    <w:autoRedefine/>
    <w:qFormat/>
    <w:uiPriority w:val="0"/>
    <w:pPr>
      <w:spacing w:line="360" w:lineRule="auto"/>
      <w:ind w:firstLine="420"/>
    </w:pPr>
    <w:rPr>
      <w:sz w:val="24"/>
      <w:szCs w:val="20"/>
    </w:rPr>
  </w:style>
  <w:style w:type="paragraph" w:styleId="53">
    <w:name w:val="toc 2"/>
    <w:basedOn w:val="1"/>
    <w:next w:val="1"/>
    <w:autoRedefine/>
    <w:qFormat/>
    <w:uiPriority w:val="0"/>
    <w:pPr>
      <w:ind w:left="200" w:leftChars="200"/>
    </w:pPr>
  </w:style>
  <w:style w:type="paragraph" w:styleId="54">
    <w:name w:val="toc 9"/>
    <w:basedOn w:val="1"/>
    <w:next w:val="1"/>
    <w:autoRedefine/>
    <w:qFormat/>
    <w:uiPriority w:val="0"/>
    <w:pPr>
      <w:ind w:left="1600" w:leftChars="1600"/>
    </w:pPr>
  </w:style>
  <w:style w:type="paragraph" w:styleId="55">
    <w:name w:val="Body Text 2"/>
    <w:basedOn w:val="1"/>
    <w:autoRedefine/>
    <w:qFormat/>
    <w:uiPriority w:val="0"/>
    <w:pPr>
      <w:spacing w:after="120" w:line="480" w:lineRule="auto"/>
    </w:pPr>
  </w:style>
  <w:style w:type="paragraph" w:styleId="5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hAnsi="Courier New" w:eastAsia="黑体"/>
      <w:kern w:val="0"/>
      <w:sz w:val="20"/>
      <w:szCs w:val="20"/>
    </w:rPr>
  </w:style>
  <w:style w:type="paragraph" w:styleId="5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autoRedefine/>
    <w:qFormat/>
    <w:uiPriority w:val="0"/>
    <w:rPr>
      <w:b/>
      <w:bCs/>
    </w:rPr>
  </w:style>
  <w:style w:type="paragraph" w:styleId="60">
    <w:name w:val="Body Text First Indent"/>
    <w:basedOn w:val="23"/>
    <w:autoRedefine/>
    <w:qFormat/>
    <w:uiPriority w:val="0"/>
    <w:pPr>
      <w:ind w:firstLine="420"/>
    </w:pPr>
    <w:rPr>
      <w:rFonts w:hAnsi="Calibri" w:cs="Times New Roman"/>
      <w:snapToGrid/>
      <w:szCs w:val="20"/>
    </w:rPr>
  </w:style>
  <w:style w:type="paragraph" w:styleId="61">
    <w:name w:val="Body Text First Indent 2"/>
    <w:basedOn w:val="24"/>
    <w:autoRedefine/>
    <w:qFormat/>
    <w:uiPriority w:val="0"/>
    <w:pPr>
      <w:adjustRightInd/>
      <w:spacing w:after="120" w:line="240" w:lineRule="auto"/>
      <w:ind w:left="200" w:leftChars="200"/>
    </w:pPr>
    <w:rPr>
      <w:sz w:val="21"/>
    </w:rPr>
  </w:style>
  <w:style w:type="character" w:styleId="64">
    <w:name w:val="Strong"/>
    <w:autoRedefine/>
    <w:qFormat/>
    <w:uiPriority w:val="0"/>
    <w:rPr>
      <w:b/>
      <w:bCs/>
    </w:rPr>
  </w:style>
  <w:style w:type="character" w:styleId="65">
    <w:name w:val="endnote reference"/>
    <w:autoRedefine/>
    <w:qFormat/>
    <w:uiPriority w:val="0"/>
    <w:rPr>
      <w:vertAlign w:val="superscript"/>
    </w:rPr>
  </w:style>
  <w:style w:type="character" w:styleId="66">
    <w:name w:val="page number"/>
    <w:basedOn w:val="63"/>
    <w:autoRedefine/>
    <w:qFormat/>
    <w:uiPriority w:val="0"/>
    <w:rPr>
      <w:rFonts w:ascii="Arial" w:hAnsi="Arial" w:eastAsia="黑体" w:cs="Arial"/>
      <w:snapToGrid w:val="0"/>
      <w:kern w:val="0"/>
      <w:szCs w:val="21"/>
    </w:rPr>
  </w:style>
  <w:style w:type="character" w:styleId="67">
    <w:name w:val="FollowedHyperlink"/>
    <w:autoRedefine/>
    <w:qFormat/>
    <w:uiPriority w:val="0"/>
    <w:rPr>
      <w:rFonts w:ascii="Arial" w:hAnsi="Arial" w:eastAsia="黑体" w:cs="Arial"/>
      <w:snapToGrid w:val="0"/>
      <w:color w:val="000000"/>
      <w:kern w:val="0"/>
      <w:sz w:val="18"/>
      <w:szCs w:val="18"/>
      <w:u w:val="none"/>
    </w:rPr>
  </w:style>
  <w:style w:type="character" w:styleId="68">
    <w:name w:val="Emphasis"/>
    <w:autoRedefine/>
    <w:qFormat/>
    <w:uiPriority w:val="0"/>
    <w:rPr>
      <w:color w:val="CC0033"/>
    </w:rPr>
  </w:style>
  <w:style w:type="character" w:styleId="69">
    <w:name w:val="line number"/>
    <w:basedOn w:val="63"/>
    <w:autoRedefine/>
    <w:qFormat/>
    <w:uiPriority w:val="0"/>
    <w:rPr>
      <w:rFonts w:ascii="Arial" w:hAnsi="Arial" w:eastAsia="黑体" w:cs="Arial"/>
      <w:snapToGrid w:val="0"/>
      <w:kern w:val="0"/>
      <w:szCs w:val="21"/>
    </w:rPr>
  </w:style>
  <w:style w:type="character" w:styleId="70">
    <w:name w:val="Hyperlink"/>
    <w:autoRedefine/>
    <w:qFormat/>
    <w:uiPriority w:val="0"/>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0"/>
    <w:rPr>
      <w:sz w:val="21"/>
      <w:szCs w:val="21"/>
    </w:rPr>
  </w:style>
  <w:style w:type="character" w:customStyle="1" w:styleId="73">
    <w:name w:val="标题 1 Char"/>
    <w:basedOn w:val="63"/>
    <w:link w:val="2"/>
    <w:autoRedefine/>
    <w:qFormat/>
    <w:uiPriority w:val="0"/>
    <w:rPr>
      <w:rFonts w:ascii="Times New Roman" w:hAnsi="Times New Roman" w:eastAsia="宋体" w:cs="Times New Roman"/>
      <w:b/>
      <w:bCs/>
      <w:kern w:val="44"/>
      <w:sz w:val="44"/>
      <w:szCs w:val="44"/>
      <w:lang w:val="en-US" w:eastAsia="zh-CN" w:bidi="ar-SA"/>
    </w:rPr>
  </w:style>
  <w:style w:type="character" w:customStyle="1" w:styleId="74">
    <w:name w:val="标题 2 Char1"/>
    <w:basedOn w:val="63"/>
    <w:link w:val="3"/>
    <w:autoRedefine/>
    <w:qFormat/>
    <w:uiPriority w:val="0"/>
    <w:rPr>
      <w:rFonts w:ascii="仿宋_GB2312" w:hAnsi="仿宋" w:eastAsia="仿宋_GB2312" w:cs="Times New Roman"/>
      <w:b/>
      <w:bCs/>
      <w:kern w:val="2"/>
      <w:sz w:val="32"/>
      <w:szCs w:val="32"/>
      <w:lang w:val="zh-CN" w:eastAsia="zh-CN" w:bidi="ar-SA"/>
    </w:rPr>
  </w:style>
  <w:style w:type="character" w:customStyle="1" w:styleId="75">
    <w:name w:val="标题 3 Char"/>
    <w:basedOn w:val="63"/>
    <w:link w:val="4"/>
    <w:autoRedefine/>
    <w:qFormat/>
    <w:uiPriority w:val="0"/>
    <w:rPr>
      <w:rFonts w:ascii="Times New Roman" w:hAnsi="Times New Roman" w:eastAsia="宋体" w:cs="Times New Roman"/>
      <w:b/>
      <w:bCs/>
      <w:kern w:val="2"/>
      <w:sz w:val="32"/>
      <w:szCs w:val="32"/>
      <w:lang w:val="en-US" w:eastAsia="zh-CN" w:bidi="ar-SA"/>
    </w:rPr>
  </w:style>
  <w:style w:type="character" w:customStyle="1" w:styleId="76">
    <w:name w:val="标题 4 Char2"/>
    <w:basedOn w:val="63"/>
    <w:link w:val="6"/>
    <w:autoRedefine/>
    <w:qFormat/>
    <w:uiPriority w:val="0"/>
    <w:rPr>
      <w:rFonts w:ascii="Arial" w:hAnsi="Arial" w:eastAsia="黑体" w:cs="Times New Roman"/>
      <w:b/>
      <w:bCs/>
      <w:kern w:val="2"/>
      <w:sz w:val="28"/>
      <w:szCs w:val="28"/>
      <w:lang w:val="zh-CN" w:eastAsia="zh-CN" w:bidi="ar-SA"/>
    </w:rPr>
  </w:style>
  <w:style w:type="character" w:customStyle="1" w:styleId="77">
    <w:name w:val="标题 5 Char"/>
    <w:basedOn w:val="63"/>
    <w:link w:val="7"/>
    <w:autoRedefine/>
    <w:qFormat/>
    <w:uiPriority w:val="0"/>
    <w:rPr>
      <w:rFonts w:ascii="Times New Roman" w:hAnsi="Times New Roman" w:eastAsia="宋体" w:cs="Times New Roman"/>
      <w:b/>
      <w:bCs/>
      <w:kern w:val="2"/>
      <w:sz w:val="28"/>
      <w:szCs w:val="28"/>
      <w:lang w:val="en-US" w:eastAsia="zh-CN" w:bidi="ar-SA"/>
    </w:rPr>
  </w:style>
  <w:style w:type="character" w:customStyle="1" w:styleId="78">
    <w:name w:val="标题 6 Char"/>
    <w:basedOn w:val="63"/>
    <w:link w:val="8"/>
    <w:autoRedefine/>
    <w:qFormat/>
    <w:uiPriority w:val="0"/>
    <w:rPr>
      <w:rFonts w:ascii="Arial" w:hAnsi="Arial" w:eastAsia="黑体" w:cs="Times New Roman"/>
      <w:b/>
      <w:bCs/>
      <w:kern w:val="2"/>
      <w:sz w:val="24"/>
      <w:szCs w:val="24"/>
      <w:lang w:val="en-US" w:eastAsia="zh-CN" w:bidi="ar-SA"/>
    </w:rPr>
  </w:style>
  <w:style w:type="character" w:customStyle="1" w:styleId="79">
    <w:name w:val="标题 7 Char"/>
    <w:basedOn w:val="63"/>
    <w:link w:val="9"/>
    <w:autoRedefine/>
    <w:qFormat/>
    <w:uiPriority w:val="0"/>
    <w:rPr>
      <w:rFonts w:ascii="Times New Roman" w:hAnsi="Times New Roman" w:eastAsia="宋体" w:cs="Times New Roman"/>
      <w:b/>
      <w:bCs/>
      <w:kern w:val="2"/>
      <w:sz w:val="24"/>
      <w:szCs w:val="24"/>
      <w:lang w:val="en-US" w:eastAsia="zh-CN" w:bidi="ar-SA"/>
    </w:rPr>
  </w:style>
  <w:style w:type="character" w:customStyle="1" w:styleId="80">
    <w:name w:val="标题 8 Char"/>
    <w:basedOn w:val="63"/>
    <w:link w:val="10"/>
    <w:autoRedefine/>
    <w:qFormat/>
    <w:uiPriority w:val="0"/>
    <w:rPr>
      <w:rFonts w:ascii="Arial" w:hAnsi="Arial" w:eastAsia="黑体" w:cs="Times New Roman"/>
      <w:kern w:val="2"/>
      <w:sz w:val="24"/>
      <w:szCs w:val="24"/>
      <w:lang w:val="en-US" w:eastAsia="zh-CN" w:bidi="ar-SA"/>
    </w:rPr>
  </w:style>
  <w:style w:type="character" w:customStyle="1" w:styleId="81">
    <w:name w:val="标题 9 Char"/>
    <w:basedOn w:val="63"/>
    <w:link w:val="11"/>
    <w:autoRedefine/>
    <w:qFormat/>
    <w:uiPriority w:val="0"/>
    <w:rPr>
      <w:rFonts w:ascii="Arial" w:hAnsi="Arial" w:eastAsia="黑体" w:cs="Times New Roman"/>
      <w:kern w:val="2"/>
      <w:sz w:val="21"/>
      <w:szCs w:val="21"/>
      <w:lang w:val="en-US" w:eastAsia="zh-CN" w:bidi="ar-SA"/>
    </w:rPr>
  </w:style>
  <w:style w:type="character" w:customStyle="1" w:styleId="82">
    <w:name w:val="标题 4 字符"/>
    <w:autoRedefine/>
    <w:qFormat/>
    <w:uiPriority w:val="0"/>
    <w:rPr>
      <w:rFonts w:ascii="等线 Light" w:hAnsi="等线 Light" w:eastAsia="等线 Light" w:cs="Times New Roman"/>
      <w:b/>
      <w:bCs/>
      <w:snapToGrid w:val="0"/>
      <w:kern w:val="0"/>
      <w:sz w:val="28"/>
      <w:szCs w:val="28"/>
    </w:rPr>
  </w:style>
  <w:style w:type="character" w:customStyle="1" w:styleId="83">
    <w:name w:val="标题 3 字符"/>
    <w:autoRedefine/>
    <w:qFormat/>
    <w:uiPriority w:val="0"/>
    <w:rPr>
      <w:b/>
      <w:bCs/>
      <w:kern w:val="2"/>
      <w:sz w:val="32"/>
      <w:szCs w:val="32"/>
    </w:rPr>
  </w:style>
  <w:style w:type="character" w:customStyle="1" w:styleId="84">
    <w:name w:val="标题 2 Char"/>
    <w:autoRedefine/>
    <w:qFormat/>
    <w:uiPriority w:val="0"/>
    <w:rPr>
      <w:rFonts w:ascii="Arial" w:hAnsi="Arial" w:eastAsia="黑体"/>
      <w:b/>
      <w:kern w:val="2"/>
      <w:sz w:val="32"/>
      <w:lang w:val="en-US" w:eastAsia="zh-CN"/>
    </w:rPr>
  </w:style>
  <w:style w:type="paragraph" w:customStyle="1" w:styleId="85">
    <w:name w:val="表格非标题文字"/>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0"/>
    <w:rPr>
      <w:rFonts w:ascii="仿宋_GB2312" w:hAnsi="仿宋_GB2312" w:eastAsia="仿宋_GB2312"/>
      <w:kern w:val="2"/>
      <w:sz w:val="28"/>
    </w:rPr>
  </w:style>
  <w:style w:type="character" w:customStyle="1" w:styleId="92">
    <w:name w:val="标题 3 Char1"/>
    <w:autoRedefine/>
    <w:qFormat/>
    <w:uiPriority w:val="0"/>
    <w:rPr>
      <w:rFonts w:ascii="华文中宋" w:hAnsi="华文中宋" w:eastAsia="华文中宋"/>
      <w:b/>
      <w:bCs/>
      <w:kern w:val="2"/>
      <w:sz w:val="32"/>
      <w:szCs w:val="32"/>
      <w:lang w:val="en-US" w:eastAsia="zh-CN" w:bidi="ar-SA"/>
    </w:rPr>
  </w:style>
  <w:style w:type="character" w:customStyle="1" w:styleId="93">
    <w:name w:val="Heading 1 Char"/>
    <w:autoRedefine/>
    <w:qFormat/>
    <w:uiPriority w:val="0"/>
    <w:rPr>
      <w:rFonts w:ascii="Times New Roman" w:hAnsi="Times New Roman" w:eastAsia="黑体" w:cs="Times New Roman"/>
      <w:b/>
      <w:kern w:val="0"/>
      <w:sz w:val="24"/>
      <w:szCs w:val="24"/>
    </w:rPr>
  </w:style>
  <w:style w:type="paragraph" w:customStyle="1" w:styleId="94">
    <w:name w:val="U_正文"/>
    <w:basedOn w:val="1"/>
    <w:autoRedefine/>
    <w:qFormat/>
    <w:uiPriority w:val="0"/>
    <w:pPr>
      <w:adjustRightInd/>
      <w:spacing w:before="20" w:beforeLines="20" w:after="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0"/>
    <w:rPr>
      <w:b/>
      <w:kern w:val="2"/>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paragraph" w:customStyle="1" w:styleId="100">
    <w:name w:val="哈哈正文"/>
    <w:basedOn w:val="1"/>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hAns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0"/>
    <w:rPr>
      <w:b/>
      <w:kern w:val="2"/>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0"/>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paragraph" w:customStyle="1" w:styleId="113">
    <w:name w:val="5正文"/>
    <w:basedOn w:val="1"/>
    <w:autoRedefine/>
    <w:qFormat/>
    <w:uiPriority w:val="0"/>
    <w:pPr>
      <w:adjustRightInd/>
      <w:spacing w:line="360" w:lineRule="auto"/>
      <w:ind w:firstLine="202" w:firstLineChars="202"/>
      <w:jc w:val="left"/>
    </w:pPr>
    <w:rPr>
      <w:rFonts w:ascii="仿宋_GB2312" w:hAnsi="微软雅黑" w:eastAsia="仿宋_GB2312"/>
      <w:kern w:val="0"/>
      <w:sz w:val="28"/>
      <w:szCs w:val="21"/>
    </w:rPr>
  </w:style>
  <w:style w:type="character" w:customStyle="1" w:styleId="114">
    <w:name w:val="样式6 Char"/>
    <w:autoRedefine/>
    <w:qFormat/>
    <w:uiPriority w:val="0"/>
    <w:rPr>
      <w:rFonts w:ascii="仿宋_GB2312" w:hAnsi="宋体" w:eastAsia="仿宋_GB2312"/>
      <w:b/>
      <w:bCs/>
      <w:kern w:val="2"/>
      <w:sz w:val="24"/>
      <w:szCs w:val="24"/>
      <w:lang w:val="en-US" w:eastAsia="zh-CN" w:bidi="ar-SA"/>
    </w:rPr>
  </w:style>
  <w:style w:type="character" w:customStyle="1" w:styleId="115">
    <w:name w:val="Char Char14"/>
    <w:autoRedefine/>
    <w:qFormat/>
    <w:uiPriority w:val="0"/>
    <w:rPr>
      <w:rFonts w:ascii="黑体" w:hAnsi="黑体" w:eastAsia="黑体"/>
    </w:rPr>
  </w:style>
  <w:style w:type="character" w:customStyle="1" w:styleId="116">
    <w:name w:val="Heading 2 Hidden Char"/>
    <w:autoRedefine/>
    <w:qFormat/>
    <w:uiPriority w:val="0"/>
    <w:rPr>
      <w:rFonts w:ascii="仿宋_GB2312" w:eastAsia="仿宋_GB2312"/>
      <w:b/>
      <w:bCs/>
      <w:kern w:val="2"/>
      <w:sz w:val="24"/>
      <w:szCs w:val="24"/>
      <w:lang w:val="zh-CN" w:eastAsia="zh-CN" w:bidi="ar-SA"/>
    </w:rPr>
  </w:style>
  <w:style w:type="character" w:customStyle="1" w:styleId="117">
    <w:name w:val="font11"/>
    <w:autoRedefine/>
    <w:qFormat/>
    <w:uiPriority w:val="0"/>
    <w:rPr>
      <w:rFonts w:ascii="Times New Roman" w:hAnsi="Times New Roman" w:cs="Times New Roman"/>
      <w:color w:val="000000"/>
      <w:sz w:val="22"/>
      <w:szCs w:val="22"/>
      <w:u w:val="none"/>
    </w:rPr>
  </w:style>
  <w:style w:type="character" w:customStyle="1" w:styleId="118">
    <w:name w:val="表正文 Char1"/>
    <w:autoRedefine/>
    <w:qFormat/>
    <w:uiPriority w:val="0"/>
    <w:rPr>
      <w:rFonts w:ascii="宋体" w:eastAsia="宋体"/>
      <w:snapToGrid w:val="0"/>
      <w:color w:val="000000"/>
      <w:kern w:val="28"/>
      <w:sz w:val="28"/>
    </w:rPr>
  </w:style>
  <w:style w:type="character" w:customStyle="1" w:styleId="119">
    <w:name w:val="blue1"/>
    <w:basedOn w:val="63"/>
    <w:autoRedefine/>
    <w:qFormat/>
    <w:uiPriority w:val="0"/>
    <w:rPr>
      <w:rFonts w:ascii="Arial" w:hAnsi="Arial" w:eastAsia="黑体" w:cs="Arial"/>
      <w:snapToGrid w:val="0"/>
      <w:kern w:val="0"/>
      <w:szCs w:val="21"/>
    </w:rPr>
  </w:style>
  <w:style w:type="character" w:customStyle="1" w:styleId="120">
    <w:name w:val="标书1 Char"/>
    <w:autoRedefine/>
    <w:qFormat/>
    <w:uiPriority w:val="0"/>
    <w:rPr>
      <w:rFonts w:eastAsia="宋体"/>
      <w:b/>
      <w:bCs/>
      <w:kern w:val="44"/>
      <w:sz w:val="44"/>
      <w:szCs w:val="44"/>
      <w:lang w:val="en-US" w:eastAsia="zh-CN" w:bidi="ar-SA"/>
    </w:rPr>
  </w:style>
  <w:style w:type="character" w:customStyle="1" w:styleId="121">
    <w:name w:val="样式5 Char"/>
    <w:autoRedefine/>
    <w:qFormat/>
    <w:uiPriority w:val="0"/>
    <w:rPr>
      <w:rFonts w:ascii="仿宋_GB2312" w:hAnsi="仿宋" w:eastAsia="仿宋_GB2312"/>
      <w:kern w:val="2"/>
      <w:sz w:val="24"/>
      <w:szCs w:val="24"/>
    </w:rPr>
  </w:style>
  <w:style w:type="character" w:customStyle="1" w:styleId="122">
    <w:name w:val="样式4 Char"/>
    <w:autoRedefine/>
    <w:qFormat/>
    <w:uiPriority w:val="0"/>
    <w:rPr>
      <w:rFonts w:ascii="仿宋_GB2312" w:hAnsi="仿宋" w:eastAsia="仿宋_GB2312"/>
      <w:b/>
      <w:kern w:val="2"/>
      <w:sz w:val="32"/>
      <w:szCs w:val="32"/>
      <w:lang w:bidi="ar-SA"/>
    </w:rPr>
  </w:style>
  <w:style w:type="character" w:customStyle="1" w:styleId="123">
    <w:name w:val="插图说明 Char"/>
    <w:autoRedefine/>
    <w:qFormat/>
    <w:uiPriority w:val="0"/>
    <w:rPr>
      <w:rFonts w:eastAsia="黑体"/>
      <w:sz w:val="24"/>
      <w:lang w:val="en-US" w:eastAsia="zh-CN"/>
    </w:rPr>
  </w:style>
  <w:style w:type="paragraph" w:customStyle="1" w:styleId="124">
    <w:name w:val="正文2"/>
    <w:basedOn w:val="1"/>
    <w:autoRedefine/>
    <w:qFormat/>
    <w:uiPriority w:val="0"/>
    <w:pPr>
      <w:spacing w:before="156" w:line="360" w:lineRule="auto"/>
      <w:ind w:firstLine="200" w:firstLineChars="200"/>
    </w:pPr>
    <w:rPr>
      <w:sz w:val="24"/>
      <w:szCs w:val="20"/>
    </w:rPr>
  </w:style>
  <w:style w:type="character" w:customStyle="1" w:styleId="125">
    <w:name w:val="Char Char24"/>
    <w:autoRedefine/>
    <w:qFormat/>
    <w:uiPriority w:val="0"/>
    <w:rPr>
      <w:kern w:val="2"/>
      <w:sz w:val="21"/>
    </w:rPr>
  </w:style>
  <w:style w:type="character" w:customStyle="1" w:styleId="126">
    <w:name w:val="普通文字 Char1 Char"/>
    <w:autoRedefine/>
    <w:qFormat/>
    <w:uiPriority w:val="0"/>
    <w:rPr>
      <w:rFonts w:ascii="宋体" w:hAnsi="Courier New" w:eastAsia="宋体"/>
      <w:kern w:val="2"/>
      <w:sz w:val="21"/>
      <w:szCs w:val="24"/>
      <w:lang w:val="en-US" w:eastAsia="zh-CN" w:bidi="ar-SA"/>
    </w:rPr>
  </w:style>
  <w:style w:type="character" w:customStyle="1" w:styleId="127">
    <w:name w:val="h3 Char1"/>
    <w:autoRedefine/>
    <w:qFormat/>
    <w:uiPriority w:val="0"/>
    <w:rPr>
      <w:rFonts w:eastAsia="宋体"/>
      <w:b/>
      <w:bCs/>
      <w:kern w:val="2"/>
      <w:sz w:val="32"/>
      <w:szCs w:val="32"/>
      <w:lang w:bidi="ar-SA"/>
    </w:rPr>
  </w:style>
  <w:style w:type="character" w:customStyle="1" w:styleId="128">
    <w:name w:val="标题 Char1"/>
    <w:autoRedefine/>
    <w:qFormat/>
    <w:uiPriority w:val="0"/>
    <w:rPr>
      <w:rFonts w:ascii="Cambria" w:hAnsi="Cambria" w:eastAsia="宋体" w:cs="Times New Roman"/>
      <w:b/>
      <w:bCs/>
      <w:sz w:val="32"/>
      <w:szCs w:val="32"/>
      <w:lang w:bidi="ar-SA"/>
    </w:rPr>
  </w:style>
  <w:style w:type="character" w:customStyle="1" w:styleId="129">
    <w:name w:val="gf正文1 Char"/>
    <w:autoRedefine/>
    <w:qFormat/>
    <w:uiPriority w:val="0"/>
    <w:rPr>
      <w:rFonts w:ascii="宋体" w:hAnsi="宋体" w:eastAsia="宋体" w:cs="宋体"/>
      <w:kern w:val="2"/>
      <w:sz w:val="24"/>
      <w:szCs w:val="24"/>
      <w:lang w:val="en-US" w:eastAsia="zh-CN" w:bidi="ar-SA"/>
    </w:rPr>
  </w:style>
  <w:style w:type="character" w:customStyle="1" w:styleId="130">
    <w:name w:val="正文文本缩进 Char1"/>
    <w:autoRedefine/>
    <w:qFormat/>
    <w:uiPriority w:val="0"/>
    <w:rPr>
      <w:rFonts w:ascii="Calibri" w:hAnsi="Calibri"/>
      <w:sz w:val="28"/>
    </w:rPr>
  </w:style>
  <w:style w:type="paragraph" w:customStyle="1" w:styleId="131">
    <w:name w:val="无间隔1"/>
    <w:autoRedefine/>
    <w:qFormat/>
    <w:uiPriority w:val="0"/>
    <w:rPr>
      <w:rFonts w:ascii="Times New Roman" w:hAnsi="Times New Roman" w:eastAsia="宋体" w:cs="Times New Roman"/>
      <w:sz w:val="22"/>
      <w:szCs w:val="22"/>
      <w:lang w:val="en-US" w:eastAsia="zh-CN" w:bidi="ar-SA"/>
    </w:rPr>
  </w:style>
  <w:style w:type="character" w:customStyle="1" w:styleId="132">
    <w:name w:val="样式7 Char"/>
    <w:autoRedefine/>
    <w:qFormat/>
    <w:uiPriority w:val="0"/>
    <w:rPr>
      <w:rFonts w:ascii="仿宋_GB2312" w:hAnsi="仿宋" w:eastAsia="仿宋_GB2312"/>
      <w:b/>
      <w:kern w:val="2"/>
      <w:sz w:val="24"/>
      <w:szCs w:val="24"/>
    </w:rPr>
  </w:style>
  <w:style w:type="character" w:customStyle="1" w:styleId="133">
    <w:name w:val="font12gray1"/>
    <w:autoRedefine/>
    <w:qFormat/>
    <w:uiPriority w:val="0"/>
    <w:rPr>
      <w:rFonts w:ascii="仿宋_GB2312" w:hAnsi="仿宋_GB2312" w:eastAsia="微软雅黑"/>
      <w:b/>
      <w:spacing w:val="300"/>
      <w:kern w:val="2"/>
      <w:sz w:val="18"/>
      <w:szCs w:val="18"/>
      <w:lang w:val="en-US" w:eastAsia="zh-CN" w:bidi="ar-SA"/>
    </w:rPr>
  </w:style>
  <w:style w:type="character" w:customStyle="1" w:styleId="134">
    <w:name w:val="Char Char7"/>
    <w:autoRedefine/>
    <w:qFormat/>
    <w:uiPriority w:val="0"/>
    <w:rPr>
      <w:rFonts w:eastAsia="宋体"/>
      <w:kern w:val="2"/>
      <w:sz w:val="21"/>
      <w:szCs w:val="24"/>
      <w:lang w:val="en-US" w:eastAsia="zh-CN" w:bidi="ar-SA"/>
    </w:rPr>
  </w:style>
  <w:style w:type="character" w:customStyle="1" w:styleId="135">
    <w:name w:val="表名 Char"/>
    <w:autoRedefine/>
    <w:qFormat/>
    <w:uiPriority w:val="0"/>
    <w:rPr>
      <w:rFonts w:eastAsia="宋体"/>
      <w:b/>
      <w:bCs/>
      <w:kern w:val="2"/>
      <w:sz w:val="24"/>
      <w:szCs w:val="24"/>
      <w:lang w:val="en-US" w:eastAsia="zh-CN" w:bidi="ar-SA"/>
    </w:rPr>
  </w:style>
  <w:style w:type="character" w:customStyle="1" w:styleId="136">
    <w:name w:val="Document Map Char"/>
    <w:autoRedefine/>
    <w:qFormat/>
    <w:locked/>
    <w:uiPriority w:val="0"/>
    <w:rPr>
      <w:rFonts w:eastAsia="宋体"/>
      <w:kern w:val="2"/>
      <w:sz w:val="21"/>
      <w:szCs w:val="24"/>
      <w:lang w:val="en-US" w:eastAsia="zh-CN" w:bidi="ar-SA"/>
    </w:rPr>
  </w:style>
  <w:style w:type="character" w:customStyle="1" w:styleId="137">
    <w:name w:val="font41"/>
    <w:autoRedefine/>
    <w:qFormat/>
    <w:uiPriority w:val="0"/>
    <w:rPr>
      <w:rFonts w:ascii="仿宋_GB2312" w:eastAsia="仿宋_GB2312" w:cs="仿宋_GB2312"/>
      <w:color w:val="000000"/>
      <w:sz w:val="22"/>
      <w:szCs w:val="22"/>
      <w:u w:val="none"/>
    </w:rPr>
  </w:style>
  <w:style w:type="paragraph" w:customStyle="1" w:styleId="13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纯文本_0_0"/>
    <w:basedOn w:val="138"/>
    <w:autoRedefine/>
    <w:qFormat/>
    <w:uiPriority w:val="0"/>
    <w:rPr>
      <w:rFonts w:ascii="宋体" w:hAnsi="Courier New"/>
      <w:szCs w:val="21"/>
    </w:rPr>
  </w:style>
  <w:style w:type="character" w:customStyle="1" w:styleId="140">
    <w:name w:val="Balloon Text Char"/>
    <w:autoRedefine/>
    <w:qFormat/>
    <w:locked/>
    <w:uiPriority w:val="0"/>
    <w:rPr>
      <w:rFonts w:eastAsia="宋体"/>
      <w:kern w:val="2"/>
      <w:sz w:val="18"/>
      <w:szCs w:val="18"/>
      <w:lang w:val="en-US" w:eastAsia="zh-CN" w:bidi="ar-SA"/>
    </w:rPr>
  </w:style>
  <w:style w:type="character" w:customStyle="1" w:styleId="141">
    <w:name w:val="正文 项目 Char"/>
    <w:autoRedefine/>
    <w:qFormat/>
    <w:uiPriority w:val="0"/>
    <w:rPr>
      <w:rFonts w:ascii="仿宋_GB2312" w:hAnsi="仿宋_GB2312" w:eastAsia="仿宋_GB2312"/>
      <w:kern w:val="2"/>
      <w:sz w:val="24"/>
      <w:lang w:bidi="ar-SA"/>
    </w:rPr>
  </w:style>
  <w:style w:type="character" w:customStyle="1" w:styleId="142">
    <w:name w:val="正文 项目2 Char"/>
    <w:basedOn w:val="141"/>
    <w:autoRedefine/>
    <w:qFormat/>
    <w:uiPriority w:val="0"/>
    <w:rPr>
      <w:rFonts w:ascii="仿宋_GB2312" w:hAnsi="仿宋_GB2312" w:eastAsia="仿宋_GB2312"/>
      <w:kern w:val="2"/>
      <w:sz w:val="24"/>
      <w:lang w:bidi="ar-SA"/>
    </w:rPr>
  </w:style>
  <w:style w:type="character" w:customStyle="1" w:styleId="143">
    <w:name w:val="h Char Char1"/>
    <w:autoRedefine/>
    <w:qFormat/>
    <w:uiPriority w:val="0"/>
    <w:rPr>
      <w:rFonts w:eastAsia="宋体"/>
      <w:kern w:val="2"/>
      <w:sz w:val="18"/>
      <w:szCs w:val="18"/>
      <w:lang w:val="en-US" w:eastAsia="zh-CN" w:bidi="ar-SA"/>
    </w:rPr>
  </w:style>
  <w:style w:type="character" w:customStyle="1" w:styleId="144">
    <w:name w:val="Char Char27"/>
    <w:autoRedefine/>
    <w:qFormat/>
    <w:uiPriority w:val="0"/>
    <w:rPr>
      <w:rFonts w:ascii="宋体" w:hAnsi="宋体" w:eastAsia="宋体"/>
      <w:color w:val="000000"/>
      <w:kern w:val="2"/>
      <w:sz w:val="28"/>
      <w:lang w:val="en-US" w:eastAsia="zh-CN" w:bidi="ar-SA"/>
    </w:rPr>
  </w:style>
  <w:style w:type="character" w:customStyle="1" w:styleId="145">
    <w:name w:val="px14"/>
    <w:autoRedefine/>
    <w:qFormat/>
    <w:uiPriority w:val="0"/>
    <w:rPr>
      <w:rFonts w:ascii="仿宋_GB2312" w:hAnsi="仿宋_GB2312" w:eastAsia="微软雅黑" w:cs="Times New Roman"/>
      <w:b/>
      <w:kern w:val="2"/>
      <w:sz w:val="32"/>
      <w:szCs w:val="32"/>
      <w:lang w:val="en-US" w:eastAsia="zh-CN" w:bidi="ar-SA"/>
    </w:rPr>
  </w:style>
  <w:style w:type="character" w:customStyle="1" w:styleId="146">
    <w:name w:val="HTML 预设格式 Char1"/>
    <w:autoRedefine/>
    <w:qFormat/>
    <w:uiPriority w:val="0"/>
    <w:rPr>
      <w:rFonts w:ascii="Courier New" w:hAnsi="Courier New" w:eastAsia="宋体" w:cs="Courier New"/>
      <w:sz w:val="20"/>
      <w:szCs w:val="20"/>
    </w:rPr>
  </w:style>
  <w:style w:type="character" w:customStyle="1" w:styleId="147">
    <w:name w:val="普通文字 Char1"/>
    <w:autoRedefine/>
    <w:qFormat/>
    <w:uiPriority w:val="0"/>
    <w:rPr>
      <w:rFonts w:ascii="宋体" w:hAnsi="Courier New" w:eastAsia="宋体"/>
      <w:kern w:val="2"/>
      <w:sz w:val="21"/>
      <w:lang w:val="en-US" w:eastAsia="zh-CN"/>
    </w:rPr>
  </w:style>
  <w:style w:type="character" w:customStyle="1" w:styleId="148">
    <w:name w:val="hei16b1"/>
    <w:autoRedefine/>
    <w:qFormat/>
    <w:uiPriority w:val="0"/>
    <w:rPr>
      <w:rFonts w:ascii="Arial" w:hAnsi="Arial" w:cs="Arial"/>
      <w:b/>
      <w:bCs/>
      <w:color w:val="000000"/>
      <w:sz w:val="24"/>
      <w:szCs w:val="24"/>
    </w:rPr>
  </w:style>
  <w:style w:type="paragraph" w:customStyle="1" w:styleId="149">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150">
    <w:name w:val="Char Char19"/>
    <w:autoRedefine/>
    <w:qFormat/>
    <w:uiPriority w:val="0"/>
    <w:rPr>
      <w:rFonts w:ascii="宋体" w:hAnsi="宋体"/>
      <w:i/>
      <w:sz w:val="24"/>
      <w:szCs w:val="24"/>
    </w:rPr>
  </w:style>
  <w:style w:type="character" w:customStyle="1" w:styleId="151">
    <w:name w:val="页脚 Char"/>
    <w:autoRedefine/>
    <w:qFormat/>
    <w:uiPriority w:val="0"/>
    <w:rPr>
      <w:rFonts w:eastAsia="仿宋_GB2312"/>
      <w:kern w:val="2"/>
      <w:sz w:val="18"/>
      <w:lang w:val="en-US" w:eastAsia="zh-CN"/>
    </w:rPr>
  </w:style>
  <w:style w:type="character" w:customStyle="1" w:styleId="152">
    <w:name w:val="批注主题 Char"/>
    <w:autoRedefine/>
    <w:qFormat/>
    <w:uiPriority w:val="0"/>
    <w:rPr>
      <w:rFonts w:eastAsia="宋体"/>
      <w:b/>
      <w:bCs/>
      <w:kern w:val="2"/>
      <w:sz w:val="21"/>
      <w:szCs w:val="24"/>
      <w:lang w:val="en-US" w:eastAsia="zh-CN" w:bidi="ar-SA"/>
    </w:rPr>
  </w:style>
  <w:style w:type="character" w:customStyle="1" w:styleId="153">
    <w:name w:val="Comment Text Char"/>
    <w:autoRedefine/>
    <w:qFormat/>
    <w:locked/>
    <w:uiPriority w:val="0"/>
    <w:rPr>
      <w:rFonts w:ascii="宋体" w:hAnsi="宋体" w:eastAsia="宋体"/>
      <w:kern w:val="2"/>
      <w:sz w:val="24"/>
      <w:lang w:val="en-US" w:eastAsia="zh-CN" w:bidi="ar-SA"/>
    </w:rPr>
  </w:style>
  <w:style w:type="character" w:customStyle="1" w:styleId="154">
    <w:name w:val="标题 2 字符"/>
    <w:autoRedefine/>
    <w:qFormat/>
    <w:uiPriority w:val="0"/>
    <w:rPr>
      <w:rFonts w:ascii="仿宋_GB2312" w:hAnsi="Times New Roman" w:eastAsia="仿宋_GB2312" w:cs="Times New Roman"/>
      <w:b/>
      <w:kern w:val="2"/>
      <w:sz w:val="24"/>
      <w:lang w:val="zh-CN"/>
    </w:rPr>
  </w:style>
  <w:style w:type="character" w:customStyle="1" w:styleId="155">
    <w:name w:val="Char Char72"/>
    <w:autoRedefine/>
    <w:qFormat/>
    <w:uiPriority w:val="0"/>
    <w:rPr>
      <w:rFonts w:eastAsia="宋体"/>
      <w:kern w:val="2"/>
      <w:sz w:val="21"/>
      <w:szCs w:val="24"/>
      <w:lang w:val="en-US" w:eastAsia="zh-CN" w:bidi="ar-SA"/>
    </w:rPr>
  </w:style>
  <w:style w:type="character" w:customStyle="1" w:styleId="156">
    <w:name w:val="正文文本缩进 Char2"/>
    <w:autoRedefine/>
    <w:qFormat/>
    <w:uiPriority w:val="0"/>
    <w:rPr>
      <w:rFonts w:ascii="Times New Roman" w:hAnsi="Times New Roman" w:eastAsia="宋体" w:cs="Times New Roman"/>
      <w:snapToGrid w:val="0"/>
      <w:kern w:val="0"/>
      <w:szCs w:val="24"/>
    </w:rPr>
  </w:style>
  <w:style w:type="character" w:customStyle="1" w:styleId="157">
    <w:name w:val="样式2 Char"/>
    <w:autoRedefine/>
    <w:qFormat/>
    <w:uiPriority w:val="0"/>
    <w:rPr>
      <w:rFonts w:ascii="仿宋_GB2312" w:hAnsi="仿宋" w:eastAsia="仿宋_GB2312" w:cs="仿宋_GB2312"/>
      <w:b/>
      <w:bCs/>
      <w:sz w:val="32"/>
      <w:szCs w:val="30"/>
      <w:lang w:val="zh-CN"/>
    </w:rPr>
  </w:style>
  <w:style w:type="paragraph" w:customStyle="1" w:styleId="158">
    <w:name w:val="表格名称"/>
    <w:basedOn w:val="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59">
    <w:name w:val="Char Char4"/>
    <w:autoRedefine/>
    <w:qFormat/>
    <w:uiPriority w:val="0"/>
    <w:rPr>
      <w:rFonts w:eastAsia="宋体"/>
      <w:b/>
      <w:sz w:val="24"/>
      <w:lang w:val="en-GB" w:eastAsia="zh-CN" w:bidi="ar-SA"/>
    </w:rPr>
  </w:style>
  <w:style w:type="character" w:customStyle="1" w:styleId="160">
    <w:name w:val="c7 style3"/>
    <w:autoRedefine/>
    <w:qFormat/>
    <w:uiPriority w:val="0"/>
  </w:style>
  <w:style w:type="character" w:customStyle="1" w:styleId="161">
    <w:name w:val="正文文本 3 Char1"/>
    <w:autoRedefine/>
    <w:qFormat/>
    <w:uiPriority w:val="0"/>
    <w:rPr>
      <w:rFonts w:ascii="Times New Roman" w:hAnsi="Times New Roman" w:eastAsia="宋体" w:cs="Times New Roman"/>
      <w:sz w:val="16"/>
      <w:szCs w:val="16"/>
    </w:rPr>
  </w:style>
  <w:style w:type="character" w:customStyle="1" w:styleId="162">
    <w:name w:val="tw4winInternal"/>
    <w:autoRedefine/>
    <w:qFormat/>
    <w:uiPriority w:val="0"/>
    <w:rPr>
      <w:rFonts w:ascii="Courier New" w:hAnsi="Courier New" w:cs="Courier New"/>
      <w:color w:val="FF0000"/>
      <w:lang w:val="en-US" w:eastAsia="zh-CN"/>
    </w:rPr>
  </w:style>
  <w:style w:type="character" w:customStyle="1" w:styleId="163">
    <w:name w:val="Char Char10"/>
    <w:autoRedefine/>
    <w:qFormat/>
    <w:uiPriority w:val="0"/>
    <w:rPr>
      <w:rFonts w:ascii="宋体" w:hAnsi="宋体"/>
      <w:kern w:val="2"/>
      <w:sz w:val="21"/>
      <w:szCs w:val="24"/>
      <w:lang w:val="en-US" w:eastAsia="zh-CN"/>
    </w:rPr>
  </w:style>
  <w:style w:type="character" w:customStyle="1" w:styleId="164">
    <w:name w:val="shadow11"/>
    <w:autoRedefine/>
    <w:qFormat/>
    <w:uiPriority w:val="0"/>
    <w:rPr>
      <w:color w:val="000000"/>
      <w:sz w:val="21"/>
    </w:rPr>
  </w:style>
  <w:style w:type="character" w:customStyle="1" w:styleId="165">
    <w:name w:val="正文非缩进 Char3"/>
    <w:autoRedefine/>
    <w:qFormat/>
    <w:uiPriority w:val="0"/>
    <w:rPr>
      <w:rFonts w:ascii="宋体" w:eastAsia="宋体"/>
      <w:snapToGrid w:val="0"/>
      <w:color w:val="000000"/>
      <w:kern w:val="28"/>
      <w:sz w:val="28"/>
      <w:lang w:val="en-US" w:eastAsia="zh-CN" w:bidi="ar-SA"/>
    </w:rPr>
  </w:style>
  <w:style w:type="character" w:customStyle="1" w:styleId="166">
    <w:name w:val="Char Char"/>
    <w:autoRedefine/>
    <w:qFormat/>
    <w:uiPriority w:val="0"/>
    <w:rPr>
      <w:rFonts w:ascii="宋体" w:hAnsi="Courier New" w:eastAsia="宋体"/>
      <w:kern w:val="2"/>
      <w:sz w:val="21"/>
      <w:lang w:val="en-US" w:eastAsia="zh-CN" w:bidi="ar-SA"/>
    </w:rPr>
  </w:style>
  <w:style w:type="character" w:customStyle="1" w:styleId="167">
    <w:name w:val="签名 Char1"/>
    <w:autoRedefine/>
    <w:qFormat/>
    <w:uiPriority w:val="0"/>
    <w:rPr>
      <w:rFonts w:ascii="Times New Roman" w:hAnsi="Times New Roman" w:eastAsia="宋体" w:cs="Times New Roman"/>
      <w:szCs w:val="24"/>
    </w:rPr>
  </w:style>
  <w:style w:type="character" w:customStyle="1" w:styleId="168">
    <w:name w:val="Char Char18"/>
    <w:autoRedefine/>
    <w:qFormat/>
    <w:uiPriority w:val="0"/>
    <w:rPr>
      <w:rFonts w:ascii="宋体" w:hAnsi="宋体"/>
      <w:sz w:val="28"/>
    </w:rPr>
  </w:style>
  <w:style w:type="character" w:customStyle="1" w:styleId="169">
    <w:name w:val="批注文字 Char"/>
    <w:autoRedefine/>
    <w:qFormat/>
    <w:uiPriority w:val="0"/>
    <w:rPr>
      <w:kern w:val="2"/>
      <w:sz w:val="21"/>
      <w:szCs w:val="24"/>
    </w:rPr>
  </w:style>
  <w:style w:type="character" w:customStyle="1" w:styleId="170">
    <w:name w:val="Char Char22"/>
    <w:autoRedefine/>
    <w:qFormat/>
    <w:uiPriority w:val="0"/>
    <w:rPr>
      <w:rFonts w:ascii="宋体" w:hAnsi="宋体"/>
      <w:kern w:val="2"/>
      <w:sz w:val="24"/>
      <w:szCs w:val="24"/>
    </w:rPr>
  </w:style>
  <w:style w:type="character" w:customStyle="1" w:styleId="171">
    <w:name w:val="pt141"/>
    <w:autoRedefine/>
    <w:qFormat/>
    <w:uiPriority w:val="0"/>
    <w:rPr>
      <w:color w:val="330066"/>
      <w:sz w:val="22"/>
      <w:szCs w:val="22"/>
    </w:rPr>
  </w:style>
  <w:style w:type="character" w:customStyle="1" w:styleId="172">
    <w:name w:val="正文文本缩进 2 Char1"/>
    <w:autoRedefine/>
    <w:qFormat/>
    <w:uiPriority w:val="0"/>
    <w:rPr>
      <w:rFonts w:ascii="Times New Roman" w:hAnsi="Times New Roman" w:eastAsia="宋体" w:cs="Times New Roman"/>
      <w:szCs w:val="24"/>
    </w:rPr>
  </w:style>
  <w:style w:type="character" w:customStyle="1" w:styleId="173">
    <w:name w:val="Char Char611"/>
    <w:autoRedefine/>
    <w:qFormat/>
    <w:uiPriority w:val="0"/>
    <w:rPr>
      <w:rFonts w:eastAsia="宋体"/>
      <w:kern w:val="2"/>
      <w:sz w:val="21"/>
      <w:szCs w:val="24"/>
      <w:lang w:val="en-US" w:eastAsia="zh-CN" w:bidi="ar-SA"/>
    </w:rPr>
  </w:style>
  <w:style w:type="character" w:customStyle="1" w:styleId="174">
    <w:name w:val="highlight1"/>
    <w:autoRedefine/>
    <w:qFormat/>
    <w:uiPriority w:val="0"/>
    <w:rPr>
      <w:rFonts w:ascii="仿宋_GB2312" w:hAnsi="仿宋_GB2312" w:eastAsia="微软雅黑"/>
      <w:b/>
      <w:kern w:val="2"/>
      <w:sz w:val="23"/>
      <w:szCs w:val="23"/>
      <w:lang w:val="en-US" w:eastAsia="zh-CN" w:bidi="ar-SA"/>
    </w:rPr>
  </w:style>
  <w:style w:type="paragraph" w:customStyle="1" w:styleId="175">
    <w:name w:val="my正文"/>
    <w:basedOn w:val="1"/>
    <w:autoRedefine/>
    <w:qFormat/>
    <w:uiPriority w:val="0"/>
    <w:pPr>
      <w:adjustRightInd/>
      <w:spacing w:line="360" w:lineRule="auto"/>
      <w:ind w:firstLine="200" w:firstLineChars="200"/>
    </w:pPr>
    <w:rPr>
      <w:rFonts w:ascii="Tahoma" w:hAnsi="Tahoma"/>
      <w:kern w:val="0"/>
      <w:sz w:val="24"/>
    </w:rPr>
  </w:style>
  <w:style w:type="character" w:customStyle="1" w:styleId="176">
    <w:name w:val="Used by Word for text of Help footnotes Char Char1"/>
    <w:autoRedefine/>
    <w:qFormat/>
    <w:uiPriority w:val="0"/>
    <w:rPr>
      <w:color w:val="0000FF"/>
      <w:sz w:val="21"/>
    </w:rPr>
  </w:style>
  <w:style w:type="character" w:customStyle="1" w:styleId="177">
    <w:name w:val="页眉 Char"/>
    <w:autoRedefine/>
    <w:qFormat/>
    <w:uiPriority w:val="0"/>
    <w:rPr>
      <w:rFonts w:eastAsia="仿宋_GB2312"/>
      <w:kern w:val="2"/>
      <w:sz w:val="18"/>
      <w:lang w:val="en-US" w:eastAsia="zh-CN"/>
    </w:rPr>
  </w:style>
  <w:style w:type="character" w:customStyle="1" w:styleId="178">
    <w:name w:val="FA正文 Char Char"/>
    <w:autoRedefine/>
    <w:qFormat/>
    <w:uiPriority w:val="0"/>
    <w:rPr>
      <w:rFonts w:hAnsi="宋体"/>
      <w:kern w:val="2"/>
      <w:sz w:val="24"/>
      <w:lang w:bidi="ar-SA"/>
    </w:rPr>
  </w:style>
  <w:style w:type="character" w:customStyle="1" w:styleId="179">
    <w:name w:val="纯文本 字符"/>
    <w:autoRedefine/>
    <w:qFormat/>
    <w:uiPriority w:val="0"/>
    <w:rPr>
      <w:rFonts w:ascii="宋体" w:hAnsi="Courier New" w:eastAsia="宋体" w:cs="Arial"/>
      <w:snapToGrid w:val="0"/>
      <w:kern w:val="2"/>
      <w:sz w:val="21"/>
      <w:szCs w:val="21"/>
      <w:lang w:val="en-US" w:eastAsia="zh-CN" w:bidi="ar-SA"/>
    </w:rPr>
  </w:style>
  <w:style w:type="paragraph" w:customStyle="1" w:styleId="180">
    <w:name w:val="样式 标题 3h33rd level3BOD 0H3l3CTHeading 3 - oldLevel 3 He..."/>
    <w:basedOn w:val="4"/>
    <w:autoRedefine/>
    <w:qFormat/>
    <w:uiPriority w:val="0"/>
    <w:pPr>
      <w:keepLines w:val="0"/>
      <w:widowControl/>
      <w:tabs>
        <w:tab w:val="clear" w:pos="900"/>
      </w:tabs>
      <w:adjustRightInd/>
      <w:spacing w:before="240" w:after="240" w:line="360" w:lineRule="auto"/>
      <w:ind w:left="851" w:right="194" w:rightChars="194" w:hanging="851"/>
      <w:jc w:val="left"/>
    </w:pPr>
    <w:rPr>
      <w:rFonts w:ascii="宋体" w:hAnsi="Arial"/>
      <w:snapToGrid w:val="0"/>
      <w:kern w:val="0"/>
      <w:sz w:val="28"/>
      <w:szCs w:val="20"/>
    </w:rPr>
  </w:style>
  <w:style w:type="paragraph" w:customStyle="1" w:styleId="181">
    <w:name w:val="3级"/>
    <w:basedOn w:val="180"/>
    <w:autoRedefine/>
    <w:qFormat/>
    <w:uiPriority w:val="0"/>
    <w:pPr>
      <w:ind w:left="0" w:firstLine="288"/>
    </w:pPr>
    <w:rPr>
      <w:rFonts w:hAnsi="宋体"/>
      <w:snapToGrid/>
    </w:rPr>
  </w:style>
  <w:style w:type="character" w:customStyle="1" w:styleId="182">
    <w:name w:val="myp11"/>
    <w:autoRedefine/>
    <w:qFormat/>
    <w:uiPriority w:val="0"/>
    <w:rPr>
      <w:rFonts w:ascii="仿宋_GB2312" w:hAnsi="仿宋_GB2312" w:eastAsia="微软雅黑"/>
      <w:b/>
      <w:kern w:val="2"/>
      <w:sz w:val="32"/>
      <w:szCs w:val="32"/>
      <w:lang w:val="en-US" w:eastAsia="zh-CN" w:bidi="ar-SA"/>
    </w:rPr>
  </w:style>
  <w:style w:type="character" w:customStyle="1" w:styleId="183">
    <w:name w:val="H6 Char"/>
    <w:autoRedefine/>
    <w:qFormat/>
    <w:uiPriority w:val="0"/>
    <w:rPr>
      <w:rFonts w:ascii="Arial" w:hAnsi="Arial" w:eastAsia="黑体"/>
      <w:b/>
      <w:bCs/>
      <w:kern w:val="2"/>
      <w:sz w:val="24"/>
      <w:szCs w:val="24"/>
    </w:rPr>
  </w:style>
  <w:style w:type="character" w:customStyle="1" w:styleId="184">
    <w:name w:val="Char Char91"/>
    <w:autoRedefine/>
    <w:qFormat/>
    <w:uiPriority w:val="0"/>
    <w:rPr>
      <w:rFonts w:eastAsia="宋体"/>
      <w:kern w:val="2"/>
      <w:sz w:val="18"/>
      <w:szCs w:val="18"/>
      <w:lang w:val="en-US" w:eastAsia="zh-CN" w:bidi="ar-SA"/>
    </w:rPr>
  </w:style>
  <w:style w:type="character" w:customStyle="1" w:styleId="185">
    <w:name w:val="副标题 Char1"/>
    <w:autoRedefine/>
    <w:qFormat/>
    <w:uiPriority w:val="0"/>
    <w:rPr>
      <w:rFonts w:ascii="Cambria" w:hAnsi="Cambria" w:eastAsia="宋体" w:cs="Times New Roman"/>
      <w:b/>
      <w:bCs/>
      <w:snapToGrid w:val="0"/>
      <w:kern w:val="28"/>
      <w:sz w:val="32"/>
      <w:szCs w:val="32"/>
    </w:rPr>
  </w:style>
  <w:style w:type="character" w:customStyle="1" w:styleId="186">
    <w:name w:val="font61"/>
    <w:autoRedefine/>
    <w:qFormat/>
    <w:uiPriority w:val="0"/>
    <w:rPr>
      <w:rFonts w:ascii="仿宋" w:hAnsi="仿宋" w:eastAsia="仿宋" w:cs="仿宋"/>
      <w:color w:val="000000"/>
      <w:sz w:val="20"/>
      <w:szCs w:val="20"/>
      <w:u w:val="none"/>
    </w:rPr>
  </w:style>
  <w:style w:type="character" w:customStyle="1" w:styleId="18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188">
    <w:name w:val="Char Char211"/>
    <w:autoRedefine/>
    <w:qFormat/>
    <w:uiPriority w:val="0"/>
    <w:rPr>
      <w:rFonts w:eastAsia="宋体"/>
      <w:b/>
      <w:bCs/>
      <w:kern w:val="2"/>
      <w:sz w:val="21"/>
      <w:szCs w:val="24"/>
      <w:lang w:val="en-US" w:eastAsia="zh-CN" w:bidi="ar-SA"/>
    </w:rPr>
  </w:style>
  <w:style w:type="character" w:customStyle="1" w:styleId="189">
    <w:name w:val="maywed421"/>
    <w:autoRedefine/>
    <w:qFormat/>
    <w:uiPriority w:val="0"/>
    <w:rPr>
      <w:color w:val="366FB6"/>
      <w:u w:val="none"/>
    </w:rPr>
  </w:style>
  <w:style w:type="character" w:customStyle="1" w:styleId="190">
    <w:name w:val="正文文本缩进 Char"/>
    <w:autoRedefine/>
    <w:qFormat/>
    <w:uiPriority w:val="0"/>
    <w:rPr>
      <w:rFonts w:ascii="宋体" w:hAnsi="宋体"/>
      <w:kern w:val="2"/>
      <w:sz w:val="24"/>
      <w:szCs w:val="24"/>
    </w:rPr>
  </w:style>
  <w:style w:type="character" w:customStyle="1" w:styleId="191">
    <w:name w:val="Char Char102"/>
    <w:autoRedefine/>
    <w:qFormat/>
    <w:uiPriority w:val="0"/>
    <w:rPr>
      <w:rFonts w:ascii="宋体" w:hAnsi="宋体"/>
      <w:kern w:val="2"/>
      <w:sz w:val="21"/>
      <w:szCs w:val="24"/>
      <w:lang w:val="en-US" w:eastAsia="zh-CN"/>
    </w:rPr>
  </w:style>
  <w:style w:type="character" w:customStyle="1" w:styleId="192">
    <w:name w:val="页眉 Char1"/>
    <w:autoRedefine/>
    <w:qFormat/>
    <w:uiPriority w:val="0"/>
    <w:rPr>
      <w:rFonts w:eastAsia="宋体"/>
      <w:kern w:val="2"/>
      <w:sz w:val="18"/>
      <w:szCs w:val="18"/>
      <w:lang w:val="en-US" w:eastAsia="zh-CN" w:bidi="ar-SA"/>
    </w:rPr>
  </w:style>
  <w:style w:type="character" w:customStyle="1" w:styleId="193">
    <w:name w:val="md"/>
    <w:basedOn w:val="63"/>
    <w:autoRedefine/>
    <w:qFormat/>
    <w:uiPriority w:val="0"/>
    <w:rPr>
      <w:rFonts w:ascii="Arial" w:hAnsi="Arial" w:eastAsia="黑体" w:cs="Arial"/>
      <w:snapToGrid w:val="0"/>
      <w:kern w:val="0"/>
      <w:szCs w:val="21"/>
    </w:rPr>
  </w:style>
  <w:style w:type="character" w:customStyle="1" w:styleId="194">
    <w:name w:val="big1"/>
    <w:autoRedefine/>
    <w:qFormat/>
    <w:uiPriority w:val="0"/>
    <w:rPr>
      <w:rFonts w:ascii="宋体" w:hAnsi="宋体" w:eastAsia="宋体"/>
      <w:color w:val="333333"/>
      <w:sz w:val="22"/>
      <w:szCs w:val="22"/>
    </w:rPr>
  </w:style>
  <w:style w:type="character" w:customStyle="1" w:styleId="195">
    <w:name w:val="Char Char311"/>
    <w:autoRedefine/>
    <w:qFormat/>
    <w:uiPriority w:val="0"/>
    <w:rPr>
      <w:rFonts w:eastAsia="宋体"/>
      <w:kern w:val="2"/>
      <w:sz w:val="21"/>
      <w:szCs w:val="24"/>
      <w:lang w:val="en-US" w:eastAsia="zh-CN" w:bidi="ar-SA"/>
    </w:rPr>
  </w:style>
  <w:style w:type="character" w:customStyle="1" w:styleId="196">
    <w:name w:val="Char Char81"/>
    <w:autoRedefine/>
    <w:qFormat/>
    <w:uiPriority w:val="0"/>
    <w:rPr>
      <w:rFonts w:eastAsia="宋体"/>
      <w:b/>
      <w:sz w:val="24"/>
      <w:lang w:val="en-GB" w:eastAsia="zh-CN"/>
    </w:rPr>
  </w:style>
  <w:style w:type="character" w:customStyle="1" w:styleId="197">
    <w:name w:val="样式3 Char"/>
    <w:basedOn w:val="157"/>
    <w:autoRedefine/>
    <w:qFormat/>
    <w:uiPriority w:val="0"/>
    <w:rPr>
      <w:rFonts w:ascii="仿宋_GB2312" w:hAnsi="仿宋" w:eastAsia="仿宋_GB2312" w:cs="仿宋_GB2312"/>
      <w:sz w:val="32"/>
      <w:szCs w:val="30"/>
      <w:lang w:val="zh-CN"/>
    </w:rPr>
  </w:style>
  <w:style w:type="character" w:customStyle="1" w:styleId="198">
    <w:name w:val="正文首行缩进 2 Char1"/>
    <w:autoRedefine/>
    <w:qFormat/>
    <w:uiPriority w:val="0"/>
    <w:rPr>
      <w:rFonts w:ascii="Times New Roman" w:hAnsi="Times New Roman" w:eastAsia="宋体" w:cs="Times New Roman"/>
      <w:kern w:val="2"/>
      <w:sz w:val="24"/>
      <w:szCs w:val="24"/>
    </w:rPr>
  </w:style>
  <w:style w:type="character" w:customStyle="1" w:styleId="199">
    <w:name w:val="副标题 Char2"/>
    <w:autoRedefine/>
    <w:qFormat/>
    <w:uiPriority w:val="0"/>
    <w:rPr>
      <w:rFonts w:ascii="Cambria" w:hAnsi="Cambria" w:eastAsia="宋体" w:cs="Times New Roman"/>
      <w:b/>
      <w:bCs/>
      <w:snapToGrid w:val="0"/>
      <w:kern w:val="28"/>
      <w:sz w:val="32"/>
      <w:szCs w:val="32"/>
    </w:rPr>
  </w:style>
  <w:style w:type="paragraph" w:customStyle="1" w:styleId="200">
    <w:name w:val="标题4-dyf"/>
    <w:basedOn w:val="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01">
    <w:name w:val="dectext1"/>
    <w:autoRedefine/>
    <w:qFormat/>
    <w:uiPriority w:val="0"/>
    <w:rPr>
      <w:rFonts w:ascii="宋体" w:hAnsi="宋体" w:eastAsia="宋体"/>
      <w:color w:val="333333"/>
      <w:sz w:val="21"/>
      <w:szCs w:val="21"/>
      <w:u w:val="none"/>
    </w:rPr>
  </w:style>
  <w:style w:type="paragraph" w:customStyle="1" w:styleId="202">
    <w:name w:val="冯"/>
    <w:basedOn w:val="1"/>
    <w:autoRedefine/>
    <w:qFormat/>
    <w:uiPriority w:val="0"/>
    <w:pPr>
      <w:widowControl/>
      <w:adjustRightInd/>
      <w:spacing w:line="360" w:lineRule="auto"/>
      <w:ind w:firstLine="200" w:firstLineChars="200"/>
    </w:pPr>
    <w:rPr>
      <w:rFonts w:ascii="宋体" w:hAnsi="宋体"/>
      <w:color w:val="000000"/>
      <w:kern w:val="0"/>
      <w:sz w:val="24"/>
    </w:rPr>
  </w:style>
  <w:style w:type="character" w:customStyle="1" w:styleId="203">
    <w:name w:val="Header Char"/>
    <w:autoRedefine/>
    <w:qFormat/>
    <w:locked/>
    <w:uiPriority w:val="0"/>
    <w:rPr>
      <w:rFonts w:eastAsia="宋体"/>
      <w:kern w:val="2"/>
      <w:sz w:val="18"/>
      <w:szCs w:val="18"/>
      <w:lang w:val="en-US" w:eastAsia="zh-CN" w:bidi="ar-SA"/>
    </w:rPr>
  </w:style>
  <w:style w:type="character" w:customStyle="1" w:styleId="204">
    <w:name w:val="Char Char12"/>
    <w:autoRedefine/>
    <w:qFormat/>
    <w:uiPriority w:val="0"/>
    <w:rPr>
      <w:rFonts w:ascii="仿宋_GB2312" w:eastAsia="仿宋_GB2312"/>
      <w:b/>
      <w:bCs/>
      <w:kern w:val="2"/>
      <w:sz w:val="24"/>
      <w:szCs w:val="24"/>
      <w:lang w:val="zh-CN" w:eastAsia="zh-CN" w:bidi="ar-SA"/>
    </w:rPr>
  </w:style>
  <w:style w:type="character" w:customStyle="1" w:styleId="205">
    <w:name w:val="普通文字 Char3"/>
    <w:autoRedefine/>
    <w:qFormat/>
    <w:uiPriority w:val="0"/>
    <w:rPr>
      <w:rFonts w:ascii="宋体" w:hAnsi="Courier New" w:eastAsia="宋体"/>
      <w:kern w:val="2"/>
      <w:sz w:val="21"/>
      <w:lang w:val="en-US" w:eastAsia="zh-CN" w:bidi="ar-SA"/>
    </w:rPr>
  </w:style>
  <w:style w:type="character" w:customStyle="1" w:styleId="206">
    <w:name w:val="公文正文 Char"/>
    <w:autoRedefine/>
    <w:qFormat/>
    <w:uiPriority w:val="0"/>
    <w:rPr>
      <w:rFonts w:ascii="仿宋_GB2312" w:eastAsia="仿宋_GB2312"/>
      <w:kern w:val="2"/>
      <w:sz w:val="24"/>
      <w:szCs w:val="24"/>
      <w:lang w:val="en-US" w:eastAsia="zh-CN" w:bidi="ar-SA"/>
    </w:rPr>
  </w:style>
  <w:style w:type="character" w:customStyle="1" w:styleId="207">
    <w:name w:val="正文首行缩进 Char Char Char Char Char"/>
    <w:autoRedefine/>
    <w:qFormat/>
    <w:uiPriority w:val="0"/>
    <w:rPr>
      <w:rFonts w:ascii="宋体" w:hAnsi="宋体"/>
      <w:kern w:val="2"/>
      <w:sz w:val="24"/>
      <w:lang w:val="zh-CN"/>
    </w:rPr>
  </w:style>
  <w:style w:type="character" w:customStyle="1" w:styleId="208">
    <w:name w:val="PI Char"/>
    <w:autoRedefine/>
    <w:qFormat/>
    <w:uiPriority w:val="0"/>
    <w:rPr>
      <w:rFonts w:ascii="宋体" w:hAnsi="宋体" w:eastAsia="宋体"/>
      <w:kern w:val="2"/>
      <w:sz w:val="24"/>
      <w:szCs w:val="24"/>
      <w:lang w:val="en-US" w:eastAsia="zh-CN" w:bidi="ar-SA"/>
    </w:rPr>
  </w:style>
  <w:style w:type="paragraph" w:customStyle="1" w:styleId="209">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0">
    <w:name w:val="style91"/>
    <w:autoRedefine/>
    <w:qFormat/>
    <w:uiPriority w:val="0"/>
    <w:rPr>
      <w:color w:val="333333"/>
    </w:rPr>
  </w:style>
  <w:style w:type="character" w:customStyle="1" w:styleId="211">
    <w:name w:val="列出段落 Char2"/>
    <w:autoRedefine/>
    <w:qFormat/>
    <w:uiPriority w:val="0"/>
    <w:rPr>
      <w:rFonts w:ascii="Calibri" w:hAnsi="Calibri"/>
      <w:kern w:val="2"/>
      <w:sz w:val="28"/>
    </w:rPr>
  </w:style>
  <w:style w:type="character" w:customStyle="1" w:styleId="212">
    <w:name w:val="mdeck"/>
    <w:autoRedefine/>
    <w:qFormat/>
    <w:uiPriority w:val="0"/>
    <w:rPr>
      <w:rFonts w:ascii="仿宋_GB2312" w:hAnsi="仿宋_GB2312" w:eastAsia="微软雅黑"/>
      <w:b/>
      <w:kern w:val="2"/>
      <w:sz w:val="32"/>
      <w:szCs w:val="32"/>
      <w:lang w:val="en-US" w:eastAsia="zh-CN" w:bidi="ar-SA"/>
    </w:rPr>
  </w:style>
  <w:style w:type="character" w:customStyle="1" w:styleId="213">
    <w:name w:val="unnamed11"/>
    <w:autoRedefine/>
    <w:qFormat/>
    <w:uiPriority w:val="0"/>
    <w:rPr>
      <w:sz w:val="20"/>
      <w:szCs w:val="20"/>
    </w:rPr>
  </w:style>
  <w:style w:type="character" w:customStyle="1" w:styleId="214">
    <w:name w:val="正文文本 Char2"/>
    <w:autoRedefine/>
    <w:qFormat/>
    <w:uiPriority w:val="0"/>
    <w:rPr>
      <w:rFonts w:ascii="Times New Roman" w:hAnsi="Times New Roman" w:eastAsia="宋体" w:cs="Times New Roman"/>
      <w:snapToGrid w:val="0"/>
      <w:kern w:val="0"/>
      <w:szCs w:val="24"/>
    </w:rPr>
  </w:style>
  <w:style w:type="character" w:customStyle="1" w:styleId="215">
    <w:name w:val="标书正文格式 Char"/>
    <w:autoRedefine/>
    <w:qFormat/>
    <w:uiPriority w:val="0"/>
    <w:rPr>
      <w:rFonts w:eastAsia="楷体_GB2312"/>
      <w:kern w:val="2"/>
      <w:sz w:val="24"/>
      <w:szCs w:val="24"/>
      <w:lang w:bidi="ar-SA"/>
    </w:rPr>
  </w:style>
  <w:style w:type="character" w:customStyle="1" w:styleId="216">
    <w:name w:val="Char Char11"/>
    <w:autoRedefine/>
    <w:qFormat/>
    <w:locked/>
    <w:uiPriority w:val="0"/>
    <w:rPr>
      <w:rFonts w:ascii="宋体" w:hAnsi="宋体" w:eastAsia="宋体"/>
      <w:b/>
      <w:kern w:val="2"/>
      <w:sz w:val="24"/>
      <w:szCs w:val="24"/>
      <w:lang w:val="en-US" w:eastAsia="zh-CN" w:bidi="ar-SA"/>
    </w:rPr>
  </w:style>
  <w:style w:type="character" w:customStyle="1" w:styleId="217">
    <w:name w:val="ca-131"/>
    <w:autoRedefine/>
    <w:qFormat/>
    <w:uiPriority w:val="0"/>
    <w:rPr>
      <w:rFonts w:ascii="仿宋_GB2312" w:eastAsia="仿宋_GB2312"/>
      <w:b/>
      <w:bCs/>
      <w:color w:val="000000"/>
      <w:spacing w:val="-20"/>
      <w:sz w:val="24"/>
      <w:szCs w:val="24"/>
    </w:rPr>
  </w:style>
  <w:style w:type="character" w:customStyle="1" w:styleId="218">
    <w:name w:val="tw4winMark"/>
    <w:autoRedefine/>
    <w:qFormat/>
    <w:uiPriority w:val="0"/>
    <w:rPr>
      <w:rFonts w:ascii="Courier New" w:hAnsi="Courier New" w:cs="Courier New"/>
      <w:vanish/>
      <w:color w:val="800080"/>
      <w:sz w:val="24"/>
      <w:szCs w:val="24"/>
      <w:vertAlign w:val="subscript"/>
    </w:rPr>
  </w:style>
  <w:style w:type="paragraph" w:customStyle="1" w:styleId="219">
    <w:name w:val="正文样式"/>
    <w:basedOn w:val="1"/>
    <w:autoRedefine/>
    <w:qFormat/>
    <w:uiPriority w:val="0"/>
    <w:pPr>
      <w:adjustRightInd/>
      <w:spacing w:line="360" w:lineRule="auto"/>
      <w:ind w:firstLine="200" w:firstLineChars="200"/>
    </w:pPr>
    <w:rPr>
      <w:kern w:val="0"/>
      <w:sz w:val="24"/>
    </w:rPr>
  </w:style>
  <w:style w:type="character" w:customStyle="1" w:styleId="220">
    <w:name w:val="表正文 Char3"/>
    <w:autoRedefine/>
    <w:qFormat/>
    <w:uiPriority w:val="0"/>
    <w:rPr>
      <w:rFonts w:eastAsia="宋体"/>
    </w:rPr>
  </w:style>
  <w:style w:type="character" w:customStyle="1" w:styleId="221">
    <w:name w:val="H5 Char"/>
    <w:autoRedefine/>
    <w:qFormat/>
    <w:uiPriority w:val="0"/>
    <w:rPr>
      <w:b/>
      <w:bCs/>
      <w:kern w:val="2"/>
      <w:sz w:val="28"/>
      <w:szCs w:val="28"/>
    </w:rPr>
  </w:style>
  <w:style w:type="character" w:customStyle="1" w:styleId="222">
    <w:name w:val="Char Char3"/>
    <w:autoRedefine/>
    <w:qFormat/>
    <w:uiPriority w:val="0"/>
    <w:rPr>
      <w:rFonts w:eastAsia="宋体"/>
      <w:kern w:val="2"/>
      <w:sz w:val="21"/>
      <w:szCs w:val="24"/>
      <w:lang w:val="en-US" w:eastAsia="zh-CN" w:bidi="ar-SA"/>
    </w:rPr>
  </w:style>
  <w:style w:type="character" w:customStyle="1" w:styleId="223">
    <w:name w:val="正文 编号 Char"/>
    <w:autoRedefine/>
    <w:qFormat/>
    <w:uiPriority w:val="0"/>
    <w:rPr>
      <w:rFonts w:ascii="仿宋_GB2312" w:hAnsi="仿宋_GB2312" w:eastAsia="仿宋_GB2312"/>
      <w:kern w:val="2"/>
      <w:sz w:val="24"/>
      <w:lang w:bidi="ar-SA"/>
    </w:rPr>
  </w:style>
  <w:style w:type="character" w:customStyle="1" w:styleId="224">
    <w:name w:val="question-title2"/>
    <w:autoRedefine/>
    <w:qFormat/>
    <w:uiPriority w:val="0"/>
    <w:rPr>
      <w:rFonts w:ascii="Arial" w:hAnsi="Arial" w:eastAsia="黑体" w:cs="Arial"/>
      <w:snapToGrid w:val="0"/>
      <w:kern w:val="0"/>
      <w:szCs w:val="21"/>
    </w:rPr>
  </w:style>
  <w:style w:type="paragraph" w:customStyle="1" w:styleId="225">
    <w:name w:val="gf正文1"/>
    <w:basedOn w:val="1"/>
    <w:autoRedefine/>
    <w:qFormat/>
    <w:uiPriority w:val="0"/>
    <w:pPr>
      <w:tabs>
        <w:tab w:val="left" w:pos="3240"/>
        <w:tab w:val="left" w:pos="3960"/>
      </w:tabs>
      <w:snapToGrid w:val="0"/>
      <w:spacing w:line="360" w:lineRule="auto"/>
      <w:ind w:firstLine="200" w:firstLineChars="200"/>
    </w:pPr>
    <w:rPr>
      <w:rFonts w:ascii="宋体" w:hAnsi="宋体"/>
      <w:sz w:val="24"/>
    </w:rPr>
  </w:style>
  <w:style w:type="character" w:customStyle="1" w:styleId="226">
    <w:name w:val="Char Char15"/>
    <w:autoRedefine/>
    <w:qFormat/>
    <w:uiPriority w:val="0"/>
    <w:rPr>
      <w:rFonts w:ascii="宋体" w:hAnsi="宋体"/>
      <w:kern w:val="2"/>
      <w:sz w:val="21"/>
    </w:rPr>
  </w:style>
  <w:style w:type="character" w:customStyle="1" w:styleId="227">
    <w:name w:val="正文缩进 Char3"/>
    <w:autoRedefine/>
    <w:qFormat/>
    <w:uiPriority w:val="0"/>
    <w:rPr>
      <w:rFonts w:ascii="宋体" w:eastAsia="宋体"/>
      <w:snapToGrid w:val="0"/>
      <w:color w:val="000000"/>
      <w:kern w:val="28"/>
      <w:sz w:val="28"/>
      <w:lang w:val="en-US" w:eastAsia="zh-CN" w:bidi="ar-SA"/>
    </w:rPr>
  </w:style>
  <w:style w:type="paragraph" w:customStyle="1" w:styleId="228">
    <w:name w:val="列表1"/>
    <w:basedOn w:val="1"/>
    <w:next w:val="229"/>
    <w:autoRedefine/>
    <w:qFormat/>
    <w:uiPriority w:val="0"/>
    <w:pPr>
      <w:widowControl/>
      <w:adjustRightInd/>
      <w:spacing w:after="200" w:line="360" w:lineRule="auto"/>
      <w:ind w:left="720" w:firstLine="200" w:firstLineChars="200"/>
      <w:jc w:val="left"/>
    </w:pPr>
    <w:rPr>
      <w:kern w:val="0"/>
      <w:sz w:val="24"/>
      <w:szCs w:val="20"/>
    </w:rPr>
  </w:style>
  <w:style w:type="paragraph" w:styleId="229">
    <w:name w:val="List Paragraph"/>
    <w:basedOn w:val="1"/>
    <w:autoRedefine/>
    <w:qFormat/>
    <w:uiPriority w:val="0"/>
    <w:pPr>
      <w:spacing w:line="360" w:lineRule="auto"/>
      <w:ind w:firstLine="200" w:firstLineChars="200"/>
    </w:pPr>
    <w:rPr>
      <w:rFonts w:eastAsia="楷体_GB2312" w:cs="Lucida Sans"/>
      <w:sz w:val="24"/>
    </w:rPr>
  </w:style>
  <w:style w:type="character" w:customStyle="1" w:styleId="230">
    <w:name w:val="Char Char8"/>
    <w:autoRedefine/>
    <w:qFormat/>
    <w:uiPriority w:val="0"/>
    <w:rPr>
      <w:rFonts w:eastAsia="宋体"/>
      <w:b/>
      <w:sz w:val="24"/>
      <w:lang w:val="en-GB" w:eastAsia="zh-CN"/>
    </w:rPr>
  </w:style>
  <w:style w:type="character" w:customStyle="1" w:styleId="231">
    <w:name w:val="Normal Indent Char Char"/>
    <w:autoRedefine/>
    <w:qFormat/>
    <w:uiPriority w:val="0"/>
    <w:rPr>
      <w:rFonts w:eastAsia="宋体"/>
      <w:kern w:val="2"/>
      <w:sz w:val="21"/>
      <w:lang w:val="en-US" w:eastAsia="zh-CN" w:bidi="ar-SA"/>
    </w:rPr>
  </w:style>
  <w:style w:type="character" w:customStyle="1" w:styleId="232">
    <w:name w:val="列表段落 字符"/>
    <w:autoRedefine/>
    <w:qFormat/>
    <w:uiPriority w:val="0"/>
  </w:style>
  <w:style w:type="character" w:customStyle="1" w:styleId="233">
    <w:name w:val="Ò³Ã¼ Char Char1"/>
    <w:autoRedefine/>
    <w:qFormat/>
    <w:uiPriority w:val="0"/>
    <w:rPr>
      <w:rFonts w:eastAsia="宋体"/>
      <w:kern w:val="2"/>
      <w:sz w:val="18"/>
      <w:szCs w:val="18"/>
      <w:lang w:val="en-US" w:eastAsia="zh-CN" w:bidi="ar-SA"/>
    </w:rPr>
  </w:style>
  <w:style w:type="character" w:customStyle="1" w:styleId="234">
    <w:name w:val="方案正文 Char"/>
    <w:autoRedefine/>
    <w:qFormat/>
    <w:uiPriority w:val="0"/>
    <w:rPr>
      <w:rFonts w:ascii="仿宋_GB2312" w:eastAsia="仿宋_GB2312"/>
      <w:b/>
      <w:color w:val="000000"/>
      <w:kern w:val="2"/>
      <w:sz w:val="24"/>
      <w:lang w:val="en-US" w:eastAsia="zh-CN" w:bidi="ar-SA"/>
    </w:rPr>
  </w:style>
  <w:style w:type="character" w:customStyle="1" w:styleId="235">
    <w:name w:val="Char Char30"/>
    <w:autoRedefine/>
    <w:qFormat/>
    <w:uiPriority w:val="0"/>
    <w:rPr>
      <w:rFonts w:ascii="Arial" w:hAnsi="Arial" w:eastAsia="黑体"/>
      <w:kern w:val="2"/>
      <w:sz w:val="21"/>
      <w:szCs w:val="21"/>
    </w:rPr>
  </w:style>
  <w:style w:type="character" w:customStyle="1" w:styleId="236">
    <w:name w:val="font01"/>
    <w:autoRedefine/>
    <w:qFormat/>
    <w:uiPriority w:val="0"/>
    <w:rPr>
      <w:rFonts w:ascii="微软雅黑" w:hAnsi="微软雅黑" w:eastAsia="微软雅黑" w:cs="微软雅黑"/>
      <w:color w:val="000000"/>
      <w:sz w:val="20"/>
      <w:szCs w:val="20"/>
      <w:u w:val="none"/>
    </w:rPr>
  </w:style>
  <w:style w:type="character" w:customStyle="1" w:styleId="237">
    <w:name w:val="Char Char20"/>
    <w:autoRedefine/>
    <w:qFormat/>
    <w:uiPriority w:val="0"/>
    <w:rPr>
      <w:kern w:val="2"/>
      <w:sz w:val="24"/>
    </w:rPr>
  </w:style>
  <w:style w:type="character" w:customStyle="1" w:styleId="238">
    <w:name w:val="tw4winExternal"/>
    <w:autoRedefine/>
    <w:qFormat/>
    <w:uiPriority w:val="0"/>
    <w:rPr>
      <w:rFonts w:ascii="Courier New" w:hAnsi="Courier New" w:cs="Courier New"/>
      <w:color w:val="808080"/>
      <w:lang w:val="en-US" w:eastAsia="zh-CN"/>
    </w:rPr>
  </w:style>
  <w:style w:type="character" w:customStyle="1" w:styleId="239">
    <w:name w:val="标题 4 Char1"/>
    <w:autoRedefine/>
    <w:qFormat/>
    <w:uiPriority w:val="0"/>
    <w:rPr>
      <w:rFonts w:ascii="Cambria" w:hAnsi="Cambria" w:eastAsia="宋体" w:cs="Times New Roman"/>
      <w:b/>
      <w:bCs/>
      <w:kern w:val="2"/>
      <w:sz w:val="28"/>
      <w:szCs w:val="28"/>
    </w:rPr>
  </w:style>
  <w:style w:type="character" w:customStyle="1" w:styleId="240">
    <w:name w:val="批注文字 Char2"/>
    <w:autoRedefine/>
    <w:qFormat/>
    <w:uiPriority w:val="0"/>
    <w:rPr>
      <w:rFonts w:ascii="Times New Roman" w:hAnsi="Times New Roman" w:eastAsia="宋体" w:cs="Times New Roman"/>
      <w:snapToGrid w:val="0"/>
      <w:kern w:val="0"/>
      <w:szCs w:val="24"/>
    </w:rPr>
  </w:style>
  <w:style w:type="character" w:customStyle="1" w:styleId="241">
    <w:name w:val="正文文本 2 Char"/>
    <w:autoRedefine/>
    <w:qFormat/>
    <w:uiPriority w:val="0"/>
    <w:rPr>
      <w:rFonts w:eastAsia="宋体"/>
      <w:kern w:val="2"/>
      <w:sz w:val="21"/>
      <w:szCs w:val="24"/>
      <w:lang w:val="en-US" w:eastAsia="zh-CN" w:bidi="ar-SA"/>
    </w:rPr>
  </w:style>
  <w:style w:type="character" w:customStyle="1" w:styleId="242">
    <w:name w:val="Ò³Ã¼ Char Char"/>
    <w:autoRedefine/>
    <w:qFormat/>
    <w:uiPriority w:val="0"/>
    <w:rPr>
      <w:rFonts w:eastAsia="宋体"/>
      <w:kern w:val="2"/>
      <w:sz w:val="18"/>
      <w:lang w:val="en-US" w:eastAsia="zh-CN" w:bidi="ar-SA"/>
    </w:rPr>
  </w:style>
  <w:style w:type="character" w:customStyle="1" w:styleId="243">
    <w:name w:val="message1"/>
    <w:autoRedefine/>
    <w:qFormat/>
    <w:uiPriority w:val="0"/>
    <w:rPr>
      <w:rFonts w:ascii="Tahoma" w:hAnsi="Tahoma" w:cs="Tahoma"/>
      <w:sz w:val="18"/>
      <w:szCs w:val="18"/>
    </w:rPr>
  </w:style>
  <w:style w:type="character" w:customStyle="1" w:styleId="244">
    <w:name w:val="Char Char23"/>
    <w:autoRedefine/>
    <w:qFormat/>
    <w:uiPriority w:val="0"/>
    <w:rPr>
      <w:color w:val="0000FF"/>
      <w:sz w:val="21"/>
    </w:rPr>
  </w:style>
  <w:style w:type="character" w:customStyle="1" w:styleId="245">
    <w:name w:val="批注框文本 字符"/>
    <w:autoRedefine/>
    <w:qFormat/>
    <w:uiPriority w:val="0"/>
    <w:rPr>
      <w:rFonts w:ascii="Arial" w:hAnsi="Arial" w:eastAsia="黑体" w:cs="Arial"/>
      <w:snapToGrid w:val="0"/>
      <w:kern w:val="0"/>
      <w:sz w:val="18"/>
      <w:szCs w:val="18"/>
    </w:rPr>
  </w:style>
  <w:style w:type="character" w:customStyle="1" w:styleId="246">
    <w:name w:val="纯文本 Char2"/>
    <w:autoRedefine/>
    <w:qFormat/>
    <w:uiPriority w:val="0"/>
    <w:rPr>
      <w:rFonts w:ascii="宋体" w:hAnsi="Courier New" w:eastAsia="宋体" w:cs="Courier New"/>
    </w:rPr>
  </w:style>
  <w:style w:type="character" w:customStyle="1" w:styleId="247">
    <w:name w:val="Char Char25"/>
    <w:autoRedefine/>
    <w:qFormat/>
    <w:uiPriority w:val="0"/>
    <w:rPr>
      <w:rFonts w:ascii="宋体" w:hAnsi="宋体"/>
      <w:kern w:val="2"/>
      <w:sz w:val="24"/>
      <w:lang w:val="zh-CN"/>
    </w:rPr>
  </w:style>
  <w:style w:type="character" w:customStyle="1" w:styleId="248">
    <w:name w:val="Char Char411"/>
    <w:autoRedefine/>
    <w:qFormat/>
    <w:uiPriority w:val="0"/>
    <w:rPr>
      <w:rFonts w:eastAsia="宋体"/>
      <w:b/>
      <w:sz w:val="24"/>
      <w:lang w:val="en-GB" w:eastAsia="zh-CN" w:bidi="ar-SA"/>
    </w:rPr>
  </w:style>
  <w:style w:type="character" w:customStyle="1" w:styleId="249">
    <w:name w:val="Heading 7 Char"/>
    <w:autoRedefine/>
    <w:qFormat/>
    <w:locked/>
    <w:uiPriority w:val="0"/>
    <w:rPr>
      <w:rFonts w:ascii="宋体" w:hAnsi="宋体" w:eastAsia="宋体"/>
      <w:b/>
      <w:bCs/>
      <w:kern w:val="2"/>
      <w:sz w:val="24"/>
      <w:szCs w:val="24"/>
      <w:lang w:val="en-US" w:eastAsia="zh-CN" w:bidi="ar-SA"/>
    </w:rPr>
  </w:style>
  <w:style w:type="paragraph" w:customStyle="1" w:styleId="250">
    <w:name w:val="此正文"/>
    <w:basedOn w:val="1"/>
    <w:autoRedefine/>
    <w:qFormat/>
    <w:uiPriority w:val="0"/>
    <w:pPr>
      <w:adjustRightInd/>
      <w:spacing w:line="360" w:lineRule="auto"/>
      <w:ind w:firstLine="200" w:firstLineChars="200"/>
    </w:pPr>
    <w:rPr>
      <w:sz w:val="24"/>
    </w:rPr>
  </w:style>
  <w:style w:type="character" w:customStyle="1" w:styleId="251">
    <w:name w:val="Char Char2"/>
    <w:autoRedefine/>
    <w:qFormat/>
    <w:uiPriority w:val="0"/>
    <w:rPr>
      <w:rFonts w:eastAsia="宋体"/>
      <w:b/>
      <w:bCs/>
      <w:kern w:val="2"/>
      <w:sz w:val="21"/>
      <w:szCs w:val="24"/>
      <w:lang w:val="en-US" w:eastAsia="zh-CN" w:bidi="ar-SA"/>
    </w:rPr>
  </w:style>
  <w:style w:type="character" w:customStyle="1" w:styleId="252">
    <w:name w:val="Footer-Even Char1"/>
    <w:autoRedefine/>
    <w:qFormat/>
    <w:uiPriority w:val="0"/>
    <w:rPr>
      <w:rFonts w:eastAsia="宋体"/>
      <w:kern w:val="2"/>
      <w:sz w:val="18"/>
      <w:szCs w:val="18"/>
      <w:lang w:val="en-US" w:eastAsia="zh-CN" w:bidi="ar-SA"/>
    </w:rPr>
  </w:style>
  <w:style w:type="character" w:customStyle="1" w:styleId="253">
    <w:name w:val="Char Char29"/>
    <w:autoRedefine/>
    <w:qFormat/>
    <w:uiPriority w:val="0"/>
    <w:rPr>
      <w:rFonts w:ascii="Arial" w:hAnsi="Arial" w:eastAsia="微软雅黑"/>
      <w:b/>
      <w:kern w:val="2"/>
      <w:sz w:val="44"/>
      <w:szCs w:val="32"/>
      <w:lang w:val="en-US" w:eastAsia="zh-CN" w:bidi="ar-SA"/>
    </w:rPr>
  </w:style>
  <w:style w:type="character" w:customStyle="1" w:styleId="254">
    <w:name w:val="font81"/>
    <w:autoRedefine/>
    <w:qFormat/>
    <w:uiPriority w:val="0"/>
    <w:rPr>
      <w:rFonts w:ascii="微软雅黑" w:hAnsi="微软雅黑" w:eastAsia="微软雅黑" w:cs="微软雅黑"/>
      <w:color w:val="000000"/>
      <w:sz w:val="20"/>
      <w:szCs w:val="20"/>
      <w:u w:val="none"/>
    </w:rPr>
  </w:style>
  <w:style w:type="character" w:customStyle="1" w:styleId="25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56">
    <w:name w:val="t21"/>
    <w:autoRedefine/>
    <w:qFormat/>
    <w:uiPriority w:val="0"/>
    <w:rPr>
      <w:rFonts w:ascii="仿宋_GB2312" w:hAnsi="仿宋_GB2312" w:eastAsia="微软雅黑"/>
      <w:b/>
      <w:kern w:val="2"/>
      <w:sz w:val="23"/>
      <w:szCs w:val="23"/>
      <w:lang w:val="en-US" w:eastAsia="zh-CN" w:bidi="ar-SA"/>
    </w:rPr>
  </w:style>
  <w:style w:type="character" w:customStyle="1" w:styleId="257">
    <w:name w:val="样式8 Char"/>
    <w:autoRedefine/>
    <w:qFormat/>
    <w:uiPriority w:val="0"/>
    <w:rPr>
      <w:rFonts w:ascii="仿宋_GB2312" w:hAnsi="宋体" w:eastAsia="仿宋_GB2312"/>
      <w:b/>
      <w:bCs/>
      <w:kern w:val="2"/>
      <w:sz w:val="24"/>
      <w:szCs w:val="24"/>
    </w:rPr>
  </w:style>
  <w:style w:type="character" w:customStyle="1" w:styleId="258">
    <w:name w:val="表格 Char Char"/>
    <w:autoRedefine/>
    <w:qFormat/>
    <w:uiPriority w:val="0"/>
    <w:rPr>
      <w:rFonts w:ascii="宋体" w:hAnsi="宋体" w:eastAsia="宋体"/>
      <w:lang w:bidi="ar-SA"/>
    </w:rPr>
  </w:style>
  <w:style w:type="character" w:customStyle="1" w:styleId="259">
    <w:name w:val="正文文本 字符1"/>
    <w:autoRedefine/>
    <w:qFormat/>
    <w:uiPriority w:val="0"/>
    <w:rPr>
      <w:rFonts w:ascii="Calibri" w:hAnsi="Calibri" w:eastAsia="黑体" w:cs="Arial"/>
      <w:snapToGrid w:val="0"/>
      <w:kern w:val="2"/>
      <w:sz w:val="28"/>
      <w:szCs w:val="21"/>
    </w:rPr>
  </w:style>
  <w:style w:type="character" w:customStyle="1" w:styleId="260">
    <w:name w:val="标题 6 Char1"/>
    <w:autoRedefine/>
    <w:qFormat/>
    <w:uiPriority w:val="0"/>
    <w:rPr>
      <w:rFonts w:ascii="Arial" w:hAnsi="Arial" w:eastAsia="黑体" w:cs="Times New Roman"/>
      <w:b/>
      <w:sz w:val="24"/>
      <w:szCs w:val="20"/>
      <w:lang w:bidi="ar-SA"/>
    </w:rPr>
  </w:style>
  <w:style w:type="character" w:customStyle="1" w:styleId="261">
    <w:name w:val="带编号样式 Char"/>
    <w:autoRedefine/>
    <w:qFormat/>
    <w:uiPriority w:val="0"/>
    <w:rPr>
      <w:rFonts w:ascii="仿宋_GB2312" w:eastAsia="仿宋_GB2312"/>
      <w:color w:val="000000"/>
      <w:sz w:val="24"/>
      <w:lang w:bidi="ar-SA"/>
    </w:rPr>
  </w:style>
  <w:style w:type="character" w:customStyle="1" w:styleId="262">
    <w:name w:val="unnamed31"/>
    <w:autoRedefine/>
    <w:qFormat/>
    <w:uiPriority w:val="0"/>
    <w:rPr>
      <w:rFonts w:ascii="Tahoma" w:hAnsi="Tahoma" w:eastAsia="宋体"/>
      <w:b/>
      <w:kern w:val="2"/>
      <w:sz w:val="24"/>
      <w:szCs w:val="32"/>
      <w:u w:val="none"/>
      <w:lang w:val="en-US" w:eastAsia="zh-CN" w:bidi="ar-SA"/>
    </w:rPr>
  </w:style>
  <w:style w:type="character" w:customStyle="1" w:styleId="263">
    <w:name w:val="正文首行缩进 Char Char Char Char Char Char1"/>
    <w:autoRedefine/>
    <w:qFormat/>
    <w:uiPriority w:val="0"/>
    <w:rPr>
      <w:rFonts w:ascii="宋体" w:eastAsia="宋体"/>
      <w:kern w:val="2"/>
      <w:sz w:val="24"/>
      <w:szCs w:val="24"/>
      <w:lang w:val="zh-CN" w:bidi="ar-SA"/>
    </w:rPr>
  </w:style>
  <w:style w:type="character" w:customStyle="1" w:styleId="264">
    <w:name w:val="文本正文 Char Char"/>
    <w:autoRedefine/>
    <w:qFormat/>
    <w:locked/>
    <w:uiPriority w:val="0"/>
    <w:rPr>
      <w:sz w:val="24"/>
      <w:lang w:bidi="ar-SA"/>
    </w:rPr>
  </w:style>
  <w:style w:type="character" w:customStyle="1" w:styleId="265">
    <w:name w:val="正文缩进 字符"/>
    <w:autoRedefine/>
    <w:qFormat/>
    <w:uiPriority w:val="0"/>
    <w:rPr>
      <w:rFonts w:ascii="宋体" w:eastAsia="宋体"/>
      <w:snapToGrid w:val="0"/>
      <w:color w:val="000000"/>
      <w:kern w:val="28"/>
      <w:sz w:val="28"/>
      <w:lang w:val="en-US" w:eastAsia="zh-CN" w:bidi="ar-SA"/>
    </w:rPr>
  </w:style>
  <w:style w:type="paragraph" w:customStyle="1" w:styleId="266">
    <w:name w:val="样式 标题 4h4H4Fab-4T5Ref Heading 1rh1Heading sqlsect 1.2.3...."/>
    <w:basedOn w:val="6"/>
    <w:autoRedefine/>
    <w:qFormat/>
    <w:uiPriority w:val="0"/>
    <w:pPr>
      <w:tabs>
        <w:tab w:val="left" w:pos="2356"/>
        <w:tab w:val="clear" w:pos="864"/>
      </w:tabs>
      <w:adjustRightInd/>
      <w:spacing w:line="360" w:lineRule="auto"/>
      <w:ind w:left="75" w:leftChars="75" w:firstLine="200" w:firstLineChars="200"/>
    </w:pPr>
    <w:rPr>
      <w:rFonts w:ascii="微软雅黑" w:hAnsi="微软雅黑" w:eastAsia="微软雅黑"/>
      <w:sz w:val="24"/>
    </w:rPr>
  </w:style>
  <w:style w:type="paragraph" w:customStyle="1" w:styleId="267">
    <w:name w:val="样式 样式 标题 4h4H4Fab-4T5Ref Heading 1rh1Heading sqlsect 1.2.3.... +..."/>
    <w:basedOn w:val="266"/>
    <w:autoRedefine/>
    <w:qFormat/>
    <w:uiPriority w:val="0"/>
  </w:style>
  <w:style w:type="character" w:customStyle="1" w:styleId="268">
    <w:name w:val="正文非缩进 Char"/>
    <w:autoRedefine/>
    <w:qFormat/>
    <w:uiPriority w:val="0"/>
    <w:rPr>
      <w:rFonts w:ascii="宋体" w:eastAsia="宋体"/>
      <w:snapToGrid w:val="0"/>
      <w:color w:val="000000"/>
      <w:kern w:val="28"/>
      <w:sz w:val="28"/>
      <w:lang w:val="en-US" w:eastAsia="zh-CN" w:bidi="ar-SA"/>
    </w:rPr>
  </w:style>
  <w:style w:type="character" w:customStyle="1" w:styleId="269">
    <w:name w:val="Char Char5"/>
    <w:autoRedefine/>
    <w:qFormat/>
    <w:uiPriority w:val="0"/>
    <w:rPr>
      <w:rFonts w:ascii="宋体" w:hAnsi="Courier New" w:eastAsia="宋体"/>
      <w:kern w:val="2"/>
      <w:sz w:val="21"/>
      <w:lang w:val="en-US" w:eastAsia="zh-CN"/>
    </w:rPr>
  </w:style>
  <w:style w:type="character" w:customStyle="1" w:styleId="270">
    <w:name w:val="称呼 Char1"/>
    <w:autoRedefine/>
    <w:qFormat/>
    <w:uiPriority w:val="0"/>
    <w:rPr>
      <w:rFonts w:ascii="Times New Roman" w:hAnsi="Times New Roman" w:eastAsia="宋体" w:cs="Times New Roman"/>
      <w:szCs w:val="24"/>
    </w:rPr>
  </w:style>
  <w:style w:type="character" w:customStyle="1" w:styleId="271">
    <w:name w:val="正文1 Char"/>
    <w:autoRedefine/>
    <w:qFormat/>
    <w:uiPriority w:val="0"/>
    <w:rPr>
      <w:rFonts w:ascii="宋体" w:eastAsia="宋体"/>
      <w:snapToGrid w:val="0"/>
      <w:color w:val="000000"/>
      <w:kern w:val="28"/>
      <w:sz w:val="28"/>
      <w:lang w:val="en-US" w:eastAsia="zh-CN" w:bidi="ar-SA"/>
    </w:rPr>
  </w:style>
  <w:style w:type="character" w:customStyle="1" w:styleId="272">
    <w:name w:val="正文缩进 Char1"/>
    <w:autoRedefine/>
    <w:qFormat/>
    <w:uiPriority w:val="0"/>
    <w:rPr>
      <w:rFonts w:ascii="宋体" w:eastAsia="宋体"/>
      <w:snapToGrid w:val="0"/>
      <w:color w:val="000000"/>
      <w:kern w:val="28"/>
      <w:sz w:val="28"/>
      <w:lang w:val="en-US" w:eastAsia="zh-CN" w:bidi="ar-SA"/>
    </w:rPr>
  </w:style>
  <w:style w:type="character" w:customStyle="1" w:styleId="273">
    <w:name w:val="font21"/>
    <w:autoRedefine/>
    <w:qFormat/>
    <w:uiPriority w:val="0"/>
    <w:rPr>
      <w:rFonts w:ascii="宋体" w:hAnsi="宋体" w:eastAsia="宋体"/>
      <w:kern w:val="2"/>
      <w:sz w:val="28"/>
      <w:szCs w:val="28"/>
      <w:lang w:val="en-US" w:eastAsia="zh-CN" w:bidi="ar-SA"/>
    </w:rPr>
  </w:style>
  <w:style w:type="character" w:customStyle="1" w:styleId="274">
    <w:name w:val="Char Char26"/>
    <w:autoRedefine/>
    <w:qFormat/>
    <w:uiPriority w:val="0"/>
    <w:rPr>
      <w:kern w:val="2"/>
      <w:sz w:val="21"/>
      <w:szCs w:val="24"/>
    </w:rPr>
  </w:style>
  <w:style w:type="paragraph" w:customStyle="1" w:styleId="275">
    <w:name w:val="Item List"/>
    <w:autoRedefine/>
    <w:qFormat/>
    <w:uiPriority w:val="0"/>
    <w:pPr>
      <w:spacing w:after="156" w:line="360" w:lineRule="auto"/>
      <w:ind w:firstLine="202" w:firstLineChars="202"/>
      <w:jc w:val="both"/>
    </w:pPr>
    <w:rPr>
      <w:rFonts w:ascii="Arial" w:hAnsi="Times New Roman" w:eastAsia="宋体" w:cs="Times New Roman"/>
      <w:bCs/>
      <w:sz w:val="21"/>
      <w:szCs w:val="21"/>
      <w:lang w:val="en-US" w:eastAsia="zh-CN" w:bidi="ar-SA"/>
    </w:rPr>
  </w:style>
  <w:style w:type="character" w:customStyle="1" w:styleId="276">
    <w:name w:val="批注框文本 Char1"/>
    <w:autoRedefine/>
    <w:qFormat/>
    <w:uiPriority w:val="0"/>
    <w:rPr>
      <w:rFonts w:ascii="Times New Roman" w:hAnsi="Times New Roman" w:eastAsia="宋体" w:cs="Times New Roman"/>
      <w:sz w:val="18"/>
      <w:szCs w:val="18"/>
    </w:rPr>
  </w:style>
  <w:style w:type="paragraph" w:customStyle="1" w:styleId="277">
    <w:name w:val="纯文本1"/>
    <w:basedOn w:val="1"/>
    <w:autoRedefine/>
    <w:qFormat/>
    <w:uiPriority w:val="0"/>
    <w:pPr>
      <w:adjustRightInd/>
    </w:pPr>
    <w:rPr>
      <w:rFonts w:ascii="宋体" w:hAnsi="Courier New"/>
      <w:kern w:val="0"/>
      <w:sz w:val="20"/>
      <w:szCs w:val="20"/>
    </w:rPr>
  </w:style>
  <w:style w:type="character" w:customStyle="1" w:styleId="278">
    <w:name w:val="h3 Char"/>
    <w:autoRedefine/>
    <w:qFormat/>
    <w:uiPriority w:val="0"/>
    <w:rPr>
      <w:rFonts w:eastAsia="宋体"/>
      <w:b/>
      <w:kern w:val="2"/>
      <w:sz w:val="32"/>
      <w:lang w:val="en-US" w:eastAsia="zh-CN" w:bidi="ar-SA"/>
    </w:rPr>
  </w:style>
  <w:style w:type="character" w:customStyle="1" w:styleId="279">
    <w:name w:val="dandyren_title1"/>
    <w:autoRedefine/>
    <w:qFormat/>
    <w:uiPriority w:val="0"/>
    <w:rPr>
      <w:b/>
      <w:bCs/>
      <w:color w:val="FF6633"/>
      <w:sz w:val="18"/>
      <w:szCs w:val="18"/>
    </w:rPr>
  </w:style>
  <w:style w:type="character" w:customStyle="1" w:styleId="280">
    <w:name w:val="Char Char31"/>
    <w:autoRedefine/>
    <w:qFormat/>
    <w:uiPriority w:val="0"/>
    <w:rPr>
      <w:rFonts w:ascii="Arial" w:hAnsi="Arial" w:eastAsia="黑体"/>
      <w:kern w:val="2"/>
      <w:sz w:val="24"/>
      <w:szCs w:val="24"/>
    </w:rPr>
  </w:style>
  <w:style w:type="character" w:customStyle="1" w:styleId="281">
    <w:name w:val="h Char1"/>
    <w:autoRedefine/>
    <w:qFormat/>
    <w:uiPriority w:val="0"/>
    <w:rPr>
      <w:sz w:val="18"/>
      <w:szCs w:val="18"/>
    </w:rPr>
  </w:style>
  <w:style w:type="character" w:customStyle="1" w:styleId="282">
    <w:name w:val="solutionfonts"/>
    <w:autoRedefine/>
    <w:qFormat/>
    <w:uiPriority w:val="0"/>
  </w:style>
  <w:style w:type="character" w:customStyle="1" w:styleId="283">
    <w:name w:val="首行缩进 Char"/>
    <w:autoRedefine/>
    <w:qFormat/>
    <w:uiPriority w:val="0"/>
    <w:rPr>
      <w:rFonts w:ascii="宋体" w:eastAsia="宋体"/>
      <w:kern w:val="2"/>
      <w:sz w:val="24"/>
      <w:lang w:val="en-US" w:eastAsia="zh-CN" w:bidi="ar-SA"/>
    </w:rPr>
  </w:style>
  <w:style w:type="character" w:customStyle="1" w:styleId="284">
    <w:name w:val="Char Char52"/>
    <w:autoRedefine/>
    <w:qFormat/>
    <w:uiPriority w:val="0"/>
    <w:rPr>
      <w:rFonts w:ascii="宋体" w:hAnsi="Courier New" w:eastAsia="宋体"/>
      <w:kern w:val="2"/>
      <w:sz w:val="21"/>
      <w:lang w:val="en-US" w:eastAsia="zh-CN"/>
    </w:rPr>
  </w:style>
  <w:style w:type="character" w:customStyle="1" w:styleId="285">
    <w:name w:val="font31"/>
    <w:autoRedefine/>
    <w:qFormat/>
    <w:uiPriority w:val="0"/>
    <w:rPr>
      <w:rFonts w:ascii="仿宋" w:hAnsi="仿宋" w:eastAsia="仿宋" w:cs="仿宋"/>
      <w:color w:val="000000"/>
      <w:sz w:val="20"/>
      <w:szCs w:val="20"/>
      <w:u w:val="none"/>
    </w:rPr>
  </w:style>
  <w:style w:type="paragraph" w:customStyle="1" w:styleId="286">
    <w:name w:val="正文说明"/>
    <w:basedOn w:val="1"/>
    <w:autoRedefine/>
    <w:qFormat/>
    <w:uiPriority w:val="0"/>
    <w:pPr>
      <w:adjustRightInd/>
      <w:spacing w:line="360" w:lineRule="auto"/>
    </w:pPr>
    <w:rPr>
      <w:kern w:val="0"/>
      <w:sz w:val="24"/>
    </w:rPr>
  </w:style>
  <w:style w:type="character" w:customStyle="1" w:styleId="287">
    <w:name w:val="脚注文本 Char1"/>
    <w:autoRedefine/>
    <w:qFormat/>
    <w:uiPriority w:val="0"/>
    <w:rPr>
      <w:rFonts w:ascii="Times New Roman" w:hAnsi="Times New Roman" w:eastAsia="宋体" w:cs="Times New Roman"/>
      <w:sz w:val="18"/>
      <w:szCs w:val="18"/>
    </w:rPr>
  </w:style>
  <w:style w:type="character" w:customStyle="1" w:styleId="288">
    <w:name w:val="Char Char1211"/>
    <w:autoRedefine/>
    <w:qFormat/>
    <w:uiPriority w:val="0"/>
    <w:rPr>
      <w:rFonts w:ascii="仿宋_GB2312" w:eastAsia="仿宋_GB2312"/>
      <w:b/>
      <w:bCs/>
      <w:kern w:val="2"/>
      <w:sz w:val="24"/>
      <w:szCs w:val="24"/>
      <w:lang w:val="zh-CN" w:eastAsia="zh-CN" w:bidi="ar-SA"/>
    </w:rPr>
  </w:style>
  <w:style w:type="character" w:customStyle="1" w:styleId="289">
    <w:name w:val="标题 Char"/>
    <w:autoRedefine/>
    <w:qFormat/>
    <w:uiPriority w:val="0"/>
    <w:rPr>
      <w:rFonts w:eastAsia="宋体"/>
      <w:b/>
      <w:sz w:val="24"/>
      <w:lang w:val="en-GB" w:eastAsia="zh-CN" w:bidi="ar-SA"/>
    </w:rPr>
  </w:style>
  <w:style w:type="character" w:customStyle="1" w:styleId="290">
    <w:name w:val="Char Char35"/>
    <w:autoRedefine/>
    <w:qFormat/>
    <w:uiPriority w:val="0"/>
    <w:rPr>
      <w:rFonts w:ascii="Arial" w:hAnsi="Arial" w:eastAsia="黑体"/>
      <w:b/>
      <w:kern w:val="2"/>
      <w:sz w:val="28"/>
      <w:szCs w:val="28"/>
      <w:lang w:val="zh-CN"/>
    </w:rPr>
  </w:style>
  <w:style w:type="character" w:customStyle="1" w:styleId="291">
    <w:name w:val="纯文本 Char Char Char"/>
    <w:autoRedefine/>
    <w:qFormat/>
    <w:uiPriority w:val="0"/>
    <w:rPr>
      <w:rFonts w:ascii="宋体" w:hAnsi="Courier New" w:eastAsia="宋体"/>
      <w:kern w:val="2"/>
      <w:sz w:val="21"/>
      <w:lang w:val="en-US" w:eastAsia="zh-CN" w:bidi="ar-SA"/>
    </w:rPr>
  </w:style>
  <w:style w:type="paragraph" w:customStyle="1" w:styleId="292">
    <w:name w:val="Table Text"/>
    <w:basedOn w:val="1"/>
    <w:autoRedefine/>
    <w:qFormat/>
    <w:uiPriority w:val="0"/>
    <w:pPr>
      <w:widowControl/>
      <w:spacing w:before="60" w:after="60"/>
      <w:jc w:val="left"/>
    </w:pPr>
    <w:rPr>
      <w:kern w:val="0"/>
      <w:sz w:val="24"/>
    </w:rPr>
  </w:style>
  <w:style w:type="character" w:customStyle="1" w:styleId="293">
    <w:name w:val="正文1 Char1"/>
    <w:autoRedefine/>
    <w:qFormat/>
    <w:uiPriority w:val="0"/>
    <w:rPr>
      <w:rFonts w:ascii="仿宋_GB2312" w:hAnsi="Courier New" w:eastAsia="仿宋_GB2312"/>
      <w:kern w:val="28"/>
      <w:sz w:val="24"/>
      <w:szCs w:val="24"/>
      <w:lang w:val="en-US" w:eastAsia="zh-CN"/>
    </w:rPr>
  </w:style>
  <w:style w:type="character" w:customStyle="1" w:styleId="294">
    <w:name w:val="页脚 Char1"/>
    <w:autoRedefine/>
    <w:qFormat/>
    <w:uiPriority w:val="0"/>
    <w:rPr>
      <w:rFonts w:eastAsia="宋体"/>
      <w:kern w:val="2"/>
      <w:sz w:val="18"/>
      <w:szCs w:val="18"/>
      <w:lang w:val="en-US" w:eastAsia="zh-CN" w:bidi="ar-SA"/>
    </w:rPr>
  </w:style>
  <w:style w:type="character" w:customStyle="1" w:styleId="295">
    <w:name w:val="Bold"/>
    <w:autoRedefine/>
    <w:qFormat/>
    <w:uiPriority w:val="0"/>
    <w:rPr>
      <w:rFonts w:ascii="Arial" w:hAnsi="Arial" w:eastAsia="黑体" w:cs="Times New Roman"/>
      <w:b/>
      <w:kern w:val="2"/>
      <w:sz w:val="32"/>
      <w:szCs w:val="32"/>
      <w:lang w:val="en-US" w:eastAsia="zh-CN" w:bidi="ar-SA"/>
    </w:rPr>
  </w:style>
  <w:style w:type="character" w:customStyle="1" w:styleId="296">
    <w:name w:val="hui3"/>
    <w:autoRedefine/>
    <w:qFormat/>
    <w:uiPriority w:val="0"/>
    <w:rPr>
      <w:color w:val="333333"/>
    </w:rPr>
  </w:style>
  <w:style w:type="character" w:customStyle="1" w:styleId="297">
    <w:name w:val="Char Char17"/>
    <w:autoRedefine/>
    <w:qFormat/>
    <w:uiPriority w:val="0"/>
    <w:rPr>
      <w:rFonts w:eastAsia="仿宋_GB2312"/>
      <w:sz w:val="24"/>
    </w:rPr>
  </w:style>
  <w:style w:type="character" w:customStyle="1" w:styleId="298">
    <w:name w:val="Char Char37"/>
    <w:autoRedefine/>
    <w:qFormat/>
    <w:uiPriority w:val="0"/>
    <w:rPr>
      <w:b/>
      <w:kern w:val="2"/>
      <w:sz w:val="44"/>
      <w:szCs w:val="44"/>
    </w:rPr>
  </w:style>
  <w:style w:type="character" w:customStyle="1" w:styleId="299">
    <w:name w:val="列出段落 Char"/>
    <w:autoRedefine/>
    <w:qFormat/>
    <w:uiPriority w:val="0"/>
    <w:rPr>
      <w:rFonts w:eastAsia="楷体_GB2312" w:cs="Lucida Sans"/>
      <w:kern w:val="2"/>
      <w:sz w:val="24"/>
      <w:szCs w:val="24"/>
      <w:lang w:val="en-US" w:eastAsia="zh-CN" w:bidi="ar-SA"/>
    </w:rPr>
  </w:style>
  <w:style w:type="character" w:customStyle="1" w:styleId="300">
    <w:name w:val="正文文本缩进 3 Char1"/>
    <w:autoRedefine/>
    <w:qFormat/>
    <w:uiPriority w:val="0"/>
    <w:rPr>
      <w:rFonts w:ascii="Times New Roman" w:hAnsi="Times New Roman" w:eastAsia="宋体" w:cs="Times New Roman"/>
      <w:sz w:val="16"/>
      <w:szCs w:val="16"/>
    </w:rPr>
  </w:style>
  <w:style w:type="paragraph" w:customStyle="1" w:styleId="301">
    <w:name w:val="公文正文"/>
    <w:basedOn w:val="1"/>
    <w:autoRedefine/>
    <w:qFormat/>
    <w:uiPriority w:val="0"/>
    <w:pPr>
      <w:adjustRightInd/>
      <w:spacing w:before="156" w:line="360" w:lineRule="auto"/>
      <w:ind w:firstLine="200" w:firstLineChars="200"/>
    </w:pPr>
    <w:rPr>
      <w:rFonts w:ascii="仿宋_GB2312" w:eastAsia="仿宋_GB2312"/>
      <w:sz w:val="24"/>
    </w:rPr>
  </w:style>
  <w:style w:type="character" w:customStyle="1" w:styleId="302">
    <w:name w:val="Table Text Char1"/>
    <w:autoRedefine/>
    <w:qFormat/>
    <w:uiPriority w:val="0"/>
    <w:rPr>
      <w:rFonts w:eastAsia="宋体"/>
      <w:sz w:val="24"/>
      <w:szCs w:val="24"/>
      <w:lang w:val="en-US" w:eastAsia="zh-CN" w:bidi="ar-SA"/>
    </w:rPr>
  </w:style>
  <w:style w:type="character" w:customStyle="1" w:styleId="303">
    <w:name w:val="标题 1 Char Char"/>
    <w:autoRedefine/>
    <w:qFormat/>
    <w:uiPriority w:val="0"/>
    <w:rPr>
      <w:rFonts w:ascii="宋体" w:hAnsi="宋体" w:eastAsia="宋体"/>
      <w:b/>
      <w:spacing w:val="-2"/>
      <w:sz w:val="24"/>
      <w:lang w:val="en-US" w:eastAsia="zh-CN" w:bidi="ar-SA"/>
    </w:rPr>
  </w:style>
  <w:style w:type="paragraph" w:customStyle="1" w:styleId="304">
    <w:name w:val="正文（缩进2汉字）"/>
    <w:basedOn w:val="1"/>
    <w:autoRedefine/>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305">
    <w:name w:val="标书表格字体格式 Char"/>
    <w:autoRedefine/>
    <w:qFormat/>
    <w:uiPriority w:val="0"/>
    <w:rPr>
      <w:kern w:val="2"/>
      <w:sz w:val="21"/>
      <w:szCs w:val="24"/>
      <w:lang w:bidi="ar-SA"/>
    </w:rPr>
  </w:style>
  <w:style w:type="character" w:customStyle="1" w:styleId="306">
    <w:name w:val="tw4winError"/>
    <w:autoRedefine/>
    <w:qFormat/>
    <w:uiPriority w:val="0"/>
    <w:rPr>
      <w:rFonts w:ascii="Courier New" w:hAnsi="Courier New" w:cs="Courier New"/>
      <w:color w:val="00FF00"/>
      <w:sz w:val="40"/>
      <w:szCs w:val="40"/>
    </w:rPr>
  </w:style>
  <w:style w:type="character" w:customStyle="1" w:styleId="307">
    <w:name w:val="Body Text(ch) Char Char"/>
    <w:autoRedefine/>
    <w:qFormat/>
    <w:uiPriority w:val="0"/>
    <w:rPr>
      <w:rFonts w:ascii="宋体" w:hAnsi="宋体"/>
      <w:kern w:val="2"/>
      <w:sz w:val="24"/>
      <w:szCs w:val="21"/>
      <w:lang w:val="zh-CN"/>
    </w:rPr>
  </w:style>
  <w:style w:type="character" w:customStyle="1" w:styleId="308">
    <w:name w:val="正文首行缩进两字 Char"/>
    <w:autoRedefine/>
    <w:qFormat/>
    <w:uiPriority w:val="0"/>
    <w:rPr>
      <w:sz w:val="24"/>
      <w:szCs w:val="24"/>
      <w:lang w:val="en-US" w:eastAsia="zh-CN" w:bidi="ar-SA"/>
    </w:rPr>
  </w:style>
  <w:style w:type="character" w:customStyle="1" w:styleId="309">
    <w:name w:val="正文文本 Char"/>
    <w:autoRedefine/>
    <w:qFormat/>
    <w:uiPriority w:val="0"/>
    <w:rPr>
      <w:rFonts w:eastAsia="宋体"/>
      <w:kern w:val="2"/>
      <w:sz w:val="24"/>
      <w:szCs w:val="24"/>
      <w:lang w:val="en-US" w:eastAsia="zh-CN" w:bidi="ar-SA"/>
    </w:rPr>
  </w:style>
  <w:style w:type="character" w:customStyle="1" w:styleId="310">
    <w:name w:val="文档结构图 字符1"/>
    <w:autoRedefine/>
    <w:qFormat/>
    <w:uiPriority w:val="0"/>
    <w:rPr>
      <w:rFonts w:ascii="宋体" w:hAnsi="Calibri" w:eastAsia="黑体" w:cs="Arial"/>
      <w:snapToGrid w:val="0"/>
      <w:kern w:val="2"/>
      <w:sz w:val="18"/>
      <w:szCs w:val="18"/>
    </w:rPr>
  </w:style>
  <w:style w:type="character" w:customStyle="1" w:styleId="311">
    <w:name w:val="content"/>
    <w:autoRedefine/>
    <w:qFormat/>
    <w:uiPriority w:val="0"/>
  </w:style>
  <w:style w:type="character" w:customStyle="1" w:styleId="312">
    <w:name w:val="tw4winPopup"/>
    <w:autoRedefine/>
    <w:qFormat/>
    <w:uiPriority w:val="0"/>
    <w:rPr>
      <w:rFonts w:ascii="Courier New" w:hAnsi="Courier New" w:cs="Courier New"/>
      <w:color w:val="008000"/>
      <w:lang w:val="en-US" w:eastAsia="zh-CN"/>
    </w:rPr>
  </w:style>
  <w:style w:type="character" w:customStyle="1" w:styleId="313">
    <w:name w:val="param-name"/>
    <w:autoRedefine/>
    <w:qFormat/>
    <w:uiPriority w:val="0"/>
    <w:rPr>
      <w:rFonts w:ascii="Arial" w:hAnsi="Arial" w:eastAsia="黑体" w:cs="Arial"/>
      <w:snapToGrid w:val="0"/>
      <w:kern w:val="0"/>
      <w:szCs w:val="21"/>
    </w:rPr>
  </w:style>
  <w:style w:type="character" w:customStyle="1" w:styleId="314">
    <w:name w:val="标准正文格式 Char"/>
    <w:autoRedefine/>
    <w:qFormat/>
    <w:uiPriority w:val="0"/>
    <w:rPr>
      <w:rFonts w:ascii="宋体" w:hAnsi="宋体" w:eastAsia="仿宋_GB2312" w:cs="宋体"/>
      <w:color w:val="000000"/>
      <w:sz w:val="24"/>
      <w:lang w:val="en-US" w:eastAsia="zh-CN" w:bidi="ar-SA"/>
    </w:rPr>
  </w:style>
  <w:style w:type="character" w:customStyle="1" w:styleId="315">
    <w:name w:val="Char Char212"/>
    <w:autoRedefine/>
    <w:qFormat/>
    <w:uiPriority w:val="0"/>
    <w:rPr>
      <w:rFonts w:eastAsia="宋体"/>
      <w:b/>
      <w:bCs/>
      <w:kern w:val="2"/>
      <w:sz w:val="21"/>
      <w:szCs w:val="24"/>
      <w:lang w:val="en-US" w:eastAsia="zh-CN" w:bidi="ar-SA"/>
    </w:rPr>
  </w:style>
  <w:style w:type="character" w:customStyle="1" w:styleId="316">
    <w:name w:val="文档结构图 Char"/>
    <w:autoRedefine/>
    <w:qFormat/>
    <w:uiPriority w:val="0"/>
    <w:rPr>
      <w:rFonts w:eastAsia="宋体"/>
      <w:kern w:val="2"/>
      <w:sz w:val="21"/>
      <w:szCs w:val="24"/>
      <w:lang w:val="en-US" w:eastAsia="zh-CN" w:bidi="ar-SA"/>
    </w:rPr>
  </w:style>
  <w:style w:type="character" w:customStyle="1" w:styleId="317">
    <w:name w:val="zbggmain style9"/>
    <w:autoRedefine/>
    <w:qFormat/>
    <w:uiPriority w:val="0"/>
  </w:style>
  <w:style w:type="character" w:customStyle="1" w:styleId="318">
    <w:name w:val="Char Char16"/>
    <w:autoRedefine/>
    <w:qFormat/>
    <w:uiPriority w:val="0"/>
    <w:rPr>
      <w:kern w:val="2"/>
      <w:sz w:val="18"/>
      <w:szCs w:val="18"/>
    </w:rPr>
  </w:style>
  <w:style w:type="character" w:customStyle="1" w:styleId="319">
    <w:name w:val="font51"/>
    <w:autoRedefine/>
    <w:qFormat/>
    <w:uiPriority w:val="0"/>
    <w:rPr>
      <w:rFonts w:ascii="仿宋" w:hAnsi="仿宋" w:eastAsia="仿宋" w:cs="仿宋"/>
      <w:color w:val="000000"/>
      <w:sz w:val="20"/>
      <w:szCs w:val="20"/>
      <w:u w:val="none"/>
    </w:rPr>
  </w:style>
  <w:style w:type="character" w:customStyle="1" w:styleId="320">
    <w:name w:val="Char Char82"/>
    <w:autoRedefine/>
    <w:qFormat/>
    <w:uiPriority w:val="0"/>
    <w:rPr>
      <w:rFonts w:eastAsia="宋体"/>
      <w:b/>
      <w:sz w:val="24"/>
      <w:lang w:val="en-GB" w:eastAsia="zh-CN"/>
    </w:rPr>
  </w:style>
  <w:style w:type="character" w:customStyle="1" w:styleId="321">
    <w:name w:val="日期 Char1"/>
    <w:autoRedefine/>
    <w:qFormat/>
    <w:uiPriority w:val="0"/>
    <w:rPr>
      <w:rFonts w:ascii="Times New Roman" w:hAnsi="Times New Roman" w:eastAsia="宋体" w:cs="Times New Roman"/>
      <w:szCs w:val="24"/>
    </w:rPr>
  </w:style>
  <w:style w:type="character" w:customStyle="1" w:styleId="322">
    <w:name w:val="页眉 字符"/>
    <w:autoRedefine/>
    <w:qFormat/>
    <w:uiPriority w:val="0"/>
    <w:rPr>
      <w:kern w:val="2"/>
      <w:sz w:val="18"/>
      <w:szCs w:val="18"/>
    </w:rPr>
  </w:style>
  <w:style w:type="character" w:customStyle="1" w:styleId="323">
    <w:name w:val="Char Char33"/>
    <w:autoRedefine/>
    <w:qFormat/>
    <w:uiPriority w:val="0"/>
    <w:rPr>
      <w:rFonts w:ascii="Arial" w:hAnsi="Arial" w:eastAsia="黑体"/>
      <w:b/>
      <w:kern w:val="2"/>
      <w:sz w:val="24"/>
      <w:szCs w:val="24"/>
    </w:rPr>
  </w:style>
  <w:style w:type="paragraph" w:customStyle="1" w:styleId="324">
    <w:name w:val="b11_01b"/>
    <w:basedOn w:val="1"/>
    <w:next w:val="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5">
    <w:name w:val="Char Char121"/>
    <w:autoRedefine/>
    <w:qFormat/>
    <w:uiPriority w:val="0"/>
    <w:rPr>
      <w:rFonts w:ascii="仿宋_GB2312" w:eastAsia="仿宋_GB2312"/>
      <w:b/>
      <w:bCs/>
      <w:kern w:val="2"/>
      <w:sz w:val="24"/>
      <w:szCs w:val="24"/>
      <w:lang w:val="zh-CN" w:eastAsia="zh-CN" w:bidi="ar-SA"/>
    </w:rPr>
  </w:style>
  <w:style w:type="character" w:customStyle="1" w:styleId="326">
    <w:name w:val="Footer-Even Char"/>
    <w:autoRedefine/>
    <w:qFormat/>
    <w:uiPriority w:val="0"/>
    <w:rPr>
      <w:rFonts w:eastAsia="宋体"/>
      <w:kern w:val="2"/>
      <w:sz w:val="18"/>
      <w:lang w:val="en-US" w:eastAsia="zh-CN" w:bidi="ar-SA"/>
    </w:rPr>
  </w:style>
  <w:style w:type="character" w:customStyle="1" w:styleId="327">
    <w:name w:val="Char Char36"/>
    <w:autoRedefine/>
    <w:qFormat/>
    <w:uiPriority w:val="0"/>
    <w:rPr>
      <w:rFonts w:ascii="仿宋_GB2312" w:hAnsi="仿宋_GB2312" w:eastAsia="仿宋_GB2312" w:cs="Arial"/>
      <w:b/>
      <w:kern w:val="2"/>
      <w:sz w:val="32"/>
      <w:szCs w:val="32"/>
      <w:lang w:val="zh-CN" w:eastAsia="zh-CN" w:bidi="ar-SA"/>
    </w:rPr>
  </w:style>
  <w:style w:type="character" w:customStyle="1" w:styleId="328">
    <w:name w:val="Char Char61"/>
    <w:autoRedefine/>
    <w:qFormat/>
    <w:uiPriority w:val="0"/>
    <w:rPr>
      <w:rFonts w:eastAsia="宋体"/>
      <w:kern w:val="2"/>
      <w:sz w:val="21"/>
      <w:szCs w:val="24"/>
      <w:lang w:val="en-US" w:eastAsia="zh-CN" w:bidi="ar-SA"/>
    </w:rPr>
  </w:style>
  <w:style w:type="character" w:customStyle="1" w:styleId="329">
    <w:name w:val="正文文字缩进 2 Char Char"/>
    <w:autoRedefine/>
    <w:qFormat/>
    <w:uiPriority w:val="0"/>
    <w:rPr>
      <w:rFonts w:ascii="宋体" w:hAnsi="宋体"/>
      <w:sz w:val="28"/>
    </w:rPr>
  </w:style>
  <w:style w:type="character" w:customStyle="1" w:styleId="330">
    <w:name w:val="f141"/>
    <w:autoRedefine/>
    <w:qFormat/>
    <w:uiPriority w:val="0"/>
    <w:rPr>
      <w:rFonts w:ascii="Tahoma" w:hAnsi="Tahoma" w:eastAsia="宋体"/>
      <w:b/>
      <w:kern w:val="2"/>
      <w:sz w:val="21"/>
      <w:szCs w:val="21"/>
      <w:lang w:val="en-US" w:eastAsia="zh-CN" w:bidi="ar-SA"/>
    </w:rPr>
  </w:style>
  <w:style w:type="paragraph" w:customStyle="1" w:styleId="331">
    <w:name w:val="段落"/>
    <w:basedOn w:val="1"/>
    <w:autoRedefine/>
    <w:qFormat/>
    <w:uiPriority w:val="0"/>
    <w:pPr>
      <w:adjustRightInd/>
      <w:spacing w:line="360" w:lineRule="auto"/>
      <w:ind w:firstLine="200" w:firstLineChars="200"/>
    </w:pPr>
    <w:rPr>
      <w:rFonts w:ascii="宋体" w:hAnsi="宋体"/>
      <w:kern w:val="0"/>
      <w:sz w:val="24"/>
      <w:szCs w:val="20"/>
    </w:rPr>
  </w:style>
  <w:style w:type="character" w:customStyle="1" w:styleId="332">
    <w:name w:val="标题 3 Char2"/>
    <w:autoRedefine/>
    <w:qFormat/>
    <w:uiPriority w:val="0"/>
    <w:rPr>
      <w:rFonts w:eastAsia="宋体"/>
      <w:b/>
      <w:bCs/>
      <w:kern w:val="2"/>
      <w:sz w:val="32"/>
      <w:szCs w:val="32"/>
      <w:lang w:val="en-US" w:eastAsia="zh-CN" w:bidi="ar-SA"/>
    </w:rPr>
  </w:style>
  <w:style w:type="character" w:customStyle="1" w:styleId="333">
    <w:name w:val="apple-converted-space"/>
    <w:autoRedefine/>
    <w:qFormat/>
    <w:uiPriority w:val="0"/>
  </w:style>
  <w:style w:type="character" w:customStyle="1" w:styleId="334">
    <w:name w:val="Char Char9"/>
    <w:autoRedefine/>
    <w:qFormat/>
    <w:uiPriority w:val="0"/>
    <w:rPr>
      <w:rFonts w:eastAsia="宋体"/>
      <w:kern w:val="2"/>
      <w:sz w:val="18"/>
      <w:szCs w:val="18"/>
      <w:lang w:val="en-US" w:eastAsia="zh-CN" w:bidi="ar-SA"/>
    </w:rPr>
  </w:style>
  <w:style w:type="character" w:customStyle="1" w:styleId="335">
    <w:name w:val="Char Char41"/>
    <w:autoRedefine/>
    <w:qFormat/>
    <w:uiPriority w:val="0"/>
    <w:rPr>
      <w:rFonts w:eastAsia="宋体"/>
      <w:b/>
      <w:sz w:val="24"/>
      <w:lang w:val="en-GB" w:eastAsia="zh-CN" w:bidi="ar-SA"/>
    </w:rPr>
  </w:style>
  <w:style w:type="character" w:customStyle="1" w:styleId="336">
    <w:name w:val="large1"/>
    <w:autoRedefine/>
    <w:qFormat/>
    <w:uiPriority w:val="0"/>
    <w:rPr>
      <w:rFonts w:ascii="宋体" w:hAnsi="宋体" w:eastAsia="宋体"/>
      <w:sz w:val="21"/>
      <w:szCs w:val="21"/>
    </w:rPr>
  </w:style>
  <w:style w:type="paragraph" w:customStyle="1" w:styleId="337">
    <w:name w:val="正文段"/>
    <w:basedOn w:val="1"/>
    <w:autoRedefine/>
    <w:qFormat/>
    <w:uiPriority w:val="0"/>
    <w:pPr>
      <w:widowControl/>
      <w:snapToGrid w:val="0"/>
      <w:spacing w:after="50" w:afterLines="50"/>
      <w:ind w:firstLine="200" w:firstLineChars="200"/>
    </w:pPr>
    <w:rPr>
      <w:kern w:val="0"/>
      <w:sz w:val="24"/>
      <w:szCs w:val="20"/>
    </w:rPr>
  </w:style>
  <w:style w:type="character" w:customStyle="1" w:styleId="338">
    <w:name w:val="Char Char13"/>
    <w:autoRedefine/>
    <w:qFormat/>
    <w:uiPriority w:val="0"/>
    <w:rPr>
      <w:rFonts w:ascii="宋体" w:hAnsi="宋体"/>
      <w:kern w:val="2"/>
      <w:sz w:val="21"/>
      <w:szCs w:val="24"/>
    </w:rPr>
  </w:style>
  <w:style w:type="character" w:customStyle="1" w:styleId="339">
    <w:name w:val="Char Char92"/>
    <w:autoRedefine/>
    <w:qFormat/>
    <w:uiPriority w:val="0"/>
    <w:rPr>
      <w:rFonts w:ascii="Times New Roman" w:hAnsi="Times New Roman" w:eastAsia="宋体" w:cs="Times New Roman"/>
      <w:b/>
      <w:bCs/>
      <w:kern w:val="2"/>
      <w:sz w:val="32"/>
      <w:szCs w:val="32"/>
      <w:lang w:val="en-US" w:eastAsia="zh-CN" w:bidi="ar-SA"/>
    </w:rPr>
  </w:style>
  <w:style w:type="paragraph" w:customStyle="1" w:styleId="340">
    <w:name w:val="冯广丽"/>
    <w:basedOn w:val="1"/>
    <w:autoRedefine/>
    <w:qFormat/>
    <w:uiPriority w:val="0"/>
    <w:pPr>
      <w:adjustRightInd/>
      <w:spacing w:line="360" w:lineRule="auto"/>
      <w:ind w:firstLine="200" w:firstLineChars="200"/>
    </w:pPr>
    <w:rPr>
      <w:rFonts w:ascii="宋体" w:hAnsi="宋体"/>
      <w:sz w:val="24"/>
      <w:szCs w:val="22"/>
    </w:rPr>
  </w:style>
  <w:style w:type="character" w:customStyle="1" w:styleId="341">
    <w:name w:val="批注文字 字符"/>
    <w:autoRedefine/>
    <w:qFormat/>
    <w:uiPriority w:val="0"/>
    <w:rPr>
      <w:rFonts w:ascii="Arial" w:hAnsi="Arial" w:eastAsia="黑体" w:cs="Arial"/>
      <w:snapToGrid w:val="0"/>
      <w:kern w:val="0"/>
      <w:szCs w:val="21"/>
    </w:rPr>
  </w:style>
  <w:style w:type="character" w:customStyle="1" w:styleId="342">
    <w:name w:val="Char Char161"/>
    <w:autoRedefine/>
    <w:qFormat/>
    <w:uiPriority w:val="0"/>
    <w:rPr>
      <w:rFonts w:eastAsia="宋体"/>
      <w:b/>
      <w:kern w:val="2"/>
      <w:sz w:val="32"/>
      <w:lang w:val="en-US" w:eastAsia="zh-CN"/>
    </w:rPr>
  </w:style>
  <w:style w:type="character" w:customStyle="1" w:styleId="343">
    <w:name w:val="javascript"/>
    <w:autoRedefine/>
    <w:qFormat/>
    <w:uiPriority w:val="0"/>
  </w:style>
  <w:style w:type="character" w:customStyle="1" w:styleId="344">
    <w:name w:val="图名 Char"/>
    <w:autoRedefine/>
    <w:qFormat/>
    <w:uiPriority w:val="0"/>
    <w:rPr>
      <w:rFonts w:ascii="Arial" w:hAnsi="Arial" w:eastAsia="黑体"/>
      <w:kern w:val="2"/>
      <w:sz w:val="24"/>
      <w:szCs w:val="24"/>
      <w:lang w:val="en-US" w:eastAsia="zh-CN" w:bidi="ar-SA"/>
    </w:rPr>
  </w:style>
  <w:style w:type="character" w:customStyle="1" w:styleId="345">
    <w:name w:val="Used by Word for text of Help footnotes Char Char"/>
    <w:autoRedefine/>
    <w:qFormat/>
    <w:uiPriority w:val="0"/>
    <w:rPr>
      <w:rFonts w:ascii="Times New Roman" w:hAnsi="Times New Roman" w:eastAsia="宋体" w:cs="Times New Roman"/>
      <w:sz w:val="20"/>
      <w:szCs w:val="20"/>
    </w:rPr>
  </w:style>
  <w:style w:type="paragraph" w:customStyle="1" w:styleId="346">
    <w:name w:val="编号，小四"/>
    <w:basedOn w:val="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347">
    <w:name w:val="Font Style82"/>
    <w:autoRedefine/>
    <w:qFormat/>
    <w:uiPriority w:val="0"/>
    <w:rPr>
      <w:rFonts w:ascii="宋体" w:eastAsia="宋体" w:cs="宋体"/>
      <w:color w:val="000000"/>
      <w:sz w:val="14"/>
      <w:szCs w:val="14"/>
    </w:rPr>
  </w:style>
  <w:style w:type="character" w:customStyle="1" w:styleId="348">
    <w:name w:val="标题 2 Char Char"/>
    <w:autoRedefine/>
    <w:qFormat/>
    <w:uiPriority w:val="0"/>
    <w:rPr>
      <w:rFonts w:ascii="楷体_GB2312" w:hAnsi="Arial" w:eastAsia="楷体_GB2312"/>
      <w:b/>
      <w:bCs/>
      <w:kern w:val="2"/>
      <w:sz w:val="24"/>
      <w:szCs w:val="32"/>
      <w:lang w:val="en-US" w:eastAsia="zh-CN" w:bidi="ar-SA"/>
    </w:rPr>
  </w:style>
  <w:style w:type="character" w:customStyle="1" w:styleId="349">
    <w:name w:val="未用 Char"/>
    <w:autoRedefine/>
    <w:qFormat/>
    <w:uiPriority w:val="0"/>
    <w:rPr>
      <w:rFonts w:ascii="Arial" w:hAnsi="Arial" w:eastAsia="黑体"/>
      <w:kern w:val="2"/>
      <w:sz w:val="21"/>
      <w:szCs w:val="21"/>
      <w:lang w:val="en-US" w:eastAsia="zh-CN" w:bidi="ar-SA"/>
    </w:rPr>
  </w:style>
  <w:style w:type="character" w:customStyle="1" w:styleId="350">
    <w:name w:val="myp1111"/>
    <w:autoRedefine/>
    <w:qFormat/>
    <w:uiPriority w:val="0"/>
    <w:rPr>
      <w:rFonts w:ascii="ˎ̥" w:hAnsi="ˎ̥"/>
      <w:color w:val="000000"/>
      <w:sz w:val="20"/>
      <w:szCs w:val="20"/>
      <w:u w:val="none"/>
    </w:rPr>
  </w:style>
  <w:style w:type="character" w:customStyle="1" w:styleId="351">
    <w:name w:val="h Char Char"/>
    <w:autoRedefine/>
    <w:qFormat/>
    <w:uiPriority w:val="0"/>
    <w:rPr>
      <w:rFonts w:eastAsia="宋体"/>
      <w:kern w:val="2"/>
      <w:sz w:val="18"/>
      <w:lang w:val="en-US" w:eastAsia="zh-CN" w:bidi="ar-SA"/>
    </w:rPr>
  </w:style>
  <w:style w:type="paragraph" w:customStyle="1" w:styleId="352">
    <w:name w:val="仿宋正文"/>
    <w:basedOn w:val="1"/>
    <w:autoRedefine/>
    <w:qFormat/>
    <w:uiPriority w:val="0"/>
    <w:pPr>
      <w:adjustRightInd/>
      <w:spacing w:line="360" w:lineRule="auto"/>
      <w:ind w:firstLine="200" w:firstLineChars="200"/>
    </w:pPr>
    <w:rPr>
      <w:rFonts w:ascii="仿宋_GB2312" w:eastAsia="仿宋_GB2312"/>
      <w:sz w:val="24"/>
      <w:szCs w:val="20"/>
    </w:rPr>
  </w:style>
  <w:style w:type="character" w:customStyle="1" w:styleId="353">
    <w:name w:val="正文首行缩进 Char Char Char Char Char Char"/>
    <w:autoRedefine/>
    <w:qFormat/>
    <w:uiPriority w:val="0"/>
    <w:rPr>
      <w:rFonts w:ascii="宋体" w:eastAsia="宋体"/>
      <w:kern w:val="2"/>
      <w:sz w:val="24"/>
      <w:lang w:val="zh-CN" w:bidi="ar-SA"/>
    </w:rPr>
  </w:style>
  <w:style w:type="character" w:customStyle="1" w:styleId="354">
    <w:name w:val="样式 宋体"/>
    <w:autoRedefine/>
    <w:qFormat/>
    <w:uiPriority w:val="0"/>
    <w:rPr>
      <w:rFonts w:ascii="宋体" w:hAnsi="宋体"/>
      <w:sz w:val="24"/>
    </w:rPr>
  </w:style>
  <w:style w:type="character" w:customStyle="1" w:styleId="355">
    <w:name w:val="tw4winJump"/>
    <w:autoRedefine/>
    <w:qFormat/>
    <w:uiPriority w:val="0"/>
    <w:rPr>
      <w:rFonts w:ascii="Courier New" w:hAnsi="Courier New" w:cs="Courier New"/>
      <w:color w:val="008080"/>
      <w:lang w:val="en-US" w:eastAsia="zh-CN"/>
    </w:rPr>
  </w:style>
  <w:style w:type="character" w:customStyle="1" w:styleId="356">
    <w:name w:val="标题 1 字符"/>
    <w:autoRedefine/>
    <w:qFormat/>
    <w:uiPriority w:val="0"/>
    <w:rPr>
      <w:rFonts w:ascii="Arial" w:hAnsi="Arial" w:eastAsia="黑体" w:cs="Arial"/>
      <w:b/>
      <w:bCs/>
      <w:snapToGrid w:val="0"/>
      <w:kern w:val="44"/>
      <w:sz w:val="44"/>
      <w:szCs w:val="44"/>
    </w:rPr>
  </w:style>
  <w:style w:type="character" w:customStyle="1" w:styleId="357">
    <w:name w:val="style36"/>
    <w:basedOn w:val="63"/>
    <w:autoRedefine/>
    <w:qFormat/>
    <w:uiPriority w:val="0"/>
    <w:rPr>
      <w:rFonts w:ascii="Arial" w:hAnsi="Arial" w:eastAsia="黑体" w:cs="Arial"/>
      <w:snapToGrid w:val="0"/>
      <w:kern w:val="0"/>
      <w:szCs w:val="21"/>
    </w:rPr>
  </w:style>
  <w:style w:type="character" w:customStyle="1" w:styleId="358">
    <w:name w:val="pt9"/>
    <w:autoRedefine/>
    <w:qFormat/>
    <w:uiPriority w:val="0"/>
    <w:rPr>
      <w:rFonts w:ascii="仿宋_GB2312" w:hAnsi="仿宋_GB2312" w:eastAsia="微软雅黑"/>
      <w:b/>
      <w:kern w:val="2"/>
      <w:sz w:val="32"/>
      <w:szCs w:val="32"/>
      <w:lang w:val="en-US" w:eastAsia="zh-CN" w:bidi="ar-SA"/>
    </w:rPr>
  </w:style>
  <w:style w:type="character" w:customStyle="1" w:styleId="359">
    <w:name w:val="DO_NOT_TRANSLATE"/>
    <w:autoRedefine/>
    <w:qFormat/>
    <w:uiPriority w:val="0"/>
    <w:rPr>
      <w:rFonts w:ascii="Courier New" w:hAnsi="Courier New" w:cs="Courier New"/>
      <w:color w:val="800000"/>
      <w:lang w:val="en-US" w:eastAsia="zh-CN"/>
    </w:rPr>
  </w:style>
  <w:style w:type="character" w:customStyle="1" w:styleId="360">
    <w:name w:val="标书1 Char1"/>
    <w:autoRedefine/>
    <w:qFormat/>
    <w:uiPriority w:val="0"/>
    <w:rPr>
      <w:rFonts w:eastAsia="宋体"/>
      <w:b/>
      <w:bCs/>
      <w:kern w:val="44"/>
      <w:sz w:val="44"/>
      <w:szCs w:val="44"/>
      <w:lang w:val="en-US" w:eastAsia="zh-CN" w:bidi="ar-SA"/>
    </w:rPr>
  </w:style>
  <w:style w:type="character" w:customStyle="1" w:styleId="361">
    <w:name w:val="页脚 字符"/>
    <w:autoRedefine/>
    <w:qFormat/>
    <w:uiPriority w:val="0"/>
    <w:rPr>
      <w:kern w:val="2"/>
      <w:sz w:val="18"/>
      <w:szCs w:val="18"/>
    </w:rPr>
  </w:style>
  <w:style w:type="character" w:customStyle="1" w:styleId="362">
    <w:name w:val="正文2 Char"/>
    <w:autoRedefine/>
    <w:qFormat/>
    <w:uiPriority w:val="0"/>
    <w:rPr>
      <w:rFonts w:eastAsia="宋体"/>
      <w:kern w:val="2"/>
      <w:sz w:val="24"/>
      <w:lang w:val="en-US" w:eastAsia="zh-CN" w:bidi="ar-SA"/>
    </w:rPr>
  </w:style>
  <w:style w:type="character" w:customStyle="1" w:styleId="363">
    <w:name w:val="Char Char21"/>
    <w:autoRedefine/>
    <w:qFormat/>
    <w:uiPriority w:val="0"/>
    <w:rPr>
      <w:rFonts w:ascii="宋体" w:hAnsi="宋体"/>
      <w:kern w:val="2"/>
      <w:sz w:val="24"/>
      <w:szCs w:val="21"/>
      <w:lang w:val="zh-CN"/>
    </w:rPr>
  </w:style>
  <w:style w:type="paragraph" w:customStyle="1" w:styleId="364">
    <w:name w:val="样式 正文缩进 + 首行缩进:  2 字符"/>
    <w:basedOn w:val="5"/>
    <w:autoRedefine/>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65">
    <w:name w:val="gray6"/>
    <w:basedOn w:val="63"/>
    <w:autoRedefine/>
    <w:qFormat/>
    <w:uiPriority w:val="0"/>
    <w:rPr>
      <w:rFonts w:ascii="Arial" w:hAnsi="Arial" w:eastAsia="黑体" w:cs="Arial"/>
      <w:snapToGrid w:val="0"/>
      <w:kern w:val="0"/>
      <w:szCs w:val="21"/>
    </w:rPr>
  </w:style>
  <w:style w:type="character" w:customStyle="1" w:styleId="366">
    <w:name w:val="hui"/>
    <w:basedOn w:val="63"/>
    <w:autoRedefine/>
    <w:qFormat/>
    <w:uiPriority w:val="0"/>
    <w:rPr>
      <w:rFonts w:ascii="Arial" w:hAnsi="Arial" w:eastAsia="黑体" w:cs="Arial"/>
      <w:snapToGrid w:val="0"/>
      <w:kern w:val="0"/>
      <w:szCs w:val="21"/>
    </w:rPr>
  </w:style>
  <w:style w:type="character" w:customStyle="1" w:styleId="367">
    <w:name w:val="哈哈正文 Char Char"/>
    <w:autoRedefine/>
    <w:qFormat/>
    <w:uiPriority w:val="0"/>
    <w:rPr>
      <w:rFonts w:ascii="宋体" w:hAnsi="宋体" w:eastAsia="宋体" w:cs="宋体"/>
      <w:kern w:val="2"/>
      <w:sz w:val="24"/>
      <w:lang w:val="en-US" w:eastAsia="zh-CN" w:bidi="ar-SA"/>
    </w:rPr>
  </w:style>
  <w:style w:type="paragraph" w:customStyle="1" w:styleId="368">
    <w:name w:val="样式 正文文本缩进 + 左侧:  2 字符 首行缩进:  2 字符"/>
    <w:basedOn w:val="24"/>
    <w:autoRedefine/>
    <w:qFormat/>
    <w:uiPriority w:val="0"/>
    <w:pPr>
      <w:tabs>
        <w:tab w:val="left" w:pos="360"/>
        <w:tab w:val="left" w:pos="540"/>
      </w:tabs>
      <w:adjustRightInd/>
      <w:spacing w:line="520" w:lineRule="exact"/>
      <w:ind w:left="200"/>
    </w:pPr>
    <w:rPr>
      <w:rFonts w:ascii="仿宋_GB2312" w:hAnsi="Times New Roman" w:eastAsia="仿宋_GB2312"/>
      <w:sz w:val="28"/>
      <w:szCs w:val="20"/>
    </w:rPr>
  </w:style>
  <w:style w:type="paragraph" w:customStyle="1" w:styleId="36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7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37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372">
    <w:name w:val="目录标题"/>
    <w:basedOn w:val="1"/>
    <w:autoRedefine/>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73">
    <w:name w:val="subhead"/>
    <w:autoRedefine/>
    <w:qFormat/>
    <w:uiPriority w:val="0"/>
    <w:pPr>
      <w:spacing w:after="120" w:line="300" w:lineRule="exact"/>
    </w:pPr>
    <w:rPr>
      <w:rFonts w:ascii="Arial" w:hAnsi="Arial" w:eastAsia="宋体" w:cs="Times New Roman"/>
      <w:b/>
      <w:sz w:val="26"/>
      <w:lang w:val="en-US" w:eastAsia="zh-CN" w:bidi="ar-SA"/>
    </w:rPr>
  </w:style>
  <w:style w:type="paragraph" w:customStyle="1" w:styleId="37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375">
    <w:name w:val="标题4_自定义"/>
    <w:basedOn w:val="6"/>
    <w:autoRedefine/>
    <w:qFormat/>
    <w:uiPriority w:val="0"/>
    <w:pPr>
      <w:adjustRightInd/>
      <w:spacing w:before="0" w:after="0" w:line="360" w:lineRule="auto"/>
    </w:pPr>
    <w:rPr>
      <w:rFonts w:ascii="Verdana" w:hAnsi="Verdana" w:eastAsia="Verdana"/>
      <w:sz w:val="21"/>
      <w:lang w:val="en-US"/>
    </w:rPr>
  </w:style>
  <w:style w:type="paragraph" w:customStyle="1" w:styleId="376">
    <w:name w:val="My正文"/>
    <w:basedOn w:val="1"/>
    <w:autoRedefine/>
    <w:qFormat/>
    <w:uiPriority w:val="0"/>
    <w:pPr>
      <w:spacing w:before="120" w:line="360" w:lineRule="auto"/>
      <w:ind w:firstLine="567"/>
    </w:pPr>
    <w:rPr>
      <w:rFonts w:ascii="Arial" w:hAnsi="Arial"/>
      <w:sz w:val="20"/>
      <w:szCs w:val="20"/>
    </w:rPr>
  </w:style>
  <w:style w:type="paragraph" w:customStyle="1" w:styleId="377">
    <w:name w:val="正文 内标 序号标"/>
    <w:basedOn w:val="376"/>
    <w:autoRedefine/>
    <w:qFormat/>
    <w:uiPriority w:val="0"/>
    <w:pPr>
      <w:tabs>
        <w:tab w:val="left" w:pos="0"/>
      </w:tabs>
      <w:adjustRightInd/>
      <w:spacing w:before="0"/>
      <w:ind w:firstLine="482"/>
    </w:pPr>
    <w:rPr>
      <w:rFonts w:ascii="微软雅黑" w:hAnsi="微软雅黑"/>
      <w:sz w:val="24"/>
      <w:szCs w:val="24"/>
    </w:rPr>
  </w:style>
  <w:style w:type="paragraph" w:customStyle="1" w:styleId="37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7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38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81">
    <w:name w:val="修订2"/>
    <w:autoRedefine/>
    <w:qFormat/>
    <w:uiPriority w:val="0"/>
    <w:rPr>
      <w:rFonts w:ascii="Times New Roman" w:hAnsi="Times New Roman" w:eastAsia="宋体" w:cs="Times New Roman"/>
      <w:kern w:val="2"/>
      <w:sz w:val="21"/>
      <w:lang w:val="en-US" w:eastAsia="zh-CN" w:bidi="ar-SA"/>
    </w:rPr>
  </w:style>
  <w:style w:type="paragraph" w:customStyle="1" w:styleId="38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8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84">
    <w:name w:val="文章标题"/>
    <w:next w:val="385"/>
    <w:autoRedefine/>
    <w:qFormat/>
    <w:uiPriority w:val="0"/>
    <w:pPr>
      <w:spacing w:before="800" w:beforeLines="800" w:after="100" w:afterLines="100"/>
      <w:jc w:val="center"/>
    </w:pPr>
    <w:rPr>
      <w:rFonts w:ascii="Arial" w:hAnsi="Arial" w:eastAsia="黑体" w:cs="宋体"/>
      <w:bCs/>
      <w:kern w:val="2"/>
      <w:sz w:val="52"/>
      <w:lang w:val="en-US" w:eastAsia="zh-CN" w:bidi="ar-SA"/>
    </w:rPr>
  </w:style>
  <w:style w:type="paragraph" w:customStyle="1" w:styleId="38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386">
    <w:name w:val="Char1 Char Char Char5"/>
    <w:basedOn w:val="1"/>
    <w:autoRedefine/>
    <w:qFormat/>
    <w:uiPriority w:val="0"/>
    <w:pPr>
      <w:adjustRightInd/>
      <w:ind w:firstLine="200" w:firstLineChars="200"/>
    </w:pPr>
    <w:rPr>
      <w:rFonts w:ascii="Tahoma" w:hAnsi="Tahoma"/>
      <w:sz w:val="24"/>
      <w:szCs w:val="20"/>
    </w:rPr>
  </w:style>
  <w:style w:type="paragraph" w:customStyle="1" w:styleId="38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89">
    <w:name w:val="Char Char Char Char Char Char Char Char"/>
    <w:basedOn w:val="1"/>
    <w:autoRedefine/>
    <w:qFormat/>
    <w:uiPriority w:val="0"/>
    <w:pPr>
      <w:tabs>
        <w:tab w:val="left" w:pos="360"/>
      </w:tabs>
    </w:pPr>
    <w:rPr>
      <w:sz w:val="24"/>
      <w:szCs w:val="20"/>
    </w:rPr>
  </w:style>
  <w:style w:type="paragraph" w:customStyle="1" w:styleId="390">
    <w:name w:val="Char Char11 Char Char Char"/>
    <w:basedOn w:val="1"/>
    <w:autoRedefine/>
    <w:qFormat/>
    <w:uiPriority w:val="0"/>
    <w:pPr>
      <w:spacing w:line="360" w:lineRule="auto"/>
    </w:pPr>
    <w:rPr>
      <w:szCs w:val="20"/>
    </w:rPr>
  </w:style>
  <w:style w:type="paragraph" w:customStyle="1" w:styleId="391">
    <w:name w:val="gjt_3"/>
    <w:next w:val="1"/>
    <w:autoRedefine/>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392">
    <w:name w:val="金宏发行正文"/>
    <w:basedOn w:val="1"/>
    <w:autoRedefine/>
    <w:qFormat/>
    <w:uiPriority w:val="0"/>
    <w:pPr>
      <w:adjustRightInd/>
      <w:spacing w:line="500" w:lineRule="exact"/>
      <w:ind w:firstLine="200" w:firstLineChars="200"/>
    </w:pPr>
    <w:rPr>
      <w:rFonts w:eastAsia="仿宋_GB2312"/>
      <w:sz w:val="28"/>
      <w:szCs w:val="20"/>
    </w:rPr>
  </w:style>
  <w:style w:type="paragraph" w:customStyle="1" w:styleId="39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94">
    <w:name w:val="样式3"/>
    <w:basedOn w:val="393"/>
    <w:autoRedefine/>
    <w:qFormat/>
    <w:uiPriority w:val="0"/>
    <w:pPr>
      <w:spacing w:before="100" w:beforeLines="100"/>
      <w:jc w:val="left"/>
    </w:pPr>
  </w:style>
  <w:style w:type="paragraph" w:customStyle="1" w:styleId="395">
    <w:name w:val="Char Char1 Char Char1 Char Char1"/>
    <w:basedOn w:val="1"/>
    <w:autoRedefine/>
    <w:qFormat/>
    <w:uiPriority w:val="0"/>
    <w:pPr>
      <w:tabs>
        <w:tab w:val="left" w:pos="840"/>
      </w:tabs>
      <w:ind w:left="840" w:hanging="420"/>
    </w:pPr>
    <w:rPr>
      <w:rFonts w:ascii="Tahoma" w:hAnsi="Tahoma"/>
      <w:sz w:val="24"/>
    </w:rPr>
  </w:style>
  <w:style w:type="paragraph" w:customStyle="1" w:styleId="39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97">
    <w:name w:val="标书标题2"/>
    <w:basedOn w:val="3"/>
    <w:autoRedefine/>
    <w:qFormat/>
    <w:uiPriority w:val="0"/>
    <w:pPr>
      <w:keepLines w:val="0"/>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39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399">
    <w:name w:val="正文21"/>
    <w:basedOn w:val="1"/>
    <w:autoRedefine/>
    <w:qFormat/>
    <w:uiPriority w:val="0"/>
    <w:pPr>
      <w:adjustRightInd/>
      <w:spacing w:before="156" w:line="360" w:lineRule="auto"/>
      <w:ind w:firstLine="200" w:firstLineChars="200"/>
    </w:pPr>
    <w:rPr>
      <w:sz w:val="24"/>
      <w:szCs w:val="20"/>
    </w:rPr>
  </w:style>
  <w:style w:type="paragraph" w:customStyle="1" w:styleId="400">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0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2">
    <w:name w:val="Char1"/>
    <w:basedOn w:val="1"/>
    <w:autoRedefine/>
    <w:qFormat/>
    <w:uiPriority w:val="0"/>
    <w:rPr>
      <w:rFonts w:ascii="仿宋_GB2312" w:eastAsia="仿宋_GB2312"/>
      <w:b/>
      <w:sz w:val="32"/>
      <w:szCs w:val="32"/>
    </w:rPr>
  </w:style>
  <w:style w:type="paragraph" w:customStyle="1" w:styleId="40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0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05">
    <w:name w:val="样式 宋体 行距: 1.5 倍行距 首行缩进:  2 字符"/>
    <w:basedOn w:val="1"/>
    <w:autoRedefine/>
    <w:qFormat/>
    <w:uiPriority w:val="0"/>
    <w:pPr>
      <w:adjustRightInd/>
      <w:spacing w:line="360" w:lineRule="auto"/>
      <w:ind w:firstLine="200" w:firstLineChars="200"/>
    </w:pPr>
    <w:rPr>
      <w:rFonts w:ascii="宋体" w:hAnsi="宋体"/>
      <w:sz w:val="24"/>
      <w:szCs w:val="20"/>
    </w:rPr>
  </w:style>
  <w:style w:type="paragraph" w:customStyle="1" w:styleId="40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07">
    <w:name w:val="4级标题"/>
    <w:basedOn w:val="229"/>
    <w:autoRedefine/>
    <w:qFormat/>
    <w:uiPriority w:val="0"/>
    <w:pPr>
      <w:keepLines/>
      <w:adjustRightInd/>
      <w:ind w:firstLine="0" w:firstLineChars="0"/>
      <w:jc w:val="left"/>
      <w:outlineLvl w:val="3"/>
    </w:pPr>
    <w:rPr>
      <w:rFonts w:ascii="黑体" w:hAnsi="黑体" w:eastAsia="黑体" w:cs="Times New Roman"/>
      <w:kern w:val="0"/>
      <w:sz w:val="28"/>
      <w:lang w:bidi="en-US"/>
    </w:rPr>
  </w:style>
  <w:style w:type="paragraph" w:customStyle="1" w:styleId="408">
    <w:name w:val="5级标题"/>
    <w:basedOn w:val="40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bidi="ar-SA"/>
    </w:rPr>
  </w:style>
  <w:style w:type="paragraph" w:customStyle="1" w:styleId="409">
    <w:name w:val="6级标题"/>
    <w:basedOn w:val="408"/>
    <w:autoRedefine/>
    <w:qFormat/>
    <w:uiPriority w:val="0"/>
    <w:pPr>
      <w:keepNext/>
      <w:outlineLvl w:val="5"/>
    </w:pPr>
  </w:style>
  <w:style w:type="paragraph" w:customStyle="1" w:styleId="410">
    <w:name w:val="样式 正文文本缩进 + 段前: 2 字符"/>
    <w:basedOn w:val="1"/>
    <w:autoRedefine/>
    <w:qFormat/>
    <w:uiPriority w:val="0"/>
    <w:pPr>
      <w:adjustRightInd/>
      <w:ind w:left="200" w:leftChars="200"/>
      <w:jc w:val="left"/>
    </w:pPr>
    <w:rPr>
      <w:sz w:val="28"/>
      <w:szCs w:val="20"/>
      <w:lang w:eastAsia="zh-TW"/>
    </w:rPr>
  </w:style>
  <w:style w:type="paragraph" w:customStyle="1" w:styleId="411">
    <w:name w:val="Char2 Char Char"/>
    <w:basedOn w:val="1"/>
    <w:autoRedefine/>
    <w:qFormat/>
    <w:uiPriority w:val="0"/>
    <w:pPr>
      <w:adjustRightInd/>
    </w:pPr>
    <w:rPr>
      <w:rFonts w:ascii="Tahoma" w:hAnsi="Tahoma"/>
      <w:sz w:val="24"/>
      <w:szCs w:val="20"/>
    </w:rPr>
  </w:style>
  <w:style w:type="paragraph" w:customStyle="1" w:styleId="412">
    <w:name w:val="_Style 11"/>
    <w:basedOn w:val="1"/>
    <w:autoRedefine/>
    <w:qFormat/>
    <w:uiPriority w:val="0"/>
    <w:pPr>
      <w:adjustRightInd/>
      <w:ind w:firstLine="200" w:firstLineChars="200"/>
    </w:pPr>
    <w:rPr>
      <w:rFonts w:eastAsia="仿宋_GB2312"/>
      <w:sz w:val="28"/>
    </w:rPr>
  </w:style>
  <w:style w:type="paragraph" w:customStyle="1" w:styleId="41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14">
    <w:name w:val="Char Char Char"/>
    <w:basedOn w:val="1"/>
    <w:autoRedefine/>
    <w:qFormat/>
    <w:uiPriority w:val="0"/>
    <w:rPr>
      <w:rFonts w:ascii="Tahoma" w:hAnsi="Tahoma"/>
      <w:sz w:val="24"/>
      <w:szCs w:val="20"/>
    </w:rPr>
  </w:style>
  <w:style w:type="paragraph" w:customStyle="1" w:styleId="415">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1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17">
    <w:name w:val="No Spacing"/>
    <w:basedOn w:val="1"/>
    <w:autoRedefine/>
    <w:qFormat/>
    <w:uiPriority w:val="0"/>
    <w:rPr>
      <w:szCs w:val="22"/>
    </w:rPr>
  </w:style>
  <w:style w:type="paragraph" w:customStyle="1" w:styleId="41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419">
    <w:name w:val="Char Char Char Char Char Char Char Char Char Char Char Char1 Char1"/>
    <w:basedOn w:val="1"/>
    <w:autoRedefine/>
    <w:qFormat/>
    <w:uiPriority w:val="0"/>
    <w:rPr>
      <w:rFonts w:ascii="Tahoma" w:hAnsi="Tahoma" w:cs="仿宋_GB2312"/>
      <w:sz w:val="24"/>
      <w:szCs w:val="20"/>
    </w:rPr>
  </w:style>
  <w:style w:type="paragraph" w:customStyle="1" w:styleId="42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21">
    <w:name w:val="Char Char1 Char1"/>
    <w:basedOn w:val="1"/>
    <w:autoRedefine/>
    <w:qFormat/>
    <w:uiPriority w:val="0"/>
    <w:pPr>
      <w:widowControl/>
      <w:snapToGrid w:val="0"/>
      <w:spacing w:before="120" w:after="160" w:line="360" w:lineRule="auto"/>
      <w:ind w:right="-360"/>
      <w:jc w:val="left"/>
    </w:pPr>
    <w:rPr>
      <w:rFonts w:ascii="Arial" w:hAnsi="Arial"/>
      <w:kern w:val="0"/>
      <w:sz w:val="24"/>
    </w:rPr>
  </w:style>
  <w:style w:type="paragraph" w:customStyle="1" w:styleId="42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23">
    <w:name w:val="MM Topic 2"/>
    <w:basedOn w:val="3"/>
    <w:autoRedefine/>
    <w:qFormat/>
    <w:uiPriority w:val="0"/>
    <w:pPr>
      <w:tabs>
        <w:tab w:val="left" w:pos="1260"/>
      </w:tabs>
      <w:ind w:left="1260" w:hanging="420"/>
    </w:pPr>
    <w:rPr>
      <w:rFonts w:ascii="Arial" w:hAnsi="Arial" w:eastAsia="黑体"/>
      <w:lang w:val="en-US"/>
    </w:rPr>
  </w:style>
  <w:style w:type="paragraph" w:customStyle="1" w:styleId="424">
    <w:name w:val="五级无标题条"/>
    <w:basedOn w:val="1"/>
    <w:autoRedefine/>
    <w:qFormat/>
    <w:uiPriority w:val="0"/>
    <w:pPr>
      <w:adjustRightInd/>
    </w:pPr>
  </w:style>
  <w:style w:type="paragraph" w:customStyle="1" w:styleId="425">
    <w:name w:val="Char5"/>
    <w:basedOn w:val="1"/>
    <w:autoRedefine/>
    <w:qFormat/>
    <w:uiPriority w:val="0"/>
    <w:rPr>
      <w:rFonts w:ascii="仿宋_GB2312" w:eastAsia="仿宋_GB2312"/>
      <w:b/>
      <w:sz w:val="32"/>
      <w:szCs w:val="32"/>
    </w:rPr>
  </w:style>
  <w:style w:type="paragraph" w:customStyle="1" w:styleId="426">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7">
    <w:name w:val="彩色列表 - 强调文字颜色 12"/>
    <w:basedOn w:val="1"/>
    <w:autoRedefine/>
    <w:qFormat/>
    <w:uiPriority w:val="0"/>
    <w:pPr>
      <w:adjustRightInd/>
      <w:ind w:firstLine="200" w:firstLineChars="200"/>
    </w:pPr>
    <w:rPr>
      <w:rFonts w:ascii="Calibri" w:hAnsi="Calibri"/>
      <w:szCs w:val="22"/>
    </w:rPr>
  </w:style>
  <w:style w:type="paragraph" w:customStyle="1" w:styleId="42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9">
    <w:name w:val="Char2"/>
    <w:basedOn w:val="1"/>
    <w:autoRedefine/>
    <w:qFormat/>
    <w:uiPriority w:val="0"/>
    <w:rPr>
      <w:rFonts w:ascii="仿宋_GB2312" w:eastAsia="仿宋_GB2312"/>
      <w:b/>
      <w:sz w:val="32"/>
      <w:szCs w:val="32"/>
    </w:rPr>
  </w:style>
  <w:style w:type="paragraph" w:customStyle="1" w:styleId="430">
    <w:name w:val="数字标题3"/>
    <w:basedOn w:val="4"/>
    <w:next w:val="1"/>
    <w:autoRedefine/>
    <w:qFormat/>
    <w:uiPriority w:val="0"/>
    <w:pPr>
      <w:spacing w:line="240" w:lineRule="auto"/>
    </w:pPr>
    <w:rPr>
      <w:sz w:val="28"/>
      <w:szCs w:val="28"/>
    </w:rPr>
  </w:style>
  <w:style w:type="paragraph" w:customStyle="1" w:styleId="431">
    <w:name w:val="FA正文"/>
    <w:basedOn w:val="1"/>
    <w:autoRedefine/>
    <w:qFormat/>
    <w:uiPriority w:val="0"/>
    <w:pPr>
      <w:spacing w:line="360" w:lineRule="auto"/>
      <w:ind w:firstLine="200" w:firstLineChars="200"/>
    </w:pPr>
    <w:rPr>
      <w:rFonts w:hAnsi="宋体"/>
      <w:sz w:val="24"/>
      <w:szCs w:val="20"/>
    </w:rPr>
  </w:style>
  <w:style w:type="paragraph" w:customStyle="1" w:styleId="432">
    <w:name w:val="MM Topic 5"/>
    <w:basedOn w:val="7"/>
    <w:autoRedefine/>
    <w:qFormat/>
    <w:uiPriority w:val="0"/>
    <w:pPr>
      <w:tabs>
        <w:tab w:val="left" w:pos="2520"/>
      </w:tabs>
      <w:adjustRightInd/>
      <w:ind w:left="2520" w:hanging="420"/>
    </w:pPr>
  </w:style>
  <w:style w:type="paragraph" w:customStyle="1" w:styleId="433">
    <w:name w:val="Char Char Char Char Char Char Char Char Char Char1"/>
    <w:basedOn w:val="1"/>
    <w:autoRedefine/>
    <w:qFormat/>
    <w:uiPriority w:val="0"/>
    <w:rPr>
      <w:rFonts w:ascii="仿宋_GB2312" w:eastAsia="仿宋_GB2312"/>
      <w:b/>
      <w:sz w:val="32"/>
      <w:szCs w:val="32"/>
    </w:rPr>
  </w:style>
  <w:style w:type="paragraph" w:customStyle="1" w:styleId="43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35">
    <w:name w:val="修订1"/>
    <w:autoRedefine/>
    <w:qFormat/>
    <w:uiPriority w:val="0"/>
    <w:rPr>
      <w:rFonts w:ascii="Times New Roman" w:hAnsi="Times New Roman" w:eastAsia="宋体" w:cs="Times New Roman"/>
      <w:color w:val="000000"/>
      <w:kern w:val="2"/>
      <w:sz w:val="21"/>
      <w:lang w:val="en-US" w:eastAsia="zh-CN" w:bidi="ar-SA"/>
    </w:rPr>
  </w:style>
  <w:style w:type="paragraph" w:customStyle="1" w:styleId="436">
    <w:name w:val="Char2 Char Char Char"/>
    <w:basedOn w:val="1"/>
    <w:autoRedefine/>
    <w:qFormat/>
    <w:uiPriority w:val="0"/>
    <w:rPr>
      <w:rFonts w:ascii="仿宋_GB2312" w:eastAsia="仿宋_GB2312"/>
      <w:b/>
      <w:sz w:val="32"/>
      <w:szCs w:val="32"/>
    </w:rPr>
  </w:style>
  <w:style w:type="paragraph" w:customStyle="1" w:styleId="437">
    <w:name w:val="Char2 Char Char Char1"/>
    <w:basedOn w:val="1"/>
    <w:autoRedefine/>
    <w:qFormat/>
    <w:uiPriority w:val="0"/>
    <w:rPr>
      <w:rFonts w:ascii="仿宋_GB2312" w:eastAsia="仿宋_GB2312"/>
      <w:b/>
      <w:sz w:val="32"/>
      <w:szCs w:val="32"/>
    </w:rPr>
  </w:style>
  <w:style w:type="paragraph" w:customStyle="1" w:styleId="438">
    <w:name w:val="默认段落样式"/>
    <w:basedOn w:val="124"/>
    <w:autoRedefine/>
    <w:qFormat/>
    <w:uiPriority w:val="0"/>
    <w:pPr>
      <w:spacing w:before="0"/>
      <w:outlineLvl w:val="2"/>
    </w:pPr>
    <w:rPr>
      <w:rFonts w:ascii="仿宋_GB2312" w:hAnsi="宋体" w:eastAsia="仿宋_GB2312"/>
      <w:color w:val="000000"/>
      <w:szCs w:val="24"/>
    </w:rPr>
  </w:style>
  <w:style w:type="paragraph" w:customStyle="1" w:styleId="43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44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1">
    <w:name w:val="MM Topic 3"/>
    <w:basedOn w:val="4"/>
    <w:autoRedefine/>
    <w:qFormat/>
    <w:uiPriority w:val="0"/>
    <w:pPr>
      <w:tabs>
        <w:tab w:val="left" w:pos="1680"/>
      </w:tabs>
      <w:adjustRightInd/>
      <w:ind w:left="1680" w:hanging="420"/>
    </w:pPr>
  </w:style>
  <w:style w:type="paragraph" w:customStyle="1" w:styleId="442">
    <w:name w:val="标准小四"/>
    <w:basedOn w:val="1"/>
    <w:autoRedefine/>
    <w:qFormat/>
    <w:uiPriority w:val="0"/>
    <w:pPr>
      <w:spacing w:line="360" w:lineRule="auto"/>
      <w:ind w:firstLine="200" w:firstLineChars="200"/>
    </w:pPr>
    <w:rPr>
      <w:rFonts w:ascii="Arial" w:hAnsi="Arial"/>
      <w:sz w:val="24"/>
      <w:szCs w:val="21"/>
    </w:rPr>
  </w:style>
  <w:style w:type="paragraph" w:customStyle="1" w:styleId="443">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444">
    <w:name w:val="表格（小）"/>
    <w:basedOn w:val="1"/>
    <w:autoRedefine/>
    <w:qFormat/>
    <w:uiPriority w:val="0"/>
    <w:pPr>
      <w:adjustRightInd/>
      <w:snapToGrid w:val="0"/>
      <w:spacing w:line="300" w:lineRule="auto"/>
    </w:pPr>
    <w:rPr>
      <w:rFonts w:eastAsia="仿宋"/>
      <w:szCs w:val="21"/>
    </w:rPr>
  </w:style>
  <w:style w:type="paragraph" w:customStyle="1" w:styleId="445">
    <w:name w:val="Char Char Char Char Char Char1 Char"/>
    <w:basedOn w:val="1"/>
    <w:autoRedefine/>
    <w:qFormat/>
    <w:uiPriority w:val="0"/>
    <w:pPr>
      <w:widowControl/>
      <w:spacing w:after="160" w:line="240" w:lineRule="exact"/>
      <w:jc w:val="left"/>
    </w:pPr>
    <w:rPr>
      <w:rFonts w:ascii="Verdana" w:hAnsi="Verdana"/>
      <w:kern w:val="0"/>
      <w:szCs w:val="20"/>
    </w:rPr>
  </w:style>
  <w:style w:type="paragraph" w:customStyle="1" w:styleId="446">
    <w:name w:val="Char2 Char Char1"/>
    <w:basedOn w:val="1"/>
    <w:autoRedefine/>
    <w:qFormat/>
    <w:uiPriority w:val="0"/>
    <w:pPr>
      <w:adjustRightInd/>
    </w:pPr>
    <w:rPr>
      <w:rFonts w:ascii="Tahoma" w:hAnsi="Tahoma"/>
      <w:sz w:val="24"/>
      <w:szCs w:val="20"/>
    </w:rPr>
  </w:style>
  <w:style w:type="paragraph" w:customStyle="1" w:styleId="44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44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49">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45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51">
    <w:name w:val="TOC 标题11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45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55">
    <w:name w:val="_Style 3"/>
    <w:basedOn w:val="1"/>
    <w:autoRedefine/>
    <w:qFormat/>
    <w:uiPriority w:val="0"/>
    <w:pPr>
      <w:adjustRightInd/>
      <w:ind w:firstLine="200" w:firstLineChars="200"/>
    </w:pPr>
    <w:rPr>
      <w:rFonts w:eastAsia="仿宋_GB2312"/>
      <w:sz w:val="28"/>
    </w:rPr>
  </w:style>
  <w:style w:type="paragraph" w:customStyle="1" w:styleId="45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57">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58">
    <w:name w:val="左对齐表格文字"/>
    <w:basedOn w:val="1"/>
    <w:autoRedefine/>
    <w:qFormat/>
    <w:uiPriority w:val="0"/>
    <w:pPr>
      <w:adjustRightInd/>
      <w:ind w:firstLine="200" w:firstLineChars="200"/>
      <w:jc w:val="right"/>
    </w:pPr>
  </w:style>
  <w:style w:type="paragraph" w:customStyle="1" w:styleId="459">
    <w:name w:val="Char Char11 Char Char Char Char Char Char Char Char Char"/>
    <w:basedOn w:val="1"/>
    <w:autoRedefine/>
    <w:qFormat/>
    <w:uiPriority w:val="0"/>
    <w:pPr>
      <w:spacing w:line="360" w:lineRule="auto"/>
    </w:pPr>
    <w:rPr>
      <w:szCs w:val="20"/>
    </w:rPr>
  </w:style>
  <w:style w:type="paragraph" w:customStyle="1" w:styleId="460">
    <w:name w:val="正文1.25"/>
    <w:basedOn w:val="1"/>
    <w:autoRedefine/>
    <w:qFormat/>
    <w:uiPriority w:val="0"/>
    <w:pPr>
      <w:adjustRightInd/>
      <w:spacing w:line="300" w:lineRule="auto"/>
      <w:ind w:firstLine="200" w:firstLineChars="200"/>
    </w:pPr>
    <w:rPr>
      <w:sz w:val="24"/>
      <w:szCs w:val="20"/>
    </w:rPr>
  </w:style>
  <w:style w:type="paragraph" w:customStyle="1" w:styleId="46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46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6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64">
    <w:name w:val="Char Char1 Char Char Char1"/>
    <w:basedOn w:val="1"/>
    <w:autoRedefine/>
    <w:qFormat/>
    <w:uiPriority w:val="0"/>
    <w:rPr>
      <w:rFonts w:ascii="仿宋_GB2312" w:eastAsia="仿宋_GB2312"/>
      <w:b/>
      <w:sz w:val="32"/>
      <w:szCs w:val="20"/>
    </w:rPr>
  </w:style>
  <w:style w:type="paragraph" w:customStyle="1" w:styleId="465">
    <w:name w:val="列出段落2"/>
    <w:basedOn w:val="1"/>
    <w:autoRedefine/>
    <w:qFormat/>
    <w:uiPriority w:val="0"/>
    <w:pPr>
      <w:adjustRightInd/>
      <w:ind w:firstLine="200" w:firstLineChars="200"/>
    </w:pPr>
    <w:rPr>
      <w:rFonts w:ascii="宋体" w:hAnsi="宋体"/>
      <w:sz w:val="24"/>
    </w:rPr>
  </w:style>
  <w:style w:type="paragraph" w:customStyle="1" w:styleId="466">
    <w:name w:val="默认段落字体 Para Char Char Char Char Char Char Char"/>
    <w:basedOn w:val="1"/>
    <w:autoRedefine/>
    <w:qFormat/>
    <w:uiPriority w:val="0"/>
    <w:rPr>
      <w:rFonts w:eastAsia="仿宋_GB2312"/>
      <w:sz w:val="28"/>
      <w:szCs w:val="20"/>
    </w:rPr>
  </w:style>
  <w:style w:type="paragraph" w:customStyle="1" w:styleId="46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468">
    <w:name w:val="样式 标题 4PIM 4H4h4bulletblbbH41H42H43H44H45H46H47H48...1"/>
    <w:basedOn w:val="6"/>
    <w:autoRedefine/>
    <w:qFormat/>
    <w:uiPriority w:val="0"/>
    <w:pPr>
      <w:widowControl/>
      <w:jc w:val="left"/>
    </w:pPr>
    <w:rPr>
      <w:rFonts w:cs="宋体"/>
      <w:sz w:val="24"/>
      <w:szCs w:val="20"/>
    </w:rPr>
  </w:style>
  <w:style w:type="paragraph" w:customStyle="1" w:styleId="469">
    <w:name w:val="彩色列表 - 强调文字颜色 11"/>
    <w:basedOn w:val="1"/>
    <w:autoRedefine/>
    <w:qFormat/>
    <w:uiPriority w:val="0"/>
    <w:pPr>
      <w:adjustRightInd/>
      <w:ind w:firstLine="200" w:firstLineChars="200"/>
    </w:pPr>
    <w:rPr>
      <w:rFonts w:ascii="Calibri" w:hAnsi="Calibri"/>
      <w:szCs w:val="22"/>
    </w:rPr>
  </w:style>
  <w:style w:type="paragraph" w:customStyle="1" w:styleId="470">
    <w:name w:val="加粗正文"/>
    <w:basedOn w:val="1"/>
    <w:autoRedefine/>
    <w:qFormat/>
    <w:uiPriority w:val="0"/>
    <w:pPr>
      <w:adjustRightInd/>
      <w:spacing w:before="50" w:beforeLines="50" w:after="50" w:afterLines="50" w:line="360" w:lineRule="auto"/>
      <w:ind w:firstLine="200" w:firstLineChars="200"/>
    </w:pPr>
    <w:rPr>
      <w:b/>
      <w:bCs/>
      <w:szCs w:val="21"/>
    </w:rPr>
  </w:style>
  <w:style w:type="paragraph" w:customStyle="1" w:styleId="47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7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473">
    <w:name w:val="Char Char Char1 Char1"/>
    <w:basedOn w:val="1"/>
    <w:autoRedefine/>
    <w:qFormat/>
    <w:uiPriority w:val="0"/>
    <w:rPr>
      <w:szCs w:val="20"/>
    </w:rPr>
  </w:style>
  <w:style w:type="paragraph" w:customStyle="1" w:styleId="47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75">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476">
    <w:name w:val="List Paragraph*"/>
    <w:basedOn w:val="1"/>
    <w:autoRedefine/>
    <w:qFormat/>
    <w:uiPriority w:val="0"/>
    <w:pPr>
      <w:adjustRightInd/>
      <w:spacing w:line="360" w:lineRule="auto"/>
      <w:ind w:firstLine="420"/>
    </w:pPr>
    <w:rPr>
      <w:rFonts w:ascii="Calibri" w:hAnsi="Calibri" w:cs="Calibri"/>
      <w:color w:val="000000"/>
      <w:sz w:val="24"/>
      <w:szCs w:val="22"/>
    </w:rPr>
  </w:style>
  <w:style w:type="paragraph" w:customStyle="1" w:styleId="47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7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79">
    <w:name w:val="CM14"/>
    <w:basedOn w:val="209"/>
    <w:next w:val="209"/>
    <w:autoRedefine/>
    <w:qFormat/>
    <w:uiPriority w:val="0"/>
    <w:pPr>
      <w:spacing w:after="68"/>
    </w:pPr>
    <w:rPr>
      <w:rFonts w:ascii="FHLHE E+ Futura Bk" w:hAnsi="FHLHE E+ Futura Bk" w:eastAsia="FHLHE E+ Futura Bk" w:cs="Times New Roman"/>
      <w:color w:val="auto"/>
    </w:rPr>
  </w:style>
  <w:style w:type="paragraph" w:customStyle="1" w:styleId="48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481">
    <w:name w:val="无间隔*"/>
    <w:autoRedefine/>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8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83">
    <w:name w:val="正文文字 2"/>
    <w:basedOn w:val="209"/>
    <w:next w:val="209"/>
    <w:autoRedefine/>
    <w:qFormat/>
    <w:uiPriority w:val="0"/>
    <w:rPr>
      <w:rFonts w:ascii="宋体" w:eastAsia="宋体" w:cs="Times New Roman"/>
      <w:color w:val="auto"/>
    </w:rPr>
  </w:style>
  <w:style w:type="paragraph" w:customStyle="1" w:styleId="484">
    <w:name w:val="正文首行缩进两字"/>
    <w:autoRedefine/>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85">
    <w:name w:val="Char Char1 Char"/>
    <w:basedOn w:val="1"/>
    <w:autoRedefine/>
    <w:qFormat/>
    <w:uiPriority w:val="0"/>
    <w:rPr>
      <w:rFonts w:ascii="仿宋_GB2312" w:eastAsia="仿宋_GB2312"/>
      <w:b/>
      <w:sz w:val="32"/>
      <w:szCs w:val="32"/>
    </w:rPr>
  </w:style>
  <w:style w:type="paragraph" w:customStyle="1" w:styleId="48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88">
    <w:name w:val="Char Char111"/>
    <w:basedOn w:val="1"/>
    <w:autoRedefine/>
    <w:qFormat/>
    <w:uiPriority w:val="0"/>
    <w:pPr>
      <w:spacing w:line="360" w:lineRule="auto"/>
    </w:pPr>
    <w:rPr>
      <w:szCs w:val="20"/>
    </w:rPr>
  </w:style>
  <w:style w:type="paragraph" w:customStyle="1" w:styleId="489">
    <w:name w:val="Char"/>
    <w:basedOn w:val="1"/>
    <w:autoRedefine/>
    <w:qFormat/>
    <w:uiPriority w:val="0"/>
    <w:rPr>
      <w:rFonts w:ascii="仿宋_GB2312" w:eastAsia="仿宋_GB2312"/>
      <w:b/>
      <w:sz w:val="32"/>
      <w:szCs w:val="32"/>
    </w:rPr>
  </w:style>
  <w:style w:type="paragraph" w:customStyle="1" w:styleId="49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9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2">
    <w:name w:val="Char Char Char1 Char"/>
    <w:basedOn w:val="1"/>
    <w:autoRedefine/>
    <w:qFormat/>
    <w:uiPriority w:val="0"/>
    <w:rPr>
      <w:szCs w:val="20"/>
    </w:rPr>
  </w:style>
  <w:style w:type="paragraph" w:customStyle="1" w:styleId="49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49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9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zh-CN" w:bidi="ar-SA"/>
    </w:rPr>
  </w:style>
  <w:style w:type="paragraph" w:customStyle="1" w:styleId="497">
    <w:name w:val="规范正文"/>
    <w:basedOn w:val="1"/>
    <w:autoRedefine/>
    <w:qFormat/>
    <w:uiPriority w:val="0"/>
    <w:pPr>
      <w:tabs>
        <w:tab w:val="left" w:pos="840"/>
      </w:tabs>
      <w:spacing w:before="50" w:beforeLines="50" w:line="360" w:lineRule="auto"/>
      <w:ind w:left="840" w:hanging="420"/>
      <w:textAlignment w:val="baseline"/>
    </w:pPr>
    <w:rPr>
      <w:szCs w:val="20"/>
    </w:rPr>
  </w:style>
  <w:style w:type="paragraph" w:customStyle="1" w:styleId="49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99">
    <w:name w:val="Char Char1 Char2"/>
    <w:basedOn w:val="1"/>
    <w:autoRedefine/>
    <w:qFormat/>
    <w:uiPriority w:val="0"/>
    <w:pPr>
      <w:widowControl/>
      <w:snapToGrid w:val="0"/>
      <w:spacing w:before="120" w:after="160" w:line="360" w:lineRule="auto"/>
      <w:ind w:right="-360"/>
      <w:jc w:val="left"/>
    </w:pPr>
    <w:rPr>
      <w:rFonts w:ascii="Arial" w:hAnsi="Arial"/>
      <w:kern w:val="0"/>
      <w:sz w:val="24"/>
    </w:rPr>
  </w:style>
  <w:style w:type="paragraph" w:customStyle="1" w:styleId="500">
    <w:name w:val="Char Char Char11"/>
    <w:basedOn w:val="1"/>
    <w:autoRedefine/>
    <w:qFormat/>
    <w:uiPriority w:val="0"/>
    <w:pPr>
      <w:widowControl/>
      <w:spacing w:after="160" w:line="240" w:lineRule="exact"/>
      <w:jc w:val="left"/>
    </w:pPr>
    <w:rPr>
      <w:rFonts w:ascii="Verdana" w:hAnsi="Verdana"/>
      <w:kern w:val="0"/>
      <w:sz w:val="20"/>
      <w:szCs w:val="20"/>
    </w:rPr>
  </w:style>
  <w:style w:type="paragraph" w:customStyle="1" w:styleId="50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2">
    <w:name w:val="目录4"/>
    <w:basedOn w:val="1"/>
    <w:autoRedefine/>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50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05">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6">
    <w:name w:val="Char Char Char Char Char Char Char Char Char Char"/>
    <w:basedOn w:val="1"/>
    <w:autoRedefine/>
    <w:qFormat/>
    <w:uiPriority w:val="0"/>
    <w:rPr>
      <w:rFonts w:ascii="仿宋_GB2312" w:eastAsia="仿宋_GB2312"/>
      <w:b/>
      <w:sz w:val="32"/>
      <w:szCs w:val="32"/>
    </w:rPr>
  </w:style>
  <w:style w:type="paragraph" w:customStyle="1" w:styleId="50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0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09">
    <w:name w:val="列出段落4"/>
    <w:basedOn w:val="1"/>
    <w:autoRedefine/>
    <w:qFormat/>
    <w:uiPriority w:val="0"/>
    <w:pPr>
      <w:adjustRightInd/>
      <w:spacing w:line="360" w:lineRule="auto"/>
      <w:ind w:firstLine="200" w:firstLineChars="200"/>
    </w:pPr>
    <w:rPr>
      <w:rFonts w:ascii="Calibri" w:hAnsi="Calibri"/>
      <w:sz w:val="24"/>
      <w:szCs w:val="22"/>
    </w:rPr>
  </w:style>
  <w:style w:type="paragraph" w:customStyle="1" w:styleId="51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11">
    <w:name w:val="正文（首行缩进）"/>
    <w:basedOn w:val="24"/>
    <w:autoRedefine/>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51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13">
    <w:name w:val="font9"/>
    <w:basedOn w:val="1"/>
    <w:autoRedefine/>
    <w:qFormat/>
    <w:uiPriority w:val="0"/>
    <w:pPr>
      <w:widowControl/>
      <w:adjustRightInd/>
      <w:spacing w:before="100" w:beforeAutospacing="1" w:after="100" w:afterAutospacing="1"/>
      <w:jc w:val="left"/>
    </w:pPr>
    <w:rPr>
      <w:rFonts w:ascii="宋体" w:hAnsi="宋体"/>
      <w:kern w:val="0"/>
      <w:sz w:val="20"/>
      <w:szCs w:val="20"/>
    </w:rPr>
  </w:style>
  <w:style w:type="paragraph" w:customStyle="1" w:styleId="51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15">
    <w:name w:val="Char Char Char1 Char2"/>
    <w:basedOn w:val="1"/>
    <w:autoRedefine/>
    <w:qFormat/>
    <w:uiPriority w:val="0"/>
    <w:rPr>
      <w:szCs w:val="20"/>
    </w:rPr>
  </w:style>
  <w:style w:type="paragraph" w:customStyle="1" w:styleId="51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17">
    <w:name w:val="默认段落字体 Para Char"/>
    <w:basedOn w:val="1"/>
    <w:autoRedefine/>
    <w:qFormat/>
    <w:uiPriority w:val="0"/>
    <w:rPr>
      <w:rFonts w:ascii="Tahoma" w:hAnsi="Tahoma"/>
      <w:sz w:val="24"/>
      <w:szCs w:val="20"/>
    </w:rPr>
  </w:style>
  <w:style w:type="paragraph" w:customStyle="1" w:styleId="518">
    <w:name w:val="标题五"/>
    <w:basedOn w:val="1"/>
    <w:autoRedefine/>
    <w:qFormat/>
    <w:uiPriority w:val="0"/>
    <w:pPr>
      <w:adjustRightInd/>
      <w:spacing w:before="50" w:beforeLines="50" w:line="360" w:lineRule="auto"/>
    </w:pPr>
    <w:rPr>
      <w:b/>
      <w:sz w:val="24"/>
    </w:rPr>
  </w:style>
  <w:style w:type="paragraph" w:customStyle="1" w:styleId="519">
    <w:name w:val="Char Char1101"/>
    <w:basedOn w:val="1"/>
    <w:autoRedefine/>
    <w:qFormat/>
    <w:uiPriority w:val="0"/>
    <w:pPr>
      <w:spacing w:line="360" w:lineRule="auto"/>
    </w:pPr>
    <w:rPr>
      <w:rFonts w:ascii="Tahoma" w:hAnsi="Tahoma"/>
      <w:sz w:val="24"/>
      <w:szCs w:val="20"/>
    </w:rPr>
  </w:style>
  <w:style w:type="paragraph" w:customStyle="1" w:styleId="520">
    <w:name w:val="Char Char Char Char Char Char Char Char1"/>
    <w:basedOn w:val="1"/>
    <w:autoRedefine/>
    <w:qFormat/>
    <w:uiPriority w:val="0"/>
    <w:pPr>
      <w:tabs>
        <w:tab w:val="left" w:pos="360"/>
      </w:tabs>
    </w:pPr>
    <w:rPr>
      <w:sz w:val="24"/>
      <w:szCs w:val="20"/>
    </w:rPr>
  </w:style>
  <w:style w:type="paragraph" w:customStyle="1" w:styleId="521">
    <w:name w:val="Char Char Char 字元 字元"/>
    <w:basedOn w:val="1"/>
    <w:autoRedefine/>
    <w:qFormat/>
    <w:uiPriority w:val="0"/>
    <w:pPr>
      <w:adjustRightInd/>
      <w:spacing w:line="360" w:lineRule="auto"/>
      <w:ind w:firstLine="200" w:firstLineChars="200"/>
    </w:pPr>
    <w:rPr>
      <w:szCs w:val="20"/>
    </w:rPr>
  </w:style>
  <w:style w:type="paragraph" w:customStyle="1" w:styleId="52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23">
    <w:name w:val="Char Char Char Char Char Char Char"/>
    <w:basedOn w:val="1"/>
    <w:autoRedefine/>
    <w:qFormat/>
    <w:uiPriority w:val="0"/>
    <w:rPr>
      <w:rFonts w:ascii="仿宋_GB2312" w:eastAsia="仿宋_GB2312"/>
      <w:b/>
      <w:sz w:val="32"/>
      <w:szCs w:val="32"/>
    </w:rPr>
  </w:style>
  <w:style w:type="paragraph" w:customStyle="1" w:styleId="52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2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26">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27">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28">
    <w:name w:val="批注框文本 Char Char"/>
    <w:basedOn w:val="1"/>
    <w:autoRedefine/>
    <w:qFormat/>
    <w:uiPriority w:val="0"/>
    <w:pPr>
      <w:adjustRightInd/>
    </w:pPr>
    <w:rPr>
      <w:sz w:val="18"/>
      <w:szCs w:val="20"/>
    </w:rPr>
  </w:style>
  <w:style w:type="paragraph" w:customStyle="1" w:styleId="5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33">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53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3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36">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537">
    <w:name w:val="文档正文"/>
    <w:basedOn w:val="1"/>
    <w:autoRedefine/>
    <w:qFormat/>
    <w:uiPriority w:val="0"/>
    <w:pPr>
      <w:spacing w:line="480" w:lineRule="atLeast"/>
      <w:ind w:firstLine="567"/>
      <w:textAlignment w:val="baseline"/>
    </w:pPr>
    <w:rPr>
      <w:kern w:val="0"/>
      <w:sz w:val="24"/>
      <w:szCs w:val="20"/>
    </w:rPr>
  </w:style>
  <w:style w:type="paragraph" w:customStyle="1" w:styleId="538">
    <w:name w:val="正文文字表格居中"/>
    <w:basedOn w:val="1"/>
    <w:next w:val="55"/>
    <w:autoRedefine/>
    <w:qFormat/>
    <w:uiPriority w:val="0"/>
    <w:pPr>
      <w:snapToGrid w:val="0"/>
      <w:spacing w:line="360" w:lineRule="auto"/>
    </w:pPr>
    <w:rPr>
      <w:rFonts w:ascii="宋体"/>
      <w:b/>
      <w:sz w:val="24"/>
      <w:szCs w:val="20"/>
    </w:rPr>
  </w:style>
  <w:style w:type="paragraph" w:customStyle="1" w:styleId="539">
    <w:name w:val="规划正文"/>
    <w:basedOn w:val="1"/>
    <w:autoRedefine/>
    <w:qFormat/>
    <w:uiPriority w:val="0"/>
    <w:pPr>
      <w:adjustRightInd/>
      <w:spacing w:before="100" w:beforeLines="100" w:line="360" w:lineRule="auto"/>
      <w:jc w:val="left"/>
    </w:pPr>
    <w:rPr>
      <w:rFonts w:ascii="Arial" w:hAnsi="Arial" w:eastAsia="仿宋_GB2312"/>
      <w:bCs/>
      <w:sz w:val="28"/>
    </w:rPr>
  </w:style>
  <w:style w:type="paragraph" w:customStyle="1" w:styleId="540">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541">
    <w:name w:val="Plain Text1"/>
    <w:basedOn w:val="1"/>
    <w:autoRedefine/>
    <w:qFormat/>
    <w:uiPriority w:val="0"/>
    <w:pPr>
      <w:adjustRightInd/>
    </w:pPr>
    <w:rPr>
      <w:rFonts w:ascii="宋体" w:hAnsi="Courier New"/>
    </w:rPr>
  </w:style>
  <w:style w:type="paragraph" w:customStyle="1" w:styleId="542">
    <w:name w:val="Char3"/>
    <w:basedOn w:val="1"/>
    <w:autoRedefine/>
    <w:qFormat/>
    <w:uiPriority w:val="0"/>
    <w:pPr>
      <w:adjustRightInd/>
    </w:pPr>
    <w:rPr>
      <w:rFonts w:ascii="仿宋_GB2312" w:eastAsia="仿宋_GB2312"/>
      <w:b/>
      <w:sz w:val="32"/>
      <w:szCs w:val="32"/>
    </w:rPr>
  </w:style>
  <w:style w:type="paragraph" w:customStyle="1" w:styleId="54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5">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54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547">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5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49">
    <w:name w:val="样式 小四 首行缩进:  0.74 厘米 行距: 1.5 倍行距"/>
    <w:basedOn w:val="1"/>
    <w:autoRedefine/>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50">
    <w:name w:val="Char3 Char Char Char"/>
    <w:basedOn w:val="1"/>
    <w:autoRedefine/>
    <w:qFormat/>
    <w:uiPriority w:val="0"/>
    <w:pPr>
      <w:widowControl/>
      <w:adjustRightInd/>
      <w:spacing w:after="160" w:line="240" w:lineRule="exact"/>
      <w:jc w:val="left"/>
    </w:pPr>
    <w:rPr>
      <w:szCs w:val="20"/>
    </w:rPr>
  </w:style>
  <w:style w:type="paragraph" w:customStyle="1" w:styleId="551">
    <w:name w:val="表格内文"/>
    <w:basedOn w:val="1"/>
    <w:autoRedefine/>
    <w:qFormat/>
    <w:uiPriority w:val="0"/>
    <w:pPr>
      <w:adjustRightInd/>
      <w:spacing w:line="360" w:lineRule="auto"/>
    </w:pPr>
    <w:rPr>
      <w:rFonts w:ascii="宋体" w:hAnsi="宋体" w:cs="宋体"/>
      <w:color w:val="000000"/>
      <w:szCs w:val="20"/>
    </w:rPr>
  </w:style>
  <w:style w:type="paragraph" w:customStyle="1" w:styleId="552">
    <w:name w:val="表格标题2"/>
    <w:basedOn w:val="551"/>
    <w:autoRedefine/>
    <w:qFormat/>
    <w:uiPriority w:val="0"/>
    <w:rPr>
      <w:b/>
    </w:rPr>
  </w:style>
  <w:style w:type="paragraph" w:customStyle="1" w:styleId="553">
    <w:name w:val="Char Char Char Char Char Char Char Char Char Char2"/>
    <w:basedOn w:val="1"/>
    <w:autoRedefine/>
    <w:qFormat/>
    <w:uiPriority w:val="0"/>
    <w:rPr>
      <w:rFonts w:ascii="仿宋_GB2312" w:eastAsia="仿宋_GB2312"/>
      <w:b/>
      <w:sz w:val="32"/>
      <w:szCs w:val="32"/>
    </w:rPr>
  </w:style>
  <w:style w:type="paragraph" w:customStyle="1" w:styleId="554">
    <w:name w:val="正文，首行缩进:  2 字符"/>
    <w:autoRedefine/>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5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56">
    <w:name w:val="Char Char11 Char Char Char Char Char Char Char Char Char11"/>
    <w:basedOn w:val="1"/>
    <w:autoRedefine/>
    <w:qFormat/>
    <w:uiPriority w:val="0"/>
    <w:pPr>
      <w:spacing w:line="360" w:lineRule="auto"/>
    </w:pPr>
    <w:rPr>
      <w:szCs w:val="20"/>
    </w:rPr>
  </w:style>
  <w:style w:type="paragraph" w:customStyle="1" w:styleId="55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55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559">
    <w:name w:val="MM Topic 1"/>
    <w:basedOn w:val="2"/>
    <w:autoRedefine/>
    <w:qFormat/>
    <w:uiPriority w:val="0"/>
    <w:pPr>
      <w:tabs>
        <w:tab w:val="left" w:pos="840"/>
      </w:tabs>
      <w:adjustRightInd/>
      <w:ind w:left="840" w:hanging="420"/>
    </w:pPr>
  </w:style>
  <w:style w:type="paragraph" w:customStyle="1" w:styleId="560">
    <w:name w:val="样式 标题 2标题2H2Heading 2 HiddenHeading 2 CCBSheading 22nd lev..."/>
    <w:basedOn w:val="3"/>
    <w:autoRedefine/>
    <w:qFormat/>
    <w:uiPriority w:val="0"/>
    <w:pPr>
      <w:widowControl/>
      <w:spacing w:before="260" w:after="260" w:line="415" w:lineRule="auto"/>
      <w:ind w:left="0" w:firstLine="0"/>
    </w:pPr>
    <w:rPr>
      <w:rFonts w:ascii="Arial" w:hAnsi="Arial" w:eastAsia="黑体"/>
      <w:sz w:val="30"/>
      <w:szCs w:val="21"/>
    </w:rPr>
  </w:style>
  <w:style w:type="paragraph" w:customStyle="1" w:styleId="561">
    <w:name w:val="文本正文 Char"/>
    <w:basedOn w:val="1"/>
    <w:autoRedefine/>
    <w:qFormat/>
    <w:uiPriority w:val="0"/>
    <w:pPr>
      <w:spacing w:line="360" w:lineRule="auto"/>
      <w:ind w:firstLine="200" w:firstLineChars="200"/>
    </w:pPr>
    <w:rPr>
      <w:kern w:val="0"/>
      <w:sz w:val="24"/>
      <w:szCs w:val="20"/>
    </w:rPr>
  </w:style>
  <w:style w:type="paragraph" w:customStyle="1" w:styleId="562">
    <w:name w:val="表格"/>
    <w:basedOn w:val="1"/>
    <w:autoRedefine/>
    <w:qFormat/>
    <w:uiPriority w:val="0"/>
    <w:pPr>
      <w:snapToGrid w:val="0"/>
      <w:ind w:firstLine="21" w:firstLineChars="21"/>
    </w:pPr>
    <w:rPr>
      <w:rFonts w:ascii="宋体" w:hAnsi="宋体"/>
      <w:kern w:val="0"/>
      <w:sz w:val="20"/>
      <w:szCs w:val="20"/>
    </w:rPr>
  </w:style>
  <w:style w:type="paragraph" w:customStyle="1" w:styleId="563">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564">
    <w:name w:val="插图题注"/>
    <w:next w:val="1"/>
    <w:autoRedefine/>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56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表格项目符号 2"/>
    <w:basedOn w:val="28"/>
    <w:autoRedefine/>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7">
    <w:name w:val="EB_表格"/>
    <w:basedOn w:val="1"/>
    <w:autoRedefine/>
    <w:qFormat/>
    <w:uiPriority w:val="0"/>
    <w:pPr>
      <w:adjustRightInd/>
      <w:spacing w:line="300" w:lineRule="auto"/>
      <w:jc w:val="center"/>
    </w:pPr>
  </w:style>
  <w:style w:type="paragraph" w:customStyle="1" w:styleId="568">
    <w:name w:val="_Style 6"/>
    <w:basedOn w:val="1"/>
    <w:autoRedefine/>
    <w:qFormat/>
    <w:uiPriority w:val="0"/>
    <w:pPr>
      <w:adjustRightInd/>
      <w:ind w:firstLine="200" w:firstLineChars="200"/>
    </w:pPr>
    <w:rPr>
      <w:rFonts w:eastAsia="仿宋_GB2312"/>
      <w:sz w:val="28"/>
    </w:rPr>
  </w:style>
  <w:style w:type="paragraph" w:customStyle="1" w:styleId="56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7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71">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57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73">
    <w:name w:val="正文表标题"/>
    <w:next w:val="57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7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5">
    <w:name w:val="Char Char Char Char Char Char"/>
    <w:basedOn w:val="1"/>
    <w:autoRedefine/>
    <w:qFormat/>
    <w:uiPriority w:val="0"/>
    <w:pPr>
      <w:widowControl/>
      <w:spacing w:before="50" w:beforeLines="50" w:after="50" w:afterLines="50" w:line="240" w:lineRule="exact"/>
      <w:jc w:val="left"/>
    </w:pPr>
    <w:rPr>
      <w:rFonts w:ascii="Verdana" w:hAnsi="Verdana"/>
      <w:kern w:val="0"/>
      <w:sz w:val="20"/>
      <w:szCs w:val="20"/>
    </w:rPr>
  </w:style>
  <w:style w:type="paragraph" w:customStyle="1" w:styleId="576">
    <w:name w:val="trademark"/>
    <w:autoRedefine/>
    <w:qFormat/>
    <w:uiPriority w:val="0"/>
    <w:pPr>
      <w:spacing w:after="60"/>
    </w:pPr>
    <w:rPr>
      <w:rFonts w:ascii="Futura Bk" w:hAnsi="Futura Bk" w:eastAsia="宋体" w:cs="Times New Roman"/>
      <w:sz w:val="15"/>
      <w:lang w:val="en-US" w:eastAsia="zh-CN" w:bidi="ar-SA"/>
    </w:rPr>
  </w:style>
  <w:style w:type="paragraph" w:customStyle="1" w:styleId="577">
    <w:name w:val="Bullet with text 4"/>
    <w:basedOn w:val="1"/>
    <w:autoRedefine/>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78">
    <w:name w:val="Char Char1 Char Char Char Char Char Char1"/>
    <w:basedOn w:val="1"/>
    <w:autoRedefine/>
    <w:qFormat/>
    <w:uiPriority w:val="0"/>
    <w:rPr>
      <w:rFonts w:ascii="仿宋_GB2312" w:eastAsia="仿宋_GB2312"/>
      <w:b/>
      <w:sz w:val="32"/>
      <w:szCs w:val="20"/>
    </w:rPr>
  </w:style>
  <w:style w:type="paragraph" w:customStyle="1" w:styleId="57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580">
    <w:name w:val="Char1 Char Char Char1"/>
    <w:basedOn w:val="1"/>
    <w:autoRedefine/>
    <w:qFormat/>
    <w:uiPriority w:val="0"/>
    <w:pPr>
      <w:adjustRightInd/>
      <w:ind w:firstLine="200" w:firstLineChars="200"/>
    </w:pPr>
    <w:rPr>
      <w:rFonts w:ascii="Tahoma" w:hAnsi="Tahoma"/>
      <w:sz w:val="24"/>
      <w:szCs w:val="20"/>
    </w:rPr>
  </w:style>
  <w:style w:type="paragraph" w:customStyle="1" w:styleId="581">
    <w:name w:val="a1"/>
    <w:basedOn w:val="1"/>
    <w:autoRedefine/>
    <w:qFormat/>
    <w:uiPriority w:val="0"/>
    <w:pPr>
      <w:widowControl/>
      <w:spacing w:line="300" w:lineRule="atLeast"/>
      <w:jc w:val="left"/>
    </w:pPr>
    <w:rPr>
      <w:rFonts w:ascii="宋体" w:hAnsi="宋体"/>
      <w:kern w:val="0"/>
      <w:sz w:val="18"/>
      <w:szCs w:val="20"/>
    </w:rPr>
  </w:style>
  <w:style w:type="paragraph" w:customStyle="1" w:styleId="58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583">
    <w:name w:val="样式7"/>
    <w:basedOn w:val="582"/>
    <w:next w:val="1"/>
    <w:autoRedefine/>
    <w:qFormat/>
    <w:uiPriority w:val="0"/>
    <w:pPr>
      <w:spacing w:after="50" w:afterLines="50"/>
      <w:jc w:val="left"/>
      <w:outlineLvl w:val="3"/>
    </w:pPr>
    <w:rPr>
      <w:sz w:val="24"/>
      <w:szCs w:val="24"/>
    </w:rPr>
  </w:style>
  <w:style w:type="paragraph" w:customStyle="1" w:styleId="58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86">
    <w:name w:val="样式 样式2 + 左侧:  1 字符 右侧:  1 字符"/>
    <w:basedOn w:val="39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87">
    <w:name w:val="Char2 Char Char2"/>
    <w:basedOn w:val="1"/>
    <w:autoRedefine/>
    <w:qFormat/>
    <w:uiPriority w:val="0"/>
    <w:pPr>
      <w:adjustRightInd/>
    </w:pPr>
    <w:rPr>
      <w:rFonts w:ascii="Tahoma" w:hAnsi="Tahoma"/>
      <w:sz w:val="24"/>
      <w:szCs w:val="20"/>
    </w:rPr>
  </w:style>
  <w:style w:type="paragraph" w:customStyle="1" w:styleId="588">
    <w:name w:val="Char1 Char Char Char"/>
    <w:basedOn w:val="1"/>
    <w:autoRedefine/>
    <w:qFormat/>
    <w:uiPriority w:val="0"/>
    <w:pPr>
      <w:widowControl/>
      <w:snapToGrid w:val="0"/>
      <w:spacing w:before="120" w:after="160" w:line="360" w:lineRule="auto"/>
      <w:ind w:right="-360"/>
      <w:jc w:val="left"/>
    </w:pPr>
    <w:rPr>
      <w:rFonts w:ascii="Arial" w:hAnsi="Arial"/>
      <w:kern w:val="0"/>
      <w:sz w:val="24"/>
    </w:rPr>
  </w:style>
  <w:style w:type="paragraph" w:customStyle="1" w:styleId="589">
    <w:name w:val="章标题"/>
    <w:next w:val="574"/>
    <w:autoRedefine/>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lang w:val="en-US" w:eastAsia="zh-CN" w:bidi="ar-SA"/>
    </w:rPr>
  </w:style>
  <w:style w:type="paragraph" w:customStyle="1" w:styleId="590">
    <w:name w:val="一级条标题"/>
    <w:basedOn w:val="589"/>
    <w:next w:val="574"/>
    <w:autoRedefine/>
    <w:qFormat/>
    <w:uiPriority w:val="0"/>
    <w:pPr>
      <w:tabs>
        <w:tab w:val="left" w:pos="1680"/>
      </w:tabs>
      <w:spacing w:beforeLines="0" w:afterLines="0"/>
      <w:ind w:left="1680"/>
      <w:outlineLvl w:val="2"/>
    </w:pPr>
  </w:style>
  <w:style w:type="paragraph" w:customStyle="1" w:styleId="591">
    <w:name w:val="二级条标题"/>
    <w:basedOn w:val="590"/>
    <w:next w:val="574"/>
    <w:autoRedefine/>
    <w:qFormat/>
    <w:uiPriority w:val="0"/>
    <w:pPr>
      <w:tabs>
        <w:tab w:val="left" w:pos="2100"/>
      </w:tabs>
      <w:ind w:left="0"/>
      <w:outlineLvl w:val="3"/>
    </w:pPr>
  </w:style>
  <w:style w:type="paragraph" w:customStyle="1" w:styleId="592">
    <w:name w:val="三级条标题"/>
    <w:basedOn w:val="591"/>
    <w:next w:val="574"/>
    <w:autoRedefine/>
    <w:qFormat/>
    <w:uiPriority w:val="0"/>
    <w:pPr>
      <w:tabs>
        <w:tab w:val="left" w:pos="2520"/>
      </w:tabs>
      <w:ind w:left="2520"/>
      <w:outlineLvl w:val="4"/>
    </w:pPr>
  </w:style>
  <w:style w:type="paragraph" w:customStyle="1" w:styleId="593">
    <w:name w:val="数字标题2"/>
    <w:basedOn w:val="3"/>
    <w:next w:val="1"/>
    <w:autoRedefine/>
    <w:qFormat/>
    <w:uiPriority w:val="0"/>
    <w:pPr>
      <w:tabs>
        <w:tab w:val="left" w:pos="480"/>
      </w:tabs>
      <w:ind w:left="480" w:hanging="480"/>
    </w:pPr>
    <w:rPr>
      <w:rFonts w:ascii="Times New Roman" w:hAnsi="Times New Roman" w:eastAsia="宋体"/>
      <w:i/>
      <w:sz w:val="36"/>
      <w:szCs w:val="36"/>
      <w:lang w:val="en-US"/>
    </w:rPr>
  </w:style>
  <w:style w:type="paragraph" w:customStyle="1" w:styleId="59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95">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9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59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59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00">
    <w:name w:val="正文 项目2"/>
    <w:basedOn w:val="599"/>
    <w:autoRedefine/>
    <w:qFormat/>
    <w:uiPriority w:val="0"/>
    <w:pPr>
      <w:spacing w:after="0"/>
      <w:ind w:left="900"/>
    </w:pPr>
  </w:style>
  <w:style w:type="paragraph" w:customStyle="1" w:styleId="601">
    <w:name w:val="Body Text 2*"/>
    <w:basedOn w:val="1"/>
    <w:autoRedefine/>
    <w:qFormat/>
    <w:uiPriority w:val="0"/>
    <w:pPr>
      <w:widowControl/>
      <w:adjustRightInd/>
      <w:ind w:left="720" w:hanging="720"/>
    </w:pPr>
    <w:rPr>
      <w:color w:val="000000"/>
      <w:kern w:val="0"/>
      <w:sz w:val="24"/>
      <w:szCs w:val="20"/>
      <w:lang w:val="en-GB"/>
    </w:rPr>
  </w:style>
  <w:style w:type="paragraph" w:customStyle="1" w:styleId="602">
    <w:name w:val="表1"/>
    <w:basedOn w:val="1"/>
    <w:autoRedefine/>
    <w:qFormat/>
    <w:uiPriority w:val="0"/>
    <w:pPr>
      <w:tabs>
        <w:tab w:val="left" w:pos="703"/>
      </w:tabs>
      <w:adjustRightInd/>
      <w:spacing w:line="360" w:lineRule="auto"/>
      <w:ind w:left="703"/>
      <w:jc w:val="center"/>
    </w:pPr>
  </w:style>
  <w:style w:type="paragraph" w:customStyle="1" w:styleId="603">
    <w:name w:val="_Style 27"/>
    <w:autoRedefine/>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04">
    <w:name w:val="样式 样式 标题 4 + 非加粗 + (中文) 黑体 段前: 0 磅 段后: 0 磅 行距: 固定值 22 磅"/>
    <w:basedOn w:val="1"/>
    <w:autoRedefine/>
    <w:qFormat/>
    <w:uiPriority w:val="0"/>
    <w:pPr>
      <w:keepNext/>
      <w:keepLines/>
      <w:adjustRightInd/>
      <w:spacing w:before="50" w:beforeLines="50" w:after="50" w:afterLines="50" w:line="500" w:lineRule="exact"/>
      <w:outlineLvl w:val="3"/>
    </w:pPr>
    <w:rPr>
      <w:rFonts w:ascii="Arial" w:hAnsi="Arial"/>
      <w:b/>
      <w:bCs/>
      <w:sz w:val="24"/>
    </w:rPr>
  </w:style>
  <w:style w:type="paragraph" w:customStyle="1" w:styleId="605">
    <w:name w:val="章正文"/>
    <w:basedOn w:val="1"/>
    <w:autoRedefine/>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606">
    <w:name w:val="1级标题"/>
    <w:basedOn w:val="1"/>
    <w:autoRedefine/>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607">
    <w:name w:val="2级标题"/>
    <w:basedOn w:val="606"/>
    <w:autoRedefine/>
    <w:qFormat/>
    <w:uiPriority w:val="0"/>
    <w:pPr>
      <w:jc w:val="left"/>
      <w:outlineLvl w:val="1"/>
    </w:pPr>
    <w:rPr>
      <w:rFonts w:ascii="Times New Roman" w:hAnsi="Times New Roman" w:eastAsia="仿宋"/>
      <w:sz w:val="30"/>
    </w:rPr>
  </w:style>
  <w:style w:type="paragraph" w:customStyle="1" w:styleId="60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09">
    <w:name w:val="样式 微软雅黑 行距: 1.5 倍行距"/>
    <w:basedOn w:val="1"/>
    <w:autoRedefine/>
    <w:qFormat/>
    <w:uiPriority w:val="0"/>
    <w:pPr>
      <w:adjustRightInd/>
      <w:spacing w:line="360" w:lineRule="auto"/>
      <w:ind w:firstLine="200" w:firstLineChars="200"/>
    </w:pPr>
    <w:rPr>
      <w:rFonts w:ascii="微软雅黑" w:hAnsi="宋体" w:eastAsia="微软雅黑" w:cs="宋体"/>
      <w:sz w:val="24"/>
      <w:szCs w:val="20"/>
    </w:rPr>
  </w:style>
  <w:style w:type="paragraph" w:customStyle="1" w:styleId="61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12">
    <w:name w:val="bullet"/>
    <w:basedOn w:val="1"/>
    <w:autoRedefine/>
    <w:qFormat/>
    <w:uiPriority w:val="0"/>
    <w:pPr>
      <w:tabs>
        <w:tab w:val="left" w:pos="840"/>
      </w:tabs>
      <w:adjustRightInd/>
      <w:ind w:left="840" w:hanging="420"/>
    </w:pPr>
  </w:style>
  <w:style w:type="paragraph" w:customStyle="1" w:styleId="61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14">
    <w:name w:val="普通正文"/>
    <w:basedOn w:val="1"/>
    <w:autoRedefine/>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1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1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7">
    <w:name w:val="Preformatted Text"/>
    <w:basedOn w:val="1"/>
    <w:autoRedefine/>
    <w:qFormat/>
    <w:uiPriority w:val="0"/>
    <w:pPr>
      <w:suppressAutoHyphens/>
      <w:adjustRightInd/>
      <w:ind w:firstLine="200" w:firstLineChars="200"/>
    </w:pPr>
    <w:rPr>
      <w:rFonts w:ascii="Cumberland" w:hAnsi="Cumberland" w:eastAsia="方正宋体"/>
      <w:sz w:val="20"/>
      <w:szCs w:val="20"/>
      <w:lang w:eastAsia="ar-SA"/>
    </w:rPr>
  </w:style>
  <w:style w:type="paragraph" w:customStyle="1" w:styleId="618">
    <w:name w:val="xl25"/>
    <w:basedOn w:val="1"/>
    <w:autoRedefine/>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1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20">
    <w:name w:val="MM Topic 4"/>
    <w:basedOn w:val="6"/>
    <w:autoRedefine/>
    <w:qFormat/>
    <w:uiPriority w:val="0"/>
    <w:pPr>
      <w:tabs>
        <w:tab w:val="left" w:pos="2100"/>
      </w:tabs>
      <w:adjustRightInd/>
      <w:ind w:left="2100" w:hanging="420"/>
    </w:pPr>
    <w:rPr>
      <w:lang w:val="en-US"/>
    </w:rPr>
  </w:style>
  <w:style w:type="paragraph" w:customStyle="1" w:styleId="621">
    <w:name w:val="Char11"/>
    <w:basedOn w:val="1"/>
    <w:autoRedefine/>
    <w:qFormat/>
    <w:uiPriority w:val="0"/>
    <w:pPr>
      <w:tabs>
        <w:tab w:val="left" w:pos="432"/>
      </w:tabs>
      <w:adjustRightInd/>
      <w:spacing w:before="50" w:beforeLines="50" w:after="50" w:afterLines="50"/>
      <w:ind w:left="432" w:firstLine="200" w:firstLineChars="200"/>
    </w:pPr>
    <w:rPr>
      <w:sz w:val="24"/>
    </w:rPr>
  </w:style>
  <w:style w:type="paragraph" w:customStyle="1" w:styleId="62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23">
    <w:name w:val="Char Char11 Char Char Char Char Char Char Char Char Char1"/>
    <w:basedOn w:val="1"/>
    <w:autoRedefine/>
    <w:qFormat/>
    <w:uiPriority w:val="0"/>
    <w:pPr>
      <w:spacing w:line="360" w:lineRule="auto"/>
    </w:pPr>
    <w:rPr>
      <w:szCs w:val="20"/>
    </w:rPr>
  </w:style>
  <w:style w:type="paragraph" w:customStyle="1" w:styleId="624">
    <w:name w:val="金宏发行正文 Char"/>
    <w:basedOn w:val="1"/>
    <w:autoRedefine/>
    <w:qFormat/>
    <w:uiPriority w:val="0"/>
    <w:pPr>
      <w:adjustRightInd/>
      <w:spacing w:line="500" w:lineRule="exact"/>
      <w:ind w:firstLine="200" w:firstLineChars="200"/>
    </w:pPr>
    <w:rPr>
      <w:rFonts w:eastAsia="仿宋_GB2312"/>
      <w:sz w:val="28"/>
      <w:szCs w:val="20"/>
    </w:rPr>
  </w:style>
  <w:style w:type="paragraph" w:customStyle="1" w:styleId="625">
    <w:name w:val="批注框文本1"/>
    <w:basedOn w:val="1"/>
    <w:autoRedefine/>
    <w:qFormat/>
    <w:uiPriority w:val="0"/>
    <w:pPr>
      <w:autoSpaceDE w:val="0"/>
      <w:autoSpaceDN w:val="0"/>
      <w:spacing w:line="351" w:lineRule="atLeast"/>
      <w:ind w:firstLine="200" w:firstLineChars="200"/>
    </w:pPr>
    <w:rPr>
      <w:color w:val="000000"/>
      <w:kern w:val="0"/>
      <w:sz w:val="18"/>
      <w:szCs w:val="18"/>
    </w:rPr>
  </w:style>
  <w:style w:type="paragraph" w:customStyle="1" w:styleId="626">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2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2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2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3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3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33">
    <w:name w:val="单元格居中"/>
    <w:basedOn w:val="1"/>
    <w:autoRedefine/>
    <w:qFormat/>
    <w:uiPriority w:val="0"/>
    <w:pPr>
      <w:adjustRightInd/>
      <w:spacing w:line="360" w:lineRule="auto"/>
      <w:jc w:val="center"/>
    </w:pPr>
    <w:rPr>
      <w:sz w:val="24"/>
    </w:rPr>
  </w:style>
  <w:style w:type="paragraph" w:customStyle="1" w:styleId="634">
    <w:name w:val="正文3"/>
    <w:basedOn w:val="1"/>
    <w:autoRedefine/>
    <w:qFormat/>
    <w:uiPriority w:val="0"/>
    <w:pPr>
      <w:adjustRightInd/>
      <w:spacing w:before="50" w:beforeLines="50" w:after="50" w:afterLines="50" w:line="360" w:lineRule="auto"/>
      <w:outlineLvl w:val="8"/>
    </w:pPr>
    <w:rPr>
      <w:rFonts w:ascii="Segoe UI" w:hAnsi="宋体" w:eastAsia="楷体_GB2312" w:cs="Latha"/>
      <w:sz w:val="24"/>
      <w:szCs w:val="21"/>
    </w:rPr>
  </w:style>
  <w:style w:type="paragraph" w:customStyle="1" w:styleId="635">
    <w:name w:val="Char Char Char Char Char Char Char1"/>
    <w:basedOn w:val="1"/>
    <w:autoRedefine/>
    <w:qFormat/>
    <w:uiPriority w:val="0"/>
    <w:rPr>
      <w:rFonts w:ascii="仿宋_GB2312" w:eastAsia="仿宋_GB2312"/>
      <w:b/>
      <w:sz w:val="32"/>
      <w:szCs w:val="32"/>
    </w:rPr>
  </w:style>
  <w:style w:type="paragraph" w:customStyle="1" w:styleId="636">
    <w:name w:val="正文缩进1"/>
    <w:basedOn w:val="1"/>
    <w:next w:val="24"/>
    <w:autoRedefine/>
    <w:qFormat/>
    <w:uiPriority w:val="0"/>
    <w:pPr>
      <w:autoSpaceDE w:val="0"/>
      <w:autoSpaceDN w:val="0"/>
      <w:snapToGrid w:val="0"/>
      <w:spacing w:after="120" w:line="360" w:lineRule="auto"/>
      <w:ind w:left="200" w:leftChars="200" w:firstLine="200" w:firstLineChars="200"/>
    </w:pPr>
    <w:rPr>
      <w:sz w:val="24"/>
      <w:szCs w:val="21"/>
    </w:rPr>
  </w:style>
  <w:style w:type="paragraph" w:customStyle="1" w:styleId="63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38">
    <w:name w:val="Char3 Char Char Char11"/>
    <w:basedOn w:val="1"/>
    <w:autoRedefine/>
    <w:qFormat/>
    <w:uiPriority w:val="0"/>
    <w:pPr>
      <w:widowControl/>
      <w:adjustRightInd/>
      <w:spacing w:after="160" w:line="240" w:lineRule="exact"/>
      <w:jc w:val="left"/>
    </w:pPr>
    <w:rPr>
      <w:szCs w:val="20"/>
    </w:rPr>
  </w:style>
  <w:style w:type="paragraph" w:customStyle="1" w:styleId="639">
    <w:name w:val="Char Char1121"/>
    <w:basedOn w:val="1"/>
    <w:autoRedefine/>
    <w:qFormat/>
    <w:uiPriority w:val="0"/>
    <w:pPr>
      <w:spacing w:line="360" w:lineRule="auto"/>
    </w:pPr>
    <w:rPr>
      <w:szCs w:val="20"/>
    </w:rPr>
  </w:style>
  <w:style w:type="paragraph" w:customStyle="1" w:styleId="640">
    <w:name w:val="小项目标题"/>
    <w:basedOn w:val="1"/>
    <w:autoRedefine/>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4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42">
    <w:name w:val="Normal0"/>
    <w:autoRedefine/>
    <w:qFormat/>
    <w:uiPriority w:val="0"/>
    <w:rPr>
      <w:rFonts w:ascii="Times New Roman" w:hAnsi="Times New Roman" w:eastAsia="宋体" w:cs="Times New Roman"/>
      <w:lang w:val="en-US" w:eastAsia="zh-CN" w:bidi="ar-SA"/>
    </w:rPr>
  </w:style>
  <w:style w:type="paragraph" w:customStyle="1" w:styleId="643">
    <w:name w:val="带编号样式"/>
    <w:basedOn w:val="561"/>
    <w:autoRedefine/>
    <w:qFormat/>
    <w:uiPriority w:val="0"/>
    <w:pPr>
      <w:tabs>
        <w:tab w:val="left" w:pos="840"/>
      </w:tabs>
      <w:snapToGrid w:val="0"/>
      <w:ind w:left="840" w:hanging="420" w:firstLineChars="0"/>
    </w:pPr>
    <w:rPr>
      <w:rFonts w:ascii="仿宋_GB2312" w:eastAsia="仿宋_GB2312"/>
      <w:color w:val="000000"/>
    </w:rPr>
  </w:style>
  <w:style w:type="paragraph" w:customStyle="1" w:styleId="64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4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64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48">
    <w:name w:val="font5"/>
    <w:basedOn w:val="1"/>
    <w:autoRedefine/>
    <w:qFormat/>
    <w:uiPriority w:val="0"/>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649">
    <w:name w:val="默认段落字体 Para Char Char Char1 Char"/>
    <w:basedOn w:val="1"/>
    <w:autoRedefine/>
    <w:qFormat/>
    <w:uiPriority w:val="0"/>
    <w:pPr>
      <w:spacing w:line="240" w:lineRule="atLeast"/>
      <w:ind w:left="420" w:firstLine="420"/>
    </w:pPr>
    <w:rPr>
      <w:sz w:val="24"/>
    </w:rPr>
  </w:style>
  <w:style w:type="paragraph" w:customStyle="1" w:styleId="650">
    <w:name w:val="WW-正文文字缩进 2"/>
    <w:basedOn w:val="1"/>
    <w:autoRedefine/>
    <w:qFormat/>
    <w:uiPriority w:val="0"/>
    <w:pPr>
      <w:suppressAutoHyphens/>
      <w:adjustRightInd/>
      <w:ind w:firstLine="420"/>
    </w:pPr>
    <w:rPr>
      <w:szCs w:val="20"/>
    </w:rPr>
  </w:style>
  <w:style w:type="paragraph" w:customStyle="1" w:styleId="65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2">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653">
    <w:name w:val="有符号正文"/>
    <w:basedOn w:val="1"/>
    <w:autoRedefine/>
    <w:qFormat/>
    <w:uiPriority w:val="0"/>
    <w:pPr>
      <w:adjustRightInd/>
      <w:spacing w:line="400" w:lineRule="exact"/>
      <w:ind w:firstLine="200" w:firstLineChars="200"/>
    </w:pPr>
    <w:rPr>
      <w:rFonts w:ascii="Arial" w:hAnsi="Arial"/>
    </w:rPr>
  </w:style>
  <w:style w:type="paragraph" w:customStyle="1" w:styleId="65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5">
    <w:name w:val="样式 样式 正文文本缩进 + 仿宋_GB2312 小四 首行缩进:  0 厘米 行距: 1.5 倍行距 + (中文) 仿宋_GB... Char Char"/>
    <w:basedOn w:val="1"/>
    <w:autoRedefine/>
    <w:qFormat/>
    <w:uiPriority w:val="0"/>
    <w:pPr>
      <w:spacing w:line="360" w:lineRule="auto"/>
      <w:ind w:firstLine="200" w:firstLineChars="200"/>
    </w:pPr>
    <w:rPr>
      <w:rFonts w:ascii="仿宋_GB2312" w:hAnsi="仿宋_GB2312" w:eastAsia="新宋体"/>
      <w:sz w:val="24"/>
      <w:szCs w:val="20"/>
    </w:rPr>
  </w:style>
  <w:style w:type="paragraph" w:customStyle="1" w:styleId="656">
    <w:name w:val="4"/>
    <w:basedOn w:val="1"/>
    <w:next w:val="36"/>
    <w:autoRedefine/>
    <w:qFormat/>
    <w:uiPriority w:val="0"/>
    <w:pPr>
      <w:spacing w:after="120" w:line="480" w:lineRule="auto"/>
      <w:ind w:left="200" w:leftChars="200"/>
    </w:pPr>
    <w:rPr>
      <w:sz w:val="24"/>
      <w:szCs w:val="20"/>
    </w:rPr>
  </w:style>
  <w:style w:type="paragraph" w:customStyle="1" w:styleId="65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59">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66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66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66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63">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66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65">
    <w:name w:val="Char Char1 Char Char Char"/>
    <w:basedOn w:val="1"/>
    <w:autoRedefine/>
    <w:qFormat/>
    <w:uiPriority w:val="0"/>
    <w:rPr>
      <w:rFonts w:ascii="仿宋_GB2312" w:eastAsia="仿宋_GB2312"/>
      <w:b/>
      <w:sz w:val="32"/>
      <w:szCs w:val="20"/>
    </w:rPr>
  </w:style>
  <w:style w:type="paragraph" w:customStyle="1" w:styleId="666">
    <w:name w:val="表格题注"/>
    <w:next w:val="1"/>
    <w:autoRedefine/>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6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68">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69">
    <w:name w:val="Char Char1 Char Char Char2"/>
    <w:basedOn w:val="1"/>
    <w:autoRedefine/>
    <w:qFormat/>
    <w:uiPriority w:val="0"/>
    <w:rPr>
      <w:rFonts w:ascii="仿宋_GB2312" w:eastAsia="仿宋_GB2312"/>
      <w:b/>
      <w:sz w:val="32"/>
      <w:szCs w:val="32"/>
    </w:rPr>
  </w:style>
  <w:style w:type="paragraph" w:customStyle="1" w:styleId="670">
    <w:name w:val="Char3 Char Char Char1"/>
    <w:basedOn w:val="1"/>
    <w:autoRedefine/>
    <w:qFormat/>
    <w:uiPriority w:val="0"/>
    <w:pPr>
      <w:widowControl/>
      <w:adjustRightInd/>
      <w:spacing w:after="160" w:line="240" w:lineRule="exact"/>
      <w:jc w:val="left"/>
    </w:pPr>
    <w:rPr>
      <w:szCs w:val="20"/>
    </w:rPr>
  </w:style>
  <w:style w:type="paragraph" w:customStyle="1" w:styleId="671">
    <w:name w:val="Char1 Char Char Char21"/>
    <w:basedOn w:val="1"/>
    <w:autoRedefine/>
    <w:qFormat/>
    <w:uiPriority w:val="0"/>
    <w:rPr>
      <w:rFonts w:ascii="Tahoma" w:hAnsi="Tahoma"/>
      <w:sz w:val="24"/>
      <w:szCs w:val="20"/>
    </w:rPr>
  </w:style>
  <w:style w:type="paragraph" w:customStyle="1" w:styleId="67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673">
    <w:name w:val="正文（标题三）"/>
    <w:basedOn w:val="1"/>
    <w:autoRedefine/>
    <w:qFormat/>
    <w:uiPriority w:val="0"/>
    <w:pPr>
      <w:spacing w:line="360" w:lineRule="auto"/>
      <w:ind w:firstLine="200" w:firstLineChars="200"/>
    </w:pPr>
    <w:rPr>
      <w:sz w:val="24"/>
    </w:rPr>
  </w:style>
  <w:style w:type="paragraph" w:customStyle="1" w:styleId="674">
    <w:name w:val="样式 正1 + 首行缩进:  2 字符"/>
    <w:basedOn w:val="1"/>
    <w:autoRedefine/>
    <w:qFormat/>
    <w:uiPriority w:val="0"/>
    <w:pPr>
      <w:adjustRightInd/>
      <w:spacing w:line="360" w:lineRule="auto"/>
      <w:ind w:firstLine="200" w:firstLineChars="200"/>
    </w:pPr>
    <w:rPr>
      <w:rFonts w:ascii="仿宋_GB2312" w:eastAsia="仿宋_GB2312"/>
      <w:sz w:val="24"/>
    </w:rPr>
  </w:style>
  <w:style w:type="paragraph" w:customStyle="1" w:styleId="67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6">
    <w:name w:val="样式 样式 宋体 小四 段前: 7.8 磅 段后: 7.8 磅 行距: 1.5 倍行距 + 小二 首行缩进:  2 字符"/>
    <w:basedOn w:val="1"/>
    <w:autoRedefine/>
    <w:qFormat/>
    <w:uiPriority w:val="0"/>
    <w:pPr>
      <w:adjustRightInd/>
      <w:spacing w:line="360" w:lineRule="auto"/>
      <w:ind w:firstLine="200" w:firstLineChars="200"/>
    </w:pPr>
    <w:rPr>
      <w:rFonts w:ascii="宋体" w:hAnsi="宋体" w:cs="宋体"/>
      <w:sz w:val="24"/>
      <w:szCs w:val="20"/>
    </w:rPr>
  </w:style>
  <w:style w:type="paragraph" w:customStyle="1" w:styleId="677">
    <w:name w:val="Default Text"/>
    <w:basedOn w:val="1"/>
    <w:autoRedefine/>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7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679">
    <w:name w:val="Char1 Char Char Char4"/>
    <w:basedOn w:val="1"/>
    <w:autoRedefine/>
    <w:qFormat/>
    <w:uiPriority w:val="0"/>
    <w:pPr>
      <w:adjustRightInd/>
      <w:ind w:firstLine="200" w:firstLineChars="200"/>
    </w:pPr>
    <w:rPr>
      <w:rFonts w:ascii="Tahoma" w:hAnsi="Tahoma"/>
      <w:sz w:val="24"/>
      <w:szCs w:val="20"/>
    </w:rPr>
  </w:style>
  <w:style w:type="paragraph" w:customStyle="1" w:styleId="680">
    <w:name w:val="_标题2"/>
    <w:basedOn w:val="647"/>
    <w:next w:val="647"/>
    <w:autoRedefine/>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681">
    <w:name w:val="样式1 + (中宋体"/>
    <w:basedOn w:val="658"/>
    <w:autoRedefine/>
    <w:qFormat/>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68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83">
    <w:name w:val="La0b"/>
    <w:basedOn w:val="1"/>
    <w:autoRedefine/>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8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85">
    <w:name w:val="四号　首行缩进"/>
    <w:basedOn w:val="1"/>
    <w:autoRedefine/>
    <w:qFormat/>
    <w:uiPriority w:val="0"/>
    <w:pPr>
      <w:adjustRightInd/>
      <w:spacing w:line="360" w:lineRule="auto"/>
    </w:pPr>
    <w:rPr>
      <w:rFonts w:ascii="宋体" w:hAnsi="宋体"/>
      <w:szCs w:val="20"/>
    </w:rPr>
  </w:style>
  <w:style w:type="paragraph" w:customStyle="1" w:styleId="68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687">
    <w:name w:val="Char Char Char Char Char Char Char Char Char Char Char1 Char"/>
    <w:basedOn w:val="1"/>
    <w:autoRedefine/>
    <w:qFormat/>
    <w:uiPriority w:val="0"/>
    <w:pPr>
      <w:adjustRightInd/>
    </w:pPr>
    <w:rPr>
      <w:rFonts w:ascii="Tahoma" w:hAnsi="Tahoma"/>
      <w:sz w:val="24"/>
    </w:rPr>
  </w:style>
  <w:style w:type="paragraph" w:customStyle="1" w:styleId="688">
    <w:name w:val="Char Char Char Char11"/>
    <w:basedOn w:val="1"/>
    <w:autoRedefine/>
    <w:qFormat/>
    <w:uiPriority w:val="0"/>
    <w:rPr>
      <w:rFonts w:ascii="Tahoma" w:hAnsi="Tahoma"/>
      <w:sz w:val="24"/>
      <w:szCs w:val="20"/>
    </w:rPr>
  </w:style>
  <w:style w:type="paragraph" w:customStyle="1" w:styleId="68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90">
    <w:name w:val="Char Char Char Char"/>
    <w:basedOn w:val="1"/>
    <w:autoRedefine/>
    <w:qFormat/>
    <w:uiPriority w:val="0"/>
    <w:rPr>
      <w:rFonts w:ascii="Tahoma" w:hAnsi="Tahoma"/>
      <w:sz w:val="24"/>
      <w:szCs w:val="20"/>
    </w:rPr>
  </w:style>
  <w:style w:type="paragraph" w:customStyle="1" w:styleId="691">
    <w:name w:val="标1"/>
    <w:basedOn w:val="1"/>
    <w:autoRedefine/>
    <w:qFormat/>
    <w:uiPriority w:val="0"/>
    <w:pPr>
      <w:widowControl/>
      <w:tabs>
        <w:tab w:val="left" w:pos="1020"/>
      </w:tabs>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92">
    <w:name w:val="Char19"/>
    <w:basedOn w:val="1"/>
    <w:autoRedefine/>
    <w:qFormat/>
    <w:uiPriority w:val="0"/>
    <w:pPr>
      <w:adjustRightInd/>
    </w:pPr>
    <w:rPr>
      <w:szCs w:val="20"/>
    </w:rPr>
  </w:style>
  <w:style w:type="paragraph" w:customStyle="1" w:styleId="69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94">
    <w:name w:val="样式8"/>
    <w:basedOn w:val="1"/>
    <w:autoRedefine/>
    <w:qFormat/>
    <w:uiPriority w:val="0"/>
    <w:pPr>
      <w:spacing w:before="50" w:beforeLines="50" w:after="50" w:afterLines="50"/>
      <w:ind w:firstLine="200" w:firstLineChars="200"/>
      <w:outlineLvl w:val="4"/>
    </w:pPr>
    <w:rPr>
      <w:rFonts w:ascii="仿宋_GB2312" w:hAnsi="宋体" w:eastAsia="仿宋_GB2312"/>
      <w:b/>
      <w:bCs/>
      <w:sz w:val="24"/>
    </w:rPr>
  </w:style>
  <w:style w:type="paragraph" w:customStyle="1" w:styleId="695">
    <w:name w:val="_Style 5"/>
    <w:basedOn w:val="1"/>
    <w:autoRedefine/>
    <w:qFormat/>
    <w:uiPriority w:val="0"/>
    <w:pPr>
      <w:adjustRightInd/>
      <w:ind w:firstLine="200" w:firstLineChars="200"/>
    </w:pPr>
    <w:rPr>
      <w:rFonts w:eastAsia="仿宋_GB2312"/>
      <w:sz w:val="28"/>
    </w:rPr>
  </w:style>
  <w:style w:type="paragraph" w:customStyle="1" w:styleId="696">
    <w:name w:val="正文文字缩进"/>
    <w:basedOn w:val="1"/>
    <w:autoRedefine/>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697">
    <w:name w:val="列出段落*"/>
    <w:basedOn w:val="1"/>
    <w:autoRedefine/>
    <w:qFormat/>
    <w:uiPriority w:val="0"/>
    <w:pPr>
      <w:adjustRightInd/>
      <w:spacing w:line="360" w:lineRule="auto"/>
      <w:ind w:firstLine="200"/>
    </w:pPr>
    <w:rPr>
      <w:rFonts w:eastAsia="楷体_GB2312" w:cs="Lucida Sans Unicode"/>
      <w:color w:val="000000"/>
      <w:sz w:val="24"/>
    </w:rPr>
  </w:style>
  <w:style w:type="paragraph" w:customStyle="1" w:styleId="69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699">
    <w:name w:val="标书表格字体格式"/>
    <w:next w:val="693"/>
    <w:autoRedefine/>
    <w:qFormat/>
    <w:uiPriority w:val="0"/>
    <w:rPr>
      <w:rFonts w:ascii="Times New Roman" w:hAnsi="Times New Roman" w:eastAsia="宋体" w:cs="Times New Roman"/>
      <w:kern w:val="2"/>
      <w:sz w:val="21"/>
      <w:szCs w:val="24"/>
      <w:lang w:val="en-US" w:eastAsia="zh-CN" w:bidi="ar-SA"/>
    </w:rPr>
  </w:style>
  <w:style w:type="paragraph" w:customStyle="1" w:styleId="700">
    <w:name w:val="Char22"/>
    <w:basedOn w:val="1"/>
    <w:autoRedefine/>
    <w:qFormat/>
    <w:uiPriority w:val="0"/>
    <w:pPr>
      <w:adjustRightInd/>
      <w:spacing w:line="360" w:lineRule="auto"/>
      <w:ind w:firstLine="200" w:firstLineChars="200"/>
    </w:pPr>
    <w:rPr>
      <w:rFonts w:ascii="仿宋_GB2312" w:eastAsia="仿宋_GB2312"/>
      <w:b/>
      <w:sz w:val="32"/>
      <w:szCs w:val="32"/>
    </w:rPr>
  </w:style>
  <w:style w:type="paragraph" w:customStyle="1" w:styleId="701">
    <w:name w:val="Char12"/>
    <w:basedOn w:val="1"/>
    <w:autoRedefine/>
    <w:qFormat/>
    <w:uiPriority w:val="0"/>
    <w:pPr>
      <w:widowControl/>
      <w:spacing w:after="160" w:line="240" w:lineRule="exact"/>
      <w:jc w:val="left"/>
    </w:pPr>
    <w:rPr>
      <w:rFonts w:ascii="Verdana" w:hAnsi="Verdana" w:eastAsia="仿宋_GB2312"/>
      <w:kern w:val="0"/>
      <w:sz w:val="24"/>
      <w:szCs w:val="20"/>
    </w:rPr>
  </w:style>
  <w:style w:type="paragraph" w:customStyle="1" w:styleId="702">
    <w:name w:val="修订3"/>
    <w:autoRedefine/>
    <w:qFormat/>
    <w:uiPriority w:val="0"/>
    <w:rPr>
      <w:rFonts w:ascii="Times New Roman" w:hAnsi="Times New Roman" w:eastAsia="宋体" w:cs="Times New Roman"/>
      <w:kern w:val="2"/>
      <w:sz w:val="21"/>
      <w:lang w:val="en-US" w:eastAsia="zh-CN" w:bidi="ar-SA"/>
    </w:rPr>
  </w:style>
  <w:style w:type="paragraph" w:customStyle="1" w:styleId="703">
    <w:name w:val="CSS1级正文 Char"/>
    <w:basedOn w:val="23"/>
    <w:autoRedefine/>
    <w:qFormat/>
    <w:uiPriority w:val="0"/>
    <w:pPr>
      <w:autoSpaceDE/>
      <w:autoSpaceDN/>
      <w:snapToGrid w:val="0"/>
      <w:ind w:firstLine="200" w:firstLineChars="200"/>
    </w:pPr>
    <w:rPr>
      <w:rFonts w:ascii="Times New Roman" w:hAnsi="Times New Roman"/>
      <w:szCs w:val="24"/>
      <w:lang w:val="en-US"/>
    </w:rPr>
  </w:style>
  <w:style w:type="paragraph" w:customStyle="1" w:styleId="70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5">
    <w:name w:val="表文字"/>
    <w:autoRedefine/>
    <w:qFormat/>
    <w:uiPriority w:val="0"/>
    <w:rPr>
      <w:rFonts w:ascii="宋体" w:hAnsi="Times New Roman" w:eastAsia="宋体" w:cs="Times New Roman"/>
      <w:kern w:val="2"/>
      <w:lang w:val="en-US" w:eastAsia="zh-CN" w:bidi="ar-SA"/>
    </w:rPr>
  </w:style>
  <w:style w:type="paragraph" w:customStyle="1" w:styleId="706">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07">
    <w:name w:val="缺省文本"/>
    <w:basedOn w:val="1"/>
    <w:autoRedefine/>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08">
    <w:name w:val="Char Char Char Char Char Char1 Char1"/>
    <w:basedOn w:val="1"/>
    <w:autoRedefine/>
    <w:qFormat/>
    <w:uiPriority w:val="0"/>
    <w:pPr>
      <w:widowControl/>
      <w:spacing w:after="160" w:line="240" w:lineRule="exact"/>
      <w:jc w:val="left"/>
    </w:pPr>
    <w:rPr>
      <w:rFonts w:ascii="Verdana" w:hAnsi="Verdana"/>
      <w:kern w:val="0"/>
      <w:szCs w:val="20"/>
    </w:rPr>
  </w:style>
  <w:style w:type="paragraph" w:customStyle="1" w:styleId="709">
    <w:name w:val="Char Char Char Char Char Char Char Char2"/>
    <w:basedOn w:val="1"/>
    <w:autoRedefine/>
    <w:qFormat/>
    <w:uiPriority w:val="0"/>
    <w:pPr>
      <w:tabs>
        <w:tab w:val="left" w:pos="360"/>
      </w:tabs>
    </w:pPr>
    <w:rPr>
      <w:sz w:val="24"/>
      <w:szCs w:val="20"/>
    </w:rPr>
  </w:style>
  <w:style w:type="paragraph" w:customStyle="1" w:styleId="710">
    <w:name w:val="表内文字"/>
    <w:basedOn w:val="1"/>
    <w:autoRedefine/>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1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12">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13">
    <w:name w:val="bt_content"/>
    <w:basedOn w:val="1"/>
    <w:autoRedefine/>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1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15">
    <w:name w:val="正文－恩普"/>
    <w:basedOn w:val="5"/>
    <w:autoRedefine/>
    <w:qFormat/>
    <w:uiPriority w:val="0"/>
    <w:pPr>
      <w:adjustRightInd/>
      <w:snapToGrid/>
      <w:spacing w:before="100" w:beforeAutospacing="1" w:after="50" w:afterLines="50" w:afterAutospacing="1" w:line="360" w:lineRule="auto"/>
      <w:ind w:firstLine="200" w:firstLineChars="200"/>
      <w:jc w:val="left"/>
    </w:pPr>
    <w:rPr>
      <w:rFonts w:ascii="Times New Roman"/>
      <w:snapToGrid/>
      <w:color w:val="auto"/>
      <w:kern w:val="0"/>
      <w:sz w:val="24"/>
    </w:rPr>
  </w:style>
  <w:style w:type="paragraph" w:customStyle="1" w:styleId="71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17">
    <w:name w:val="Char4"/>
    <w:basedOn w:val="1"/>
    <w:autoRedefine/>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718">
    <w:name w:val="p0"/>
    <w:basedOn w:val="1"/>
    <w:autoRedefine/>
    <w:qFormat/>
    <w:uiPriority w:val="0"/>
    <w:pPr>
      <w:widowControl/>
      <w:adjustRightInd/>
    </w:pPr>
    <w:rPr>
      <w:kern w:val="0"/>
      <w:szCs w:val="21"/>
    </w:rPr>
  </w:style>
  <w:style w:type="paragraph" w:customStyle="1" w:styleId="719">
    <w:name w:val="Char6"/>
    <w:basedOn w:val="1"/>
    <w:autoRedefine/>
    <w:qFormat/>
    <w:uiPriority w:val="0"/>
    <w:rPr>
      <w:rFonts w:ascii="仿宋_GB2312" w:eastAsia="仿宋_GB2312"/>
      <w:b/>
      <w:sz w:val="32"/>
      <w:szCs w:val="32"/>
    </w:rPr>
  </w:style>
  <w:style w:type="paragraph" w:customStyle="1" w:styleId="720">
    <w:name w:val="Char111"/>
    <w:basedOn w:val="1"/>
    <w:autoRedefine/>
    <w:qFormat/>
    <w:uiPriority w:val="0"/>
    <w:rPr>
      <w:rFonts w:ascii="仿宋_GB2312" w:eastAsia="仿宋_GB2312"/>
      <w:b/>
      <w:sz w:val="32"/>
      <w:szCs w:val="32"/>
    </w:rPr>
  </w:style>
  <w:style w:type="paragraph" w:customStyle="1" w:styleId="721">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2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23">
    <w:name w:val="Char Char Char1"/>
    <w:basedOn w:val="1"/>
    <w:autoRedefine/>
    <w:qFormat/>
    <w:uiPriority w:val="0"/>
    <w:pPr>
      <w:widowControl/>
      <w:spacing w:after="160" w:line="240" w:lineRule="exact"/>
      <w:jc w:val="left"/>
    </w:pPr>
    <w:rPr>
      <w:rFonts w:ascii="Verdana" w:hAnsi="Verdana"/>
      <w:kern w:val="0"/>
      <w:sz w:val="20"/>
      <w:szCs w:val="20"/>
    </w:rPr>
  </w:style>
  <w:style w:type="paragraph" w:customStyle="1" w:styleId="724">
    <w:name w:val="Char1 Char Char Char2"/>
    <w:basedOn w:val="1"/>
    <w:autoRedefine/>
    <w:qFormat/>
    <w:uiPriority w:val="0"/>
    <w:pPr>
      <w:adjustRightInd/>
      <w:ind w:firstLine="200" w:firstLineChars="200"/>
    </w:pPr>
    <w:rPr>
      <w:rFonts w:ascii="Tahoma" w:hAnsi="Tahoma"/>
      <w:sz w:val="24"/>
      <w:szCs w:val="20"/>
    </w:rPr>
  </w:style>
  <w:style w:type="paragraph" w:customStyle="1" w:styleId="725">
    <w:name w:val="列出段落1"/>
    <w:basedOn w:val="1"/>
    <w:autoRedefine/>
    <w:qFormat/>
    <w:uiPriority w:val="0"/>
    <w:pPr>
      <w:adjustRightInd/>
      <w:spacing w:line="360" w:lineRule="auto"/>
      <w:ind w:firstLine="200" w:firstLineChars="200"/>
    </w:pPr>
    <w:rPr>
      <w:rFonts w:ascii="Calibri" w:hAnsi="Calibri"/>
      <w:sz w:val="24"/>
      <w:szCs w:val="22"/>
    </w:rPr>
  </w:style>
  <w:style w:type="paragraph" w:customStyle="1" w:styleId="726">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27">
    <w:name w:val="Char Char Char Char Char Char Char2"/>
    <w:basedOn w:val="1"/>
    <w:autoRedefine/>
    <w:qFormat/>
    <w:uiPriority w:val="0"/>
    <w:rPr>
      <w:rFonts w:ascii="仿宋_GB2312" w:eastAsia="仿宋_GB2312"/>
      <w:b/>
      <w:sz w:val="32"/>
      <w:szCs w:val="32"/>
    </w:rPr>
  </w:style>
  <w:style w:type="paragraph" w:customStyle="1" w:styleId="728">
    <w:name w:val="四级条标题"/>
    <w:basedOn w:val="592"/>
    <w:next w:val="574"/>
    <w:autoRedefine/>
    <w:qFormat/>
    <w:uiPriority w:val="0"/>
    <w:pPr>
      <w:tabs>
        <w:tab w:val="left" w:pos="2940"/>
        <w:tab w:val="clear" w:pos="2520"/>
      </w:tabs>
      <w:ind w:left="2940"/>
      <w:outlineLvl w:val="5"/>
    </w:pPr>
  </w:style>
  <w:style w:type="paragraph" w:customStyle="1" w:styleId="729">
    <w:name w:val="五级条标题"/>
    <w:basedOn w:val="728"/>
    <w:next w:val="574"/>
    <w:autoRedefine/>
    <w:qFormat/>
    <w:uiPriority w:val="0"/>
    <w:pPr>
      <w:tabs>
        <w:tab w:val="left" w:pos="3360"/>
      </w:tabs>
      <w:ind w:left="3360"/>
      <w:outlineLvl w:val="6"/>
    </w:pPr>
  </w:style>
  <w:style w:type="paragraph" w:customStyle="1" w:styleId="730">
    <w:name w:val="目录3"/>
    <w:basedOn w:val="1"/>
    <w:autoRedefine/>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31">
    <w:name w:val="Char23"/>
    <w:basedOn w:val="1"/>
    <w:autoRedefine/>
    <w:qFormat/>
    <w:uiPriority w:val="0"/>
    <w:rPr>
      <w:rFonts w:ascii="仿宋_GB2312" w:eastAsia="仿宋_GB2312"/>
      <w:b/>
      <w:sz w:val="32"/>
      <w:szCs w:val="32"/>
    </w:rPr>
  </w:style>
  <w:style w:type="paragraph" w:customStyle="1" w:styleId="732">
    <w:name w:val="style3"/>
    <w:basedOn w:val="1"/>
    <w:autoRedefine/>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33">
    <w:name w:val="列出段落3"/>
    <w:basedOn w:val="1"/>
    <w:autoRedefine/>
    <w:qFormat/>
    <w:uiPriority w:val="0"/>
    <w:pPr>
      <w:adjustRightInd/>
      <w:spacing w:line="360" w:lineRule="auto"/>
      <w:ind w:firstLine="200" w:firstLineChars="200"/>
    </w:pPr>
    <w:rPr>
      <w:rFonts w:ascii="Calibri" w:hAnsi="Calibri"/>
      <w:sz w:val="24"/>
      <w:szCs w:val="22"/>
    </w:rPr>
  </w:style>
  <w:style w:type="paragraph" w:customStyle="1" w:styleId="734">
    <w:name w:val="首行缩进"/>
    <w:basedOn w:val="1"/>
    <w:autoRedefine/>
    <w:qFormat/>
    <w:uiPriority w:val="0"/>
    <w:pPr>
      <w:spacing w:line="360" w:lineRule="auto"/>
      <w:ind w:firstLine="200" w:firstLineChars="200"/>
    </w:pPr>
    <w:rPr>
      <w:rFonts w:ascii="宋体"/>
      <w:sz w:val="24"/>
      <w:szCs w:val="20"/>
    </w:rPr>
  </w:style>
  <w:style w:type="paragraph" w:customStyle="1" w:styleId="73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36">
    <w:name w:val="单元格左对齐"/>
    <w:basedOn w:val="1"/>
    <w:autoRedefine/>
    <w:qFormat/>
    <w:uiPriority w:val="0"/>
    <w:pPr>
      <w:adjustRightInd/>
      <w:spacing w:line="360" w:lineRule="auto"/>
    </w:pPr>
    <w:rPr>
      <w:sz w:val="24"/>
    </w:rPr>
  </w:style>
  <w:style w:type="paragraph" w:customStyle="1" w:styleId="737">
    <w:name w:val="正文主体"/>
    <w:basedOn w:val="558"/>
    <w:autoRedefine/>
    <w:qFormat/>
    <w:uiPriority w:val="0"/>
  </w:style>
  <w:style w:type="paragraph" w:customStyle="1" w:styleId="738">
    <w:name w:val="font6"/>
    <w:basedOn w:val="1"/>
    <w:autoRedefine/>
    <w:qFormat/>
    <w:uiPriority w:val="0"/>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39">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741">
    <w:name w:val="正文（首行缩进2字符）"/>
    <w:basedOn w:val="1"/>
    <w:autoRedefine/>
    <w:qFormat/>
    <w:uiPriority w:val="0"/>
    <w:pPr>
      <w:adjustRightInd/>
      <w:spacing w:line="360" w:lineRule="auto"/>
      <w:ind w:firstLine="200" w:firstLineChars="200"/>
    </w:pPr>
    <w:rPr>
      <w:sz w:val="24"/>
      <w:szCs w:val="20"/>
    </w:rPr>
  </w:style>
  <w:style w:type="paragraph" w:customStyle="1" w:styleId="742">
    <w:name w:val="P1"/>
    <w:basedOn w:val="1"/>
    <w:autoRedefine/>
    <w:qFormat/>
    <w:uiPriority w:val="0"/>
    <w:pPr>
      <w:adjustRightInd/>
      <w:spacing w:line="288" w:lineRule="auto"/>
      <w:ind w:firstLine="200" w:firstLineChars="200"/>
    </w:pPr>
  </w:style>
  <w:style w:type="paragraph" w:customStyle="1" w:styleId="743">
    <w:name w:val="列表内容"/>
    <w:basedOn w:val="1"/>
    <w:next w:val="1"/>
    <w:autoRedefine/>
    <w:qFormat/>
    <w:uiPriority w:val="0"/>
    <w:pPr>
      <w:widowControl/>
      <w:tabs>
        <w:tab w:val="left" w:pos="840"/>
      </w:tabs>
      <w:ind w:left="840" w:hanging="420"/>
      <w:jc w:val="left"/>
    </w:pPr>
    <w:rPr>
      <w:kern w:val="0"/>
      <w:sz w:val="18"/>
    </w:rPr>
  </w:style>
  <w:style w:type="paragraph" w:customStyle="1" w:styleId="744">
    <w:name w:val="Char Char11 Char Char Char1"/>
    <w:basedOn w:val="1"/>
    <w:autoRedefine/>
    <w:qFormat/>
    <w:uiPriority w:val="0"/>
    <w:pPr>
      <w:spacing w:line="360" w:lineRule="auto"/>
    </w:pPr>
    <w:rPr>
      <w:szCs w:val="20"/>
    </w:rPr>
  </w:style>
  <w:style w:type="paragraph" w:customStyle="1" w:styleId="74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746">
    <w:name w:val="Char Char Char Char Char Char11"/>
    <w:basedOn w:val="1"/>
    <w:autoRedefine/>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47">
    <w:name w:val="标题 41"/>
    <w:basedOn w:val="1"/>
    <w:next w:val="1"/>
    <w:autoRedefine/>
    <w:qFormat/>
    <w:uiPriority w:val="0"/>
    <w:pPr>
      <w:keepNext/>
      <w:keepLines/>
      <w:adjustRightInd/>
      <w:spacing w:before="280" w:after="290" w:line="377" w:lineRule="auto"/>
      <w:outlineLvl w:val="3"/>
    </w:pPr>
    <w:rPr>
      <w:rFonts w:ascii="Cambria" w:hAnsi="Cambria"/>
      <w:b/>
      <w:bCs/>
      <w:sz w:val="28"/>
      <w:szCs w:val="28"/>
    </w:rPr>
  </w:style>
  <w:style w:type="paragraph" w:customStyle="1" w:styleId="748">
    <w:name w:val="Table Contents"/>
    <w:basedOn w:val="1"/>
    <w:autoRedefine/>
    <w:qFormat/>
    <w:uiPriority w:val="0"/>
    <w:pPr>
      <w:suppressAutoHyphens/>
      <w:autoSpaceDE w:val="0"/>
      <w:spacing w:after="120"/>
      <w:jc w:val="left"/>
    </w:pPr>
    <w:rPr>
      <w:rFonts w:ascii="Helvetica" w:hAnsi="Helvetica"/>
      <w:sz w:val="20"/>
      <w:szCs w:val="20"/>
    </w:rPr>
  </w:style>
  <w:style w:type="paragraph" w:customStyle="1" w:styleId="749">
    <w:name w:val="正文文字缩进2字"/>
    <w:basedOn w:val="23"/>
    <w:autoRedefine/>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50">
    <w:name w:val="默认段落字体 Para Char Char Char Char"/>
    <w:basedOn w:val="1"/>
    <w:autoRedefine/>
    <w:qFormat/>
    <w:uiPriority w:val="0"/>
    <w:pPr>
      <w:spacing w:line="360" w:lineRule="auto"/>
    </w:pPr>
    <w:rPr>
      <w:szCs w:val="20"/>
    </w:rPr>
  </w:style>
  <w:style w:type="paragraph" w:customStyle="1" w:styleId="75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75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53">
    <w:name w:val="Char2 Char Char Char2"/>
    <w:basedOn w:val="1"/>
    <w:autoRedefine/>
    <w:qFormat/>
    <w:uiPriority w:val="0"/>
    <w:rPr>
      <w:rFonts w:ascii="仿宋_GB2312" w:eastAsia="仿宋_GB2312"/>
      <w:b/>
      <w:sz w:val="32"/>
      <w:szCs w:val="32"/>
    </w:rPr>
  </w:style>
  <w:style w:type="paragraph" w:customStyle="1" w:styleId="75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75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rPr>
  </w:style>
  <w:style w:type="paragraph" w:customStyle="1" w:styleId="75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757">
    <w:name w:val="Char Char4 Char Char"/>
    <w:basedOn w:val="1"/>
    <w:autoRedefine/>
    <w:qFormat/>
    <w:uiPriority w:val="0"/>
    <w:pPr>
      <w:widowControl/>
      <w:adjustRightInd/>
      <w:spacing w:after="160" w:line="240" w:lineRule="exact"/>
      <w:jc w:val="left"/>
    </w:pPr>
  </w:style>
  <w:style w:type="paragraph" w:customStyle="1" w:styleId="758">
    <w:name w:val="目录2"/>
    <w:basedOn w:val="1"/>
    <w:autoRedefine/>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59">
    <w:name w:val="Char Char11 Char Char Char2"/>
    <w:basedOn w:val="1"/>
    <w:autoRedefine/>
    <w:qFormat/>
    <w:uiPriority w:val="0"/>
    <w:pPr>
      <w:spacing w:line="360" w:lineRule="auto"/>
    </w:pPr>
    <w:rPr>
      <w:szCs w:val="20"/>
    </w:rPr>
  </w:style>
  <w:style w:type="paragraph" w:customStyle="1" w:styleId="76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6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62">
    <w:name w:val="数字标题4"/>
    <w:basedOn w:val="6"/>
    <w:autoRedefine/>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6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76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76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66">
    <w:name w:val="Char311"/>
    <w:basedOn w:val="1"/>
    <w:autoRedefine/>
    <w:qFormat/>
    <w:uiPriority w:val="0"/>
    <w:pPr>
      <w:adjustRightInd/>
      <w:ind w:firstLine="200" w:firstLineChars="200"/>
    </w:pPr>
    <w:rPr>
      <w:rFonts w:ascii="Tahoma" w:hAnsi="Tahoma"/>
      <w:sz w:val="24"/>
      <w:szCs w:val="20"/>
    </w:rPr>
  </w:style>
  <w:style w:type="paragraph" w:customStyle="1" w:styleId="767">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6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zh-CN" w:bidi="ar-SA"/>
    </w:rPr>
  </w:style>
  <w:style w:type="paragraph" w:customStyle="1" w:styleId="769">
    <w:name w:val="正文 内标"/>
    <w:basedOn w:val="684"/>
    <w:autoRedefine/>
    <w:qFormat/>
    <w:uiPriority w:val="0"/>
    <w:pPr>
      <w:tabs>
        <w:tab w:val="left" w:pos="0"/>
      </w:tabs>
      <w:ind w:left="900" w:firstLine="0" w:firstLineChars="0"/>
    </w:pPr>
  </w:style>
  <w:style w:type="paragraph" w:customStyle="1" w:styleId="770">
    <w:name w:val="Bulleted List"/>
    <w:basedOn w:val="1"/>
    <w:autoRedefine/>
    <w:qFormat/>
    <w:uiPriority w:val="0"/>
    <w:pPr>
      <w:tabs>
        <w:tab w:val="left" w:pos="1260"/>
      </w:tabs>
      <w:adjustRightInd/>
      <w:ind w:left="1260" w:hanging="420"/>
    </w:pPr>
  </w:style>
  <w:style w:type="paragraph" w:customStyle="1" w:styleId="771">
    <w:name w:val="样式 正文文本缩进 2 + 仿宋_GB2312 黑色 行距: 1.5 倍行距"/>
    <w:basedOn w:val="36"/>
    <w:autoRedefine/>
    <w:qFormat/>
    <w:uiPriority w:val="0"/>
    <w:pPr>
      <w:adjustRightInd/>
      <w:ind w:firstLine="200" w:firstLineChars="200"/>
      <w:textAlignment w:val="auto"/>
    </w:pPr>
    <w:rPr>
      <w:rFonts w:hAnsi="宋体" w:cs="宋体"/>
      <w:color w:val="000000"/>
      <w:kern w:val="2"/>
      <w:sz w:val="24"/>
    </w:rPr>
  </w:style>
  <w:style w:type="paragraph" w:customStyle="1" w:styleId="772">
    <w:name w:val="样式 左侧:  0.85 厘米"/>
    <w:basedOn w:val="1"/>
    <w:autoRedefine/>
    <w:qFormat/>
    <w:uiPriority w:val="0"/>
    <w:pPr>
      <w:adjustRightInd/>
      <w:spacing w:line="360" w:lineRule="auto"/>
    </w:pPr>
    <w:rPr>
      <w:rFonts w:cs="宋体"/>
      <w:sz w:val="24"/>
      <w:szCs w:val="20"/>
    </w:rPr>
  </w:style>
  <w:style w:type="paragraph" w:customStyle="1" w:styleId="773">
    <w:name w:val="Char Char Char Char Char Char Char Char Char Char Char Char1 Char"/>
    <w:basedOn w:val="1"/>
    <w:autoRedefine/>
    <w:qFormat/>
    <w:uiPriority w:val="0"/>
    <w:rPr>
      <w:rFonts w:ascii="Tahoma" w:hAnsi="Tahoma" w:cs="仿宋_GB2312"/>
      <w:sz w:val="24"/>
      <w:szCs w:val="20"/>
    </w:rPr>
  </w:style>
  <w:style w:type="paragraph" w:customStyle="1" w:styleId="774">
    <w:name w:val="正文1"/>
    <w:basedOn w:val="31"/>
    <w:autoRedefine/>
    <w:qFormat/>
    <w:uiPriority w:val="0"/>
    <w:pPr>
      <w:ind w:left="0" w:leftChars="0" w:firstLine="200" w:firstLineChars="200"/>
    </w:pPr>
    <w:rPr>
      <w:rFonts w:ascii="仿宋_GB2312" w:hAnsi="Courier New" w:eastAsia="仿宋_GB2312"/>
      <w:kern w:val="28"/>
      <w:sz w:val="24"/>
    </w:rPr>
  </w:style>
  <w:style w:type="paragraph" w:customStyle="1" w:styleId="77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77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77">
    <w:name w:val="模板普通正文"/>
    <w:basedOn w:val="24"/>
    <w:autoRedefine/>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778">
    <w:name w:val="Char Char1 Char Char Char Char Char Char"/>
    <w:basedOn w:val="1"/>
    <w:autoRedefine/>
    <w:qFormat/>
    <w:uiPriority w:val="0"/>
    <w:rPr>
      <w:rFonts w:ascii="仿宋_GB2312" w:eastAsia="仿宋_GB2312"/>
      <w:b/>
      <w:sz w:val="32"/>
      <w:szCs w:val="20"/>
    </w:rPr>
  </w:style>
  <w:style w:type="paragraph" w:customStyle="1" w:styleId="77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780">
    <w:name w:val="Char Char1 Char Char Char Char Char Char2"/>
    <w:basedOn w:val="1"/>
    <w:autoRedefine/>
    <w:qFormat/>
    <w:uiPriority w:val="0"/>
    <w:rPr>
      <w:rFonts w:ascii="仿宋_GB2312" w:eastAsia="仿宋_GB2312"/>
      <w:b/>
      <w:sz w:val="32"/>
      <w:szCs w:val="20"/>
    </w:rPr>
  </w:style>
  <w:style w:type="paragraph" w:customStyle="1" w:styleId="78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78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78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8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5">
    <w:name w:val="Char Char Char Char Char Char1 Char2"/>
    <w:basedOn w:val="1"/>
    <w:autoRedefine/>
    <w:qFormat/>
    <w:uiPriority w:val="0"/>
    <w:pPr>
      <w:widowControl/>
      <w:spacing w:after="160" w:line="240" w:lineRule="exact"/>
      <w:jc w:val="left"/>
    </w:pPr>
    <w:rPr>
      <w:rFonts w:ascii="Verdana" w:hAnsi="Verdana"/>
      <w:kern w:val="0"/>
      <w:szCs w:val="20"/>
    </w:rPr>
  </w:style>
  <w:style w:type="paragraph" w:customStyle="1" w:styleId="786">
    <w:name w:val="样式 首行缩进:  2 字符4"/>
    <w:basedOn w:val="1"/>
    <w:autoRedefine/>
    <w:qFormat/>
    <w:uiPriority w:val="0"/>
    <w:pPr>
      <w:adjustRightInd/>
      <w:spacing w:before="120" w:line="360" w:lineRule="auto"/>
      <w:ind w:firstLine="200" w:firstLineChars="200"/>
    </w:pPr>
    <w:rPr>
      <w:rFonts w:eastAsia="仿宋_GB2312" w:cs="宋体"/>
      <w:sz w:val="28"/>
      <w:szCs w:val="20"/>
    </w:rPr>
  </w:style>
  <w:style w:type="paragraph" w:customStyle="1" w:styleId="78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78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8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90">
    <w:name w:val="Char31"/>
    <w:basedOn w:val="1"/>
    <w:autoRedefine/>
    <w:qFormat/>
    <w:uiPriority w:val="0"/>
    <w:pPr>
      <w:adjustRightInd/>
    </w:pPr>
    <w:rPr>
      <w:rFonts w:ascii="仿宋_GB2312" w:eastAsia="仿宋_GB2312"/>
      <w:b/>
      <w:sz w:val="32"/>
      <w:szCs w:val="32"/>
    </w:rPr>
  </w:style>
  <w:style w:type="paragraph" w:customStyle="1" w:styleId="79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792">
    <w:name w:val="Char Char Char Char Char Char1"/>
    <w:basedOn w:val="1"/>
    <w:autoRedefine/>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94">
    <w:name w:val="Char Char1"/>
    <w:basedOn w:val="1"/>
    <w:autoRedefine/>
    <w:qFormat/>
    <w:uiPriority w:val="0"/>
    <w:pPr>
      <w:widowControl/>
      <w:spacing w:after="160" w:line="240" w:lineRule="exact"/>
      <w:jc w:val="left"/>
    </w:pPr>
    <w:rPr>
      <w:rFonts w:eastAsia="仿宋_GB2312"/>
      <w:sz w:val="28"/>
    </w:rPr>
  </w:style>
  <w:style w:type="paragraph" w:customStyle="1" w:styleId="795">
    <w:name w:val="Char21"/>
    <w:basedOn w:val="1"/>
    <w:autoRedefine/>
    <w:qFormat/>
    <w:uiPriority w:val="0"/>
    <w:pPr>
      <w:adjustRightInd/>
      <w:ind w:firstLine="200" w:firstLineChars="200"/>
    </w:pPr>
    <w:rPr>
      <w:rFonts w:ascii="仿宋_GB2312" w:eastAsia="仿宋_GB2312"/>
      <w:b/>
      <w:sz w:val="32"/>
      <w:szCs w:val="32"/>
    </w:rPr>
  </w:style>
  <w:style w:type="paragraph" w:customStyle="1" w:styleId="796">
    <w:name w:val="列表段落1"/>
    <w:basedOn w:val="1"/>
    <w:autoRedefine/>
    <w:qFormat/>
    <w:uiPriority w:val="0"/>
    <w:pPr>
      <w:adjustRightInd/>
      <w:ind w:right="238" w:firstLine="420"/>
    </w:pPr>
    <w:rPr>
      <w:rFonts w:ascii="Calibri" w:hAnsi="Calibri"/>
      <w:sz w:val="24"/>
    </w:rPr>
  </w:style>
  <w:style w:type="paragraph" w:customStyle="1" w:styleId="797">
    <w:name w:val="Char Char110"/>
    <w:basedOn w:val="1"/>
    <w:autoRedefine/>
    <w:qFormat/>
    <w:uiPriority w:val="0"/>
    <w:pPr>
      <w:spacing w:line="360" w:lineRule="auto"/>
    </w:pPr>
    <w:rPr>
      <w:rFonts w:ascii="Tahoma" w:hAnsi="Tahoma"/>
      <w:sz w:val="24"/>
      <w:szCs w:val="20"/>
    </w:rPr>
  </w:style>
  <w:style w:type="paragraph" w:customStyle="1" w:styleId="79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79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0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02">
    <w:name w:val="Char Char Char Char Char Char Char Char Char Char Char Char1 Char2"/>
    <w:basedOn w:val="1"/>
    <w:autoRedefine/>
    <w:qFormat/>
    <w:uiPriority w:val="0"/>
    <w:rPr>
      <w:rFonts w:ascii="Tahoma" w:hAnsi="Tahoma" w:cs="仿宋_GB2312"/>
      <w:sz w:val="24"/>
      <w:szCs w:val="20"/>
    </w:rPr>
  </w:style>
  <w:style w:type="paragraph" w:customStyle="1" w:styleId="80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0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05">
    <w:name w:val="样式 列表编号 + 段后: 0.5 行"/>
    <w:basedOn w:val="15"/>
    <w:autoRedefine/>
    <w:qFormat/>
    <w:uiPriority w:val="0"/>
    <w:pPr>
      <w:tabs>
        <w:tab w:val="clear" w:pos="390"/>
        <w:tab w:val="clear" w:pos="454"/>
      </w:tabs>
      <w:ind w:left="840" w:hanging="420"/>
      <w:contextualSpacing/>
    </w:pPr>
    <w:rPr>
      <w:rFonts w:cs="宋体"/>
    </w:rPr>
  </w:style>
  <w:style w:type="paragraph" w:customStyle="1" w:styleId="80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07">
    <w:name w:val="_Style 12"/>
    <w:basedOn w:val="18"/>
    <w:autoRedefine/>
    <w:qFormat/>
    <w:uiPriority w:val="0"/>
    <w:pPr>
      <w:snapToGrid w:val="0"/>
      <w:spacing w:line="360" w:lineRule="auto"/>
    </w:pPr>
  </w:style>
  <w:style w:type="paragraph" w:customStyle="1" w:styleId="80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09">
    <w:name w:val="Char1 Char Char Char6"/>
    <w:basedOn w:val="1"/>
    <w:autoRedefine/>
    <w:qFormat/>
    <w:uiPriority w:val="0"/>
    <w:pPr>
      <w:widowControl/>
      <w:snapToGrid w:val="0"/>
      <w:spacing w:before="120" w:after="160" w:line="360" w:lineRule="auto"/>
      <w:ind w:right="-360"/>
      <w:jc w:val="left"/>
    </w:pPr>
    <w:rPr>
      <w:rFonts w:ascii="Arial" w:hAnsi="Arial"/>
      <w:kern w:val="0"/>
      <w:sz w:val="24"/>
    </w:rPr>
  </w:style>
  <w:style w:type="paragraph" w:customStyle="1" w:styleId="810">
    <w:name w:val="_Style 94"/>
    <w:basedOn w:val="1"/>
    <w:next w:val="229"/>
    <w:autoRedefine/>
    <w:qFormat/>
    <w:uiPriority w:val="0"/>
    <w:pPr>
      <w:adjustRightInd/>
      <w:spacing w:line="360" w:lineRule="auto"/>
      <w:ind w:firstLine="200" w:firstLineChars="200"/>
    </w:pPr>
    <w:rPr>
      <w:rFonts w:ascii="Calibri" w:hAnsi="Calibri"/>
      <w:sz w:val="28"/>
      <w:szCs w:val="20"/>
    </w:rPr>
  </w:style>
  <w:style w:type="paragraph" w:customStyle="1" w:styleId="811">
    <w:name w:val="方案正文"/>
    <w:basedOn w:val="1"/>
    <w:autoRedefine/>
    <w:qFormat/>
    <w:uiPriority w:val="0"/>
    <w:pPr>
      <w:snapToGrid w:val="0"/>
      <w:spacing w:line="324" w:lineRule="auto"/>
      <w:ind w:firstLine="200" w:firstLineChars="200"/>
    </w:pPr>
    <w:rPr>
      <w:rFonts w:ascii="仿宋_GB2312" w:eastAsia="仿宋_GB2312"/>
      <w:b/>
      <w:color w:val="000000"/>
      <w:sz w:val="24"/>
      <w:szCs w:val="20"/>
    </w:rPr>
  </w:style>
  <w:style w:type="paragraph" w:customStyle="1" w:styleId="81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1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14">
    <w:name w:val="3级标题"/>
    <w:basedOn w:val="607"/>
    <w:autoRedefine/>
    <w:qFormat/>
    <w:uiPriority w:val="0"/>
    <w:pPr>
      <w:outlineLvl w:val="2"/>
    </w:pPr>
  </w:style>
  <w:style w:type="paragraph" w:customStyle="1" w:styleId="81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16">
    <w:name w:val="Char1 Char Char Char3"/>
    <w:basedOn w:val="1"/>
    <w:autoRedefine/>
    <w:qFormat/>
    <w:uiPriority w:val="0"/>
    <w:pPr>
      <w:adjustRightInd/>
      <w:ind w:firstLine="200" w:firstLineChars="200"/>
    </w:pPr>
    <w:rPr>
      <w:rFonts w:ascii="Tahoma" w:hAnsi="Tahoma"/>
      <w:sz w:val="24"/>
      <w:szCs w:val="20"/>
    </w:rPr>
  </w:style>
  <w:style w:type="paragraph" w:customStyle="1" w:styleId="81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18">
    <w:name w:val="MM Empty"/>
    <w:basedOn w:val="1"/>
    <w:autoRedefine/>
    <w:qFormat/>
    <w:uiPriority w:val="0"/>
    <w:pPr>
      <w:adjustRightInd/>
    </w:pPr>
  </w:style>
  <w:style w:type="paragraph" w:customStyle="1" w:styleId="819">
    <w:name w:val="Char24"/>
    <w:basedOn w:val="1"/>
    <w:autoRedefine/>
    <w:qFormat/>
    <w:uiPriority w:val="0"/>
    <w:rPr>
      <w:rFonts w:ascii="仿宋_GB2312" w:eastAsia="仿宋_GB2312"/>
      <w:b/>
      <w:sz w:val="32"/>
      <w:szCs w:val="32"/>
    </w:rPr>
  </w:style>
  <w:style w:type="paragraph" w:customStyle="1" w:styleId="820">
    <w:name w:val="正文箭头"/>
    <w:basedOn w:val="472"/>
    <w:autoRedefine/>
    <w:qFormat/>
    <w:uiPriority w:val="0"/>
  </w:style>
  <w:style w:type="paragraph" w:customStyle="1" w:styleId="821">
    <w:name w:val="U_编号2"/>
    <w:basedOn w:val="1"/>
    <w:autoRedefine/>
    <w:qFormat/>
    <w:uiPriority w:val="0"/>
    <w:pPr>
      <w:tabs>
        <w:tab w:val="left" w:pos="785"/>
      </w:tabs>
      <w:adjustRightInd/>
      <w:spacing w:before="10" w:beforeLines="10" w:after="10" w:afterLines="10" w:line="300" w:lineRule="auto"/>
    </w:pPr>
    <w:rPr>
      <w:sz w:val="24"/>
    </w:rPr>
  </w:style>
  <w:style w:type="paragraph" w:customStyle="1" w:styleId="82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24">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25">
    <w:name w:val="TOC 标题1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6">
    <w:name w:val="_Style 1"/>
    <w:basedOn w:val="1"/>
    <w:autoRedefine/>
    <w:qFormat/>
    <w:uiPriority w:val="0"/>
    <w:pPr>
      <w:adjustRightInd/>
      <w:ind w:firstLine="200" w:firstLineChars="200"/>
    </w:pPr>
    <w:rPr>
      <w:rFonts w:eastAsia="仿宋_GB2312"/>
      <w:sz w:val="28"/>
    </w:rPr>
  </w:style>
  <w:style w:type="paragraph" w:customStyle="1" w:styleId="827">
    <w:name w:val="表格 内容"/>
    <w:basedOn w:val="663"/>
    <w:autoRedefine/>
    <w:qFormat/>
    <w:uiPriority w:val="0"/>
    <w:rPr>
      <w:b w:val="0"/>
      <w:sz w:val="20"/>
    </w:rPr>
  </w:style>
  <w:style w:type="paragraph" w:customStyle="1" w:styleId="828">
    <w:name w:val="正文首行缩进1"/>
    <w:basedOn w:val="23"/>
    <w:autoRedefine/>
    <w:qFormat/>
    <w:uiPriority w:val="0"/>
    <w:pPr>
      <w:suppressAutoHyphens/>
      <w:autoSpaceDE/>
      <w:autoSpaceDN/>
      <w:adjustRightInd/>
      <w:spacing w:after="120" w:line="240" w:lineRule="auto"/>
      <w:ind w:firstLine="420"/>
      <w:jc w:val="left"/>
    </w:pPr>
    <w:rPr>
      <w:rFonts w:ascii="Times New Roman" w:hAnsi="Times New Roman"/>
      <w:sz w:val="28"/>
      <w:szCs w:val="24"/>
      <w:lang w:val="en-US" w:eastAsia="ar-SA"/>
    </w:rPr>
  </w:style>
  <w:style w:type="paragraph" w:customStyle="1" w:styleId="82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30">
    <w:name w:val="数字标题5"/>
    <w:basedOn w:val="7"/>
    <w:next w:val="1"/>
    <w:autoRedefine/>
    <w:qFormat/>
    <w:uiPriority w:val="0"/>
    <w:pPr>
      <w:tabs>
        <w:tab w:val="left" w:pos="1080"/>
      </w:tabs>
      <w:ind w:left="1080" w:hanging="1080"/>
    </w:pPr>
  </w:style>
  <w:style w:type="paragraph" w:customStyle="1" w:styleId="831">
    <w:name w:val="数字标题1"/>
    <w:basedOn w:val="2"/>
    <w:next w:val="1"/>
    <w:autoRedefine/>
    <w:qFormat/>
    <w:uiPriority w:val="0"/>
    <w:pPr>
      <w:tabs>
        <w:tab w:val="left" w:pos="480"/>
      </w:tabs>
      <w:ind w:left="480" w:hanging="480"/>
    </w:pPr>
  </w:style>
  <w:style w:type="paragraph" w:customStyle="1" w:styleId="83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3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3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3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36">
    <w:name w:val="标准正文格式"/>
    <w:basedOn w:val="1"/>
    <w:autoRedefine/>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37">
    <w:name w:val="Bullet"/>
    <w:basedOn w:val="1"/>
    <w:autoRedefine/>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38">
    <w:name w:val="0"/>
    <w:basedOn w:val="1"/>
    <w:autoRedefine/>
    <w:qFormat/>
    <w:uiPriority w:val="0"/>
    <w:pPr>
      <w:widowControl/>
    </w:pPr>
    <w:rPr>
      <w:kern w:val="0"/>
      <w:sz w:val="24"/>
      <w:szCs w:val="20"/>
    </w:rPr>
  </w:style>
  <w:style w:type="paragraph" w:customStyle="1" w:styleId="839">
    <w:name w:val="Char Char113"/>
    <w:basedOn w:val="1"/>
    <w:autoRedefine/>
    <w:qFormat/>
    <w:uiPriority w:val="0"/>
    <w:pPr>
      <w:widowControl/>
      <w:spacing w:after="160" w:line="240" w:lineRule="exact"/>
      <w:jc w:val="left"/>
    </w:pPr>
    <w:rPr>
      <w:rFonts w:eastAsia="仿宋_GB2312"/>
      <w:sz w:val="28"/>
    </w:rPr>
  </w:style>
  <w:style w:type="paragraph" w:customStyle="1" w:styleId="840">
    <w:name w:val="样式5"/>
    <w:basedOn w:val="1"/>
    <w:autoRedefine/>
    <w:qFormat/>
    <w:uiPriority w:val="0"/>
    <w:pPr>
      <w:spacing w:line="440" w:lineRule="exact"/>
      <w:ind w:left="2" w:firstLine="200" w:firstLineChars="200"/>
    </w:pPr>
    <w:rPr>
      <w:rFonts w:ascii="仿宋_GB2312" w:hAnsi="仿宋" w:eastAsia="仿宋_GB2312"/>
      <w:sz w:val="24"/>
    </w:rPr>
  </w:style>
  <w:style w:type="paragraph" w:customStyle="1" w:styleId="841">
    <w:name w:val="_Style 8"/>
    <w:basedOn w:val="1"/>
    <w:autoRedefine/>
    <w:qFormat/>
    <w:uiPriority w:val="0"/>
    <w:pPr>
      <w:adjustRightInd/>
      <w:ind w:firstLine="200" w:firstLineChars="200"/>
    </w:pPr>
    <w:rPr>
      <w:rFonts w:eastAsia="仿宋_GB2312"/>
      <w:sz w:val="28"/>
    </w:rPr>
  </w:style>
  <w:style w:type="paragraph" w:customStyle="1" w:styleId="84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3">
    <w:name w:val="正文样式 首行缩进:  0.74 厘米"/>
    <w:basedOn w:val="1"/>
    <w:autoRedefine/>
    <w:qFormat/>
    <w:uiPriority w:val="0"/>
    <w:pPr>
      <w:adjustRightInd/>
      <w:spacing w:before="50" w:beforeLines="50" w:line="360" w:lineRule="auto"/>
      <w:ind w:firstLine="420"/>
    </w:pPr>
    <w:rPr>
      <w:rFonts w:cs="宋体"/>
      <w:sz w:val="24"/>
      <w:szCs w:val="20"/>
    </w:rPr>
  </w:style>
  <w:style w:type="paragraph" w:customStyle="1" w:styleId="84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5">
    <w:name w:val="列出段落31"/>
    <w:basedOn w:val="1"/>
    <w:autoRedefine/>
    <w:qFormat/>
    <w:uiPriority w:val="0"/>
    <w:pPr>
      <w:adjustRightInd/>
      <w:spacing w:line="360" w:lineRule="auto"/>
      <w:ind w:firstLine="200" w:firstLineChars="200"/>
    </w:pPr>
    <w:rPr>
      <w:rFonts w:ascii="Calibri" w:hAnsi="Calibri"/>
      <w:sz w:val="24"/>
      <w:szCs w:val="22"/>
    </w:rPr>
  </w:style>
  <w:style w:type="paragraph" w:customStyle="1" w:styleId="84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47">
    <w:name w:val="Char Char112"/>
    <w:basedOn w:val="1"/>
    <w:autoRedefine/>
    <w:qFormat/>
    <w:uiPriority w:val="0"/>
    <w:pPr>
      <w:widowControl/>
      <w:spacing w:after="160" w:line="240" w:lineRule="exact"/>
      <w:jc w:val="left"/>
    </w:pPr>
    <w:rPr>
      <w:rFonts w:eastAsia="仿宋_GB2312"/>
      <w:sz w:val="28"/>
    </w:rPr>
  </w:style>
  <w:style w:type="paragraph" w:customStyle="1" w:styleId="848">
    <w:name w:val="正文 图"/>
    <w:basedOn w:val="376"/>
    <w:autoRedefine/>
    <w:qFormat/>
    <w:uiPriority w:val="0"/>
    <w:pPr>
      <w:adjustRightInd/>
      <w:spacing w:before="0"/>
      <w:ind w:firstLine="0"/>
      <w:jc w:val="center"/>
    </w:pPr>
    <w:rPr>
      <w:rFonts w:ascii="微软雅黑" w:hAnsi="微软雅黑"/>
    </w:rPr>
  </w:style>
  <w:style w:type="paragraph" w:customStyle="1" w:styleId="84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51">
    <w:name w:val="Thf"/>
    <w:basedOn w:val="496"/>
    <w:autoRedefine/>
    <w:qFormat/>
    <w:uiPriority w:val="0"/>
    <w:pPr>
      <w:ind w:left="0"/>
    </w:pPr>
  </w:style>
  <w:style w:type="paragraph" w:customStyle="1" w:styleId="85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53">
    <w:name w:val="subhead 2"/>
    <w:autoRedefine/>
    <w:qFormat/>
    <w:uiPriority w:val="0"/>
    <w:pPr>
      <w:spacing w:after="60" w:line="240" w:lineRule="exact"/>
    </w:pPr>
    <w:rPr>
      <w:rFonts w:ascii="Arial" w:hAnsi="Arial" w:eastAsia="宋体" w:cs="Times New Roman"/>
      <w:b/>
      <w:sz w:val="22"/>
      <w:lang w:val="en-US" w:eastAsia="zh-CN" w:bidi="ar-SA"/>
    </w:rPr>
  </w:style>
  <w:style w:type="paragraph" w:customStyle="1" w:styleId="854">
    <w:name w:val="注释"/>
    <w:basedOn w:val="1"/>
    <w:autoRedefine/>
    <w:qFormat/>
    <w:uiPriority w:val="0"/>
    <w:pPr>
      <w:adjustRightInd/>
      <w:spacing w:line="360" w:lineRule="auto"/>
      <w:ind w:firstLine="480"/>
    </w:pPr>
    <w:rPr>
      <w:sz w:val="24"/>
    </w:rPr>
  </w:style>
  <w:style w:type="paragraph" w:customStyle="1" w:styleId="855">
    <w:name w:val="列出段落111"/>
    <w:basedOn w:val="1"/>
    <w:autoRedefine/>
    <w:qFormat/>
    <w:uiPriority w:val="0"/>
    <w:pPr>
      <w:ind w:firstLine="200" w:firstLineChars="200"/>
    </w:pPr>
  </w:style>
  <w:style w:type="character" w:customStyle="1" w:styleId="856">
    <w:name w:val="交叉引用"/>
    <w:autoRedefine/>
    <w:qFormat/>
    <w:uiPriority w:val="0"/>
    <w:rPr>
      <w:rFonts w:ascii="Arial" w:hAnsi="Arial" w:eastAsia="黑体"/>
      <w:snapToGrid w:val="0"/>
      <w:color w:val="0000FF"/>
      <w:kern w:val="0"/>
      <w:sz w:val="20"/>
      <w:szCs w:val="21"/>
      <w:u w:val="single"/>
      <w:lang w:val="en-US" w:eastAsia="zh-CN"/>
    </w:rPr>
  </w:style>
  <w:style w:type="character" w:customStyle="1" w:styleId="857">
    <w:name w:val="正文缩进 字符1"/>
    <w:autoRedefine/>
    <w:qFormat/>
    <w:uiPriority w:val="0"/>
    <w:rPr>
      <w:rFonts w:ascii="宋体" w:eastAsia="宋体"/>
      <w:snapToGrid w:val="0"/>
      <w:color w:val="000000"/>
      <w:kern w:val="28"/>
      <w:sz w:val="28"/>
      <w:lang w:val="en-US" w:eastAsia="zh-CN" w:bidi="ar-SA"/>
    </w:rPr>
  </w:style>
  <w:style w:type="character" w:customStyle="1" w:styleId="858">
    <w:name w:val="页脚 字符1"/>
    <w:autoRedefine/>
    <w:qFormat/>
    <w:locked/>
    <w:uiPriority w:val="0"/>
    <w:rPr>
      <w:kern w:val="2"/>
      <w:sz w:val="18"/>
      <w:szCs w:val="18"/>
    </w:rPr>
  </w:style>
  <w:style w:type="character" w:customStyle="1" w:styleId="859">
    <w:name w:val="页眉 字符1"/>
    <w:autoRedefine/>
    <w:qFormat/>
    <w:uiPriority w:val="0"/>
    <w:rPr>
      <w:kern w:val="2"/>
      <w:sz w:val="18"/>
      <w:szCs w:val="18"/>
    </w:rPr>
  </w:style>
  <w:style w:type="paragraph" w:customStyle="1" w:styleId="860">
    <w:name w:val="标准文本"/>
    <w:basedOn w:val="1"/>
    <w:autoRedefine/>
    <w:qFormat/>
    <w:uiPriority w:val="0"/>
    <w:pPr>
      <w:adjustRightInd/>
      <w:spacing w:line="360" w:lineRule="auto"/>
      <w:ind w:firstLine="200" w:firstLineChars="200"/>
    </w:pPr>
    <w:rPr>
      <w:rFonts w:cs="宋体"/>
      <w:sz w:val="24"/>
      <w:szCs w:val="20"/>
    </w:rPr>
  </w:style>
  <w:style w:type="character" w:customStyle="1" w:styleId="861">
    <w:name w:val="Char Char213"/>
    <w:autoRedefine/>
    <w:qFormat/>
    <w:uiPriority w:val="0"/>
    <w:rPr>
      <w:rFonts w:eastAsia="Century Gothic"/>
      <w:b/>
      <w:bCs/>
      <w:kern w:val="44"/>
      <w:sz w:val="32"/>
      <w:szCs w:val="44"/>
      <w:lang w:val="en-US" w:eastAsia="zh-CN" w:bidi="ar-SA"/>
    </w:rPr>
  </w:style>
  <w:style w:type="character" w:customStyle="1" w:styleId="862">
    <w:name w:val="apple-style-span"/>
    <w:autoRedefine/>
    <w:qFormat/>
    <w:uiPriority w:val="0"/>
    <w:rPr>
      <w:rFonts w:ascii="Arial" w:hAnsi="Arial" w:eastAsia="黑体" w:cs="Arial"/>
      <w:snapToGrid w:val="0"/>
      <w:kern w:val="0"/>
      <w:szCs w:val="21"/>
    </w:rPr>
  </w:style>
  <w:style w:type="character" w:customStyle="1" w:styleId="863">
    <w:name w:val="15"/>
    <w:autoRedefine/>
    <w:qFormat/>
    <w:uiPriority w:val="0"/>
    <w:rPr>
      <w:rFonts w:ascii="Calibri" w:hAnsi="Calibri"/>
      <w:color w:val="0000FF"/>
      <w:u w:val="single"/>
    </w:rPr>
  </w:style>
  <w:style w:type="character" w:customStyle="1" w:styleId="864">
    <w:name w:val="16"/>
    <w:autoRedefine/>
    <w:qFormat/>
    <w:uiPriority w:val="0"/>
    <w:rPr>
      <w:rFonts w:ascii="宋体" w:hAnsi="宋体" w:eastAsia="宋体"/>
      <w:color w:val="000000"/>
      <w:sz w:val="20"/>
      <w:szCs w:val="20"/>
    </w:rPr>
  </w:style>
  <w:style w:type="character" w:customStyle="1" w:styleId="865">
    <w:name w:val="edui-unclickable"/>
    <w:autoRedefine/>
    <w:qFormat/>
    <w:uiPriority w:val="0"/>
    <w:rPr>
      <w:color w:val="808080"/>
    </w:rPr>
  </w:style>
  <w:style w:type="character" w:customStyle="1" w:styleId="866">
    <w:name w:val="tpc_content1"/>
    <w:autoRedefine/>
    <w:qFormat/>
    <w:uiPriority w:val="0"/>
    <w:rPr>
      <w:sz w:val="20"/>
      <w:szCs w:val="20"/>
    </w:rPr>
  </w:style>
  <w:style w:type="character" w:customStyle="1" w:styleId="867">
    <w:name w:val="正文文本缩进 字符"/>
    <w:autoRedefine/>
    <w:qFormat/>
    <w:uiPriority w:val="0"/>
    <w:rPr>
      <w:rFonts w:ascii="Century Gothic" w:hAnsi="Century Gothic" w:eastAsia="Century Gothic"/>
      <w:kern w:val="2"/>
      <w:sz w:val="24"/>
      <w:lang w:val="en-US" w:eastAsia="zh-CN" w:bidi="ar-SA"/>
    </w:rPr>
  </w:style>
  <w:style w:type="character" w:customStyle="1" w:styleId="868">
    <w:name w:val="正文文本 2 字符"/>
    <w:autoRedefine/>
    <w:qFormat/>
    <w:uiPriority w:val="0"/>
    <w:rPr>
      <w:rFonts w:ascii="Arial" w:hAnsi="Arial" w:eastAsia="宋体"/>
      <w:kern w:val="2"/>
      <w:sz w:val="24"/>
      <w:szCs w:val="24"/>
      <w:lang w:val="en-US" w:eastAsia="zh-CN" w:bidi="ar-SA"/>
    </w:rPr>
  </w:style>
  <w:style w:type="character" w:customStyle="1" w:styleId="869">
    <w:name w:val="edui-clickable2"/>
    <w:autoRedefine/>
    <w:qFormat/>
    <w:uiPriority w:val="0"/>
    <w:rPr>
      <w:color w:val="0000FF"/>
      <w:u w:val="single"/>
    </w:rPr>
  </w:style>
  <w:style w:type="character" w:customStyle="1" w:styleId="870">
    <w:name w:val="style1"/>
    <w:autoRedefine/>
    <w:qFormat/>
    <w:uiPriority w:val="0"/>
    <w:rPr>
      <w:rFonts w:ascii="Arial" w:hAnsi="Arial" w:eastAsia="黑体" w:cs="Arial"/>
      <w:snapToGrid w:val="0"/>
      <w:kern w:val="0"/>
      <w:szCs w:val="21"/>
    </w:rPr>
  </w:style>
  <w:style w:type="character" w:customStyle="1" w:styleId="871">
    <w:name w:val="zbggtop11 style5"/>
    <w:autoRedefine/>
    <w:qFormat/>
    <w:uiPriority w:val="0"/>
    <w:rPr>
      <w:rFonts w:ascii="Arial" w:hAnsi="Arial" w:eastAsia="黑体" w:cs="Arial"/>
      <w:snapToGrid w:val="0"/>
      <w:kern w:val="0"/>
      <w:szCs w:val="21"/>
    </w:rPr>
  </w:style>
  <w:style w:type="character" w:customStyle="1" w:styleId="87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873">
    <w:name w:val="bulletintext1"/>
    <w:autoRedefine/>
    <w:qFormat/>
    <w:uiPriority w:val="0"/>
    <w:rPr>
      <w:color w:val="000000"/>
      <w:sz w:val="18"/>
    </w:rPr>
  </w:style>
  <w:style w:type="paragraph" w:customStyle="1" w:styleId="874">
    <w:name w:val="_Style 947"/>
    <w:basedOn w:val="1"/>
    <w:next w:val="229"/>
    <w:autoRedefine/>
    <w:qFormat/>
    <w:uiPriority w:val="0"/>
    <w:pPr>
      <w:adjustRightInd/>
      <w:ind w:firstLine="200" w:firstLineChars="200"/>
    </w:pPr>
  </w:style>
  <w:style w:type="paragraph" w:customStyle="1" w:styleId="875">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876">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877">
    <w:name w:val="*Body 1"/>
    <w:autoRedefine/>
    <w:qFormat/>
    <w:uiPriority w:val="0"/>
    <w:pPr>
      <w:spacing w:after="240" w:line="360" w:lineRule="auto"/>
      <w:ind w:left="-1276" w:firstLine="454"/>
    </w:pPr>
    <w:rPr>
      <w:rFonts w:ascii="Times New Roman" w:hAnsi="Times New Roman" w:eastAsia="宋体" w:cs="Times New Roman"/>
      <w:sz w:val="22"/>
      <w:lang w:val="en-US" w:eastAsia="zh-CN" w:bidi="ar-SA"/>
    </w:rPr>
  </w:style>
  <w:style w:type="paragraph" w:customStyle="1" w:styleId="878">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79">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80">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881">
    <w:name w:val="p1"/>
    <w:basedOn w:val="1"/>
    <w:autoRedefine/>
    <w:qFormat/>
    <w:uiPriority w:val="0"/>
    <w:pPr>
      <w:widowControl/>
      <w:adjustRightInd/>
      <w:jc w:val="left"/>
    </w:pPr>
    <w:rPr>
      <w:rFonts w:ascii=".PingFang SC" w:hAnsi=".PingFang SC" w:eastAsia=".PingFang SC"/>
      <w:color w:val="454545"/>
      <w:kern w:val="0"/>
      <w:sz w:val="18"/>
      <w:szCs w:val="18"/>
    </w:rPr>
  </w:style>
  <w:style w:type="paragraph" w:customStyle="1" w:styleId="882">
    <w:name w:val="Table Paragraph"/>
    <w:basedOn w:val="1"/>
    <w:autoRedefine/>
    <w:qFormat/>
    <w:uiPriority w:val="0"/>
    <w:pPr>
      <w:adjustRightInd/>
      <w:jc w:val="left"/>
    </w:pPr>
    <w:rPr>
      <w:rFonts w:ascii="Calibri" w:hAnsi="Calibri"/>
      <w:kern w:val="0"/>
      <w:sz w:val="22"/>
      <w:szCs w:val="22"/>
    </w:rPr>
  </w:style>
  <w:style w:type="paragraph" w:customStyle="1" w:styleId="88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4">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885">
    <w:name w:val="text-tag"/>
    <w:basedOn w:val="1"/>
    <w:autoRedefine/>
    <w:qFormat/>
    <w:uiPriority w:val="0"/>
    <w:pPr>
      <w:widowControl/>
      <w:adjustRightInd/>
      <w:spacing w:before="100" w:beforeAutospacing="1" w:after="100" w:afterAutospacing="1"/>
      <w:jc w:val="left"/>
    </w:pPr>
    <w:rPr>
      <w:rFonts w:ascii="宋体" w:hAnsi="宋体" w:cs="宋体"/>
      <w:kern w:val="0"/>
      <w:sz w:val="24"/>
    </w:rPr>
  </w:style>
  <w:style w:type="character" w:customStyle="1" w:styleId="886">
    <w:name w:val="ksfind_class_select1"/>
    <w:basedOn w:val="63"/>
    <w:autoRedefine/>
    <w:qFormat/>
    <w:uiPriority w:val="0"/>
    <w:rPr>
      <w:color w:val="000000"/>
      <w:shd w:val="clear" w:color="auto" w:fill="EFD200"/>
    </w:rPr>
  </w:style>
  <w:style w:type="character" w:customStyle="1" w:styleId="887">
    <w:name w:val="font71"/>
    <w:autoRedefine/>
    <w:qFormat/>
    <w:uiPriority w:val="0"/>
    <w:rPr>
      <w:rFonts w:ascii="宋体" w:hAnsi="宋体" w:eastAsia="宋体" w:cs="宋体"/>
      <w:color w:val="000000"/>
      <w:sz w:val="22"/>
      <w:szCs w:val="22"/>
      <w:u w:val="none"/>
    </w:rPr>
  </w:style>
  <w:style w:type="character" w:customStyle="1" w:styleId="888">
    <w:name w:val="font91"/>
    <w:autoRedefine/>
    <w:qFormat/>
    <w:uiPriority w:val="0"/>
    <w:rPr>
      <w:rFonts w:ascii="仿宋" w:hAnsi="仿宋" w:eastAsia="仿宋" w:cs="仿宋"/>
      <w:color w:val="000000"/>
      <w:sz w:val="22"/>
      <w:szCs w:val="22"/>
      <w:u w:val="none"/>
    </w:rPr>
  </w:style>
  <w:style w:type="paragraph" w:customStyle="1" w:styleId="889">
    <w:name w:val="修订4"/>
    <w:autoRedefine/>
    <w:qFormat/>
    <w:uiPriority w:val="0"/>
    <w:rPr>
      <w:rFonts w:ascii="Times New Roman" w:hAnsi="Times New Roman" w:eastAsia="宋体" w:cs="Times New Roman"/>
      <w:kern w:val="2"/>
      <w:sz w:val="21"/>
      <w:szCs w:val="24"/>
      <w:lang w:val="en-US" w:eastAsia="zh-CN" w:bidi="ar-SA"/>
    </w:rPr>
  </w:style>
  <w:style w:type="paragraph" w:customStyle="1" w:styleId="890">
    <w:name w:val="样式 行距: 1.5 倍行距 首行缩进:  2 字符"/>
    <w:basedOn w:val="1"/>
    <w:autoRedefine/>
    <w:qFormat/>
    <w:uiPriority w:val="0"/>
    <w:pPr>
      <w:adjustRightInd/>
      <w:spacing w:line="360" w:lineRule="auto"/>
      <w:ind w:firstLine="200" w:firstLineChars="200"/>
    </w:pPr>
    <w:rPr>
      <w:rFonts w:eastAsia="仿宋" w:cs="宋体"/>
      <w:sz w:val="28"/>
      <w:szCs w:val="20"/>
    </w:rPr>
  </w:style>
  <w:style w:type="paragraph" w:customStyle="1" w:styleId="891">
    <w:name w:val="修订5"/>
    <w:autoRedefine/>
    <w:qFormat/>
    <w:uiPriority w:val="0"/>
    <w:rPr>
      <w:rFonts w:ascii="Times New Roman" w:hAnsi="Times New Roman" w:eastAsia="宋体" w:cs="Times New Roman"/>
      <w:kern w:val="2"/>
      <w:sz w:val="21"/>
      <w:szCs w:val="24"/>
      <w:lang w:val="en-US" w:eastAsia="zh-CN" w:bidi="ar-SA"/>
    </w:rPr>
  </w:style>
  <w:style w:type="paragraph" w:customStyle="1" w:styleId="892">
    <w:name w:val="AONormal"/>
    <w:qFormat/>
    <w:uiPriority w:val="0"/>
    <w:pPr>
      <w:autoSpaceDE w:val="0"/>
      <w:autoSpaceDN w:val="0"/>
      <w:adjustRightInd w:val="0"/>
      <w:spacing w:line="400" w:lineRule="exact"/>
      <w:ind w:firstLine="20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49DE91-8A6E-4F92-A885-84D63F94FF0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125</Pages>
  <Words>929</Words>
  <Characters>1079</Characters>
  <Lines>534</Lines>
  <Paragraphs>150</Paragraphs>
  <TotalTime>5</TotalTime>
  <ScaleCrop>false</ScaleCrop>
  <LinksUpToDate>false</LinksUpToDate>
  <CharactersWithSpaces>1183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2025-06-21T05:35:00Z</dcterms:created>
  <dc:creator>玥</dc:creator>
  <cp:lastModifiedBy>WPS_1648092203</cp:lastModifiedBy>
  <cp:lastPrinted>2025-06-21T05:35:00Z</cp:lastPrinted>
  <dcterms:modified xsi:type="dcterms:W3CDTF">2025-07-08T11:12:16Z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E575678FEE884F78BA86C91CA98EFB13_13</vt:lpwstr>
  </property>
  <property fmtid="{D5CDD505-2E9C-101B-9397-08002B2CF9AE}" pid="5" name="KSOTemplateDocerSaveRecord">
    <vt:lpwstr>eyJoZGlkIjoiOWNhMzM4YzVlMTBkMWM4MjU2NTNhZGI3ZDI4OGVjMTQiLCJ1c2VySWQiOiIxMzQ4OTMwNzU5In0=</vt:lpwstr>
  </property>
</Properties>
</file>