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rPr>
          <w:rFonts w:hint="eastAsia"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浙江省文物考古研究所</w:t>
      </w:r>
    </w:p>
    <w:p>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(浙江省世界文化遗产监测中心)</w:t>
      </w:r>
    </w:p>
    <w:p>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2025年良渚古城及水利系统（反山遗址）发掘不间断延时摄影及三维可视化呈现设备采购</w:t>
      </w:r>
    </w:p>
    <w:p>
      <w:pPr>
        <w:adjustRightInd w:val="0"/>
        <w:snapToGrid w:val="0"/>
        <w:spacing w:line="288" w:lineRule="auto"/>
        <w:jc w:val="center"/>
        <w:rPr>
          <w:rFonts w:hint="eastAsia" w:ascii="楷体" w:hAnsi="楷体" w:eastAsia="楷体" w:cs="楷体"/>
          <w:b/>
          <w:bCs/>
          <w:sz w:val="48"/>
          <w:szCs w:val="48"/>
        </w:rPr>
      </w:pPr>
    </w:p>
    <w:p>
      <w:pPr>
        <w:adjustRightInd w:val="0"/>
        <w:snapToGrid w:val="0"/>
        <w:spacing w:line="288" w:lineRule="auto"/>
        <w:jc w:val="center"/>
        <w:rPr>
          <w:rFonts w:hint="eastAsia" w:ascii="楷体" w:hAnsi="楷体" w:eastAsia="楷体" w:cs="楷体"/>
          <w:b/>
          <w:bCs/>
          <w:sz w:val="48"/>
          <w:szCs w:val="48"/>
        </w:rPr>
      </w:pPr>
    </w:p>
    <w:p>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hint="eastAsia" w:ascii="楷体" w:hAnsi="楷体" w:eastAsia="楷体" w:cs="楷体"/>
          <w:b/>
          <w:bCs/>
          <w:sz w:val="36"/>
          <w:szCs w:val="36"/>
        </w:rPr>
      </w:pPr>
    </w:p>
    <w:p>
      <w:pPr>
        <w:adjustRightInd w:val="0"/>
        <w:snapToGrid w:val="0"/>
        <w:spacing w:line="288" w:lineRule="auto"/>
        <w:jc w:val="center"/>
        <w:rPr>
          <w:rFonts w:hint="eastAsia"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项目名称：2025年良渚古城及水利系统（反山遗址）发掘不间断延时摄影及三维可视化呈现设备采购</w:t>
      </w: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r>
        <w:rPr>
          <w:rFonts w:hint="eastAsia" w:ascii="楷体" w:hAnsi="楷体" w:eastAsia="楷体" w:cs="楷体"/>
          <w:b/>
          <w:bCs/>
          <w:sz w:val="30"/>
          <w:szCs w:val="30"/>
          <w:lang w:eastAsia="zh-CN"/>
        </w:rPr>
        <w:t>QSZBE250048ZHCS</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 购 人：浙江省文物考古研究所(浙江省世界文化遗产监测中心)</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采购计划文号：</w:t>
      </w:r>
      <w:r>
        <w:rPr>
          <w:rFonts w:ascii="楷体" w:hAnsi="楷体" w:eastAsia="楷体" w:cs="Times New Roman"/>
          <w:b/>
          <w:spacing w:val="-6"/>
          <w:sz w:val="30"/>
          <w:szCs w:val="30"/>
        </w:rPr>
        <w:t>[2025]36328号</w:t>
      </w:r>
    </w:p>
    <w:p>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hint="eastAsia" w:ascii="楷体" w:hAnsi="楷体" w:eastAsia="楷体" w:cs="楷体"/>
          <w:b/>
          <w:bCs/>
          <w:sz w:val="30"/>
          <w:szCs w:val="30"/>
        </w:rPr>
      </w:pPr>
    </w:p>
    <w:p>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hint="eastAsia" w:ascii="楷体" w:hAnsi="楷体" w:eastAsia="楷体" w:cs="楷体"/>
          <w:b/>
          <w:bCs/>
          <w:sz w:val="30"/>
          <w:szCs w:val="30"/>
        </w:rPr>
      </w:pP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rPr>
          <w:rFonts w:hint="eastAsia"/>
        </w:rPr>
      </w:pPr>
    </w:p>
    <w:p>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2025年良渚古城及水利系统（反山遗址）发掘不间断延时摄影及三维可视化呈现设备采购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2025年7月15日</w:t>
      </w:r>
      <w:r>
        <w:rPr>
          <w:rFonts w:hint="eastAsia"/>
          <w:b/>
          <w:sz w:val="21"/>
          <w:szCs w:val="21"/>
          <w:u w:val="single"/>
        </w:rPr>
        <w:t xml:space="preserve">9:30:00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rFonts w:hint="eastAsia"/>
          <w:b/>
          <w:sz w:val="21"/>
          <w:szCs w:val="21"/>
        </w:rPr>
      </w:pPr>
      <w:bookmarkStart w:id="0" w:name="_Toc35393790"/>
      <w:bookmarkStart w:id="1" w:name="_Toc35393621"/>
      <w:bookmarkStart w:id="2" w:name="_Toc28359079"/>
      <w:bookmarkStart w:id="3" w:name="_Toc28359002"/>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lang w:eastAsia="zh-CN"/>
        </w:rPr>
      </w:pPr>
      <w:r>
        <w:rPr>
          <w:rFonts w:hint="eastAsia"/>
          <w:sz w:val="21"/>
          <w:szCs w:val="21"/>
        </w:rPr>
        <w:t>1</w:t>
      </w:r>
      <w:r>
        <w:rPr>
          <w:sz w:val="21"/>
          <w:szCs w:val="21"/>
        </w:rPr>
        <w:t>.</w:t>
      </w:r>
      <w:r>
        <w:rPr>
          <w:rFonts w:hint="eastAsia"/>
          <w:sz w:val="21"/>
          <w:szCs w:val="21"/>
        </w:rPr>
        <w:t>项目编号：</w:t>
      </w:r>
      <w:bookmarkStart w:id="63" w:name="_GoBack"/>
      <w:r>
        <w:rPr>
          <w:rFonts w:hint="eastAsia"/>
          <w:bCs/>
          <w:sz w:val="21"/>
          <w:szCs w:val="21"/>
          <w:lang w:eastAsia="zh-CN"/>
        </w:rPr>
        <w:t>QSZBE250048ZHCS</w:t>
      </w:r>
      <w:bookmarkEnd w:id="63"/>
    </w:p>
    <w:p>
      <w:pPr>
        <w:adjustRightInd w:val="0"/>
        <w:snapToGrid w:val="0"/>
        <w:spacing w:line="288" w:lineRule="auto"/>
        <w:ind w:firstLine="420" w:firstLineChars="200"/>
        <w:rPr>
          <w:rFonts w:hint="eastAsia"/>
          <w:sz w:val="21"/>
          <w:szCs w:val="21"/>
        </w:rPr>
      </w:pPr>
      <w:r>
        <w:rPr>
          <w:sz w:val="21"/>
          <w:szCs w:val="21"/>
        </w:rPr>
        <w:t>2.</w:t>
      </w:r>
      <w:r>
        <w:rPr>
          <w:rFonts w:hint="eastAsia"/>
          <w:sz w:val="21"/>
          <w:szCs w:val="21"/>
        </w:rPr>
        <w:t>项目名称：2025年良渚古城及水利系统（反山遗址）发掘不间断延时摄影及三维可视化呈现设备采购</w:t>
      </w:r>
    </w:p>
    <w:p>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预算金额：810000元</w:t>
      </w:r>
    </w:p>
    <w:p>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最高限价：810000元</w:t>
      </w:r>
    </w:p>
    <w:p>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w:t>
      </w:r>
      <w:r>
        <w:rPr>
          <w:rFonts w:hint="eastAsia"/>
          <w:spacing w:val="-6"/>
          <w:sz w:val="21"/>
          <w:szCs w:val="21"/>
        </w:rPr>
        <w:t>合同签订之日起2个月内交付。</w:t>
      </w:r>
    </w:p>
    <w:p>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85"/>
        <w:gridCol w:w="730"/>
        <w:gridCol w:w="800"/>
        <w:gridCol w:w="29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序号</w:t>
            </w:r>
          </w:p>
        </w:tc>
        <w:tc>
          <w:tcPr>
            <w:tcW w:w="3085" w:type="dxa"/>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名称</w:t>
            </w:r>
          </w:p>
        </w:tc>
        <w:tc>
          <w:tcPr>
            <w:tcW w:w="730" w:type="dxa"/>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数量</w:t>
            </w:r>
          </w:p>
        </w:tc>
        <w:tc>
          <w:tcPr>
            <w:tcW w:w="800" w:type="dxa"/>
            <w:tcBorders>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单位</w:t>
            </w:r>
          </w:p>
        </w:tc>
        <w:tc>
          <w:tcPr>
            <w:tcW w:w="2927" w:type="dxa"/>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bCs/>
                <w:sz w:val="21"/>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b/>
                <w:bCs/>
                <w:sz w:val="21"/>
                <w:szCs w:val="21"/>
              </w:rPr>
            </w:pPr>
            <w:r>
              <w:rPr>
                <w:rFonts w:hint="eastAsia"/>
                <w:b/>
                <w:sz w:val="21"/>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一</w:t>
            </w:r>
          </w:p>
        </w:tc>
        <w:tc>
          <w:tcPr>
            <w:tcW w:w="3085" w:type="dxa"/>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2025年良渚古城及水利系统（反山遗址）发掘不间断延时摄影及三维可视化呈现设备采购</w:t>
            </w:r>
          </w:p>
        </w:tc>
        <w:tc>
          <w:tcPr>
            <w:tcW w:w="730" w:type="dxa"/>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1</w:t>
            </w:r>
          </w:p>
        </w:tc>
        <w:tc>
          <w:tcPr>
            <w:tcW w:w="800" w:type="dxa"/>
            <w:tcBorders>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批</w:t>
            </w:r>
          </w:p>
        </w:tc>
        <w:tc>
          <w:tcPr>
            <w:tcW w:w="2927" w:type="dxa"/>
            <w:tcBorders>
              <w:right w:val="single" w:color="auto" w:sz="4" w:space="0"/>
              <w:tl2br w:val="nil"/>
              <w:tr2bl w:val="nil"/>
            </w:tcBorders>
            <w:vAlign w:val="center"/>
          </w:tcPr>
          <w:p>
            <w:pPr>
              <w:adjustRightInd w:val="0"/>
              <w:snapToGrid w:val="0"/>
              <w:spacing w:line="288" w:lineRule="auto"/>
              <w:jc w:val="center"/>
              <w:rPr>
                <w:rFonts w:hint="eastAsia"/>
                <w:bCs/>
                <w:sz w:val="21"/>
                <w:szCs w:val="21"/>
              </w:rPr>
            </w:pPr>
            <w:r>
              <w:rPr>
                <w:rFonts w:hint="eastAsia"/>
                <w:bCs/>
                <w:sz w:val="21"/>
                <w:szCs w:val="21"/>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sz w:val="21"/>
                <w:szCs w:val="21"/>
              </w:rPr>
            </w:pPr>
            <w:r>
              <w:rPr>
                <w:rFonts w:hint="eastAsia"/>
                <w:sz w:val="21"/>
                <w:szCs w:val="21"/>
              </w:rPr>
              <w:t>否</w:t>
            </w:r>
          </w:p>
        </w:tc>
      </w:tr>
    </w:tbl>
    <w:p>
      <w:pPr>
        <w:adjustRightInd w:val="0"/>
        <w:snapToGrid w:val="0"/>
        <w:spacing w:line="288" w:lineRule="auto"/>
        <w:rPr>
          <w:rFonts w:hint="eastAsia"/>
          <w:b/>
          <w:sz w:val="21"/>
          <w:szCs w:val="21"/>
        </w:rPr>
      </w:pPr>
      <w:bookmarkStart w:id="5" w:name="_Toc35393791"/>
      <w:bookmarkStart w:id="6" w:name="_Toc35393622"/>
      <w:bookmarkStart w:id="7" w:name="_Toc28359080"/>
      <w:bookmarkStart w:id="8" w:name="_Toc28359003"/>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hint="eastAsia"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cs="Times New Roman"/>
          <w:sz w:val="21"/>
          <w:szCs w:val="21"/>
        </w:rPr>
      </w:pPr>
      <w:r>
        <w:rPr>
          <w:rFonts w:hint="eastAsia" w:cs="Times New Roman"/>
          <w:sz w:val="21"/>
          <w:szCs w:val="21"/>
        </w:rPr>
        <w:t>2.落实政府采购政策需满足的资格要求：无</w:t>
      </w:r>
    </w:p>
    <w:p>
      <w:pPr>
        <w:adjustRightInd w:val="0"/>
        <w:snapToGrid w:val="0"/>
        <w:spacing w:line="288" w:lineRule="auto"/>
        <w:ind w:firstLine="420" w:firstLineChars="200"/>
        <w:rPr>
          <w:rFonts w:hint="eastAsia"/>
          <w:sz w:val="21"/>
          <w:szCs w:val="21"/>
        </w:rPr>
      </w:pPr>
      <w:r>
        <w:rPr>
          <w:rFonts w:hint="eastAsia"/>
          <w:sz w:val="21"/>
          <w:szCs w:val="21"/>
        </w:rPr>
        <w:t>3.本项目的特定资格要求：无。</w:t>
      </w:r>
    </w:p>
    <w:p>
      <w:pPr>
        <w:adjustRightInd w:val="0"/>
        <w:snapToGrid w:val="0"/>
        <w:spacing w:line="288" w:lineRule="auto"/>
        <w:rPr>
          <w:rFonts w:hint="eastAsia"/>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rFonts w:hint="eastAsia"/>
          <w:sz w:val="21"/>
          <w:szCs w:val="21"/>
        </w:rPr>
      </w:pPr>
      <w:bookmarkStart w:id="13" w:name="_Toc35393793"/>
      <w:bookmarkStart w:id="14" w:name="_Toc28359005"/>
      <w:bookmarkStart w:id="15" w:name="_Toc28359082"/>
      <w:bookmarkStart w:id="16" w:name="_Toc35393624"/>
      <w:r>
        <w:rPr>
          <w:rFonts w:hint="eastAsia"/>
          <w:sz w:val="21"/>
          <w:szCs w:val="21"/>
        </w:rPr>
        <w:t>时间：/至</w:t>
      </w:r>
      <w:r>
        <w:rPr>
          <w:rFonts w:hint="eastAsia"/>
          <w:sz w:val="21"/>
          <w:szCs w:val="21"/>
          <w:lang w:eastAsia="zh-CN"/>
        </w:rPr>
        <w:t>2025年7月15日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rFonts w:hint="eastAsia"/>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hint="eastAsia"/>
          <w:sz w:val="21"/>
          <w:szCs w:val="21"/>
        </w:rPr>
      </w:pPr>
      <w:r>
        <w:rPr>
          <w:rFonts w:hint="eastAsia"/>
          <w:sz w:val="21"/>
          <w:szCs w:val="21"/>
        </w:rPr>
        <w:t>售价（元）：0</w:t>
      </w:r>
    </w:p>
    <w:p>
      <w:pPr>
        <w:adjustRightInd w:val="0"/>
        <w:snapToGrid w:val="0"/>
        <w:spacing w:line="288" w:lineRule="auto"/>
        <w:rPr>
          <w:rFonts w:hint="eastAsia"/>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rFonts w:hint="eastAsia"/>
          <w:bCs/>
          <w:sz w:val="21"/>
          <w:szCs w:val="21"/>
        </w:rPr>
      </w:pPr>
      <w:r>
        <w:rPr>
          <w:rFonts w:hint="eastAsia"/>
          <w:bCs/>
          <w:sz w:val="21"/>
          <w:szCs w:val="21"/>
        </w:rPr>
        <w:t>截止时间：</w:t>
      </w:r>
      <w:r>
        <w:rPr>
          <w:rFonts w:hint="eastAsia"/>
          <w:bCs/>
          <w:sz w:val="21"/>
          <w:szCs w:val="21"/>
          <w:lang w:eastAsia="zh-CN"/>
        </w:rPr>
        <w:t>2025年7月15日</w:t>
      </w:r>
      <w:r>
        <w:rPr>
          <w:rFonts w:hint="eastAsia"/>
          <w:bCs/>
          <w:sz w:val="21"/>
          <w:szCs w:val="21"/>
        </w:rPr>
        <w:t>9:30:00（北京时间）</w:t>
      </w:r>
    </w:p>
    <w:p>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rFonts w:hint="eastAsia"/>
          <w:b/>
          <w:sz w:val="21"/>
          <w:szCs w:val="21"/>
        </w:rPr>
      </w:pPr>
      <w:bookmarkStart w:id="17" w:name="_Toc28359084"/>
      <w:bookmarkStart w:id="18" w:name="_Toc28359007"/>
      <w:bookmarkStart w:id="19" w:name="_Toc35393625"/>
      <w:bookmarkStart w:id="20" w:name="_Toc35393794"/>
      <w:r>
        <w:rPr>
          <w:rFonts w:hint="eastAsia"/>
          <w:b/>
          <w:sz w:val="21"/>
          <w:szCs w:val="21"/>
        </w:rPr>
        <w:t>五、响应文件开启</w:t>
      </w:r>
    </w:p>
    <w:p>
      <w:pPr>
        <w:adjustRightInd w:val="0"/>
        <w:snapToGrid w:val="0"/>
        <w:spacing w:line="288" w:lineRule="auto"/>
        <w:ind w:firstLine="420" w:firstLineChars="200"/>
        <w:rPr>
          <w:rFonts w:hint="eastAsia"/>
          <w:bCs/>
          <w:sz w:val="21"/>
          <w:szCs w:val="21"/>
        </w:rPr>
      </w:pPr>
      <w:r>
        <w:rPr>
          <w:rFonts w:hint="eastAsia"/>
          <w:bCs/>
          <w:sz w:val="21"/>
          <w:szCs w:val="21"/>
        </w:rPr>
        <w:t>开启时间：</w:t>
      </w:r>
      <w:r>
        <w:rPr>
          <w:rFonts w:hint="eastAsia"/>
          <w:bCs/>
          <w:sz w:val="21"/>
          <w:szCs w:val="21"/>
          <w:lang w:eastAsia="zh-CN"/>
        </w:rPr>
        <w:t>2025年7月15日</w:t>
      </w:r>
      <w:r>
        <w:rPr>
          <w:rFonts w:hint="eastAsia"/>
          <w:bCs/>
          <w:sz w:val="21"/>
          <w:szCs w:val="21"/>
        </w:rPr>
        <w:t>9:30:00（北京时间）</w:t>
      </w:r>
    </w:p>
    <w:p>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/杭州市西湖区玉古路173号中田大厦21楼（求是招标会议室</w:t>
      </w:r>
      <w:r>
        <w:rPr>
          <w:rFonts w:hint="eastAsia" w:cs="Times New Roman"/>
          <w:sz w:val="21"/>
          <w:szCs w:val="21"/>
          <w:lang w:val="en-US" w:eastAsia="zh-CN"/>
        </w:rPr>
        <w:t>4</w:t>
      </w:r>
      <w:r>
        <w:rPr>
          <w:rFonts w:hint="eastAsia" w:cs="Times New Roman"/>
          <w:sz w:val="21"/>
          <w:szCs w:val="21"/>
        </w:rPr>
        <w:t>）</w:t>
      </w:r>
    </w:p>
    <w:p>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pPr>
        <w:adjustRightInd w:val="0"/>
        <w:snapToGrid w:val="0"/>
        <w:spacing w:line="288" w:lineRule="auto"/>
        <w:rPr>
          <w:rFonts w:hint="eastAsia"/>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hint="eastAsia" w:cs="Times New Roman"/>
          <w:sz w:val="21"/>
          <w:szCs w:val="21"/>
        </w:rPr>
      </w:pPr>
      <w:bookmarkStart w:id="23" w:name="_Hlk97039575"/>
      <w:bookmarkStart w:id="24" w:name="_Toc35393796"/>
      <w:bookmarkStart w:id="25" w:name="_Toc28359008"/>
      <w:bookmarkStart w:id="26" w:name="_Toc28359085"/>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rFonts w:hint="eastAsia"/>
          <w:sz w:val="21"/>
          <w:szCs w:val="21"/>
        </w:rPr>
      </w:pPr>
      <w:r>
        <w:rPr>
          <w:rFonts w:hint="eastAsia"/>
          <w:sz w:val="21"/>
          <w:szCs w:val="21"/>
        </w:rPr>
        <w:t>1.采购人信息</w:t>
      </w:r>
    </w:p>
    <w:p>
      <w:pPr>
        <w:adjustRightInd w:val="0"/>
        <w:snapToGrid w:val="0"/>
        <w:spacing w:line="288" w:lineRule="auto"/>
        <w:ind w:firstLine="424" w:firstLineChars="202"/>
        <w:rPr>
          <w:rFonts w:hint="eastAsia"/>
          <w:sz w:val="21"/>
          <w:szCs w:val="21"/>
        </w:rPr>
      </w:pPr>
      <w:r>
        <w:rPr>
          <w:rFonts w:hint="eastAsia"/>
          <w:sz w:val="21"/>
          <w:szCs w:val="21"/>
        </w:rPr>
        <w:t>名称：浙江省文物考古研究所(浙江省世界文化遗产监测中心)</w:t>
      </w:r>
    </w:p>
    <w:p>
      <w:pPr>
        <w:adjustRightInd w:val="0"/>
        <w:snapToGrid w:val="0"/>
        <w:spacing w:line="288" w:lineRule="auto"/>
        <w:ind w:firstLine="424" w:firstLineChars="202"/>
        <w:rPr>
          <w:rFonts w:hint="eastAsia"/>
          <w:sz w:val="21"/>
          <w:szCs w:val="21"/>
        </w:rPr>
      </w:pPr>
      <w:r>
        <w:rPr>
          <w:rFonts w:hint="eastAsia"/>
          <w:sz w:val="21"/>
          <w:szCs w:val="21"/>
        </w:rPr>
        <w:t>地址：杭州市教工路71号</w:t>
      </w:r>
    </w:p>
    <w:p>
      <w:pPr>
        <w:adjustRightInd w:val="0"/>
        <w:snapToGrid w:val="0"/>
        <w:spacing w:line="288" w:lineRule="auto"/>
        <w:ind w:firstLine="424" w:firstLineChars="202"/>
        <w:rPr>
          <w:rFonts w:hint="eastAsia"/>
          <w:sz w:val="21"/>
          <w:szCs w:val="21"/>
        </w:rPr>
      </w:pPr>
      <w:r>
        <w:rPr>
          <w:rFonts w:hint="eastAsia"/>
          <w:sz w:val="21"/>
          <w:szCs w:val="21"/>
        </w:rPr>
        <w:t>传真：/</w:t>
      </w:r>
    </w:p>
    <w:p>
      <w:pPr>
        <w:adjustRightInd w:val="0"/>
        <w:snapToGrid w:val="0"/>
        <w:spacing w:line="288" w:lineRule="auto"/>
        <w:ind w:firstLine="424" w:firstLineChars="202"/>
        <w:rPr>
          <w:rFonts w:hint="eastAsia"/>
          <w:sz w:val="21"/>
          <w:szCs w:val="21"/>
        </w:rPr>
      </w:pPr>
      <w:r>
        <w:rPr>
          <w:rFonts w:hint="eastAsia"/>
          <w:sz w:val="21"/>
          <w:szCs w:val="21"/>
        </w:rPr>
        <w:t>项目联系人（询问）：蒋老师</w:t>
      </w:r>
    </w:p>
    <w:p>
      <w:pPr>
        <w:adjustRightInd w:val="0"/>
        <w:snapToGrid w:val="0"/>
        <w:spacing w:line="288" w:lineRule="auto"/>
        <w:ind w:firstLine="424" w:firstLineChars="202"/>
        <w:rPr>
          <w:rFonts w:hint="eastAsia"/>
          <w:sz w:val="21"/>
          <w:szCs w:val="21"/>
        </w:rPr>
      </w:pPr>
      <w:r>
        <w:rPr>
          <w:rFonts w:hint="eastAsia"/>
          <w:sz w:val="21"/>
          <w:szCs w:val="21"/>
        </w:rPr>
        <w:t>项目联系方式（询问）：0571-87956218</w:t>
      </w:r>
    </w:p>
    <w:p>
      <w:pPr>
        <w:adjustRightInd w:val="0"/>
        <w:snapToGrid w:val="0"/>
        <w:spacing w:line="288" w:lineRule="auto"/>
        <w:ind w:firstLine="424" w:firstLineChars="202"/>
        <w:rPr>
          <w:rFonts w:hint="eastAsia"/>
          <w:sz w:val="21"/>
          <w:szCs w:val="21"/>
        </w:rPr>
      </w:pPr>
      <w:r>
        <w:rPr>
          <w:rFonts w:hint="eastAsia"/>
          <w:sz w:val="21"/>
          <w:szCs w:val="21"/>
        </w:rPr>
        <w:t>质疑联系人：张老师</w:t>
      </w:r>
    </w:p>
    <w:p>
      <w:pPr>
        <w:adjustRightInd w:val="0"/>
        <w:snapToGrid w:val="0"/>
        <w:spacing w:line="288" w:lineRule="auto"/>
        <w:ind w:firstLine="424" w:firstLineChars="202"/>
        <w:rPr>
          <w:rFonts w:hint="eastAsia"/>
          <w:sz w:val="21"/>
          <w:szCs w:val="21"/>
        </w:rPr>
      </w:pPr>
      <w:r>
        <w:rPr>
          <w:rFonts w:hint="eastAsia"/>
          <w:sz w:val="21"/>
          <w:szCs w:val="21"/>
        </w:rPr>
        <w:t>质疑联系方式：0571-88038198</w:t>
      </w:r>
    </w:p>
    <w:p>
      <w:pPr>
        <w:adjustRightInd w:val="0"/>
        <w:snapToGrid w:val="0"/>
        <w:spacing w:line="288" w:lineRule="auto"/>
        <w:ind w:firstLine="424" w:firstLineChars="202"/>
        <w:rPr>
          <w:rFonts w:hint="eastAsia"/>
          <w:sz w:val="21"/>
          <w:szCs w:val="21"/>
        </w:rPr>
      </w:pPr>
    </w:p>
    <w:p>
      <w:pPr>
        <w:adjustRightInd w:val="0"/>
        <w:snapToGrid w:val="0"/>
        <w:spacing w:line="288" w:lineRule="auto"/>
        <w:ind w:firstLine="424" w:firstLineChars="202"/>
        <w:rPr>
          <w:rFonts w:hint="eastAsia"/>
          <w:sz w:val="21"/>
          <w:szCs w:val="21"/>
        </w:rPr>
      </w:pPr>
      <w:r>
        <w:rPr>
          <w:sz w:val="21"/>
          <w:szCs w:val="21"/>
        </w:rPr>
        <w:t>2.采购代理机构信息</w:t>
      </w:r>
    </w:p>
    <w:p>
      <w:pPr>
        <w:adjustRightInd w:val="0"/>
        <w:snapToGrid w:val="0"/>
        <w:spacing w:line="288" w:lineRule="auto"/>
        <w:ind w:firstLine="424" w:firstLineChars="202"/>
        <w:rPr>
          <w:rFonts w:hint="eastAsia"/>
          <w:sz w:val="21"/>
          <w:szCs w:val="21"/>
        </w:rPr>
      </w:pPr>
      <w:r>
        <w:rPr>
          <w:rFonts w:hint="eastAsia"/>
          <w:sz w:val="21"/>
          <w:szCs w:val="21"/>
        </w:rPr>
        <w:t>名称：浙江求是招标代理有限公司</w:t>
      </w:r>
    </w:p>
    <w:p>
      <w:pPr>
        <w:adjustRightInd w:val="0"/>
        <w:snapToGrid w:val="0"/>
        <w:spacing w:line="288" w:lineRule="auto"/>
        <w:ind w:firstLine="424" w:firstLineChars="202"/>
        <w:rPr>
          <w:rFonts w:hint="eastAsia"/>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rFonts w:hint="eastAsia"/>
          <w:sz w:val="21"/>
          <w:szCs w:val="21"/>
        </w:rPr>
      </w:pPr>
      <w:r>
        <w:rPr>
          <w:rFonts w:hint="eastAsia"/>
          <w:sz w:val="21"/>
          <w:szCs w:val="21"/>
        </w:rPr>
        <w:t>项目联系人（询问）：蒋晗、王鑫涛</w:t>
      </w:r>
    </w:p>
    <w:p>
      <w:pPr>
        <w:adjustRightInd w:val="0"/>
        <w:snapToGrid w:val="0"/>
        <w:spacing w:line="288" w:lineRule="auto"/>
        <w:ind w:firstLine="424" w:firstLineChars="202"/>
        <w:rPr>
          <w:rFonts w:hint="eastAsia"/>
          <w:sz w:val="21"/>
          <w:szCs w:val="21"/>
        </w:rPr>
      </w:pPr>
      <w:r>
        <w:rPr>
          <w:rFonts w:hint="eastAsia"/>
          <w:sz w:val="21"/>
          <w:szCs w:val="21"/>
        </w:rPr>
        <w:t>项目联系方式（询问）：0571-87666117</w:t>
      </w:r>
    </w:p>
    <w:p>
      <w:pPr>
        <w:adjustRightInd w:val="0"/>
        <w:snapToGrid w:val="0"/>
        <w:spacing w:line="288" w:lineRule="auto"/>
        <w:ind w:firstLine="424" w:firstLineChars="202"/>
        <w:rPr>
          <w:rFonts w:hint="eastAsia"/>
          <w:sz w:val="21"/>
          <w:szCs w:val="21"/>
        </w:rPr>
      </w:pPr>
      <w:r>
        <w:rPr>
          <w:rFonts w:hint="eastAsia"/>
          <w:sz w:val="21"/>
          <w:szCs w:val="21"/>
        </w:rPr>
        <w:t>质疑联系人：周安琪</w:t>
      </w:r>
    </w:p>
    <w:p>
      <w:pPr>
        <w:adjustRightInd w:val="0"/>
        <w:snapToGrid w:val="0"/>
        <w:spacing w:line="288" w:lineRule="auto"/>
        <w:ind w:firstLine="424" w:firstLineChars="202"/>
        <w:rPr>
          <w:rFonts w:hint="eastAsia"/>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rFonts w:hint="eastAsia"/>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hint="eastAsia" w:cs="Times New Roman"/>
          <w:sz w:val="21"/>
          <w:szCs w:val="21"/>
        </w:rPr>
      </w:pP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3.同级政府采购监督管理部门</w:t>
      </w: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名称：浙江省财政厅政府采购监管处、浙江省政府采购行政裁决服务中心（杭州）</w:t>
      </w: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地址：杭州市上城区清泰街549号城建综合大楼11楼（快递仅限ems或顺丰）</w:t>
      </w: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传真：/</w:t>
      </w: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联系人：朱女士、王女士</w:t>
      </w:r>
    </w:p>
    <w:p>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监督投诉电话：0571-87227671,0571-87800218</w:t>
      </w:r>
    </w:p>
    <w:p>
      <w:pPr>
        <w:adjustRightInd w:val="0"/>
        <w:snapToGrid w:val="0"/>
        <w:spacing w:line="288" w:lineRule="auto"/>
        <w:ind w:firstLine="425" w:firstLineChars="215"/>
        <w:rPr>
          <w:rFonts w:hint="eastAsia" w:cs="Times New Roman"/>
          <w:spacing w:val="-6"/>
          <w:sz w:val="21"/>
          <w:szCs w:val="21"/>
        </w:rPr>
      </w:pP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预算金额未达100万元的采购项目，由采购人处理采购争议。</w:t>
      </w:r>
    </w:p>
    <w:p>
      <w:pPr>
        <w:adjustRightInd w:val="0"/>
        <w:snapToGrid w:val="0"/>
        <w:spacing w:line="288" w:lineRule="auto"/>
        <w:rPr>
          <w:rFonts w:hint="eastAsia" w:cs="Times New Roman"/>
          <w:spacing w:val="-6"/>
          <w:sz w:val="21"/>
          <w:szCs w:val="21"/>
        </w:rPr>
      </w:pPr>
    </w:p>
    <w:p>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rFonts w:hint="eastAsia"/>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b/>
                <w:bCs/>
                <w:sz w:val="21"/>
                <w:szCs w:val="21"/>
              </w:rPr>
            </w:pPr>
            <w:r>
              <w:rPr>
                <w:rFonts w:hint="eastAsia"/>
                <w:sz w:val="21"/>
                <w:szCs w:val="21"/>
              </w:rPr>
              <w:t>1</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b/>
                <w:bCs/>
                <w:sz w:val="21"/>
                <w:szCs w:val="21"/>
              </w:rPr>
            </w:pPr>
            <w:r>
              <w:rPr>
                <w:rFonts w:hint="eastAsia"/>
                <w:sz w:val="21"/>
                <w:szCs w:val="21"/>
              </w:rPr>
              <w:t>2</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b/>
                <w:bCs/>
                <w:sz w:val="21"/>
                <w:szCs w:val="21"/>
              </w:rPr>
            </w:pPr>
            <w:r>
              <w:rPr>
                <w:rFonts w:hint="eastAsia"/>
                <w:sz w:val="21"/>
                <w:szCs w:val="21"/>
              </w:rPr>
              <w:t>3</w:t>
            </w:r>
          </w:p>
        </w:tc>
        <w:tc>
          <w:tcPr>
            <w:tcW w:w="3256" w:type="dxa"/>
            <w:vAlign w:val="center"/>
          </w:tcPr>
          <w:p>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rFonts w:hint="eastAsia"/>
                <w:b/>
                <w:bCs/>
                <w:sz w:val="21"/>
                <w:szCs w:val="21"/>
              </w:rPr>
            </w:pPr>
            <w:r>
              <w:rPr>
                <w:rFonts w:hint="eastAsia"/>
                <w:sz w:val="21"/>
                <w:szCs w:val="21"/>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sz w:val="21"/>
                <w:szCs w:val="21"/>
              </w:rPr>
            </w:pPr>
            <w:r>
              <w:rPr>
                <w:rFonts w:hint="eastAsia"/>
                <w:sz w:val="21"/>
                <w:szCs w:val="21"/>
              </w:rPr>
              <w:t>4</w:t>
            </w:r>
          </w:p>
        </w:tc>
        <w:tc>
          <w:tcPr>
            <w:tcW w:w="3256" w:type="dxa"/>
            <w:vAlign w:val="center"/>
          </w:tcPr>
          <w:p>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rFonts w:hint="eastAsia"/>
                <w:sz w:val="21"/>
                <w:szCs w:val="18"/>
              </w:rPr>
            </w:pPr>
            <w:r>
              <w:rPr>
                <w:rFonts w:hint="eastAsia"/>
                <w:sz w:val="21"/>
                <w:szCs w:val="18"/>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b/>
                <w:bCs/>
                <w:sz w:val="21"/>
                <w:szCs w:val="21"/>
              </w:rPr>
            </w:pPr>
            <w:r>
              <w:rPr>
                <w:rFonts w:hint="eastAsia"/>
                <w:sz w:val="21"/>
                <w:szCs w:val="21"/>
              </w:rPr>
              <w:t>5</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rFonts w:hint="eastAsia"/>
                <w:sz w:val="21"/>
                <w:szCs w:val="21"/>
              </w:rPr>
            </w:pPr>
            <w:r>
              <w:rPr>
                <w:rFonts w:hint="eastAsia"/>
                <w:sz w:val="21"/>
                <w:szCs w:val="21"/>
              </w:rPr>
              <w:t>提供材料详见磋商文件第六章“报价文件”</w:t>
            </w:r>
          </w:p>
          <w:p>
            <w:pPr>
              <w:adjustRightInd w:val="0"/>
              <w:snapToGrid w:val="0"/>
              <w:spacing w:line="288" w:lineRule="auto"/>
              <w:jc w:val="left"/>
              <w:rPr>
                <w:rFonts w:hint="eastAsia" w:cs="Times New Roman"/>
                <w:b/>
                <w:bCs/>
                <w:sz w:val="21"/>
                <w:szCs w:val="21"/>
              </w:rPr>
            </w:pPr>
            <w:r>
              <w:rPr>
                <w:rFonts w:hint="eastAsia" w:cs="Times New Roman"/>
                <w:b/>
                <w:bCs/>
                <w:sz w:val="21"/>
                <w:szCs w:val="21"/>
              </w:rPr>
              <w:t>本项目属性为：货物</w:t>
            </w:r>
          </w:p>
          <w:p>
            <w:pPr>
              <w:adjustRightInd w:val="0"/>
              <w:snapToGrid w:val="0"/>
              <w:spacing w:line="288" w:lineRule="auto"/>
              <w:jc w:val="left"/>
              <w:rPr>
                <w:rFonts w:hint="eastAsia" w:cs="Times New Roman"/>
                <w:b/>
                <w:bCs/>
                <w:sz w:val="21"/>
                <w:szCs w:val="21"/>
              </w:rPr>
            </w:pPr>
            <w:r>
              <w:rPr>
                <w:rFonts w:hint="eastAsia" w:cs="Times New Roman"/>
                <w:b/>
                <w:bCs/>
                <w:sz w:val="21"/>
                <w:szCs w:val="21"/>
              </w:rPr>
              <w:t>采购标的对应的中小企业划分标准所属行业：</w:t>
            </w:r>
            <w:r>
              <w:rPr>
                <w:rFonts w:hint="eastAsia" w:cs="Times New Roman"/>
                <w:sz w:val="21"/>
                <w:szCs w:val="21"/>
              </w:rPr>
              <w:t>工业</w:t>
            </w:r>
          </w:p>
          <w:p>
            <w:pPr>
              <w:adjustRightInd w:val="0"/>
              <w:snapToGrid w:val="0"/>
              <w:spacing w:line="288" w:lineRule="auto"/>
              <w:jc w:val="left"/>
              <w:rPr>
                <w:rFonts w:hint="eastAsia"/>
                <w:b/>
                <w:bCs/>
                <w:sz w:val="21"/>
                <w:szCs w:val="21"/>
              </w:rPr>
            </w:pPr>
            <w:r>
              <w:rPr>
                <w:rFonts w:hint="eastAsia" w:cs="Times New Roman"/>
                <w:b/>
                <w:bCs/>
                <w:sz w:val="21"/>
                <w:szCs w:val="21"/>
              </w:rPr>
              <w:t>中小企业划型标准：</w:t>
            </w:r>
            <w:r>
              <w:rPr>
                <w:rFonts w:hint="eastAsia" w:cs="Times New Roman"/>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sz w:val="21"/>
                <w:szCs w:val="21"/>
              </w:rPr>
            </w:pPr>
            <w:r>
              <w:rPr>
                <w:rFonts w:hint="eastAsia"/>
                <w:sz w:val="21"/>
                <w:szCs w:val="21"/>
              </w:rPr>
              <w:t>6</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hint="eastAsia" w:cs="Times New Roman"/>
                <w:b/>
                <w:bCs/>
                <w:sz w:val="21"/>
                <w:szCs w:val="21"/>
              </w:rPr>
            </w:pPr>
            <w:r>
              <w:rPr>
                <w:rFonts w:hint="eastAsia"/>
                <w:sz w:val="21"/>
                <w:szCs w:val="21"/>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hint="eastAsia"/>
                <w:sz w:val="21"/>
                <w:szCs w:val="21"/>
              </w:rPr>
            </w:pPr>
            <w:r>
              <w:rPr>
                <w:rFonts w:hint="eastAsia"/>
                <w:sz w:val="21"/>
                <w:szCs w:val="21"/>
              </w:rPr>
              <w:t>7</w:t>
            </w:r>
          </w:p>
        </w:tc>
        <w:tc>
          <w:tcPr>
            <w:tcW w:w="3256" w:type="dxa"/>
            <w:vAlign w:val="center"/>
          </w:tcPr>
          <w:p>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rFonts w:hint="eastAsia"/>
                <w:sz w:val="21"/>
                <w:szCs w:val="21"/>
              </w:rPr>
            </w:pPr>
            <w:r>
              <w:rPr>
                <w:rFonts w:hint="eastAsia"/>
                <w:sz w:val="21"/>
                <w:szCs w:val="21"/>
              </w:rPr>
              <w:t>提供材料详见磋商文件第六章“报价文件”</w:t>
            </w:r>
          </w:p>
        </w:tc>
      </w:tr>
      <w:bookmarkEnd w:id="29"/>
    </w:tbl>
    <w:p>
      <w:pPr>
        <w:adjustRightInd w:val="0"/>
        <w:snapToGrid w:val="0"/>
        <w:spacing w:line="288" w:lineRule="auto"/>
        <w:jc w:val="left"/>
        <w:rPr>
          <w:rFonts w:hint="eastAsia"/>
          <w:sz w:val="21"/>
          <w:szCs w:val="21"/>
        </w:rPr>
      </w:pPr>
    </w:p>
    <w:p>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rPr>
            </w:pPr>
            <w:r>
              <w:rPr>
                <w:rFonts w:hint="eastAsia"/>
                <w:spacing w:val="-6"/>
                <w:kern w:val="0"/>
                <w:sz w:val="21"/>
                <w:szCs w:val="21"/>
              </w:rPr>
              <w:t>合同签订后，供应商开具发票且具备实施条件后7个工作日内，采购人向供应商支付合同总价的70%；项目履约完成，经采购人验收合格后，收到发票后7个工作日内，采购人向供应商支付合同总价的30%。</w:t>
            </w:r>
          </w:p>
          <w:p>
            <w:pPr>
              <w:pStyle w:val="9"/>
            </w:pPr>
            <w:r>
              <w:rPr>
                <w:rFonts w:hint="eastAsia" w:hAnsi="宋体" w:cs="宋体"/>
                <w:spacing w:val="-6"/>
                <w:kern w:val="0"/>
                <w:sz w:val="21"/>
                <w:szCs w:val="21"/>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rFonts w:hint="eastAsia"/>
          <w:sz w:val="21"/>
          <w:szCs w:val="21"/>
        </w:rPr>
      </w:pPr>
    </w:p>
    <w:p>
      <w:pPr>
        <w:adjustRightInd w:val="0"/>
        <w:snapToGrid w:val="0"/>
        <w:spacing w:line="288" w:lineRule="auto"/>
        <w:outlineLvl w:val="1"/>
        <w:rPr>
          <w:rFonts w:hint="eastAsia"/>
          <w:b/>
          <w:bCs/>
          <w:sz w:val="21"/>
          <w:szCs w:val="21"/>
        </w:rPr>
      </w:pPr>
      <w:r>
        <w:rPr>
          <w:rFonts w:hint="eastAsia"/>
          <w:b/>
          <w:bCs/>
          <w:sz w:val="21"/>
          <w:szCs w:val="21"/>
        </w:rPr>
        <w:t>三、服务要求（技术要求里另有注明的以技术要求为准）：</w:t>
      </w:r>
    </w:p>
    <w:tbl>
      <w:tblPr>
        <w:tblStyle w:val="1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bookmarkStart w:id="31" w:name="_Hlk97039632"/>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合同签订之日起2个月内交付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sz w:val="21"/>
                <w:szCs w:val="21"/>
              </w:rPr>
              <w:t>▲</w:t>
            </w:r>
            <w:r>
              <w:rPr>
                <w:rFonts w:hint="eastAsia"/>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sz w:val="21"/>
                <w:szCs w:val="21"/>
              </w:rPr>
              <w:t>1</w:t>
            </w:r>
            <w:r>
              <w:rPr>
                <w:rFonts w:hint="eastAsia"/>
                <w:sz w:val="21"/>
                <w:szCs w:val="21"/>
              </w:rPr>
              <w:t>.在质保期内，供应商应对货物出现的质量及安全问题负责处理解决并承担一切费用。</w:t>
            </w:r>
          </w:p>
          <w:p>
            <w:pPr>
              <w:adjustRightInd w:val="0"/>
              <w:snapToGrid w:val="0"/>
              <w:spacing w:line="288" w:lineRule="auto"/>
              <w:rPr>
                <w:rFonts w:hint="eastAsia"/>
                <w:sz w:val="21"/>
                <w:szCs w:val="21"/>
              </w:rPr>
            </w:pPr>
            <w:r>
              <w:rPr>
                <w:sz w:val="21"/>
                <w:szCs w:val="21"/>
              </w:rPr>
              <w:t>2.</w:t>
            </w:r>
            <w:r>
              <w:rPr>
                <w:rFonts w:hint="eastAsia"/>
                <w:sz w:val="21"/>
                <w:szCs w:val="21"/>
              </w:rPr>
              <w:t>质保期内出现无法排除的故障，供应商需无条件更换同型号产品。</w:t>
            </w:r>
          </w:p>
          <w:p>
            <w:pPr>
              <w:adjustRightInd w:val="0"/>
              <w:snapToGrid w:val="0"/>
              <w:spacing w:line="288" w:lineRule="auto"/>
              <w:rPr>
                <w:rFonts w:hint="eastAsia"/>
                <w:sz w:val="21"/>
                <w:szCs w:val="21"/>
              </w:rPr>
            </w:pPr>
            <w:r>
              <w:rPr>
                <w:sz w:val="21"/>
                <w:szCs w:val="21"/>
              </w:rPr>
              <w:t>3.</w:t>
            </w:r>
            <w:r>
              <w:rPr>
                <w:rFonts w:hint="eastAsia"/>
                <w:sz w:val="21"/>
                <w:szCs w:val="21"/>
              </w:rPr>
              <w:t>质保期满后，供应商继续为采购人服务，仅收取零配件成本费。</w:t>
            </w:r>
          </w:p>
          <w:p>
            <w:pPr>
              <w:adjustRightInd w:val="0"/>
              <w:snapToGrid w:val="0"/>
              <w:spacing w:line="288" w:lineRule="auto"/>
              <w:rPr>
                <w:rFonts w:hint="eastAsia"/>
                <w:sz w:val="21"/>
                <w:szCs w:val="21"/>
              </w:rPr>
            </w:pPr>
            <w:r>
              <w:rPr>
                <w:sz w:val="21"/>
                <w:szCs w:val="21"/>
              </w:rPr>
              <w:t>4.</w:t>
            </w:r>
            <w:r>
              <w:rPr>
                <w:rFonts w:hint="eastAsia"/>
                <w:sz w:val="21"/>
                <w:szCs w:val="21"/>
              </w:rPr>
              <w:t>因人为因素出现的故障不在免费保修范围内。</w:t>
            </w:r>
          </w:p>
          <w:p>
            <w:pPr>
              <w:adjustRightInd w:val="0"/>
              <w:snapToGrid w:val="0"/>
              <w:spacing w:line="288" w:lineRule="auto"/>
              <w:rPr>
                <w:rFonts w:hint="eastAsia"/>
                <w:sz w:val="21"/>
                <w:szCs w:val="21"/>
                <w:u w:val="single"/>
              </w:rPr>
            </w:pPr>
            <w:r>
              <w:rPr>
                <w:sz w:val="21"/>
                <w:szCs w:val="21"/>
              </w:rPr>
              <w:t>5</w:t>
            </w:r>
            <w:r>
              <w:rPr>
                <w:rFonts w:hint="eastAsia"/>
                <w:sz w:val="21"/>
                <w:szCs w:val="21"/>
              </w:rPr>
              <w:t>.</w:t>
            </w:r>
            <w:r>
              <w:rPr>
                <w:rFonts w:hint="eastAsia"/>
                <w:sz w:val="21"/>
                <w:szCs w:val="21"/>
                <w:u w:val="single"/>
              </w:rPr>
              <w:t>如在使用过程中发生质量问题，供应商维修响应时间： 2 小时以内；</w:t>
            </w:r>
          </w:p>
          <w:p>
            <w:pPr>
              <w:adjustRightInd w:val="0"/>
              <w:snapToGrid w:val="0"/>
              <w:spacing w:line="288" w:lineRule="auto"/>
              <w:rPr>
                <w:rFonts w:hint="eastAsia"/>
                <w:sz w:val="21"/>
                <w:szCs w:val="21"/>
                <w:u w:val="single"/>
              </w:rPr>
            </w:pPr>
            <w:r>
              <w:rPr>
                <w:rFonts w:hint="eastAsia"/>
                <w:sz w:val="21"/>
                <w:szCs w:val="21"/>
                <w:u w:val="single"/>
              </w:rPr>
              <w:t>电话技术支持时间： 1 小时以内；</w:t>
            </w:r>
          </w:p>
          <w:p>
            <w:pPr>
              <w:adjustRightInd w:val="0"/>
              <w:snapToGrid w:val="0"/>
              <w:spacing w:line="288" w:lineRule="auto"/>
              <w:rPr>
                <w:rFonts w:hint="eastAsia"/>
                <w:sz w:val="21"/>
                <w:szCs w:val="21"/>
                <w:u w:val="single"/>
              </w:rPr>
            </w:pPr>
            <w:r>
              <w:rPr>
                <w:rFonts w:hint="eastAsia"/>
                <w:sz w:val="21"/>
                <w:szCs w:val="21"/>
                <w:u w:val="single"/>
              </w:rPr>
              <w:t>若需上门维修，则在： 24 小时内到达现场并进行维修；</w:t>
            </w:r>
          </w:p>
          <w:p>
            <w:pPr>
              <w:adjustRightInd w:val="0"/>
              <w:snapToGrid w:val="0"/>
              <w:spacing w:line="288" w:lineRule="auto"/>
              <w:rPr>
                <w:rFonts w:hint="eastAsia"/>
                <w:sz w:val="21"/>
                <w:szCs w:val="21"/>
              </w:rPr>
            </w:pPr>
            <w:r>
              <w:rPr>
                <w:rFonts w:hint="eastAsia"/>
                <w:sz w:val="21"/>
                <w:szCs w:val="21"/>
              </w:rPr>
              <w:t>6.供应商应提供详细的售后服务方案、售后服务承诺、售后服务保障措施。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cs="Times New Roman"/>
                <w:spacing w:val="-6"/>
                <w:sz w:val="21"/>
                <w:szCs w:val="21"/>
              </w:rPr>
            </w:pPr>
            <w:r>
              <w:rPr>
                <w:rFonts w:hint="eastAsia"/>
                <w:sz w:val="21"/>
                <w:szCs w:val="21"/>
              </w:rPr>
              <w:t>▲1</w:t>
            </w:r>
            <w:r>
              <w:rPr>
                <w:sz w:val="21"/>
                <w:szCs w:val="21"/>
              </w:rPr>
              <w:t>.</w:t>
            </w:r>
            <w:r>
              <w:rPr>
                <w:rFonts w:hint="eastAsia"/>
                <w:sz w:val="21"/>
                <w:szCs w:val="21"/>
              </w:rPr>
              <w:t>供应商应按招标文件规定向采购人提供全新的原装合格产品，产品应符合国家法律法规规定。</w:t>
            </w:r>
            <w:r>
              <w:rPr>
                <w:rFonts w:hint="eastAsia" w:cs="Times New Roman"/>
                <w:spacing w:val="-6"/>
                <w:sz w:val="21"/>
                <w:szCs w:val="21"/>
              </w:rPr>
              <w:t>供应商应保证所提供的货物或其中任何一部分均不会侵犯第三方的知识产权。</w:t>
            </w:r>
          </w:p>
          <w:p>
            <w:pPr>
              <w:adjustRightInd w:val="0"/>
              <w:snapToGrid w:val="0"/>
              <w:spacing w:line="288" w:lineRule="auto"/>
              <w:rPr>
                <w:rFonts w:hint="eastAsia" w:cs="Times New Roman"/>
                <w:spacing w:val="-6"/>
                <w:sz w:val="21"/>
                <w:szCs w:val="21"/>
              </w:rPr>
            </w:pPr>
            <w:r>
              <w:rPr>
                <w:rFonts w:hint="eastAsia" w:cs="Times New Roman"/>
                <w:spacing w:val="-6"/>
                <w:sz w:val="21"/>
                <w:szCs w:val="21"/>
              </w:rPr>
              <w:t>2.供应商应提供有关的全套技术文件。</w:t>
            </w:r>
          </w:p>
          <w:p>
            <w:pPr>
              <w:adjustRightInd w:val="0"/>
              <w:snapToGrid w:val="0"/>
              <w:spacing w:line="288" w:lineRule="auto"/>
              <w:rPr>
                <w:rFonts w:hint="eastAsia"/>
                <w:sz w:val="21"/>
                <w:szCs w:val="21"/>
              </w:rPr>
            </w:pPr>
            <w:r>
              <w:rPr>
                <w:sz w:val="21"/>
                <w:szCs w:val="21"/>
              </w:rPr>
              <w:t>3</w:t>
            </w:r>
            <w:r>
              <w:rPr>
                <w:rFonts w:hint="eastAsia"/>
                <w:sz w:val="21"/>
                <w:szCs w:val="21"/>
              </w:rPr>
              <w:t>.安装调试：</w:t>
            </w:r>
            <w:r>
              <w:rPr>
                <w:sz w:val="21"/>
                <w:szCs w:val="21"/>
              </w:rPr>
              <w:t xml:space="preserve"> </w:t>
            </w:r>
          </w:p>
          <w:p>
            <w:pPr>
              <w:adjustRightInd w:val="0"/>
              <w:snapToGrid w:val="0"/>
              <w:spacing w:line="288" w:lineRule="auto"/>
              <w:rPr>
                <w:rFonts w:hint="eastAsia"/>
                <w:sz w:val="21"/>
                <w:szCs w:val="21"/>
              </w:rPr>
            </w:pPr>
            <w:r>
              <w:rPr>
                <w:sz w:val="21"/>
                <w:szCs w:val="21"/>
              </w:rPr>
              <w:t>3</w:t>
            </w:r>
            <w:r>
              <w:rPr>
                <w:rFonts w:hint="eastAsia"/>
                <w:sz w:val="21"/>
                <w:szCs w:val="21"/>
              </w:rPr>
              <w:t>.1安装地点：采购人指定地点；</w:t>
            </w:r>
          </w:p>
          <w:p>
            <w:pPr>
              <w:adjustRightInd w:val="0"/>
              <w:snapToGrid w:val="0"/>
              <w:spacing w:line="288" w:lineRule="auto"/>
              <w:rPr>
                <w:rFonts w:hint="eastAsia"/>
                <w:sz w:val="21"/>
                <w:szCs w:val="21"/>
              </w:rPr>
            </w:pPr>
            <w:r>
              <w:rPr>
                <w:sz w:val="21"/>
                <w:szCs w:val="21"/>
              </w:rPr>
              <w:t>3</w:t>
            </w:r>
            <w:r>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hint="eastAsia"/>
                <w:sz w:val="21"/>
                <w:szCs w:val="21"/>
              </w:rPr>
            </w:pPr>
            <w:r>
              <w:rPr>
                <w:sz w:val="21"/>
                <w:szCs w:val="21"/>
              </w:rPr>
              <w:t>3</w:t>
            </w:r>
            <w:r>
              <w:rPr>
                <w:rFonts w:hint="eastAsia"/>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hint="eastAsia"/>
                <w:sz w:val="21"/>
                <w:szCs w:val="21"/>
              </w:rPr>
            </w:pPr>
            <w:r>
              <w:rPr>
                <w:sz w:val="21"/>
                <w:szCs w:val="21"/>
              </w:rPr>
              <w:t>3</w:t>
            </w:r>
            <w:r>
              <w:rPr>
                <w:rFonts w:hint="eastAsia"/>
                <w:sz w:val="21"/>
                <w:szCs w:val="21"/>
              </w:rPr>
              <w:t>.4安装标准：符合我国国家有关技术规范要求和技术标准，所有的软件和硬件必须保证同时安装到位；</w:t>
            </w:r>
          </w:p>
          <w:p>
            <w:pPr>
              <w:adjustRightInd w:val="0"/>
              <w:snapToGrid w:val="0"/>
              <w:spacing w:line="288" w:lineRule="auto"/>
              <w:rPr>
                <w:rFonts w:hint="eastAsia"/>
                <w:sz w:val="21"/>
                <w:szCs w:val="21"/>
              </w:rPr>
            </w:pPr>
            <w:r>
              <w:rPr>
                <w:sz w:val="21"/>
                <w:szCs w:val="21"/>
              </w:rPr>
              <w:t>3</w:t>
            </w:r>
            <w:r>
              <w:rPr>
                <w:rFonts w:hint="eastAsia"/>
                <w:sz w:val="21"/>
                <w:szCs w:val="21"/>
              </w:rPr>
              <w:t>.5供应商免费提供合同货物的安装服务；</w:t>
            </w:r>
          </w:p>
          <w:p>
            <w:pPr>
              <w:adjustRightInd w:val="0"/>
              <w:snapToGrid w:val="0"/>
              <w:spacing w:line="288" w:lineRule="auto"/>
              <w:rPr>
                <w:rFonts w:hint="eastAsia"/>
                <w:sz w:val="21"/>
                <w:szCs w:val="21"/>
              </w:rPr>
            </w:pPr>
            <w:r>
              <w:rPr>
                <w:rFonts w:hint="eastAsia"/>
                <w:sz w:val="21"/>
                <w:szCs w:val="21"/>
              </w:rPr>
              <w:t>3.6供应商在投标文件中应提供安装调试计划和安装调试方案。</w:t>
            </w:r>
          </w:p>
          <w:p>
            <w:pPr>
              <w:adjustRightInd w:val="0"/>
              <w:snapToGrid w:val="0"/>
              <w:spacing w:line="288" w:lineRule="auto"/>
              <w:rPr>
                <w:rFonts w:hint="eastAsia"/>
                <w:sz w:val="21"/>
                <w:szCs w:val="21"/>
              </w:rPr>
            </w:pPr>
            <w:r>
              <w:rPr>
                <w:rFonts w:hint="eastAsia"/>
                <w:sz w:val="21"/>
                <w:szCs w:val="21"/>
              </w:rPr>
              <w:t>4.技术支持：</w:t>
            </w:r>
          </w:p>
          <w:p>
            <w:pPr>
              <w:adjustRightInd w:val="0"/>
              <w:snapToGrid w:val="0"/>
              <w:spacing w:line="288" w:lineRule="auto"/>
              <w:rPr>
                <w:rFonts w:hint="eastAsia"/>
                <w:sz w:val="21"/>
                <w:szCs w:val="21"/>
              </w:rPr>
            </w:pPr>
            <w:r>
              <w:rPr>
                <w:rFonts w:hint="eastAsia"/>
                <w:sz w:val="21"/>
                <w:szCs w:val="21"/>
              </w:rPr>
              <w:t>供应商应及时免费提供合同货物软件的升级，免费提供合同货物新功能和应用的资料。</w:t>
            </w:r>
          </w:p>
          <w:p>
            <w:pPr>
              <w:adjustRightInd w:val="0"/>
              <w:snapToGrid w:val="0"/>
              <w:spacing w:line="288" w:lineRule="auto"/>
              <w:rPr>
                <w:rFonts w:hint="eastAsia"/>
                <w:sz w:val="21"/>
                <w:szCs w:val="21"/>
              </w:rPr>
            </w:pPr>
            <w:r>
              <w:rPr>
                <w:rFonts w:hint="eastAsia"/>
                <w:sz w:val="21"/>
                <w:szCs w:val="21"/>
              </w:rPr>
              <w:t>5.供应商应提供质保期满后主要零部件报价单、质保期满后维护费、软件升级及其相关服务内容；提供产品相关配件、附件、备品备件及耗材的准备和保障措施、消耗水平和成本方案。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1.供应商应对采购人的操作人员、维修人员免费进行培训；</w:t>
            </w:r>
          </w:p>
          <w:p>
            <w:pPr>
              <w:adjustRightInd w:val="0"/>
              <w:snapToGrid w:val="0"/>
              <w:spacing w:line="288" w:lineRule="auto"/>
              <w:rPr>
                <w:rFonts w:hint="eastAsia"/>
                <w:sz w:val="21"/>
                <w:szCs w:val="21"/>
              </w:rPr>
            </w:pPr>
            <w:r>
              <w:rPr>
                <w:rFonts w:hint="eastAsia"/>
                <w:sz w:val="21"/>
                <w:szCs w:val="21"/>
              </w:rPr>
              <w:t>2.培训实现方式、时间、地点、人数应在响应文件中详细说明；</w:t>
            </w:r>
          </w:p>
          <w:p>
            <w:pPr>
              <w:adjustRightInd w:val="0"/>
              <w:snapToGrid w:val="0"/>
              <w:spacing w:line="288" w:lineRule="auto"/>
              <w:rPr>
                <w:rFonts w:hint="eastAsia"/>
                <w:sz w:val="21"/>
                <w:szCs w:val="21"/>
              </w:rPr>
            </w:pPr>
            <w:r>
              <w:rPr>
                <w:rFonts w:hint="eastAsia"/>
                <w:sz w:val="21"/>
                <w:szCs w:val="21"/>
              </w:rPr>
              <w:t>3.供应商应提供相应的培训计划、培训范围，实施方案。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sz w:val="21"/>
                <w:szCs w:val="21"/>
              </w:rPr>
            </w:pPr>
            <w:r>
              <w:rPr>
                <w:rFonts w:hint="eastAsia"/>
                <w:sz w:val="21"/>
                <w:szCs w:val="21"/>
              </w:rPr>
              <w:t>1.验收由采购人负责实施；</w:t>
            </w:r>
          </w:p>
          <w:p>
            <w:pPr>
              <w:adjustRightInd w:val="0"/>
              <w:snapToGrid w:val="0"/>
              <w:spacing w:line="288" w:lineRule="auto"/>
              <w:rPr>
                <w:rFonts w:hint="eastAsia"/>
                <w:sz w:val="21"/>
                <w:szCs w:val="21"/>
              </w:rPr>
            </w:pPr>
            <w:r>
              <w:rPr>
                <w:rFonts w:hint="eastAsia"/>
                <w:sz w:val="21"/>
                <w:szCs w:val="21"/>
              </w:rPr>
              <w:t>2.验收依据：</w:t>
            </w:r>
          </w:p>
          <w:p>
            <w:pPr>
              <w:adjustRightInd w:val="0"/>
              <w:snapToGrid w:val="0"/>
              <w:spacing w:line="288" w:lineRule="auto"/>
              <w:rPr>
                <w:rFonts w:hint="eastAsia"/>
                <w:sz w:val="21"/>
                <w:szCs w:val="21"/>
              </w:rPr>
            </w:pPr>
            <w:r>
              <w:rPr>
                <w:rFonts w:hint="eastAsia"/>
                <w:sz w:val="21"/>
                <w:szCs w:val="21"/>
              </w:rPr>
              <w:t>2.1合同、磋商文件、响应文件；</w:t>
            </w:r>
          </w:p>
          <w:p>
            <w:pPr>
              <w:adjustRightInd w:val="0"/>
              <w:snapToGrid w:val="0"/>
              <w:spacing w:line="288" w:lineRule="auto"/>
              <w:rPr>
                <w:rFonts w:hint="eastAsia"/>
                <w:sz w:val="21"/>
                <w:szCs w:val="21"/>
              </w:rPr>
            </w:pPr>
            <w:r>
              <w:rPr>
                <w:rFonts w:hint="eastAsia"/>
                <w:sz w:val="21"/>
                <w:szCs w:val="21"/>
              </w:rPr>
              <w:t>2.2供应商提供的技术规格、经采购人认可的合同货物的有效检验文件；</w:t>
            </w:r>
          </w:p>
          <w:p>
            <w:pPr>
              <w:adjustRightInd w:val="0"/>
              <w:snapToGrid w:val="0"/>
              <w:spacing w:line="288" w:lineRule="auto"/>
              <w:rPr>
                <w:rFonts w:hint="eastAsia"/>
                <w:sz w:val="21"/>
                <w:szCs w:val="21"/>
              </w:rPr>
            </w:pPr>
            <w:r>
              <w:rPr>
                <w:rFonts w:hint="eastAsia"/>
                <w:sz w:val="21"/>
                <w:szCs w:val="21"/>
              </w:rPr>
              <w:t>2.3供应商响应文件中提供的经采购人认可的合同货物的验收标准（符合中国有关的国家、地方、行业标准）和检测办法及相应检测手段。</w:t>
            </w:r>
          </w:p>
          <w:p>
            <w:pPr>
              <w:adjustRightInd w:val="0"/>
              <w:snapToGrid w:val="0"/>
              <w:spacing w:line="288" w:lineRule="auto"/>
              <w:rPr>
                <w:rFonts w:hint="eastAsia"/>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hint="eastAsia"/>
                <w:sz w:val="21"/>
                <w:szCs w:val="21"/>
              </w:rPr>
            </w:pPr>
            <w:r>
              <w:rPr>
                <w:rFonts w:hint="eastAsia"/>
                <w:sz w:val="21"/>
                <w:szCs w:val="21"/>
              </w:rPr>
              <w:t>4.验收合格的条件：</w:t>
            </w:r>
          </w:p>
          <w:p>
            <w:pPr>
              <w:adjustRightInd w:val="0"/>
              <w:snapToGrid w:val="0"/>
              <w:spacing w:line="288" w:lineRule="auto"/>
              <w:rPr>
                <w:rFonts w:hint="eastAsia"/>
                <w:sz w:val="21"/>
                <w:szCs w:val="21"/>
              </w:rPr>
            </w:pPr>
            <w:r>
              <w:rPr>
                <w:rFonts w:hint="eastAsia"/>
                <w:sz w:val="21"/>
                <w:szCs w:val="21"/>
              </w:rPr>
              <w:t>4.1所供货物符合产品标准和合同的要求；</w:t>
            </w:r>
          </w:p>
          <w:p>
            <w:pPr>
              <w:adjustRightInd w:val="0"/>
              <w:snapToGrid w:val="0"/>
              <w:spacing w:line="288" w:lineRule="auto"/>
              <w:rPr>
                <w:rFonts w:hint="eastAsia"/>
                <w:sz w:val="21"/>
                <w:szCs w:val="21"/>
              </w:rPr>
            </w:pPr>
            <w:r>
              <w:rPr>
                <w:rFonts w:hint="eastAsia"/>
                <w:sz w:val="21"/>
                <w:szCs w:val="21"/>
              </w:rPr>
              <w:t>4.2在进行测试和验收过程中发现的问题已被解决并得到采购人的认可；</w:t>
            </w:r>
          </w:p>
          <w:p>
            <w:pPr>
              <w:adjustRightInd w:val="0"/>
              <w:snapToGrid w:val="0"/>
              <w:spacing w:line="288" w:lineRule="auto"/>
              <w:rPr>
                <w:rFonts w:hint="eastAsia"/>
                <w:sz w:val="21"/>
                <w:szCs w:val="21"/>
              </w:rPr>
            </w:pPr>
            <w:r>
              <w:rPr>
                <w:rFonts w:hint="eastAsia"/>
                <w:sz w:val="21"/>
                <w:szCs w:val="21"/>
              </w:rPr>
              <w:t>4.3合同中规定的所有货物和材料均已交付；</w:t>
            </w:r>
          </w:p>
          <w:p>
            <w:pPr>
              <w:adjustRightInd w:val="0"/>
              <w:snapToGrid w:val="0"/>
              <w:spacing w:line="288" w:lineRule="auto"/>
              <w:rPr>
                <w:rFonts w:hint="eastAsia"/>
                <w:sz w:val="21"/>
                <w:szCs w:val="21"/>
              </w:rPr>
            </w:pPr>
            <w:r>
              <w:rPr>
                <w:rFonts w:hint="eastAsia"/>
                <w:sz w:val="21"/>
                <w:szCs w:val="21"/>
              </w:rPr>
              <w:t>4.4所供货物已通过使用单位组织的验收；</w:t>
            </w:r>
          </w:p>
          <w:p>
            <w:pPr>
              <w:adjustRightInd w:val="0"/>
              <w:snapToGrid w:val="0"/>
              <w:spacing w:line="288" w:lineRule="auto"/>
              <w:rPr>
                <w:rFonts w:hint="eastAsia"/>
                <w:sz w:val="21"/>
                <w:szCs w:val="21"/>
              </w:rPr>
            </w:pPr>
            <w:r>
              <w:rPr>
                <w:rFonts w:hint="eastAsia"/>
                <w:sz w:val="21"/>
                <w:szCs w:val="21"/>
              </w:rPr>
              <w:t>4.5所有相关的技术文件及资料均已提交并得到接受。</w:t>
            </w:r>
          </w:p>
        </w:tc>
      </w:tr>
    </w:tbl>
    <w:p>
      <w:pPr>
        <w:adjustRightInd w:val="0"/>
        <w:snapToGrid w:val="0"/>
        <w:spacing w:line="288" w:lineRule="auto"/>
        <w:rPr>
          <w:rFonts w:hint="eastAsia"/>
          <w:sz w:val="21"/>
          <w:szCs w:val="21"/>
        </w:rPr>
      </w:pPr>
    </w:p>
    <w:p>
      <w:pPr>
        <w:adjustRightInd w:val="0"/>
        <w:snapToGrid w:val="0"/>
        <w:spacing w:line="288" w:lineRule="auto"/>
        <w:outlineLvl w:val="1"/>
        <w:rPr>
          <w:rFonts w:hint="eastAsia"/>
          <w:b/>
          <w:bCs/>
          <w:sz w:val="21"/>
          <w:szCs w:val="21"/>
        </w:rPr>
      </w:pPr>
      <w:r>
        <w:rPr>
          <w:b/>
          <w:bCs/>
          <w:sz w:val="21"/>
          <w:szCs w:val="21"/>
        </w:rPr>
        <w:t>四、技术要求</w:t>
      </w:r>
      <w:r>
        <w:rPr>
          <w:rFonts w:hint="eastAsia"/>
          <w:b/>
          <w:bCs/>
          <w:sz w:val="21"/>
          <w:szCs w:val="21"/>
        </w:rPr>
        <w:t>：</w:t>
      </w:r>
    </w:p>
    <w:p>
      <w:pPr>
        <w:adjustRightInd w:val="0"/>
        <w:snapToGrid w:val="0"/>
        <w:spacing w:line="288" w:lineRule="auto"/>
        <w:rPr>
          <w:rFonts w:hint="eastAsia"/>
          <w:b/>
          <w:bCs/>
          <w:sz w:val="21"/>
          <w:szCs w:val="21"/>
        </w:rPr>
      </w:pPr>
      <w:r>
        <w:rPr>
          <w:rFonts w:hint="eastAsia"/>
          <w:b/>
          <w:bCs/>
          <w:sz w:val="21"/>
          <w:szCs w:val="21"/>
        </w:rPr>
        <w:t>1</w:t>
      </w:r>
      <w:r>
        <w:rPr>
          <w:b/>
          <w:bCs/>
          <w:sz w:val="21"/>
          <w:szCs w:val="21"/>
        </w:rPr>
        <w:t>.</w:t>
      </w:r>
      <w:r>
        <w:rPr>
          <w:rFonts w:hint="eastAsia"/>
          <w:b/>
          <w:bCs/>
          <w:sz w:val="21"/>
          <w:szCs w:val="21"/>
        </w:rPr>
        <w:t>需执行的国家相关标准、行业标准、地方标准或者其他标准、规范：</w:t>
      </w:r>
      <w:bookmarkStart w:id="32" w:name="_Hlk97039652"/>
      <w:r>
        <w:rPr>
          <w:rFonts w:hint="eastAsia"/>
          <w:sz w:val="21"/>
          <w:szCs w:val="21"/>
        </w:rPr>
        <w:t>如技术要求中未注明需执行的国家相关标准、行业标准、地方标准或者其他标准、规范的，执行最新标准、规范。</w:t>
      </w:r>
      <w:bookmarkEnd w:id="32"/>
    </w:p>
    <w:p>
      <w:pPr>
        <w:adjustRightInd w:val="0"/>
        <w:snapToGrid w:val="0"/>
        <w:spacing w:line="288" w:lineRule="auto"/>
        <w:rPr>
          <w:rFonts w:hint="eastAsia"/>
          <w:sz w:val="21"/>
          <w:szCs w:val="21"/>
        </w:rPr>
      </w:pPr>
      <w:r>
        <w:rPr>
          <w:b/>
          <w:bCs/>
          <w:sz w:val="21"/>
          <w:szCs w:val="21"/>
        </w:rPr>
        <w:t>2</w:t>
      </w:r>
      <w:r>
        <w:rPr>
          <w:rFonts w:hint="eastAsia"/>
          <w:b/>
          <w:bCs/>
          <w:sz w:val="21"/>
          <w:szCs w:val="21"/>
        </w:rPr>
        <w:t>.需实现的功能或者目标：</w:t>
      </w:r>
      <w:r>
        <w:rPr>
          <w:rFonts w:hint="eastAsia"/>
          <w:sz w:val="21"/>
          <w:szCs w:val="21"/>
        </w:rPr>
        <w:t>根据良渚古城及水利系统发掘不间断延时摄影及三维可视化呈现技术服务项目的要求，配置相应的延时摄影设备、沉浸式数字展示设备、控制系统设备、专业音箱设备、外围展示装置等设备，并完成设备的安装、调试等工作。</w:t>
      </w:r>
    </w:p>
    <w:p>
      <w:pPr>
        <w:adjustRightInd w:val="0"/>
        <w:snapToGrid w:val="0"/>
        <w:spacing w:line="288" w:lineRule="auto"/>
        <w:rPr>
          <w:rFonts w:hint="eastAsia" w:cs="Times New Roman"/>
          <w:b/>
          <w:bCs/>
          <w:spacing w:val="-4"/>
          <w:sz w:val="21"/>
          <w:szCs w:val="21"/>
        </w:rPr>
      </w:pPr>
      <w:r>
        <w:rPr>
          <w:rFonts w:cs="Times New Roman"/>
          <w:b/>
          <w:bCs/>
          <w:spacing w:val="-4"/>
          <w:sz w:val="21"/>
          <w:szCs w:val="21"/>
        </w:rPr>
        <w:t>3.</w:t>
      </w:r>
      <w:r>
        <w:rPr>
          <w:rFonts w:hint="eastAsia" w:cs="Times New Roman"/>
          <w:b/>
          <w:bCs/>
          <w:spacing w:val="-4"/>
          <w:sz w:val="21"/>
          <w:szCs w:val="21"/>
        </w:rPr>
        <w:t>采购清单</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3389"/>
        <w:gridCol w:w="200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37" w:type="pc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使用场景</w:t>
            </w:r>
          </w:p>
        </w:tc>
        <w:tc>
          <w:tcPr>
            <w:tcW w:w="1760" w:type="pc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设备名称（标的名称）</w:t>
            </w:r>
          </w:p>
        </w:tc>
        <w:tc>
          <w:tcPr>
            <w:tcW w:w="1044" w:type="pc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数量</w:t>
            </w:r>
          </w:p>
        </w:tc>
        <w:tc>
          <w:tcPr>
            <w:tcW w:w="857" w:type="pc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不间断延时摄影</w:t>
            </w: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延时摄影设备</w:t>
            </w:r>
            <w:bookmarkStart w:id="33" w:name="OLE_LINK1"/>
            <w:r>
              <w:rPr>
                <w:rFonts w:hint="eastAsia" w:cs="Times New Roman"/>
                <w:b/>
                <w:bCs/>
                <w:spacing w:val="-4"/>
                <w:sz w:val="21"/>
                <w:szCs w:val="21"/>
              </w:rPr>
              <w:t>（核心产品）</w:t>
            </w:r>
            <w:bookmarkEnd w:id="33"/>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3</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restart"/>
            <w:vAlign w:val="center"/>
          </w:tcPr>
          <w:p>
            <w:pPr>
              <w:adjustRightInd w:val="0"/>
              <w:snapToGrid w:val="0"/>
              <w:spacing w:line="288" w:lineRule="auto"/>
              <w:jc w:val="center"/>
              <w:rPr>
                <w:rFonts w:hint="eastAsia" w:cs="Times New Roman"/>
                <w:b/>
                <w:bCs/>
                <w:spacing w:val="-4"/>
                <w:sz w:val="21"/>
                <w:szCs w:val="21"/>
              </w:rPr>
            </w:pPr>
            <w:r>
              <w:rPr>
                <w:rFonts w:hint="eastAsia" w:cs="Times New Roman"/>
                <w:b/>
                <w:bCs/>
                <w:spacing w:val="-4"/>
                <w:sz w:val="21"/>
                <w:szCs w:val="21"/>
              </w:rPr>
              <w:t>遗址三维可视化呈现</w:t>
            </w: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LED显示屏</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32.768</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电源</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160</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接收卡</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80</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LED屏内线材</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32.768</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箱体</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80</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视频处理器</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控制软件</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智能配电箱</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服务器</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触摸屏</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功放</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1760"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音响</w:t>
            </w:r>
          </w:p>
        </w:tc>
        <w:tc>
          <w:tcPr>
            <w:tcW w:w="1044"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2</w:t>
            </w:r>
          </w:p>
        </w:tc>
        <w:tc>
          <w:tcPr>
            <w:tcW w:w="857" w:type="pct"/>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Merge w:val="continue"/>
            <w:vAlign w:val="center"/>
          </w:tcPr>
          <w:p>
            <w:pPr>
              <w:adjustRightInd w:val="0"/>
              <w:snapToGrid w:val="0"/>
              <w:spacing w:line="288" w:lineRule="auto"/>
              <w:jc w:val="center"/>
              <w:rPr>
                <w:rFonts w:hint="eastAsia" w:cs="Times New Roman"/>
                <w:b/>
                <w:bCs/>
                <w:spacing w:val="-4"/>
                <w:sz w:val="21"/>
                <w:szCs w:val="21"/>
              </w:rPr>
            </w:pPr>
          </w:p>
        </w:tc>
        <w:tc>
          <w:tcPr>
            <w:tcW w:w="3388" w:type="dxa"/>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配件辅材辅料</w:t>
            </w:r>
          </w:p>
        </w:tc>
        <w:tc>
          <w:tcPr>
            <w:tcW w:w="2009" w:type="dxa"/>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1</w:t>
            </w:r>
          </w:p>
        </w:tc>
        <w:tc>
          <w:tcPr>
            <w:tcW w:w="1650" w:type="dxa"/>
            <w:vAlign w:val="center"/>
          </w:tcPr>
          <w:p>
            <w:pPr>
              <w:adjustRightInd w:val="0"/>
              <w:snapToGrid w:val="0"/>
              <w:spacing w:line="288" w:lineRule="auto"/>
              <w:jc w:val="center"/>
              <w:rPr>
                <w:rFonts w:hint="eastAsia" w:cs="Times New Roman"/>
                <w:spacing w:val="-4"/>
                <w:sz w:val="21"/>
                <w:szCs w:val="21"/>
              </w:rPr>
            </w:pPr>
            <w:r>
              <w:rPr>
                <w:rFonts w:hint="eastAsia" w:cs="Times New Roman"/>
                <w:spacing w:val="-4"/>
                <w:sz w:val="21"/>
                <w:szCs w:val="21"/>
              </w:rPr>
              <w:t>批</w:t>
            </w:r>
          </w:p>
        </w:tc>
      </w:tr>
    </w:tbl>
    <w:p>
      <w:pPr>
        <w:adjustRightInd w:val="0"/>
        <w:snapToGrid w:val="0"/>
        <w:spacing w:line="288" w:lineRule="auto"/>
        <w:rPr>
          <w:rFonts w:hint="eastAsia" w:cs="Times New Roman"/>
          <w:b/>
          <w:bCs/>
          <w:spacing w:val="-4"/>
          <w:sz w:val="21"/>
          <w:szCs w:val="21"/>
        </w:rPr>
      </w:pPr>
      <w:r>
        <w:rPr>
          <w:rFonts w:hint="eastAsia" w:cs="Times New Roman"/>
          <w:b/>
          <w:bCs/>
          <w:spacing w:val="-4"/>
          <w:sz w:val="21"/>
          <w:szCs w:val="21"/>
        </w:rPr>
        <w:t>4.需满足的质量、安全、技术规格、物理特性等要求：</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11"/>
        <w:gridCol w:w="960"/>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序号</w:t>
            </w:r>
          </w:p>
        </w:tc>
        <w:tc>
          <w:tcPr>
            <w:tcW w:w="1511" w:type="dxa"/>
            <w:vAlign w:val="center"/>
          </w:tcPr>
          <w:p>
            <w:pPr>
              <w:adjustRightInd w:val="0"/>
              <w:snapToGrid w:val="0"/>
              <w:spacing w:line="288" w:lineRule="auto"/>
              <w:jc w:val="center"/>
              <w:rPr>
                <w:rFonts w:hint="eastAsia"/>
                <w:b/>
                <w:bCs/>
                <w:sz w:val="21"/>
                <w:szCs w:val="21"/>
              </w:rPr>
            </w:pPr>
            <w:r>
              <w:rPr>
                <w:rFonts w:hint="eastAsia"/>
                <w:b/>
                <w:bCs/>
                <w:sz w:val="21"/>
                <w:szCs w:val="21"/>
              </w:rPr>
              <w:t>名称</w:t>
            </w:r>
          </w:p>
        </w:tc>
        <w:tc>
          <w:tcPr>
            <w:tcW w:w="960" w:type="dxa"/>
            <w:vAlign w:val="center"/>
          </w:tcPr>
          <w:p>
            <w:pPr>
              <w:adjustRightInd w:val="0"/>
              <w:snapToGrid w:val="0"/>
              <w:spacing w:line="288" w:lineRule="auto"/>
              <w:jc w:val="center"/>
              <w:rPr>
                <w:rFonts w:hint="eastAsia"/>
                <w:b/>
                <w:bCs/>
                <w:sz w:val="21"/>
                <w:szCs w:val="21"/>
              </w:rPr>
            </w:pPr>
            <w:r>
              <w:rPr>
                <w:rFonts w:hint="eastAsia"/>
                <w:b/>
                <w:bCs/>
                <w:sz w:val="21"/>
                <w:szCs w:val="21"/>
              </w:rPr>
              <w:t>数量</w:t>
            </w:r>
          </w:p>
        </w:tc>
        <w:tc>
          <w:tcPr>
            <w:tcW w:w="661" w:type="dxa"/>
            <w:vAlign w:val="center"/>
          </w:tcPr>
          <w:p>
            <w:pPr>
              <w:adjustRightInd w:val="0"/>
              <w:snapToGrid w:val="0"/>
              <w:spacing w:line="288" w:lineRule="auto"/>
              <w:jc w:val="center"/>
              <w:rPr>
                <w:rFonts w:hint="eastAsia"/>
                <w:b/>
                <w:bCs/>
                <w:sz w:val="21"/>
                <w:szCs w:val="21"/>
              </w:rPr>
            </w:pPr>
            <w:r>
              <w:rPr>
                <w:rFonts w:hint="eastAsia"/>
                <w:b/>
                <w:bCs/>
                <w:sz w:val="21"/>
                <w:szCs w:val="21"/>
              </w:rPr>
              <w:t>单位</w:t>
            </w:r>
          </w:p>
        </w:tc>
        <w:tc>
          <w:tcPr>
            <w:tcW w:w="6269" w:type="dxa"/>
            <w:vAlign w:val="center"/>
          </w:tcPr>
          <w:p>
            <w:pPr>
              <w:adjustRightInd w:val="0"/>
              <w:snapToGrid w:val="0"/>
              <w:spacing w:line="288" w:lineRule="auto"/>
              <w:jc w:val="center"/>
              <w:rPr>
                <w:rFonts w:hint="eastAsia"/>
                <w:b/>
                <w:bCs/>
                <w:sz w:val="21"/>
                <w:szCs w:val="21"/>
              </w:rPr>
            </w:pPr>
            <w:r>
              <w:rPr>
                <w:rFonts w:hint="eastAsia"/>
                <w:b/>
                <w:bCs/>
                <w:sz w:val="21"/>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w:t>
            </w:r>
          </w:p>
        </w:tc>
        <w:tc>
          <w:tcPr>
            <w:tcW w:w="1511" w:type="dxa"/>
            <w:vAlign w:val="center"/>
          </w:tcPr>
          <w:p>
            <w:pPr>
              <w:spacing w:line="288" w:lineRule="auto"/>
              <w:jc w:val="center"/>
              <w:rPr>
                <w:rFonts w:hint="eastAsia"/>
                <w:b/>
                <w:bCs/>
                <w:sz w:val="21"/>
                <w:szCs w:val="21"/>
              </w:rPr>
            </w:pPr>
            <w:r>
              <w:rPr>
                <w:rFonts w:hint="eastAsia"/>
                <w:b/>
                <w:bCs/>
                <w:sz w:val="21"/>
                <w:szCs w:val="21"/>
              </w:rPr>
              <w:t>延时摄影设备（核心产品）</w:t>
            </w:r>
          </w:p>
        </w:tc>
        <w:tc>
          <w:tcPr>
            <w:tcW w:w="960" w:type="dxa"/>
            <w:vAlign w:val="center"/>
          </w:tcPr>
          <w:p>
            <w:pPr>
              <w:spacing w:line="288" w:lineRule="auto"/>
              <w:jc w:val="center"/>
              <w:rPr>
                <w:rFonts w:hint="eastAsia"/>
                <w:b/>
                <w:bCs/>
                <w:sz w:val="21"/>
                <w:szCs w:val="21"/>
              </w:rPr>
            </w:pPr>
            <w:r>
              <w:rPr>
                <w:rFonts w:hint="eastAsia"/>
                <w:b/>
                <w:bCs/>
                <w:sz w:val="21"/>
                <w:szCs w:val="21"/>
              </w:rPr>
              <w:t>3</w:t>
            </w:r>
          </w:p>
        </w:tc>
        <w:tc>
          <w:tcPr>
            <w:tcW w:w="661" w:type="dxa"/>
            <w:vAlign w:val="center"/>
          </w:tcPr>
          <w:p>
            <w:pPr>
              <w:spacing w:line="288" w:lineRule="auto"/>
              <w:jc w:val="center"/>
              <w:rPr>
                <w:rFonts w:hint="eastAsia"/>
                <w:b/>
                <w:bCs/>
                <w:sz w:val="21"/>
                <w:szCs w:val="21"/>
              </w:rPr>
            </w:pPr>
            <w:r>
              <w:rPr>
                <w:rFonts w:hint="eastAsia"/>
                <w:b/>
                <w:bCs/>
                <w:sz w:val="21"/>
                <w:szCs w:val="21"/>
              </w:rPr>
              <w:t>套</w:t>
            </w:r>
          </w:p>
        </w:tc>
        <w:tc>
          <w:tcPr>
            <w:tcW w:w="6269" w:type="dxa"/>
            <w:vAlign w:val="center"/>
          </w:tcPr>
          <w:p>
            <w:pPr>
              <w:spacing w:line="288" w:lineRule="auto"/>
              <w:rPr>
                <w:rFonts w:hint="eastAsia"/>
                <w:sz w:val="21"/>
                <w:szCs w:val="21"/>
              </w:rPr>
            </w:pPr>
            <w:r>
              <w:rPr>
                <w:rFonts w:hint="eastAsia"/>
                <w:sz w:val="21"/>
                <w:szCs w:val="21"/>
              </w:rPr>
              <w:t>▲1.相机、镜头：全画幅，有效像素不低于2600万；</w:t>
            </w:r>
          </w:p>
          <w:p>
            <w:pPr>
              <w:widowControl/>
              <w:spacing w:line="288" w:lineRule="auto"/>
              <w:jc w:val="left"/>
              <w:rPr>
                <w:rFonts w:hint="eastAsia"/>
                <w:sz w:val="21"/>
                <w:szCs w:val="21"/>
              </w:rPr>
            </w:pPr>
            <w:r>
              <w:rPr>
                <w:rFonts w:hint="eastAsia"/>
                <w:sz w:val="21"/>
                <w:szCs w:val="21"/>
              </w:rPr>
              <w:t>2.运行控制器：</w:t>
            </w:r>
            <w:r>
              <w:rPr>
                <w:rFonts w:hint="eastAsia"/>
                <w:color w:val="000000"/>
                <w:kern w:val="0"/>
                <w:sz w:val="21"/>
                <w:szCs w:val="21"/>
                <w:lang w:bidi="ar"/>
              </w:rPr>
              <w:t>需具有自动控制模块，可对相机进行自动化控制及数据管理；</w:t>
            </w:r>
          </w:p>
          <w:p>
            <w:pPr>
              <w:spacing w:line="288" w:lineRule="auto"/>
              <w:rPr>
                <w:rFonts w:hint="eastAsia"/>
                <w:color w:val="000000"/>
                <w:kern w:val="0"/>
                <w:sz w:val="21"/>
                <w:szCs w:val="21"/>
                <w:lang w:bidi="ar"/>
              </w:rPr>
            </w:pPr>
            <w:r>
              <w:rPr>
                <w:rFonts w:hint="eastAsia"/>
                <w:sz w:val="21"/>
                <w:szCs w:val="21"/>
              </w:rPr>
              <w:t>3.网络传输器</w:t>
            </w:r>
            <w:r>
              <w:rPr>
                <w:rFonts w:hint="eastAsia"/>
                <w:color w:val="000000"/>
                <w:kern w:val="0"/>
                <w:sz w:val="21"/>
                <w:szCs w:val="21"/>
                <w:lang w:bidi="ar"/>
              </w:rPr>
              <w:t>：支持无线网络及4G网络，确保数据传输稳定；</w:t>
            </w:r>
          </w:p>
          <w:p>
            <w:pPr>
              <w:spacing w:line="288" w:lineRule="auto"/>
              <w:rPr>
                <w:rFonts w:hint="eastAsia"/>
                <w:sz w:val="21"/>
                <w:szCs w:val="21"/>
              </w:rPr>
            </w:pPr>
            <w:r>
              <w:rPr>
                <w:rFonts w:hint="eastAsia"/>
                <w:sz w:val="21"/>
                <w:szCs w:val="21"/>
              </w:rPr>
              <w:t>4.电源及电源控制、保护器：</w:t>
            </w:r>
            <w:r>
              <w:rPr>
                <w:rFonts w:hint="eastAsia"/>
                <w:color w:val="000000"/>
                <w:kern w:val="0"/>
                <w:sz w:val="21"/>
                <w:szCs w:val="21"/>
                <w:lang w:bidi="ar"/>
              </w:rPr>
              <w:t>具备断电远程通知功能，相机内具用备用电源（电池），当摄影装置因外界因素断电时，摄影装置启动内部备用电源,然后摄影装置向远程控制端发送断电信号，告知远程控制端,并发出预设告警功能，通知维护人员前来维护检查；</w:t>
            </w:r>
          </w:p>
          <w:p>
            <w:pPr>
              <w:widowControl/>
              <w:spacing w:line="288" w:lineRule="auto"/>
              <w:jc w:val="left"/>
              <w:rPr>
                <w:rFonts w:hint="eastAsia"/>
                <w:sz w:val="21"/>
                <w:szCs w:val="21"/>
              </w:rPr>
            </w:pPr>
            <w:r>
              <w:rPr>
                <w:rFonts w:hint="eastAsia"/>
                <w:sz w:val="21"/>
                <w:szCs w:val="21"/>
              </w:rPr>
              <w:t>5.三防外壳：</w:t>
            </w:r>
            <w:r>
              <w:rPr>
                <w:rFonts w:hint="eastAsia"/>
                <w:color w:val="000000"/>
                <w:kern w:val="0"/>
                <w:sz w:val="21"/>
                <w:szCs w:val="21"/>
                <w:lang w:bidi="ar"/>
              </w:rPr>
              <w:t>外部保护模块具备防风防尘防水等三防装置，保护内部设备，延长设备使用时间；</w:t>
            </w:r>
          </w:p>
          <w:p>
            <w:pPr>
              <w:widowControl/>
              <w:spacing w:line="288" w:lineRule="auto"/>
              <w:jc w:val="left"/>
              <w:rPr>
                <w:rFonts w:hint="eastAsia"/>
                <w:sz w:val="21"/>
                <w:szCs w:val="21"/>
              </w:rPr>
            </w:pPr>
            <w:r>
              <w:rPr>
                <w:rFonts w:hint="eastAsia"/>
                <w:sz w:val="21"/>
                <w:szCs w:val="21"/>
              </w:rPr>
              <w:t>6.远程控制器：</w:t>
            </w:r>
            <w:r>
              <w:rPr>
                <w:rFonts w:hint="eastAsia"/>
                <w:color w:val="000000"/>
                <w:kern w:val="0"/>
                <w:sz w:val="21"/>
                <w:szCs w:val="21"/>
                <w:lang w:bidi="ar"/>
              </w:rPr>
              <w:t>具备实时监控程序，可实现通过相应软件对数据进行远程查看；</w:t>
            </w:r>
          </w:p>
          <w:p>
            <w:pPr>
              <w:widowControl/>
              <w:spacing w:line="288" w:lineRule="auto"/>
              <w:jc w:val="left"/>
              <w:rPr>
                <w:rFonts w:hint="eastAsia"/>
              </w:rPr>
            </w:pPr>
            <w:r>
              <w:rPr>
                <w:rFonts w:hint="eastAsia"/>
                <w:sz w:val="21"/>
                <w:szCs w:val="21"/>
              </w:rPr>
              <w:t>7.信息传输器：支持远程传输数据，可将数据导入异地服务器。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2</w:t>
            </w:r>
          </w:p>
        </w:tc>
        <w:tc>
          <w:tcPr>
            <w:tcW w:w="1511" w:type="dxa"/>
            <w:vAlign w:val="center"/>
          </w:tcPr>
          <w:p>
            <w:pPr>
              <w:spacing w:line="288" w:lineRule="auto"/>
              <w:jc w:val="center"/>
              <w:rPr>
                <w:rFonts w:hint="eastAsia"/>
                <w:b/>
                <w:bCs/>
                <w:sz w:val="21"/>
                <w:szCs w:val="21"/>
              </w:rPr>
            </w:pPr>
            <w:r>
              <w:rPr>
                <w:rFonts w:hint="eastAsia"/>
                <w:b/>
                <w:bCs/>
                <w:sz w:val="21"/>
                <w:szCs w:val="21"/>
              </w:rPr>
              <w:t>LED显示屏</w:t>
            </w:r>
          </w:p>
        </w:tc>
        <w:tc>
          <w:tcPr>
            <w:tcW w:w="960" w:type="dxa"/>
            <w:vAlign w:val="center"/>
          </w:tcPr>
          <w:p>
            <w:pPr>
              <w:spacing w:line="288" w:lineRule="auto"/>
              <w:jc w:val="center"/>
              <w:rPr>
                <w:rFonts w:hint="eastAsia"/>
                <w:b/>
                <w:bCs/>
                <w:sz w:val="21"/>
                <w:szCs w:val="21"/>
              </w:rPr>
            </w:pPr>
            <w:r>
              <w:rPr>
                <w:rFonts w:hint="eastAsia"/>
                <w:b/>
                <w:bCs/>
                <w:sz w:val="21"/>
                <w:szCs w:val="21"/>
              </w:rPr>
              <w:t>32.768</w:t>
            </w:r>
          </w:p>
        </w:tc>
        <w:tc>
          <w:tcPr>
            <w:tcW w:w="661" w:type="dxa"/>
            <w:vAlign w:val="center"/>
          </w:tcPr>
          <w:p>
            <w:pPr>
              <w:spacing w:line="288" w:lineRule="auto"/>
              <w:jc w:val="center"/>
              <w:rPr>
                <w:rFonts w:hint="eastAsia"/>
                <w:b/>
                <w:bCs/>
                <w:sz w:val="21"/>
                <w:szCs w:val="21"/>
              </w:rPr>
            </w:pPr>
            <w:r>
              <w:rPr>
                <w:rFonts w:hint="eastAsia"/>
                <w:b/>
                <w:bCs/>
                <w:sz w:val="21"/>
                <w:szCs w:val="21"/>
              </w:rPr>
              <w:t>㎡</w:t>
            </w:r>
          </w:p>
        </w:tc>
        <w:tc>
          <w:tcPr>
            <w:tcW w:w="6269" w:type="dxa"/>
            <w:vAlign w:val="center"/>
          </w:tcPr>
          <w:p>
            <w:pPr>
              <w:spacing w:line="288" w:lineRule="auto"/>
              <w:rPr>
                <w:rFonts w:hint="eastAsia"/>
                <w:b/>
                <w:bCs/>
                <w:sz w:val="21"/>
                <w:szCs w:val="21"/>
              </w:rPr>
            </w:pPr>
            <w:r>
              <w:rPr>
                <w:rFonts w:hint="eastAsia"/>
                <w:sz w:val="21"/>
                <w:szCs w:val="21"/>
              </w:rPr>
              <w:t>▲1.像素点间距≤1.86mm；</w:t>
            </w:r>
            <w:r>
              <w:rPr>
                <w:rFonts w:hint="eastAsia"/>
                <w:b/>
                <w:bCs/>
                <w:sz w:val="21"/>
                <w:szCs w:val="21"/>
              </w:rPr>
              <w:t>（投标文件中提供产品彩页或检测报告等证明材料）</w:t>
            </w:r>
          </w:p>
          <w:p>
            <w:pPr>
              <w:spacing w:line="288" w:lineRule="auto"/>
              <w:rPr>
                <w:rFonts w:hint="eastAsia"/>
                <w:b/>
                <w:bCs/>
                <w:sz w:val="21"/>
                <w:szCs w:val="21"/>
              </w:rPr>
            </w:pPr>
            <w:r>
              <w:rPr>
                <w:rFonts w:hint="eastAsia"/>
                <w:sz w:val="21"/>
                <w:szCs w:val="21"/>
              </w:rPr>
              <w:t>2.水平视角≥166°垂直视角≥155°；</w:t>
            </w:r>
            <w:r>
              <w:rPr>
                <w:rFonts w:hint="eastAsia"/>
                <w:b/>
                <w:bCs/>
                <w:sz w:val="21"/>
                <w:szCs w:val="21"/>
              </w:rPr>
              <w:t>（投标文件中提供产品彩页或检测报告等证明材料）</w:t>
            </w:r>
          </w:p>
          <w:p>
            <w:pPr>
              <w:spacing w:line="288" w:lineRule="auto"/>
              <w:rPr>
                <w:rFonts w:hint="eastAsia"/>
                <w:b/>
                <w:bCs/>
                <w:sz w:val="21"/>
                <w:szCs w:val="21"/>
              </w:rPr>
            </w:pPr>
            <w:r>
              <w:rPr>
                <w:rFonts w:hint="eastAsia"/>
                <w:sz w:val="21"/>
                <w:szCs w:val="21"/>
              </w:rPr>
              <w:t>▲3.显示屏亮度≥600cd/㎡；</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4.接地电阻≤0.12Ω；</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5.对比度≥5000:1；</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▲6.刷新率≥1920Hz；</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7.最大功耗≤460W/m²；平均功耗≤145W/㎡；</w:t>
            </w:r>
          </w:p>
          <w:p>
            <w:pPr>
              <w:spacing w:line="288" w:lineRule="auto"/>
              <w:rPr>
                <w:rFonts w:hint="eastAsia"/>
                <w:sz w:val="21"/>
                <w:szCs w:val="21"/>
              </w:rPr>
            </w:pPr>
            <w:r>
              <w:rPr>
                <w:rFonts w:hint="eastAsia"/>
                <w:sz w:val="21"/>
                <w:szCs w:val="21"/>
              </w:rPr>
              <w:t>8.色度均匀性：±0.002Cx，Cy之内；</w:t>
            </w:r>
          </w:p>
          <w:p>
            <w:pPr>
              <w:spacing w:line="288" w:lineRule="auto"/>
              <w:rPr>
                <w:rFonts w:hint="eastAsia"/>
                <w:sz w:val="21"/>
                <w:szCs w:val="21"/>
              </w:rPr>
            </w:pPr>
            <w:r>
              <w:rPr>
                <w:rFonts w:hint="eastAsia"/>
                <w:sz w:val="21"/>
                <w:szCs w:val="21"/>
              </w:rPr>
              <w:t>9.色温：3000-18000K可调；</w:t>
            </w:r>
          </w:p>
          <w:p>
            <w:pPr>
              <w:spacing w:line="288" w:lineRule="auto"/>
              <w:rPr>
                <w:rFonts w:hint="eastAsia"/>
                <w:b/>
                <w:bCs/>
                <w:sz w:val="21"/>
                <w:szCs w:val="21"/>
              </w:rPr>
            </w:pPr>
            <w:r>
              <w:rPr>
                <w:rFonts w:hint="eastAsia"/>
                <w:sz w:val="21"/>
                <w:szCs w:val="21"/>
              </w:rPr>
              <w:t>10.支持故障告警，实时监控工作状态；</w:t>
            </w:r>
          </w:p>
          <w:p>
            <w:pPr>
              <w:spacing w:line="288" w:lineRule="auto"/>
              <w:rPr>
                <w:rFonts w:hint="eastAsia"/>
                <w:sz w:val="21"/>
                <w:szCs w:val="21"/>
              </w:rPr>
            </w:pPr>
            <w:r>
              <w:rPr>
                <w:rFonts w:hint="eastAsia"/>
                <w:sz w:val="21"/>
                <w:szCs w:val="21"/>
              </w:rPr>
              <w:t>11.支持智能节电功能；</w:t>
            </w:r>
          </w:p>
          <w:p>
            <w:pPr>
              <w:spacing w:line="288" w:lineRule="auto"/>
              <w:rPr>
                <w:rFonts w:hint="eastAsia"/>
                <w:sz w:val="21"/>
                <w:szCs w:val="21"/>
              </w:rPr>
            </w:pPr>
            <w:r>
              <w:rPr>
                <w:rFonts w:hint="eastAsia"/>
                <w:sz w:val="21"/>
                <w:szCs w:val="21"/>
              </w:rPr>
              <w:t>12.对地漏电流≤3.5mA；</w:t>
            </w:r>
          </w:p>
          <w:p>
            <w:pPr>
              <w:spacing w:line="288" w:lineRule="auto"/>
              <w:rPr>
                <w:rFonts w:hint="eastAsia"/>
                <w:sz w:val="21"/>
                <w:szCs w:val="21"/>
              </w:rPr>
            </w:pPr>
            <w:r>
              <w:rPr>
                <w:rFonts w:hint="eastAsia"/>
                <w:sz w:val="21"/>
                <w:szCs w:val="21"/>
              </w:rPr>
              <w:t>13.亮度均匀性≥98.6%；</w:t>
            </w:r>
          </w:p>
          <w:p>
            <w:pPr>
              <w:spacing w:line="288" w:lineRule="auto"/>
              <w:rPr>
                <w:rFonts w:hint="eastAsia"/>
                <w:sz w:val="21"/>
                <w:szCs w:val="21"/>
              </w:rPr>
            </w:pPr>
            <w:r>
              <w:rPr>
                <w:rFonts w:hint="eastAsia"/>
                <w:sz w:val="21"/>
                <w:szCs w:val="21"/>
              </w:rPr>
              <w:t>14.像素失控率≤1/100000；</w:t>
            </w:r>
          </w:p>
          <w:p>
            <w:pPr>
              <w:spacing w:line="288" w:lineRule="auto"/>
              <w:rPr>
                <w:rFonts w:hint="eastAsia"/>
                <w:sz w:val="21"/>
                <w:szCs w:val="21"/>
              </w:rPr>
            </w:pPr>
            <w:r>
              <w:rPr>
                <w:rFonts w:hint="eastAsia"/>
                <w:sz w:val="21"/>
                <w:szCs w:val="21"/>
              </w:rPr>
              <w:t>15.产品基色主波长误差符合SJ/T 11141-2017标准 C级；△λD≤5；</w:t>
            </w:r>
          </w:p>
          <w:p>
            <w:pPr>
              <w:spacing w:line="288" w:lineRule="auto"/>
              <w:rPr>
                <w:rFonts w:hint="eastAsia"/>
                <w:sz w:val="21"/>
                <w:szCs w:val="21"/>
              </w:rPr>
            </w:pPr>
            <w:r>
              <w:rPr>
                <w:rFonts w:hint="eastAsia"/>
                <w:sz w:val="21"/>
                <w:szCs w:val="21"/>
              </w:rPr>
              <w:t>16.PCB阻燃等级标准，满足防火V-O要求；</w:t>
            </w:r>
          </w:p>
          <w:p>
            <w:pPr>
              <w:spacing w:line="288" w:lineRule="auto"/>
              <w:rPr>
                <w:rFonts w:hint="eastAsia"/>
              </w:rPr>
            </w:pPr>
            <w:r>
              <w:rPr>
                <w:rFonts w:hint="eastAsia"/>
                <w:sz w:val="21"/>
                <w:szCs w:val="21"/>
              </w:rPr>
              <w:t>17.光生物安全性：RGO无危害；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pacing w:line="288" w:lineRule="auto"/>
              <w:jc w:val="center"/>
              <w:rPr>
                <w:rFonts w:hint="eastAsia"/>
                <w:b/>
                <w:bCs/>
                <w:sz w:val="21"/>
                <w:szCs w:val="21"/>
              </w:rPr>
            </w:pPr>
            <w:r>
              <w:rPr>
                <w:rFonts w:hint="eastAsia"/>
                <w:b/>
                <w:bCs/>
                <w:sz w:val="21"/>
                <w:szCs w:val="21"/>
              </w:rPr>
              <w:t>3</w:t>
            </w:r>
          </w:p>
        </w:tc>
        <w:tc>
          <w:tcPr>
            <w:tcW w:w="1511" w:type="dxa"/>
            <w:vAlign w:val="center"/>
          </w:tcPr>
          <w:p>
            <w:pPr>
              <w:spacing w:line="288" w:lineRule="auto"/>
              <w:jc w:val="center"/>
              <w:rPr>
                <w:rFonts w:hint="eastAsia"/>
                <w:b/>
                <w:bCs/>
                <w:sz w:val="21"/>
                <w:szCs w:val="21"/>
              </w:rPr>
            </w:pPr>
            <w:r>
              <w:rPr>
                <w:rFonts w:hint="eastAsia"/>
                <w:b/>
                <w:bCs/>
                <w:sz w:val="21"/>
                <w:szCs w:val="21"/>
              </w:rPr>
              <w:t>电源</w:t>
            </w:r>
          </w:p>
        </w:tc>
        <w:tc>
          <w:tcPr>
            <w:tcW w:w="960" w:type="dxa"/>
            <w:vAlign w:val="center"/>
          </w:tcPr>
          <w:p>
            <w:pPr>
              <w:spacing w:line="288" w:lineRule="auto"/>
              <w:jc w:val="center"/>
              <w:rPr>
                <w:rFonts w:hint="eastAsia"/>
                <w:b/>
                <w:bCs/>
                <w:sz w:val="21"/>
                <w:szCs w:val="21"/>
              </w:rPr>
            </w:pPr>
            <w:r>
              <w:rPr>
                <w:rFonts w:hint="eastAsia"/>
                <w:b/>
                <w:bCs/>
                <w:sz w:val="21"/>
                <w:szCs w:val="21"/>
              </w:rPr>
              <w:t>160</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1.INPUT(输入电压）：200V-240VAC；</w:t>
            </w:r>
          </w:p>
          <w:p>
            <w:pPr>
              <w:spacing w:line="288" w:lineRule="auto"/>
              <w:rPr>
                <w:rFonts w:hint="eastAsia"/>
                <w:sz w:val="21"/>
                <w:szCs w:val="21"/>
              </w:rPr>
            </w:pPr>
            <w:r>
              <w:rPr>
                <w:rFonts w:hint="eastAsia"/>
                <w:sz w:val="21"/>
                <w:szCs w:val="21"/>
              </w:rPr>
              <w:t>2.OUTPUT(输出电压）：≤5V；</w:t>
            </w:r>
          </w:p>
          <w:p>
            <w:pPr>
              <w:spacing w:line="288" w:lineRule="auto"/>
              <w:rPr>
                <w:rFonts w:hint="eastAsia"/>
                <w:sz w:val="21"/>
                <w:szCs w:val="21"/>
              </w:rPr>
            </w:pPr>
            <w:r>
              <w:rPr>
                <w:rFonts w:hint="eastAsia"/>
                <w:sz w:val="21"/>
                <w:szCs w:val="21"/>
              </w:rPr>
              <w:t>3.输出电流：40A。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spacing w:line="288" w:lineRule="auto"/>
              <w:jc w:val="center"/>
              <w:rPr>
                <w:rFonts w:hint="eastAsia"/>
                <w:b/>
                <w:bCs/>
                <w:sz w:val="21"/>
                <w:szCs w:val="21"/>
              </w:rPr>
            </w:pPr>
            <w:r>
              <w:rPr>
                <w:rFonts w:hint="eastAsia"/>
                <w:b/>
                <w:bCs/>
                <w:sz w:val="21"/>
                <w:szCs w:val="21"/>
              </w:rPr>
              <w:t>4</w:t>
            </w:r>
          </w:p>
        </w:tc>
        <w:tc>
          <w:tcPr>
            <w:tcW w:w="1511" w:type="dxa"/>
            <w:vAlign w:val="center"/>
          </w:tcPr>
          <w:p>
            <w:pPr>
              <w:spacing w:line="288" w:lineRule="auto"/>
              <w:jc w:val="center"/>
              <w:rPr>
                <w:rFonts w:hint="eastAsia"/>
                <w:b/>
                <w:bCs/>
                <w:sz w:val="21"/>
                <w:szCs w:val="21"/>
              </w:rPr>
            </w:pPr>
            <w:r>
              <w:rPr>
                <w:rFonts w:hint="eastAsia"/>
                <w:b/>
                <w:bCs/>
                <w:sz w:val="21"/>
                <w:szCs w:val="21"/>
              </w:rPr>
              <w:t>接收卡</w:t>
            </w:r>
          </w:p>
        </w:tc>
        <w:tc>
          <w:tcPr>
            <w:tcW w:w="960" w:type="dxa"/>
            <w:vAlign w:val="center"/>
          </w:tcPr>
          <w:p>
            <w:pPr>
              <w:spacing w:line="288" w:lineRule="auto"/>
              <w:jc w:val="center"/>
              <w:rPr>
                <w:rFonts w:hint="eastAsia"/>
                <w:b/>
                <w:bCs/>
                <w:sz w:val="21"/>
                <w:szCs w:val="21"/>
              </w:rPr>
            </w:pPr>
            <w:r>
              <w:rPr>
                <w:rFonts w:hint="eastAsia"/>
                <w:b/>
                <w:bCs/>
                <w:sz w:val="21"/>
                <w:szCs w:val="21"/>
              </w:rPr>
              <w:t>80</w:t>
            </w:r>
          </w:p>
        </w:tc>
        <w:tc>
          <w:tcPr>
            <w:tcW w:w="661" w:type="dxa"/>
            <w:vAlign w:val="center"/>
          </w:tcPr>
          <w:p>
            <w:pPr>
              <w:spacing w:line="288" w:lineRule="auto"/>
              <w:jc w:val="center"/>
              <w:rPr>
                <w:rFonts w:hint="eastAsia"/>
                <w:b/>
                <w:bCs/>
                <w:sz w:val="21"/>
                <w:szCs w:val="21"/>
              </w:rPr>
            </w:pPr>
            <w:r>
              <w:rPr>
                <w:rFonts w:hint="eastAsia"/>
                <w:b/>
                <w:bCs/>
                <w:sz w:val="21"/>
                <w:szCs w:val="21"/>
              </w:rPr>
              <w:t>张</w:t>
            </w:r>
          </w:p>
        </w:tc>
        <w:tc>
          <w:tcPr>
            <w:tcW w:w="6269" w:type="dxa"/>
            <w:vAlign w:val="center"/>
          </w:tcPr>
          <w:p>
            <w:pPr>
              <w:spacing w:line="288" w:lineRule="auto"/>
              <w:rPr>
                <w:rFonts w:hint="eastAsia"/>
                <w:sz w:val="21"/>
                <w:szCs w:val="21"/>
              </w:rPr>
            </w:pPr>
            <w:r>
              <w:rPr>
                <w:rFonts w:hint="eastAsia"/>
                <w:sz w:val="21"/>
                <w:szCs w:val="21"/>
              </w:rPr>
              <w:t>1.单卡支持16组RGB信号并行输出，最大支持512×384像素点；</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2.支持高精度的色度、亮度一体化逐点校正；</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3.支持低亮高灰以及色温调节；</w:t>
            </w:r>
          </w:p>
          <w:p>
            <w:pPr>
              <w:spacing w:line="288" w:lineRule="auto"/>
              <w:rPr>
                <w:rFonts w:hint="eastAsia"/>
                <w:sz w:val="21"/>
                <w:szCs w:val="21"/>
              </w:rPr>
            </w:pPr>
            <w:r>
              <w:rPr>
                <w:rFonts w:hint="eastAsia"/>
                <w:sz w:val="21"/>
                <w:szCs w:val="21"/>
              </w:rPr>
              <w:t>4.支持静态到64扫之间的任意扫描类型；</w:t>
            </w:r>
          </w:p>
          <w:p>
            <w:pPr>
              <w:spacing w:line="288" w:lineRule="auto"/>
              <w:rPr>
                <w:rFonts w:hint="eastAsia"/>
              </w:rPr>
            </w:pPr>
            <w:r>
              <w:rPr>
                <w:rFonts w:hint="eastAsia"/>
                <w:sz w:val="21"/>
                <w:szCs w:val="21"/>
              </w:rPr>
              <w:t>5.DC 3.8V~5.5V工作电压。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5</w:t>
            </w:r>
          </w:p>
        </w:tc>
        <w:tc>
          <w:tcPr>
            <w:tcW w:w="1511" w:type="dxa"/>
            <w:vAlign w:val="center"/>
          </w:tcPr>
          <w:p>
            <w:pPr>
              <w:spacing w:line="288" w:lineRule="auto"/>
              <w:jc w:val="center"/>
              <w:rPr>
                <w:rFonts w:hint="eastAsia"/>
                <w:b/>
                <w:bCs/>
                <w:sz w:val="21"/>
                <w:szCs w:val="21"/>
              </w:rPr>
            </w:pPr>
            <w:r>
              <w:rPr>
                <w:rFonts w:hint="eastAsia"/>
                <w:b/>
                <w:bCs/>
                <w:sz w:val="21"/>
                <w:szCs w:val="21"/>
              </w:rPr>
              <w:t>LED屏内线材</w:t>
            </w:r>
          </w:p>
        </w:tc>
        <w:tc>
          <w:tcPr>
            <w:tcW w:w="960" w:type="dxa"/>
            <w:vAlign w:val="center"/>
          </w:tcPr>
          <w:p>
            <w:pPr>
              <w:spacing w:line="288" w:lineRule="auto"/>
              <w:jc w:val="center"/>
              <w:rPr>
                <w:rFonts w:hint="eastAsia"/>
                <w:b/>
                <w:bCs/>
                <w:sz w:val="21"/>
                <w:szCs w:val="21"/>
              </w:rPr>
            </w:pPr>
            <w:r>
              <w:rPr>
                <w:rFonts w:hint="eastAsia"/>
                <w:b/>
                <w:bCs/>
                <w:sz w:val="21"/>
                <w:szCs w:val="21"/>
              </w:rPr>
              <w:t>32.768</w:t>
            </w:r>
          </w:p>
        </w:tc>
        <w:tc>
          <w:tcPr>
            <w:tcW w:w="661" w:type="dxa"/>
            <w:vAlign w:val="center"/>
          </w:tcPr>
          <w:p>
            <w:pPr>
              <w:spacing w:line="288" w:lineRule="auto"/>
              <w:jc w:val="center"/>
              <w:rPr>
                <w:rFonts w:hint="eastAsia"/>
                <w:b/>
                <w:bCs/>
                <w:sz w:val="21"/>
                <w:szCs w:val="21"/>
              </w:rPr>
            </w:pPr>
            <w:r>
              <w:rPr>
                <w:rFonts w:hint="eastAsia"/>
                <w:b/>
                <w:bCs/>
                <w:sz w:val="21"/>
                <w:szCs w:val="21"/>
              </w:rPr>
              <w:t>㎡</w:t>
            </w:r>
          </w:p>
        </w:tc>
        <w:tc>
          <w:tcPr>
            <w:tcW w:w="6269" w:type="dxa"/>
            <w:vAlign w:val="center"/>
          </w:tcPr>
          <w:p>
            <w:pPr>
              <w:spacing w:line="288" w:lineRule="auto"/>
              <w:rPr>
                <w:rFonts w:hint="eastAsia"/>
                <w:sz w:val="21"/>
                <w:szCs w:val="21"/>
              </w:rPr>
            </w:pPr>
            <w:r>
              <w:rPr>
                <w:rFonts w:hint="eastAsia"/>
                <w:sz w:val="21"/>
                <w:szCs w:val="21"/>
              </w:rPr>
              <w:t>提供符合国标的电源线、网线、排线。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6</w:t>
            </w:r>
          </w:p>
        </w:tc>
        <w:tc>
          <w:tcPr>
            <w:tcW w:w="1511" w:type="dxa"/>
            <w:vAlign w:val="center"/>
          </w:tcPr>
          <w:p>
            <w:pPr>
              <w:spacing w:line="288" w:lineRule="auto"/>
              <w:jc w:val="center"/>
              <w:rPr>
                <w:rFonts w:hint="eastAsia"/>
                <w:b/>
                <w:bCs/>
                <w:sz w:val="21"/>
                <w:szCs w:val="21"/>
              </w:rPr>
            </w:pPr>
            <w:r>
              <w:rPr>
                <w:rFonts w:hint="eastAsia"/>
                <w:b/>
                <w:bCs/>
                <w:sz w:val="21"/>
                <w:szCs w:val="21"/>
              </w:rPr>
              <w:t>箱体</w:t>
            </w:r>
          </w:p>
        </w:tc>
        <w:tc>
          <w:tcPr>
            <w:tcW w:w="960" w:type="dxa"/>
            <w:vAlign w:val="center"/>
          </w:tcPr>
          <w:p>
            <w:pPr>
              <w:spacing w:line="288" w:lineRule="auto"/>
              <w:jc w:val="center"/>
              <w:rPr>
                <w:rFonts w:hint="eastAsia"/>
                <w:b/>
                <w:bCs/>
                <w:sz w:val="21"/>
                <w:szCs w:val="21"/>
              </w:rPr>
            </w:pPr>
            <w:r>
              <w:rPr>
                <w:rFonts w:hint="eastAsia"/>
                <w:b/>
                <w:bCs/>
                <w:sz w:val="21"/>
                <w:szCs w:val="21"/>
              </w:rPr>
              <w:t>80</w:t>
            </w:r>
          </w:p>
        </w:tc>
        <w:tc>
          <w:tcPr>
            <w:tcW w:w="661" w:type="dxa"/>
            <w:vAlign w:val="center"/>
          </w:tcPr>
          <w:p>
            <w:pPr>
              <w:spacing w:line="288" w:lineRule="auto"/>
              <w:jc w:val="center"/>
              <w:rPr>
                <w:rFonts w:hint="eastAsia"/>
                <w:b/>
                <w:bCs/>
                <w:sz w:val="21"/>
                <w:szCs w:val="21"/>
              </w:rPr>
            </w:pPr>
            <w:r>
              <w:rPr>
                <w:rFonts w:hint="eastAsia"/>
                <w:b/>
                <w:bCs/>
                <w:sz w:val="21"/>
                <w:szCs w:val="21"/>
              </w:rPr>
              <w:t>件</w:t>
            </w:r>
          </w:p>
        </w:tc>
        <w:tc>
          <w:tcPr>
            <w:tcW w:w="6269" w:type="dxa"/>
            <w:vAlign w:val="center"/>
          </w:tcPr>
          <w:p>
            <w:pPr>
              <w:spacing w:line="288" w:lineRule="auto"/>
              <w:rPr>
                <w:rFonts w:hint="eastAsia"/>
                <w:sz w:val="21"/>
                <w:szCs w:val="21"/>
              </w:rPr>
            </w:pPr>
            <w:r>
              <w:rPr>
                <w:rFonts w:hint="eastAsia"/>
                <w:sz w:val="21"/>
                <w:szCs w:val="21"/>
              </w:rPr>
              <w:t>1.箱体尺寸</w:t>
            </w:r>
            <w:r>
              <w:rPr>
                <w:rFonts w:hint="eastAsia"/>
              </w:rPr>
              <w:t>≥</w:t>
            </w:r>
            <w:r>
              <w:rPr>
                <w:rFonts w:hint="eastAsia"/>
                <w:sz w:val="21"/>
                <w:szCs w:val="21"/>
              </w:rPr>
              <w:t>640*640mm；</w:t>
            </w:r>
          </w:p>
          <w:p>
            <w:pPr>
              <w:spacing w:line="288" w:lineRule="auto"/>
              <w:rPr>
                <w:rFonts w:hint="eastAsia"/>
                <w:sz w:val="21"/>
                <w:szCs w:val="21"/>
              </w:rPr>
            </w:pPr>
            <w:r>
              <w:rPr>
                <w:rFonts w:hint="eastAsia"/>
                <w:sz w:val="21"/>
                <w:szCs w:val="21"/>
              </w:rPr>
              <w:t>2.箱体主要材质：铝合金；</w:t>
            </w:r>
          </w:p>
          <w:p>
            <w:pPr>
              <w:spacing w:line="288" w:lineRule="auto"/>
              <w:rPr>
                <w:rFonts w:hint="eastAsia"/>
                <w:sz w:val="21"/>
                <w:szCs w:val="21"/>
              </w:rPr>
            </w:pPr>
            <w:r>
              <w:rPr>
                <w:rFonts w:hint="eastAsia"/>
                <w:sz w:val="21"/>
                <w:szCs w:val="21"/>
              </w:rPr>
              <w:t>3.箱体支持拼接自动对位设计；</w:t>
            </w:r>
          </w:p>
          <w:p>
            <w:pPr>
              <w:spacing w:line="288" w:lineRule="auto"/>
              <w:rPr>
                <w:rFonts w:hint="eastAsia"/>
                <w:sz w:val="21"/>
                <w:szCs w:val="21"/>
              </w:rPr>
            </w:pPr>
            <w:r>
              <w:rPr>
                <w:rFonts w:hint="eastAsia"/>
                <w:sz w:val="21"/>
                <w:szCs w:val="21"/>
              </w:rPr>
              <w:t>4.支持箱体间XYZ轴六向调节。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7</w:t>
            </w:r>
          </w:p>
        </w:tc>
        <w:tc>
          <w:tcPr>
            <w:tcW w:w="1511" w:type="dxa"/>
            <w:vAlign w:val="center"/>
          </w:tcPr>
          <w:p>
            <w:pPr>
              <w:spacing w:line="288" w:lineRule="auto"/>
              <w:jc w:val="center"/>
              <w:rPr>
                <w:rFonts w:hint="eastAsia"/>
                <w:b/>
                <w:bCs/>
                <w:sz w:val="21"/>
                <w:szCs w:val="21"/>
              </w:rPr>
            </w:pPr>
            <w:r>
              <w:rPr>
                <w:rFonts w:hint="eastAsia"/>
                <w:b/>
                <w:bCs/>
                <w:sz w:val="21"/>
                <w:szCs w:val="21"/>
              </w:rPr>
              <w:t>视频处理器</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1.采用标准机箱，配置可选板卡式设计，输出连接屏幕；</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2.支持千兆网口/万兆光口集成LED发送卡或HDMI/DVI视频输出；</w:t>
            </w:r>
            <w:r>
              <w:rPr>
                <w:rFonts w:hint="eastAsia"/>
                <w:b/>
                <w:bCs/>
                <w:sz w:val="21"/>
                <w:szCs w:val="21"/>
              </w:rPr>
              <w:t>（投标文件中提供产品彩页或检测报告等证明材料）</w:t>
            </w:r>
          </w:p>
          <w:p>
            <w:pPr>
              <w:spacing w:line="288" w:lineRule="auto"/>
              <w:rPr>
                <w:rFonts w:hint="eastAsia"/>
                <w:sz w:val="21"/>
                <w:szCs w:val="21"/>
              </w:rPr>
            </w:pPr>
            <w:r>
              <w:rPr>
                <w:rFonts w:hint="eastAsia"/>
                <w:sz w:val="21"/>
                <w:szCs w:val="21"/>
              </w:rPr>
              <w:t>3.支持单机网口/光口输出最大带载1600万像素点;</w:t>
            </w:r>
          </w:p>
          <w:p>
            <w:pPr>
              <w:spacing w:line="288" w:lineRule="auto"/>
              <w:rPr>
                <w:rFonts w:hint="eastAsia"/>
                <w:sz w:val="21"/>
                <w:szCs w:val="21"/>
              </w:rPr>
            </w:pPr>
            <w:r>
              <w:rPr>
                <w:rFonts w:hint="eastAsia"/>
                <w:sz w:val="21"/>
                <w:szCs w:val="21"/>
              </w:rPr>
              <w:t>4.支持8bit/10bit/12bit色深视频源输入；</w:t>
            </w:r>
          </w:p>
          <w:p>
            <w:pPr>
              <w:spacing w:line="288" w:lineRule="auto"/>
              <w:rPr>
                <w:rFonts w:hint="eastAsia"/>
                <w:sz w:val="21"/>
                <w:szCs w:val="21"/>
              </w:rPr>
            </w:pPr>
            <w:r>
              <w:rPr>
                <w:rFonts w:hint="eastAsia"/>
                <w:sz w:val="21"/>
                <w:szCs w:val="21"/>
              </w:rPr>
              <w:t>5.支持5个图层显示，图层大小和位置可自由调节；</w:t>
            </w:r>
          </w:p>
          <w:p>
            <w:pPr>
              <w:spacing w:line="288" w:lineRule="auto"/>
              <w:rPr>
                <w:rFonts w:hint="eastAsia"/>
                <w:sz w:val="21"/>
                <w:szCs w:val="21"/>
              </w:rPr>
            </w:pPr>
            <w:r>
              <w:rPr>
                <w:rFonts w:hint="eastAsia"/>
                <w:sz w:val="21"/>
                <w:szCs w:val="21"/>
              </w:rPr>
              <w:t>6.支持视频信号任意裁剪、切换、缩放；</w:t>
            </w:r>
          </w:p>
          <w:p>
            <w:pPr>
              <w:spacing w:line="288" w:lineRule="auto"/>
              <w:rPr>
                <w:rFonts w:hint="eastAsia"/>
              </w:rPr>
            </w:pPr>
            <w:r>
              <w:rPr>
                <w:rFonts w:hint="eastAsia"/>
                <w:sz w:val="21"/>
                <w:szCs w:val="21"/>
              </w:rPr>
              <w:t>7.支持多个场景的保存和调用；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8</w:t>
            </w:r>
          </w:p>
        </w:tc>
        <w:tc>
          <w:tcPr>
            <w:tcW w:w="1511" w:type="dxa"/>
            <w:vAlign w:val="center"/>
          </w:tcPr>
          <w:p>
            <w:pPr>
              <w:spacing w:line="288" w:lineRule="auto"/>
              <w:jc w:val="center"/>
              <w:rPr>
                <w:rFonts w:hint="eastAsia"/>
                <w:b/>
                <w:bCs/>
                <w:sz w:val="21"/>
                <w:szCs w:val="21"/>
              </w:rPr>
            </w:pPr>
            <w:r>
              <w:rPr>
                <w:rFonts w:hint="eastAsia"/>
                <w:b/>
                <w:bCs/>
                <w:sz w:val="21"/>
                <w:szCs w:val="21"/>
              </w:rPr>
              <w:t>控制软件</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套</w:t>
            </w:r>
          </w:p>
        </w:tc>
        <w:tc>
          <w:tcPr>
            <w:tcW w:w="6269" w:type="dxa"/>
            <w:vAlign w:val="center"/>
          </w:tcPr>
          <w:p>
            <w:pPr>
              <w:spacing w:line="288" w:lineRule="auto"/>
              <w:rPr>
                <w:rFonts w:hint="eastAsia"/>
                <w:sz w:val="21"/>
                <w:szCs w:val="21"/>
              </w:rPr>
            </w:pPr>
            <w:r>
              <w:rPr>
                <w:rFonts w:hint="eastAsia"/>
                <w:sz w:val="21"/>
                <w:szCs w:val="21"/>
              </w:rPr>
              <w:t>1.支持视频、音频、图像等形式的媒体文件播放；</w:t>
            </w:r>
          </w:p>
          <w:p>
            <w:pPr>
              <w:spacing w:line="288" w:lineRule="auto"/>
              <w:rPr>
                <w:rFonts w:hint="eastAsia"/>
                <w:sz w:val="21"/>
                <w:szCs w:val="21"/>
              </w:rPr>
            </w:pPr>
            <w:r>
              <w:rPr>
                <w:rFonts w:hint="eastAsia"/>
                <w:sz w:val="21"/>
                <w:szCs w:val="21"/>
              </w:rPr>
              <w:t>2.支持时钟、计时、网页、表格、天气预报显示；</w:t>
            </w:r>
          </w:p>
          <w:p>
            <w:pPr>
              <w:spacing w:line="288" w:lineRule="auto"/>
              <w:rPr>
                <w:rFonts w:hint="eastAsia"/>
                <w:sz w:val="21"/>
                <w:szCs w:val="21"/>
              </w:rPr>
            </w:pPr>
            <w:r>
              <w:rPr>
                <w:rFonts w:hint="eastAsia"/>
                <w:sz w:val="21"/>
                <w:szCs w:val="21"/>
              </w:rPr>
              <w:t>3.支持设置节目页背景图片、颜色、音乐以及播放时长；</w:t>
            </w:r>
          </w:p>
          <w:p>
            <w:pPr>
              <w:spacing w:line="288" w:lineRule="auto"/>
              <w:rPr>
                <w:rFonts w:hint="eastAsia"/>
                <w:sz w:val="21"/>
                <w:szCs w:val="21"/>
              </w:rPr>
            </w:pPr>
            <w:r>
              <w:rPr>
                <w:rFonts w:hint="eastAsia"/>
                <w:sz w:val="21"/>
                <w:szCs w:val="21"/>
              </w:rPr>
              <w:t>4.支持软件开机自启动并播放节目、定时切换节目。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9</w:t>
            </w:r>
          </w:p>
        </w:tc>
        <w:tc>
          <w:tcPr>
            <w:tcW w:w="1511" w:type="dxa"/>
            <w:vAlign w:val="center"/>
          </w:tcPr>
          <w:p>
            <w:pPr>
              <w:spacing w:line="288" w:lineRule="auto"/>
              <w:jc w:val="center"/>
              <w:rPr>
                <w:rFonts w:hint="eastAsia"/>
                <w:b/>
                <w:bCs/>
                <w:sz w:val="21"/>
                <w:szCs w:val="21"/>
              </w:rPr>
            </w:pPr>
            <w:r>
              <w:rPr>
                <w:rFonts w:hint="eastAsia"/>
                <w:b/>
                <w:bCs/>
                <w:sz w:val="21"/>
                <w:szCs w:val="21"/>
              </w:rPr>
              <w:t>智能配电箱</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不低于100kw。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10</w:t>
            </w:r>
          </w:p>
        </w:tc>
        <w:tc>
          <w:tcPr>
            <w:tcW w:w="1511" w:type="dxa"/>
            <w:vAlign w:val="center"/>
          </w:tcPr>
          <w:p>
            <w:pPr>
              <w:spacing w:line="288" w:lineRule="auto"/>
              <w:jc w:val="center"/>
              <w:rPr>
                <w:rFonts w:hint="eastAsia"/>
                <w:b/>
                <w:bCs/>
                <w:sz w:val="21"/>
                <w:szCs w:val="21"/>
              </w:rPr>
            </w:pPr>
            <w:r>
              <w:rPr>
                <w:rFonts w:hint="eastAsia"/>
                <w:b/>
                <w:bCs/>
                <w:sz w:val="21"/>
                <w:szCs w:val="21"/>
              </w:rPr>
              <w:t>服务器</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1.CPU：不低于14核，最大睿频频率5.3GHz；</w:t>
            </w:r>
          </w:p>
          <w:p>
            <w:pPr>
              <w:spacing w:line="288" w:lineRule="auto"/>
              <w:rPr>
                <w:rFonts w:hint="eastAsia"/>
                <w:sz w:val="21"/>
                <w:szCs w:val="21"/>
              </w:rPr>
            </w:pPr>
            <w:r>
              <w:rPr>
                <w:rFonts w:hint="eastAsia"/>
                <w:sz w:val="21"/>
                <w:szCs w:val="21"/>
              </w:rPr>
              <w:t>2.独立显卡：显存不小于8GB；</w:t>
            </w:r>
          </w:p>
          <w:p>
            <w:pPr>
              <w:spacing w:line="288" w:lineRule="auto"/>
              <w:rPr>
                <w:rFonts w:hint="eastAsia"/>
                <w:sz w:val="21"/>
                <w:szCs w:val="21"/>
              </w:rPr>
            </w:pPr>
            <w:r>
              <w:rPr>
                <w:rFonts w:hint="eastAsia"/>
                <w:sz w:val="21"/>
                <w:szCs w:val="21"/>
              </w:rPr>
              <w:t>3.内存≥16G；</w:t>
            </w:r>
          </w:p>
          <w:p>
            <w:pPr>
              <w:spacing w:line="288" w:lineRule="auto"/>
              <w:rPr>
                <w:rFonts w:hint="eastAsia"/>
                <w:sz w:val="21"/>
                <w:szCs w:val="21"/>
              </w:rPr>
            </w:pPr>
            <w:r>
              <w:rPr>
                <w:rFonts w:hint="eastAsia"/>
                <w:sz w:val="21"/>
                <w:szCs w:val="21"/>
              </w:rPr>
              <w:t>4.硬盘≥1TB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11</w:t>
            </w:r>
          </w:p>
        </w:tc>
        <w:tc>
          <w:tcPr>
            <w:tcW w:w="1511" w:type="dxa"/>
            <w:vAlign w:val="center"/>
          </w:tcPr>
          <w:p>
            <w:pPr>
              <w:spacing w:line="288" w:lineRule="auto"/>
              <w:jc w:val="center"/>
              <w:rPr>
                <w:rFonts w:hint="eastAsia"/>
                <w:b/>
                <w:bCs/>
                <w:sz w:val="21"/>
                <w:szCs w:val="21"/>
              </w:rPr>
            </w:pPr>
            <w:r>
              <w:rPr>
                <w:rFonts w:hint="eastAsia"/>
                <w:b/>
                <w:bCs/>
                <w:sz w:val="21"/>
                <w:szCs w:val="21"/>
              </w:rPr>
              <w:t>触摸屏</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1.尺寸≥23英寸；</w:t>
            </w:r>
          </w:p>
          <w:p>
            <w:pPr>
              <w:spacing w:line="288" w:lineRule="auto"/>
              <w:rPr>
                <w:rFonts w:hint="eastAsia"/>
                <w:sz w:val="21"/>
                <w:szCs w:val="21"/>
              </w:rPr>
            </w:pPr>
            <w:r>
              <w:rPr>
                <w:rFonts w:hint="eastAsia"/>
                <w:sz w:val="21"/>
                <w:szCs w:val="21"/>
              </w:rPr>
              <w:t>2.具备触摸功能；</w:t>
            </w:r>
          </w:p>
          <w:p>
            <w:pPr>
              <w:spacing w:line="288" w:lineRule="auto"/>
              <w:rPr>
                <w:rFonts w:hint="eastAsia"/>
                <w:sz w:val="21"/>
                <w:szCs w:val="21"/>
              </w:rPr>
            </w:pPr>
            <w:r>
              <w:rPr>
                <w:rFonts w:hint="eastAsia"/>
                <w:sz w:val="21"/>
                <w:szCs w:val="21"/>
              </w:rPr>
              <w:t>3.分辨率不低于1920*1080；</w:t>
            </w:r>
          </w:p>
          <w:p>
            <w:pPr>
              <w:spacing w:line="288" w:lineRule="auto"/>
              <w:rPr>
                <w:rFonts w:hint="eastAsia"/>
                <w:sz w:val="21"/>
                <w:szCs w:val="21"/>
              </w:rPr>
            </w:pPr>
            <w:r>
              <w:rPr>
                <w:rFonts w:hint="eastAsia"/>
                <w:sz w:val="21"/>
                <w:szCs w:val="21"/>
              </w:rPr>
              <w:t>4.响应时间不超过10ms。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12</w:t>
            </w:r>
          </w:p>
        </w:tc>
        <w:tc>
          <w:tcPr>
            <w:tcW w:w="1511" w:type="dxa"/>
            <w:vAlign w:val="center"/>
          </w:tcPr>
          <w:p>
            <w:pPr>
              <w:spacing w:line="288" w:lineRule="auto"/>
              <w:jc w:val="center"/>
              <w:rPr>
                <w:rFonts w:hint="eastAsia"/>
                <w:b/>
                <w:bCs/>
                <w:sz w:val="21"/>
                <w:szCs w:val="21"/>
              </w:rPr>
            </w:pPr>
            <w:r>
              <w:rPr>
                <w:rFonts w:hint="eastAsia"/>
                <w:b/>
                <w:bCs/>
                <w:sz w:val="21"/>
                <w:szCs w:val="21"/>
              </w:rPr>
              <w:t>功放</w:t>
            </w:r>
          </w:p>
        </w:tc>
        <w:tc>
          <w:tcPr>
            <w:tcW w:w="960" w:type="dxa"/>
            <w:vAlign w:val="center"/>
          </w:tcPr>
          <w:p>
            <w:pPr>
              <w:spacing w:line="288" w:lineRule="auto"/>
              <w:jc w:val="center"/>
              <w:rPr>
                <w:rFonts w:hint="eastAsia"/>
                <w:b/>
                <w:bCs/>
                <w:sz w:val="21"/>
                <w:szCs w:val="21"/>
              </w:rPr>
            </w:pPr>
            <w:r>
              <w:rPr>
                <w:rFonts w:hint="eastAsia"/>
                <w:b/>
                <w:bCs/>
                <w:sz w:val="21"/>
                <w:szCs w:val="21"/>
              </w:rPr>
              <w:t>1</w:t>
            </w:r>
          </w:p>
        </w:tc>
        <w:tc>
          <w:tcPr>
            <w:tcW w:w="661" w:type="dxa"/>
            <w:vAlign w:val="center"/>
          </w:tcPr>
          <w:p>
            <w:pPr>
              <w:spacing w:line="288" w:lineRule="auto"/>
              <w:jc w:val="center"/>
              <w:rPr>
                <w:rFonts w:hint="eastAsia"/>
                <w:b/>
                <w:bCs/>
                <w:sz w:val="21"/>
                <w:szCs w:val="21"/>
              </w:rPr>
            </w:pPr>
            <w:r>
              <w:rPr>
                <w:rFonts w:hint="eastAsia"/>
                <w:b/>
                <w:bCs/>
                <w:sz w:val="21"/>
                <w:szCs w:val="21"/>
              </w:rPr>
              <w:t>台</w:t>
            </w:r>
          </w:p>
        </w:tc>
        <w:tc>
          <w:tcPr>
            <w:tcW w:w="6269" w:type="dxa"/>
            <w:vAlign w:val="center"/>
          </w:tcPr>
          <w:p>
            <w:pPr>
              <w:spacing w:line="288" w:lineRule="auto"/>
              <w:rPr>
                <w:rFonts w:hint="eastAsia"/>
                <w:sz w:val="21"/>
                <w:szCs w:val="21"/>
              </w:rPr>
            </w:pPr>
            <w:r>
              <w:rPr>
                <w:rFonts w:hint="eastAsia"/>
                <w:sz w:val="21"/>
                <w:szCs w:val="21"/>
              </w:rPr>
              <w:t>1.功放功率≥100W；</w:t>
            </w:r>
          </w:p>
          <w:p>
            <w:pPr>
              <w:spacing w:line="288" w:lineRule="auto"/>
              <w:rPr>
                <w:rFonts w:hint="eastAsia"/>
                <w:sz w:val="21"/>
                <w:szCs w:val="21"/>
              </w:rPr>
            </w:pPr>
            <w:r>
              <w:rPr>
                <w:rFonts w:hint="eastAsia"/>
                <w:sz w:val="21"/>
                <w:szCs w:val="21"/>
              </w:rPr>
              <w:t>2.功放频率响应≥25Hz-20KHz；</w:t>
            </w:r>
          </w:p>
          <w:p>
            <w:pPr>
              <w:spacing w:line="288" w:lineRule="auto"/>
              <w:rPr>
                <w:rFonts w:hint="eastAsia"/>
                <w:sz w:val="21"/>
                <w:szCs w:val="21"/>
              </w:rPr>
            </w:pPr>
            <w:r>
              <w:rPr>
                <w:rFonts w:hint="eastAsia"/>
                <w:sz w:val="21"/>
                <w:szCs w:val="21"/>
              </w:rPr>
              <w:t>3.功放信噪比≥76dB。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13</w:t>
            </w:r>
          </w:p>
        </w:tc>
        <w:tc>
          <w:tcPr>
            <w:tcW w:w="1511" w:type="dxa"/>
            <w:vAlign w:val="center"/>
          </w:tcPr>
          <w:p>
            <w:pPr>
              <w:spacing w:line="288" w:lineRule="auto"/>
              <w:jc w:val="center"/>
              <w:rPr>
                <w:rFonts w:hint="eastAsia"/>
                <w:b/>
                <w:bCs/>
                <w:sz w:val="21"/>
                <w:szCs w:val="21"/>
              </w:rPr>
            </w:pPr>
            <w:r>
              <w:rPr>
                <w:rFonts w:hint="eastAsia"/>
                <w:b/>
                <w:bCs/>
                <w:sz w:val="21"/>
                <w:szCs w:val="21"/>
              </w:rPr>
              <w:t>音响</w:t>
            </w:r>
          </w:p>
        </w:tc>
        <w:tc>
          <w:tcPr>
            <w:tcW w:w="960" w:type="dxa"/>
            <w:vAlign w:val="center"/>
          </w:tcPr>
          <w:p>
            <w:pPr>
              <w:spacing w:line="288" w:lineRule="auto"/>
              <w:jc w:val="center"/>
              <w:rPr>
                <w:rFonts w:hint="eastAsia"/>
                <w:b/>
                <w:bCs/>
                <w:sz w:val="21"/>
                <w:szCs w:val="21"/>
              </w:rPr>
            </w:pPr>
            <w:r>
              <w:rPr>
                <w:rFonts w:hint="eastAsia"/>
                <w:b/>
                <w:bCs/>
                <w:sz w:val="21"/>
                <w:szCs w:val="21"/>
              </w:rPr>
              <w:t>2</w:t>
            </w:r>
          </w:p>
        </w:tc>
        <w:tc>
          <w:tcPr>
            <w:tcW w:w="661" w:type="dxa"/>
            <w:vAlign w:val="center"/>
          </w:tcPr>
          <w:p>
            <w:pPr>
              <w:spacing w:line="288" w:lineRule="auto"/>
              <w:jc w:val="center"/>
              <w:rPr>
                <w:rFonts w:hint="eastAsia"/>
                <w:b/>
                <w:bCs/>
                <w:sz w:val="21"/>
                <w:szCs w:val="21"/>
              </w:rPr>
            </w:pPr>
            <w:r>
              <w:rPr>
                <w:rFonts w:hint="eastAsia"/>
                <w:b/>
                <w:bCs/>
                <w:sz w:val="21"/>
                <w:szCs w:val="21"/>
              </w:rPr>
              <w:t>个</w:t>
            </w:r>
          </w:p>
        </w:tc>
        <w:tc>
          <w:tcPr>
            <w:tcW w:w="6269" w:type="dxa"/>
            <w:vAlign w:val="center"/>
          </w:tcPr>
          <w:p>
            <w:pPr>
              <w:spacing w:line="288" w:lineRule="auto"/>
              <w:rPr>
                <w:rFonts w:hint="eastAsia"/>
                <w:sz w:val="21"/>
                <w:szCs w:val="21"/>
              </w:rPr>
            </w:pPr>
            <w:r>
              <w:rPr>
                <w:rFonts w:hint="eastAsia"/>
                <w:sz w:val="21"/>
                <w:szCs w:val="21"/>
              </w:rPr>
              <w:t>1.音响频率响应≥80Hz-12KHz；</w:t>
            </w:r>
          </w:p>
          <w:p>
            <w:pPr>
              <w:spacing w:line="288" w:lineRule="auto"/>
              <w:rPr>
                <w:rFonts w:hint="eastAsia"/>
                <w:sz w:val="21"/>
                <w:szCs w:val="21"/>
              </w:rPr>
            </w:pPr>
            <w:r>
              <w:rPr>
                <w:rFonts w:hint="eastAsia"/>
                <w:sz w:val="21"/>
                <w:szCs w:val="21"/>
              </w:rPr>
              <w:t>2.音响灵敏度≥85dB。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b/>
                <w:bCs/>
                <w:sz w:val="21"/>
                <w:szCs w:val="21"/>
              </w:rPr>
            </w:pPr>
            <w:r>
              <w:rPr>
                <w:rFonts w:hint="eastAsia"/>
                <w:b/>
                <w:bCs/>
                <w:sz w:val="21"/>
                <w:szCs w:val="21"/>
              </w:rPr>
              <w:t>14</w:t>
            </w:r>
          </w:p>
        </w:tc>
        <w:tc>
          <w:tcPr>
            <w:tcW w:w="1511" w:type="dxa"/>
            <w:vAlign w:val="center"/>
          </w:tcPr>
          <w:p>
            <w:pPr>
              <w:adjustRightInd w:val="0"/>
              <w:snapToGrid w:val="0"/>
              <w:spacing w:line="288" w:lineRule="auto"/>
              <w:jc w:val="center"/>
              <w:rPr>
                <w:rFonts w:hint="eastAsia"/>
                <w:b/>
                <w:bCs/>
                <w:sz w:val="21"/>
                <w:szCs w:val="21"/>
              </w:rPr>
            </w:pPr>
            <w:r>
              <w:rPr>
                <w:rFonts w:hint="eastAsia"/>
                <w:b/>
                <w:bCs/>
                <w:sz w:val="21"/>
                <w:szCs w:val="21"/>
              </w:rPr>
              <w:t>配件辅材辅料</w:t>
            </w:r>
          </w:p>
        </w:tc>
        <w:tc>
          <w:tcPr>
            <w:tcW w:w="960" w:type="dxa"/>
            <w:vAlign w:val="center"/>
          </w:tcPr>
          <w:p>
            <w:pPr>
              <w:adjustRightInd w:val="0"/>
              <w:snapToGrid w:val="0"/>
              <w:spacing w:line="288" w:lineRule="auto"/>
              <w:jc w:val="center"/>
              <w:rPr>
                <w:rFonts w:hint="eastAsia"/>
                <w:b/>
                <w:bCs/>
                <w:sz w:val="21"/>
                <w:szCs w:val="21"/>
              </w:rPr>
            </w:pPr>
            <w:r>
              <w:rPr>
                <w:rFonts w:hint="eastAsia"/>
                <w:b/>
                <w:bCs/>
                <w:sz w:val="21"/>
                <w:szCs w:val="21"/>
              </w:rPr>
              <w:t>1</w:t>
            </w:r>
          </w:p>
        </w:tc>
        <w:tc>
          <w:tcPr>
            <w:tcW w:w="661" w:type="dxa"/>
            <w:vAlign w:val="center"/>
          </w:tcPr>
          <w:p>
            <w:pPr>
              <w:adjustRightInd w:val="0"/>
              <w:snapToGrid w:val="0"/>
              <w:spacing w:line="288" w:lineRule="auto"/>
              <w:jc w:val="center"/>
              <w:rPr>
                <w:rFonts w:hint="eastAsia"/>
                <w:b/>
                <w:bCs/>
                <w:sz w:val="21"/>
                <w:szCs w:val="21"/>
              </w:rPr>
            </w:pPr>
            <w:r>
              <w:rPr>
                <w:rFonts w:hint="eastAsia"/>
                <w:b/>
                <w:bCs/>
                <w:sz w:val="21"/>
                <w:szCs w:val="21"/>
              </w:rPr>
              <w:t>批</w:t>
            </w:r>
          </w:p>
        </w:tc>
        <w:tc>
          <w:tcPr>
            <w:tcW w:w="6269" w:type="dxa"/>
            <w:vAlign w:val="center"/>
          </w:tcPr>
          <w:p>
            <w:pPr>
              <w:adjustRightInd w:val="0"/>
              <w:snapToGrid w:val="0"/>
              <w:spacing w:line="288" w:lineRule="auto"/>
              <w:rPr>
                <w:rFonts w:hint="eastAsia"/>
                <w:sz w:val="21"/>
                <w:szCs w:val="21"/>
              </w:rPr>
            </w:pPr>
            <w:r>
              <w:rPr>
                <w:rFonts w:hint="eastAsia"/>
                <w:sz w:val="21"/>
                <w:szCs w:val="21"/>
              </w:rPr>
              <w:t>本项目总价包干，所涉及的配件、辅材辅料等内容须满足本项目安装实施所需的全部要求，包括不限于以下内容：</w:t>
            </w:r>
          </w:p>
          <w:p>
            <w:pPr>
              <w:adjustRightInd w:val="0"/>
              <w:snapToGrid w:val="0"/>
              <w:spacing w:line="288" w:lineRule="auto"/>
              <w:rPr>
                <w:rFonts w:hint="eastAsia"/>
                <w:sz w:val="21"/>
                <w:szCs w:val="21"/>
              </w:rPr>
            </w:pPr>
            <w:r>
              <w:rPr>
                <w:rFonts w:hint="eastAsia"/>
                <w:sz w:val="21"/>
                <w:szCs w:val="21"/>
              </w:rPr>
              <w:t>1.依据采购人指定位置，完成LED屏安装的环境适配、结构固定、电气布线及调试等工作。</w:t>
            </w:r>
          </w:p>
          <w:p>
            <w:pPr>
              <w:adjustRightInd w:val="0"/>
              <w:snapToGrid w:val="0"/>
              <w:spacing w:line="288" w:lineRule="auto"/>
              <w:rPr>
                <w:rFonts w:hint="eastAsia"/>
                <w:sz w:val="21"/>
                <w:szCs w:val="21"/>
              </w:rPr>
            </w:pPr>
            <w:r>
              <w:rPr>
                <w:rFonts w:hint="eastAsia"/>
                <w:sz w:val="21"/>
                <w:szCs w:val="21"/>
              </w:rPr>
              <w:t>2.屏体支架结构：采用防锈处理镀锌方管焊接结构，牢固可靠；包边装饰。</w:t>
            </w:r>
          </w:p>
          <w:p>
            <w:pPr>
              <w:adjustRightInd w:val="0"/>
              <w:snapToGrid w:val="0"/>
              <w:spacing w:line="288" w:lineRule="auto"/>
              <w:rPr>
                <w:rFonts w:hint="eastAsia"/>
                <w:sz w:val="21"/>
                <w:szCs w:val="21"/>
              </w:rPr>
            </w:pPr>
            <w:r>
              <w:rPr>
                <w:rFonts w:hint="eastAsia"/>
                <w:sz w:val="21"/>
                <w:szCs w:val="21"/>
              </w:rPr>
              <w:t>3.主电缆：满足负荷40KW</w:t>
            </w:r>
          </w:p>
          <w:p>
            <w:pPr>
              <w:adjustRightInd w:val="0"/>
              <w:snapToGrid w:val="0"/>
              <w:spacing w:line="288" w:lineRule="auto"/>
              <w:rPr>
                <w:rFonts w:hint="eastAsia"/>
                <w:sz w:val="21"/>
                <w:szCs w:val="21"/>
              </w:rPr>
            </w:pPr>
            <w:r>
              <w:rPr>
                <w:sz w:val="21"/>
                <w:szCs w:val="21"/>
              </w:rPr>
              <w:t>响应供应商须结合</w:t>
            </w:r>
            <w:r>
              <w:rPr>
                <w:rFonts w:hint="eastAsia"/>
                <w:sz w:val="21"/>
                <w:szCs w:val="21"/>
              </w:rPr>
              <w:t>项目</w:t>
            </w:r>
            <w:r>
              <w:rPr>
                <w:sz w:val="21"/>
                <w:szCs w:val="21"/>
              </w:rPr>
              <w:t>实际情况自行报价</w:t>
            </w:r>
            <w:r>
              <w:rPr>
                <w:rFonts w:hint="eastAsia"/>
                <w:sz w:val="21"/>
                <w:szCs w:val="21"/>
              </w:rPr>
              <w:t>（可现场勘查）</w:t>
            </w:r>
            <w:r>
              <w:rPr>
                <w:sz w:val="21"/>
                <w:szCs w:val="21"/>
              </w:rPr>
              <w:t>。满足本项目安装</w:t>
            </w:r>
            <w:r>
              <w:rPr>
                <w:rFonts w:hint="eastAsia"/>
                <w:sz w:val="21"/>
                <w:szCs w:val="21"/>
              </w:rPr>
              <w:t>实施</w:t>
            </w:r>
            <w:r>
              <w:rPr>
                <w:sz w:val="21"/>
                <w:szCs w:val="21"/>
              </w:rPr>
              <w:t>所涉及的材料、人工、机械、税金等所有费用包含在响应总价中。</w:t>
            </w:r>
          </w:p>
        </w:tc>
      </w:tr>
    </w:tbl>
    <w:p>
      <w:pPr>
        <w:adjustRightInd w:val="0"/>
        <w:snapToGrid w:val="0"/>
        <w:spacing w:line="288" w:lineRule="auto"/>
        <w:rPr>
          <w:rFonts w:hint="eastAsia" w:cs="Times New Roman"/>
          <w:b/>
          <w:bCs/>
          <w:sz w:val="21"/>
          <w:szCs w:val="21"/>
        </w:rPr>
      </w:pPr>
    </w:p>
    <w:p>
      <w:pPr>
        <w:adjustRightInd w:val="0"/>
        <w:snapToGrid w:val="0"/>
        <w:spacing w:line="288" w:lineRule="auto"/>
        <w:rPr>
          <w:rFonts w:hint="eastAsia" w:cs="Times New Roman"/>
          <w:b/>
          <w:bCs/>
          <w:sz w:val="21"/>
          <w:szCs w:val="21"/>
        </w:rPr>
      </w:pPr>
      <w:r>
        <w:rPr>
          <w:rFonts w:hint="eastAsia" w:cs="Times New Roman"/>
          <w:b/>
          <w:bCs/>
          <w:sz w:val="21"/>
          <w:szCs w:val="21"/>
        </w:rPr>
        <w:t>5.现场勘查：自行勘查</w:t>
      </w:r>
    </w:p>
    <w:p>
      <w:pPr>
        <w:adjustRightInd w:val="0"/>
        <w:snapToGrid w:val="0"/>
        <w:spacing w:line="288" w:lineRule="auto"/>
        <w:rPr>
          <w:rFonts w:hint="eastAsia" w:cs="Times New Roman"/>
          <w:b/>
          <w:bCs/>
          <w:sz w:val="21"/>
          <w:szCs w:val="21"/>
        </w:rPr>
      </w:pPr>
      <w:r>
        <w:rPr>
          <w:rFonts w:hint="eastAsia" w:cs="Times New Roman"/>
          <w:b/>
          <w:bCs/>
          <w:sz w:val="21"/>
          <w:szCs w:val="21"/>
        </w:rPr>
        <w:t>现场勘查联系人：秦锐</w:t>
      </w:r>
    </w:p>
    <w:p>
      <w:pPr>
        <w:adjustRightInd w:val="0"/>
        <w:snapToGrid w:val="0"/>
        <w:spacing w:line="288" w:lineRule="auto"/>
        <w:rPr>
          <w:rFonts w:hint="eastAsia" w:cs="Times New Roman"/>
          <w:b/>
          <w:bCs/>
          <w:sz w:val="21"/>
          <w:szCs w:val="21"/>
        </w:rPr>
      </w:pPr>
      <w:r>
        <w:rPr>
          <w:rFonts w:hint="eastAsia" w:cs="Times New Roman"/>
          <w:b/>
          <w:bCs/>
          <w:sz w:val="21"/>
          <w:szCs w:val="21"/>
        </w:rPr>
        <w:t xml:space="preserve">联系电话：18668196503 </w:t>
      </w:r>
    </w:p>
    <w:p>
      <w:pPr>
        <w:adjustRightInd w:val="0"/>
        <w:snapToGrid w:val="0"/>
        <w:spacing w:line="288" w:lineRule="auto"/>
        <w:rPr>
          <w:rFonts w:hint="eastAsia" w:cs="Times New Roman"/>
          <w:b/>
          <w:bCs/>
          <w:sz w:val="21"/>
          <w:szCs w:val="21"/>
        </w:rPr>
      </w:pPr>
    </w:p>
    <w:p>
      <w:pPr>
        <w:rPr>
          <w:rFonts w:hint="eastAsia"/>
          <w:b/>
          <w:bCs/>
          <w:sz w:val="32"/>
          <w:szCs w:val="32"/>
        </w:rPr>
      </w:pPr>
      <w:r>
        <w:rPr>
          <w:rFonts w:hint="eastAsia"/>
          <w:b/>
          <w:bCs/>
          <w:sz w:val="32"/>
          <w:szCs w:val="32"/>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rFonts w:hint="eastAsia"/>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pPr>
              <w:adjustRightInd w:val="0"/>
              <w:snapToGrid w:val="0"/>
              <w:spacing w:line="288" w:lineRule="auto"/>
              <w:rPr>
                <w:rFonts w:hint="eastAsia"/>
                <w:sz w:val="21"/>
                <w:szCs w:val="21"/>
              </w:rPr>
            </w:pPr>
            <w:r>
              <w:rPr>
                <w:rFonts w:hint="eastAsia"/>
                <w:sz w:val="21"/>
                <w:szCs w:val="21"/>
              </w:rPr>
              <w:t>本磋商文件适用于浙江省文物考古研究所(浙江省世界文化遗产监测中心)2025年良渚古城及水利系统（反山遗址）发掘不间断延时摄影及三维可视化呈现设备采购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hint="eastAsia"/>
                <w:sz w:val="21"/>
                <w:szCs w:val="21"/>
              </w:rPr>
            </w:pPr>
            <w:r>
              <w:rPr>
                <w:rFonts w:hint="eastAsia"/>
                <w:sz w:val="21"/>
                <w:szCs w:val="21"/>
              </w:rPr>
              <w:t>▲1.供应商代表是法定代表人（单位负责人、自然人本人）的，须提供本人身份证明。</w:t>
            </w:r>
          </w:p>
          <w:p>
            <w:pPr>
              <w:adjustRightInd w:val="0"/>
              <w:snapToGrid w:val="0"/>
              <w:spacing w:line="288" w:lineRule="auto"/>
              <w:rPr>
                <w:rFonts w:hint="eastAsia"/>
                <w:sz w:val="21"/>
                <w:szCs w:val="21"/>
              </w:rPr>
            </w:pPr>
            <w:r>
              <w:rPr>
                <w:rFonts w:hint="eastAsia"/>
                <w:sz w:val="21"/>
                <w:szCs w:val="21"/>
              </w:rPr>
              <w:t>▲2.供应商代表不是法定代表人（单位负责人、自然人本人）的，须提供</w:t>
            </w:r>
            <w:r>
              <w:rPr>
                <w:rFonts w:hint="eastAsia"/>
                <w:bCs/>
                <w:sz w:val="21"/>
                <w:szCs w:val="21"/>
              </w:rPr>
              <w:t>授权委托书</w:t>
            </w:r>
            <w:r>
              <w:rPr>
                <w:rFonts w:hint="eastAsia"/>
                <w:sz w:val="21"/>
                <w:szCs w:val="21"/>
              </w:rPr>
              <w:t>（格式详见磋商文件第六章）和授权代表社保缴纳证明（2024年12月（含）以后任意一月）；</w:t>
            </w:r>
          </w:p>
          <w:p>
            <w:pPr>
              <w:adjustRightInd w:val="0"/>
              <w:snapToGrid w:val="0"/>
              <w:spacing w:line="288" w:lineRule="auto"/>
              <w:rPr>
                <w:rFonts w:hint="eastAsia"/>
                <w:sz w:val="21"/>
                <w:szCs w:val="21"/>
              </w:rPr>
            </w:pPr>
            <w:r>
              <w:rPr>
                <w:rFonts w:hint="eastAsia"/>
                <w:sz w:val="21"/>
                <w:szCs w:val="21"/>
              </w:rPr>
              <w:t>▲3.供应商委派不在本单位缴纳社保的人员作为授权代表的，应当在响应文件中，说明具体原因、授权代表缴纳社保的单位，并附列该授权代表缴纳社保清单。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sz w:val="21"/>
                <w:szCs w:val="21"/>
              </w:rPr>
            </w:pPr>
            <w:bookmarkStart w:id="34" w:name="_Hlk71808378"/>
            <w:r>
              <w:rPr>
                <w:rFonts w:hint="eastAsia"/>
                <w:sz w:val="21"/>
                <w:szCs w:val="21"/>
              </w:rPr>
              <w:t>4.代理服务费收费标准（差额累进）：</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pPr>
                    <w:adjustRightInd w:val="0"/>
                    <w:snapToGrid w:val="0"/>
                    <w:spacing w:line="288" w:lineRule="auto"/>
                    <w:jc w:val="center"/>
                    <w:rPr>
                      <w:rFonts w:hint="eastAsia"/>
                      <w:kern w:val="0"/>
                      <w:sz w:val="21"/>
                      <w:szCs w:val="21"/>
                    </w:rPr>
                  </w:pPr>
                  <w:r>
                    <w:rPr>
                      <w:rFonts w:hint="eastAsia"/>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hint="eastAsia"/>
                      <w:kern w:val="0"/>
                      <w:sz w:val="21"/>
                      <w:szCs w:val="21"/>
                    </w:rPr>
                  </w:pPr>
                  <w:r>
                    <w:rPr>
                      <w:rFonts w:hint="eastAsia"/>
                      <w:spacing w:val="-6"/>
                      <w:sz w:val="21"/>
                      <w:szCs w:val="21"/>
                    </w:rPr>
                    <w:t>不足5</w:t>
                  </w:r>
                  <w:r>
                    <w:rPr>
                      <w:spacing w:val="-6"/>
                      <w:sz w:val="21"/>
                      <w:szCs w:val="21"/>
                    </w:rPr>
                    <w:t>000</w:t>
                  </w:r>
                  <w:r>
                    <w:rPr>
                      <w:rFonts w:hint="eastAsia"/>
                      <w:spacing w:val="-6"/>
                      <w:sz w:val="21"/>
                      <w:szCs w:val="21"/>
                    </w:rPr>
                    <w:t>元按5</w:t>
                  </w:r>
                  <w:r>
                    <w:rPr>
                      <w:spacing w:val="-6"/>
                      <w:sz w:val="21"/>
                      <w:szCs w:val="21"/>
                    </w:rPr>
                    <w:t>000</w:t>
                  </w:r>
                  <w:r>
                    <w:rPr>
                      <w:rFonts w:hint="eastAsia"/>
                      <w:spacing w:val="-6"/>
                      <w:sz w:val="21"/>
                      <w:szCs w:val="21"/>
                    </w:rPr>
                    <w:t>元收取</w:t>
                  </w:r>
                </w:p>
              </w:tc>
            </w:tr>
            <w:bookmarkEnd w:id="34"/>
          </w:tbl>
          <w:p>
            <w:pPr>
              <w:adjustRightInd w:val="0"/>
              <w:snapToGrid w:val="0"/>
              <w:spacing w:line="288" w:lineRule="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pPr>
              <w:adjustRightInd w:val="0"/>
              <w:snapToGrid w:val="0"/>
              <w:spacing w:line="288" w:lineRule="auto"/>
              <w:jc w:val="center"/>
              <w:rPr>
                <w:rFonts w:hint="eastAsia"/>
                <w:sz w:val="21"/>
                <w:szCs w:val="21"/>
              </w:rPr>
            </w:pPr>
            <w:r>
              <w:rPr>
                <w:rFonts w:hint="eastAsia"/>
                <w:spacing w:val="-6"/>
                <w:sz w:val="21"/>
                <w:szCs w:val="21"/>
              </w:rPr>
              <w:t>磋商保证金（元）</w:t>
            </w:r>
          </w:p>
        </w:tc>
        <w:tc>
          <w:tcPr>
            <w:tcW w:w="6663" w:type="dxa"/>
            <w:vAlign w:val="center"/>
          </w:tcPr>
          <w:p>
            <w:pPr>
              <w:adjustRightInd w:val="0"/>
              <w:snapToGrid w:val="0"/>
              <w:spacing w:line="288" w:lineRule="auto"/>
              <w:rPr>
                <w:rFonts w:hint="eastAsia"/>
                <w:sz w:val="21"/>
                <w:szCs w:val="21"/>
              </w:rPr>
            </w:pPr>
            <w:r>
              <w:rPr>
                <w:rFonts w:hint="eastAsia"/>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pPr>
              <w:adjustRightInd w:val="0"/>
              <w:snapToGrid w:val="0"/>
              <w:spacing w:line="288" w:lineRule="auto"/>
              <w:rPr>
                <w:rFonts w:hint="eastAsia"/>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pPr>
              <w:adjustRightInd w:val="0"/>
              <w:snapToGrid w:val="0"/>
              <w:spacing w:line="288" w:lineRule="auto"/>
              <w:rPr>
                <w:rFonts w:hint="eastAsia"/>
                <w:sz w:val="21"/>
                <w:szCs w:val="21"/>
              </w:rPr>
            </w:pPr>
            <w:r>
              <w:rPr>
                <w:rFonts w:hint="eastAsia"/>
                <w:sz w:val="21"/>
                <w:szCs w:val="21"/>
              </w:rPr>
              <w:t>1.本项目不允许转包；</w:t>
            </w:r>
          </w:p>
          <w:p>
            <w:pPr>
              <w:adjustRightInd w:val="0"/>
              <w:snapToGrid w:val="0"/>
              <w:spacing w:line="288" w:lineRule="auto"/>
              <w:rPr>
                <w:rFonts w:hint="eastAsia"/>
                <w:sz w:val="21"/>
                <w:szCs w:val="21"/>
              </w:rPr>
            </w:pPr>
            <w:r>
              <w:rPr>
                <w:rFonts w:hint="eastAsia"/>
                <w:sz w:val="21"/>
                <w:szCs w:val="21"/>
              </w:rPr>
              <w:t>2.本项目</w:t>
            </w:r>
            <w:r>
              <w:rPr>
                <w:rFonts w:hint="eastAsia"/>
                <w:b/>
                <w:bCs/>
                <w:sz w:val="21"/>
                <w:szCs w:val="21"/>
                <w:u w:val="single"/>
              </w:rPr>
              <w:t>不允许</w:t>
            </w:r>
            <w:r>
              <w:rPr>
                <w:rFonts w:hint="eastAsia"/>
                <w:sz w:val="21"/>
                <w:szCs w:val="21"/>
              </w:rPr>
              <w:t>分包，不适宜分包的理由是：</w:t>
            </w:r>
            <w:r>
              <w:rPr>
                <w:rFonts w:hint="eastAsia"/>
                <w:sz w:val="21"/>
                <w:szCs w:val="21"/>
                <w:u w:val="single"/>
              </w:rPr>
              <w:t>为确保货物质量稳定性、供应及时性，避免因分包导致责任划分不清、衔接不畅及品控差异等风险，本项目不允许分包。</w:t>
            </w:r>
          </w:p>
          <w:p>
            <w:pPr>
              <w:adjustRightInd w:val="0"/>
              <w:snapToGrid w:val="0"/>
              <w:spacing w:line="288" w:lineRule="auto"/>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pPr>
              <w:adjustRightInd w:val="0"/>
              <w:snapToGrid w:val="0"/>
              <w:spacing w:line="288" w:lineRule="auto"/>
              <w:rPr>
                <w:rFonts w:hint="eastAsia"/>
                <w:bCs/>
                <w:sz w:val="21"/>
                <w:szCs w:val="21"/>
              </w:rPr>
            </w:pPr>
            <w:bookmarkStart w:id="35"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rFonts w:hint="eastAsia"/>
                <w:sz w:val="21"/>
                <w:szCs w:val="21"/>
              </w:rPr>
            </w:pPr>
            <w:r>
              <w:rPr>
                <w:rFonts w:hint="eastAsia"/>
                <w:sz w:val="21"/>
                <w:szCs w:val="21"/>
              </w:rPr>
              <w:t>（1）查询渠道：“信用中国”（www.creditchina.gov.cn）、“中国政府采购网”（www.ccgp.gov.cn）；</w:t>
            </w:r>
          </w:p>
          <w:p>
            <w:pPr>
              <w:adjustRightInd w:val="0"/>
              <w:snapToGrid w:val="0"/>
              <w:spacing w:line="288" w:lineRule="auto"/>
              <w:rPr>
                <w:rFonts w:hint="eastAsia"/>
                <w:sz w:val="21"/>
                <w:szCs w:val="21"/>
              </w:rPr>
            </w:pPr>
            <w:r>
              <w:rPr>
                <w:rFonts w:hint="eastAsia"/>
                <w:sz w:val="21"/>
                <w:szCs w:val="21"/>
              </w:rPr>
              <w:t>（2）信用信息查询记录和证据留存具体方式：采购代理机构经办人和监督人员将查询网页打印、签名与其他采购文件一并保存；</w:t>
            </w:r>
          </w:p>
          <w:p>
            <w:pPr>
              <w:adjustRightInd w:val="0"/>
              <w:snapToGrid w:val="0"/>
              <w:spacing w:line="288" w:lineRule="auto"/>
              <w:rPr>
                <w:rFonts w:hint="eastAsia"/>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hint="eastAsia"/>
                <w:sz w:val="21"/>
                <w:szCs w:val="21"/>
              </w:rPr>
            </w:pPr>
            <w:r>
              <w:rPr>
                <w:rFonts w:hint="eastAsia"/>
                <w:sz w:val="21"/>
                <w:szCs w:val="21"/>
              </w:rPr>
              <w:t>（2）符合参加政府采购活动应当具备的一般条件的承诺函</w:t>
            </w:r>
          </w:p>
          <w:p>
            <w:pPr>
              <w:adjustRightInd w:val="0"/>
              <w:snapToGrid w:val="0"/>
              <w:spacing w:line="288" w:lineRule="auto"/>
              <w:rPr>
                <w:rFonts w:hint="eastAsia"/>
                <w:sz w:val="21"/>
                <w:szCs w:val="21"/>
              </w:rPr>
            </w:pPr>
            <w:r>
              <w:rPr>
                <w:rFonts w:hint="eastAsia"/>
                <w:sz w:val="21"/>
                <w:szCs w:val="21"/>
              </w:rPr>
              <w:t>（3）落实政府采购政策需满足的资格要求：无</w:t>
            </w:r>
          </w:p>
          <w:p>
            <w:pPr>
              <w:adjustRightInd w:val="0"/>
              <w:snapToGrid w:val="0"/>
              <w:spacing w:line="288" w:lineRule="auto"/>
              <w:rPr>
                <w:rFonts w:hint="eastAsia"/>
                <w:b/>
                <w:bCs/>
                <w:sz w:val="21"/>
                <w:szCs w:val="21"/>
              </w:rPr>
            </w:pPr>
            <w:r>
              <w:rPr>
                <w:rFonts w:hint="eastAsia"/>
                <w:sz w:val="21"/>
                <w:szCs w:val="21"/>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422" w:firstLineChars="200"/>
              <w:jc w:val="left"/>
              <w:rPr>
                <w:rFonts w:hint="eastAsia"/>
                <w:b/>
                <w:bCs/>
                <w:sz w:val="21"/>
                <w:szCs w:val="21"/>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pPr>
              <w:adjustRightInd w:val="0"/>
              <w:snapToGrid w:val="0"/>
              <w:spacing w:line="288" w:lineRule="auto"/>
              <w:rPr>
                <w:rFonts w:hint="eastAsia"/>
                <w:sz w:val="21"/>
                <w:szCs w:val="21"/>
              </w:rPr>
            </w:pPr>
            <w:r>
              <w:rPr>
                <w:rFonts w:hint="eastAsia"/>
                <w:sz w:val="21"/>
                <w:szCs w:val="21"/>
              </w:rPr>
              <w:t>1.报价应按磋商文件要求的格式编制、填写报价内容（可自行增行），未按磋商文件要求编制、填写的响应文件可能被拒绝；</w:t>
            </w:r>
          </w:p>
          <w:p>
            <w:pPr>
              <w:adjustRightInd w:val="0"/>
              <w:snapToGrid w:val="0"/>
              <w:spacing w:line="288" w:lineRule="auto"/>
              <w:rPr>
                <w:rFonts w:hint="eastAsia"/>
                <w:sz w:val="21"/>
                <w:szCs w:val="21"/>
              </w:rPr>
            </w:pPr>
            <w:r>
              <w:rPr>
                <w:rFonts w:hint="eastAsia"/>
                <w:sz w:val="21"/>
                <w:szCs w:val="21"/>
              </w:rPr>
              <w:t>2.本次磋商采用人民币报价；</w:t>
            </w:r>
          </w:p>
          <w:p>
            <w:pPr>
              <w:adjustRightInd w:val="0"/>
              <w:snapToGrid w:val="0"/>
              <w:spacing w:line="288" w:lineRule="auto"/>
              <w:rPr>
                <w:rFonts w:hint="eastAsia"/>
                <w:sz w:val="21"/>
                <w:szCs w:val="21"/>
              </w:rPr>
            </w:pPr>
            <w:r>
              <w:rPr>
                <w:rFonts w:hint="eastAsia"/>
                <w:sz w:val="21"/>
                <w:szCs w:val="21"/>
              </w:rPr>
              <w:t>3.最后磋商报价是履行合同的最终价格，有关本项目实施所涉及的一切费用均计入报价。总价不为零，分项报价中部分产品、服务单价为零的，视作已包含在总价中。</w:t>
            </w:r>
          </w:p>
          <w:p>
            <w:pPr>
              <w:adjustRightInd w:val="0"/>
              <w:snapToGrid w:val="0"/>
              <w:spacing w:line="288" w:lineRule="auto"/>
              <w:rPr>
                <w:rFonts w:hint="eastAsia"/>
                <w:sz w:val="21"/>
                <w:szCs w:val="21"/>
                <w:highlight w:val="cyan"/>
              </w:rPr>
            </w:pPr>
            <w:r>
              <w:rPr>
                <w:rFonts w:hint="eastAsia"/>
                <w:sz w:val="21"/>
                <w:szCs w:val="21"/>
              </w:rPr>
              <w:t>▲4.采购人将以合同形式有偿取得货物、工程和服务，不接受供应商给予的赠品、回扣或者与采购无关的其他商品、服务。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pPr>
              <w:adjustRightInd w:val="0"/>
              <w:snapToGrid w:val="0"/>
              <w:spacing w:line="288" w:lineRule="auto"/>
              <w:rPr>
                <w:rFonts w:hint="eastAsia"/>
                <w:sz w:val="21"/>
                <w:szCs w:val="21"/>
              </w:rPr>
            </w:pPr>
            <w:r>
              <w:rPr>
                <w:rFonts w:hint="eastAsia"/>
                <w:sz w:val="21"/>
                <w:szCs w:val="21"/>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（十四）</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pPr>
              <w:adjustRightInd w:val="0"/>
              <w:snapToGrid w:val="0"/>
              <w:spacing w:line="288" w:lineRule="auto"/>
              <w:rPr>
                <w:rFonts w:hint="eastAsia"/>
                <w:sz w:val="21"/>
                <w:szCs w:val="21"/>
              </w:rPr>
            </w:pPr>
            <w:r>
              <w:rPr>
                <w:rFonts w:hint="eastAsia"/>
                <w:sz w:val="21"/>
                <w:szCs w:val="21"/>
              </w:rPr>
              <w:t>成交通知书发出之日起30日内。</w:t>
            </w:r>
          </w:p>
        </w:tc>
      </w:tr>
    </w:tbl>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一、总则</w:t>
      </w:r>
    </w:p>
    <w:p>
      <w:pPr>
        <w:adjustRightInd w:val="0"/>
        <w:snapToGrid w:val="0"/>
        <w:spacing w:line="288" w:lineRule="auto"/>
        <w:ind w:firstLine="420" w:firstLineChars="200"/>
        <w:rPr>
          <w:rFonts w:hint="eastAsia"/>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pPr>
        <w:adjustRightInd w:val="0"/>
        <w:snapToGrid w:val="0"/>
        <w:spacing w:line="288" w:lineRule="auto"/>
        <w:rPr>
          <w:rFonts w:hint="eastAsia"/>
          <w:b/>
          <w:bCs/>
          <w:sz w:val="21"/>
          <w:szCs w:val="21"/>
        </w:rPr>
      </w:pPr>
      <w:r>
        <w:rPr>
          <w:rFonts w:hint="eastAsia"/>
          <w:b/>
          <w:bCs/>
          <w:sz w:val="21"/>
          <w:szCs w:val="21"/>
        </w:rPr>
        <w:t>（一）适用范围</w:t>
      </w:r>
    </w:p>
    <w:p>
      <w:pPr>
        <w:adjustRightInd w:val="0"/>
        <w:snapToGrid w:val="0"/>
        <w:spacing w:line="288" w:lineRule="auto"/>
        <w:ind w:firstLine="420" w:firstLineChars="200"/>
        <w:rPr>
          <w:rFonts w:hint="eastAsia"/>
          <w:sz w:val="21"/>
          <w:szCs w:val="21"/>
        </w:rPr>
      </w:pPr>
      <w:r>
        <w:rPr>
          <w:rFonts w:hint="eastAsia"/>
          <w:sz w:val="21"/>
          <w:szCs w:val="21"/>
        </w:rPr>
        <w:t>本磋商文件适用于浙江省文物考古研究所(浙江省世界文化遗产监测中心)2025年良渚古城及水利系统（反山遗址）发掘不间断延时摄影及三维可视化呈现设备采购的磋商、评审、成交、验收、合同履约、付款等（法律、法规另有规定的，从其规定）。</w:t>
      </w:r>
    </w:p>
    <w:p>
      <w:pPr>
        <w:adjustRightInd w:val="0"/>
        <w:snapToGrid w:val="0"/>
        <w:spacing w:line="288" w:lineRule="auto"/>
        <w:rPr>
          <w:rFonts w:hint="eastAsia"/>
          <w:b/>
          <w:bCs/>
          <w:sz w:val="21"/>
          <w:szCs w:val="21"/>
        </w:rPr>
      </w:pPr>
      <w:r>
        <w:rPr>
          <w:rFonts w:hint="eastAsia"/>
          <w:b/>
          <w:bCs/>
          <w:sz w:val="21"/>
          <w:szCs w:val="21"/>
        </w:rPr>
        <w:t>（二）定义</w:t>
      </w:r>
    </w:p>
    <w:p>
      <w:pPr>
        <w:adjustRightInd w:val="0"/>
        <w:snapToGrid w:val="0"/>
        <w:spacing w:line="288" w:lineRule="auto"/>
        <w:ind w:firstLine="420" w:firstLineChars="200"/>
        <w:rPr>
          <w:rFonts w:hint="eastAsia"/>
          <w:sz w:val="21"/>
          <w:szCs w:val="21"/>
        </w:rPr>
      </w:pPr>
      <w:r>
        <w:rPr>
          <w:rFonts w:hint="eastAsia"/>
          <w:sz w:val="21"/>
          <w:szCs w:val="21"/>
        </w:rPr>
        <w:t>1.“采购人”系指浙江省文物考古研究所(浙江省世界文化遗产监测中心)；</w:t>
      </w:r>
    </w:p>
    <w:p>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hint="eastAsia" w:cs="Times New Roman"/>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7"/>
    <w:p>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rFonts w:hint="eastAsia"/>
          <w:b/>
          <w:bCs/>
          <w:sz w:val="21"/>
          <w:szCs w:val="21"/>
        </w:rPr>
      </w:pPr>
      <w:r>
        <w:rPr>
          <w:rFonts w:hint="eastAsia"/>
          <w:b/>
          <w:bCs/>
          <w:sz w:val="21"/>
          <w:szCs w:val="21"/>
        </w:rPr>
        <w:t>（三）采购方式</w:t>
      </w:r>
    </w:p>
    <w:p>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pPr>
        <w:adjustRightInd w:val="0"/>
        <w:snapToGrid w:val="0"/>
        <w:spacing w:line="288" w:lineRule="auto"/>
        <w:rPr>
          <w:rFonts w:hint="eastAsia"/>
          <w:b/>
          <w:bCs/>
          <w:sz w:val="21"/>
          <w:szCs w:val="21"/>
        </w:rPr>
      </w:pPr>
      <w:r>
        <w:rPr>
          <w:rFonts w:hint="eastAsia"/>
          <w:b/>
          <w:bCs/>
          <w:sz w:val="21"/>
          <w:szCs w:val="21"/>
        </w:rPr>
        <w:t>（四）竞争性磋商委托</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和授权代表社保缴纳证明（2024年12月</w:t>
      </w:r>
      <w:r>
        <w:rPr>
          <w:sz w:val="21"/>
          <w:szCs w:val="21"/>
        </w:rPr>
        <w:t>（含）以后任意一月）；</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b/>
          <w:bCs/>
          <w:sz w:val="21"/>
          <w:szCs w:val="21"/>
        </w:rPr>
      </w:pPr>
      <w:r>
        <w:rPr>
          <w:rFonts w:hint="eastAsia"/>
          <w:b/>
          <w:bCs/>
          <w:sz w:val="21"/>
          <w:szCs w:val="21"/>
        </w:rPr>
        <w:t>（五）磋商费用</w:t>
      </w:r>
    </w:p>
    <w:p>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pPr>
              <w:adjustRightInd w:val="0"/>
              <w:snapToGrid w:val="0"/>
              <w:spacing w:line="288" w:lineRule="auto"/>
              <w:jc w:val="center"/>
              <w:rPr>
                <w:rFonts w:hint="eastAsia"/>
                <w:kern w:val="0"/>
                <w:sz w:val="21"/>
                <w:szCs w:val="21"/>
              </w:rPr>
            </w:pPr>
            <w:r>
              <w:rPr>
                <w:rFonts w:hint="eastAsia"/>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rFonts w:hint="eastAsia"/>
                <w:kern w:val="0"/>
                <w:sz w:val="21"/>
                <w:szCs w:val="21"/>
              </w:rPr>
            </w:pPr>
            <w:r>
              <w:rPr>
                <w:rFonts w:hint="eastAsia"/>
                <w:spacing w:val="-6"/>
                <w:sz w:val="21"/>
                <w:szCs w:val="21"/>
              </w:rPr>
              <w:t>不足5</w:t>
            </w:r>
            <w:r>
              <w:rPr>
                <w:spacing w:val="-6"/>
                <w:sz w:val="21"/>
                <w:szCs w:val="21"/>
              </w:rPr>
              <w:t>000</w:t>
            </w:r>
            <w:r>
              <w:rPr>
                <w:rFonts w:hint="eastAsia"/>
                <w:spacing w:val="-6"/>
                <w:sz w:val="21"/>
                <w:szCs w:val="21"/>
              </w:rPr>
              <w:t>元按5</w:t>
            </w:r>
            <w:r>
              <w:rPr>
                <w:spacing w:val="-6"/>
                <w:sz w:val="21"/>
                <w:szCs w:val="21"/>
              </w:rPr>
              <w:t>000</w:t>
            </w:r>
            <w:r>
              <w:rPr>
                <w:rFonts w:hint="eastAsia"/>
                <w:spacing w:val="-6"/>
                <w:sz w:val="21"/>
                <w:szCs w:val="21"/>
              </w:rPr>
              <w:t>元收取</w:t>
            </w:r>
          </w:p>
        </w:tc>
      </w:tr>
    </w:tbl>
    <w:p>
      <w:pPr>
        <w:adjustRightInd w:val="0"/>
        <w:snapToGrid w:val="0"/>
        <w:spacing w:line="288" w:lineRule="auto"/>
        <w:ind w:firstLine="420" w:firstLineChars="200"/>
        <w:rPr>
          <w:rFonts w:hint="eastAsia"/>
          <w:sz w:val="21"/>
          <w:szCs w:val="21"/>
        </w:rPr>
      </w:pPr>
      <w:r>
        <w:rPr>
          <w:rFonts w:hint="eastAsia"/>
          <w:sz w:val="21"/>
          <w:szCs w:val="21"/>
        </w:rPr>
        <w:t>5.磋商保证金（元）：无</w:t>
      </w:r>
    </w:p>
    <w:p>
      <w:pPr>
        <w:adjustRightInd w:val="0"/>
        <w:snapToGrid w:val="0"/>
        <w:spacing w:line="288" w:lineRule="auto"/>
        <w:rPr>
          <w:rFonts w:hint="eastAsia"/>
          <w:b/>
          <w:bCs/>
          <w:sz w:val="21"/>
          <w:szCs w:val="21"/>
        </w:rPr>
      </w:pPr>
      <w:r>
        <w:rPr>
          <w:rFonts w:hint="eastAsia"/>
          <w:b/>
          <w:bCs/>
          <w:sz w:val="21"/>
          <w:szCs w:val="21"/>
        </w:rPr>
        <w:t>（六）联合体响应</w:t>
      </w:r>
    </w:p>
    <w:p>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pPr>
        <w:spacing w:line="288" w:lineRule="auto"/>
        <w:ind w:firstLine="420" w:firstLineChars="200"/>
        <w:rPr>
          <w:rFonts w:hint="eastAsia" w:cs="Times New Roman"/>
          <w:sz w:val="21"/>
          <w:szCs w:val="22"/>
        </w:rPr>
      </w:pPr>
      <w:bookmarkStart w:id="38" w:name="_Hlk104288918"/>
      <w:r>
        <w:rPr>
          <w:rFonts w:hint="eastAsia" w:cs="Times New Roman"/>
          <w:sz w:val="21"/>
          <w:szCs w:val="22"/>
        </w:rPr>
        <w:t>两个以上的自然人、法人或者其他组织可以组成一个联合体，以一个供应商的身份共同参加政府采购。</w:t>
      </w:r>
    </w:p>
    <w:p>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pPr>
        <w:adjustRightInd w:val="0"/>
        <w:snapToGrid w:val="0"/>
        <w:spacing w:line="288" w:lineRule="auto"/>
        <w:rPr>
          <w:rFonts w:hint="eastAsia"/>
          <w:b/>
          <w:bCs/>
          <w:sz w:val="21"/>
          <w:szCs w:val="21"/>
        </w:rPr>
      </w:pPr>
      <w:r>
        <w:rPr>
          <w:rFonts w:hint="eastAsia"/>
          <w:b/>
          <w:bCs/>
          <w:sz w:val="21"/>
          <w:szCs w:val="21"/>
        </w:rPr>
        <w:t>（七）转包与分包</w:t>
      </w:r>
    </w:p>
    <w:p>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pPr>
        <w:adjustRightInd w:val="0"/>
        <w:snapToGrid w:val="0"/>
        <w:spacing w:line="288" w:lineRule="auto"/>
        <w:ind w:firstLine="424" w:firstLineChars="202"/>
        <w:jc w:val="left"/>
        <w:rPr>
          <w:rFonts w:hint="eastAsia"/>
          <w:sz w:val="21"/>
          <w:szCs w:val="21"/>
        </w:rPr>
      </w:pPr>
      <w:r>
        <w:rPr>
          <w:sz w:val="21"/>
          <w:szCs w:val="21"/>
        </w:rPr>
        <w:t>2.本项目</w:t>
      </w:r>
      <w:r>
        <w:rPr>
          <w:b/>
          <w:bCs/>
          <w:sz w:val="21"/>
          <w:szCs w:val="21"/>
          <w:u w:val="single"/>
        </w:rPr>
        <w:t>不允许</w:t>
      </w:r>
      <w:r>
        <w:rPr>
          <w:sz w:val="21"/>
          <w:szCs w:val="21"/>
        </w:rPr>
        <w:t>分包，不适宜分包的理由是：</w:t>
      </w:r>
      <w:r>
        <w:rPr>
          <w:rFonts w:hint="eastAsia"/>
          <w:sz w:val="21"/>
          <w:szCs w:val="21"/>
          <w:u w:val="single"/>
        </w:rPr>
        <w:t>为确保货物质量稳定性、供应及时性，避免因分包导致责任划分不清、衔接不畅及品控差异等风险，本项目不允许分包。</w:t>
      </w:r>
    </w:p>
    <w:p>
      <w:pPr>
        <w:adjustRightInd w:val="0"/>
        <w:snapToGrid w:val="0"/>
        <w:spacing w:line="288" w:lineRule="auto"/>
        <w:ind w:firstLine="424" w:firstLineChars="202"/>
        <w:jc w:val="left"/>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rFonts w:hint="eastAsia"/>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hint="eastAsia" w:cs="Times New Roman"/>
          <w:spacing w:val="-6"/>
          <w:sz w:val="21"/>
          <w:szCs w:val="21"/>
        </w:rPr>
      </w:pPr>
      <w:bookmarkStart w:id="39" w:name="_Hlk92273406"/>
      <w:bookmarkStart w:id="40"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9"/>
    </w:p>
    <w:p>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rFonts w:hint="eastAsia"/>
          <w:sz w:val="21"/>
          <w:szCs w:val="21"/>
        </w:rPr>
      </w:pPr>
      <w:r>
        <w:rPr>
          <w:rFonts w:hint="eastAsia"/>
          <w:sz w:val="21"/>
          <w:szCs w:val="21"/>
        </w:rPr>
        <w:t>（2）质疑项目的名称、编号；</w:t>
      </w:r>
    </w:p>
    <w:p>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rFonts w:hint="eastAsia"/>
          <w:sz w:val="21"/>
          <w:szCs w:val="21"/>
        </w:rPr>
      </w:pPr>
      <w:r>
        <w:rPr>
          <w:rFonts w:hint="eastAsia"/>
          <w:sz w:val="21"/>
          <w:szCs w:val="21"/>
        </w:rPr>
        <w:t>（4）事实依据；</w:t>
      </w:r>
    </w:p>
    <w:p>
      <w:pPr>
        <w:adjustRightInd w:val="0"/>
        <w:snapToGrid w:val="0"/>
        <w:spacing w:line="288" w:lineRule="auto"/>
        <w:ind w:firstLine="420" w:firstLineChars="200"/>
        <w:rPr>
          <w:rFonts w:hint="eastAsia"/>
          <w:sz w:val="21"/>
          <w:szCs w:val="21"/>
        </w:rPr>
      </w:pPr>
      <w:r>
        <w:rPr>
          <w:rFonts w:hint="eastAsia"/>
          <w:sz w:val="21"/>
          <w:szCs w:val="21"/>
        </w:rPr>
        <w:t>（5）必要的法律依据；</w:t>
      </w:r>
    </w:p>
    <w:p>
      <w:pPr>
        <w:adjustRightInd w:val="0"/>
        <w:snapToGrid w:val="0"/>
        <w:spacing w:line="288" w:lineRule="auto"/>
        <w:ind w:firstLine="420" w:firstLineChars="200"/>
        <w:rPr>
          <w:rFonts w:hint="eastAsia"/>
          <w:sz w:val="21"/>
          <w:szCs w:val="21"/>
        </w:rPr>
      </w:pPr>
      <w:r>
        <w:rPr>
          <w:rFonts w:hint="eastAsia"/>
          <w:sz w:val="21"/>
          <w:szCs w:val="21"/>
        </w:rPr>
        <w:t>（6）提出质疑的日期。</w:t>
      </w:r>
    </w:p>
    <w:p>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rFonts w:hint="eastAsia"/>
          <w:sz w:val="21"/>
          <w:szCs w:val="21"/>
        </w:rPr>
      </w:pPr>
      <w:r>
        <w:rPr>
          <w:rFonts w:hint="eastAsia"/>
          <w:sz w:val="21"/>
          <w:szCs w:val="21"/>
        </w:rPr>
        <w:t>（1）捏造事实；</w:t>
      </w:r>
    </w:p>
    <w:p>
      <w:pPr>
        <w:adjustRightInd w:val="0"/>
        <w:snapToGrid w:val="0"/>
        <w:spacing w:line="288" w:lineRule="auto"/>
        <w:ind w:firstLine="420" w:firstLineChars="200"/>
        <w:rPr>
          <w:rFonts w:hint="eastAsia"/>
          <w:sz w:val="21"/>
          <w:szCs w:val="21"/>
        </w:rPr>
      </w:pPr>
      <w:r>
        <w:rPr>
          <w:rFonts w:hint="eastAsia"/>
          <w:sz w:val="21"/>
          <w:szCs w:val="21"/>
        </w:rPr>
        <w:t>（2）提供虚假材料；</w:t>
      </w:r>
    </w:p>
    <w:p>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pPr>
        <w:adjustRightInd w:val="0"/>
        <w:snapToGrid w:val="0"/>
        <w:spacing w:line="288" w:lineRule="auto"/>
        <w:outlineLvl w:val="2"/>
        <w:rPr>
          <w:rFonts w:hint="eastAsia"/>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1"/>
    <w:p>
      <w:pPr>
        <w:adjustRightInd w:val="0"/>
        <w:snapToGrid w:val="0"/>
        <w:spacing w:line="288" w:lineRule="auto"/>
        <w:ind w:firstLine="422" w:firstLineChars="200"/>
        <w:rPr>
          <w:rFonts w:hint="eastAsia"/>
          <w:b/>
          <w:bCs/>
          <w:sz w:val="21"/>
          <w:szCs w:val="21"/>
        </w:rPr>
      </w:pPr>
      <w:r>
        <w:rPr>
          <w:rFonts w:hint="eastAsia"/>
          <w:b/>
          <w:bCs/>
          <w:sz w:val="21"/>
          <w:szCs w:val="21"/>
        </w:rPr>
        <w:t>1.进口产品（不适用）</w:t>
      </w:r>
    </w:p>
    <w:p>
      <w:pPr>
        <w:adjustRightInd w:val="0"/>
        <w:snapToGrid w:val="0"/>
        <w:spacing w:line="288" w:lineRule="auto"/>
        <w:ind w:firstLine="420" w:firstLineChars="200"/>
        <w:rPr>
          <w:rFonts w:hint="eastAsia"/>
          <w:sz w:val="21"/>
          <w:szCs w:val="21"/>
        </w:rPr>
      </w:pPr>
      <w:r>
        <w:rPr>
          <w:rFonts w:hint="eastAsia"/>
          <w:sz w:val="21"/>
          <w:szCs w:val="21"/>
        </w:rPr>
        <w:t>本项目原则上采购本国生产的货物、服务，不允许采购进口产品。优先采购向我国企业转让技术、与我国企业签订消化吸收再创新方案的供应商的进口产品。</w:t>
      </w:r>
    </w:p>
    <w:p>
      <w:pPr>
        <w:shd w:val="clear" w:color="auto" w:fill="FFFFFF"/>
        <w:adjustRightInd w:val="0"/>
        <w:snapToGrid w:val="0"/>
        <w:spacing w:line="288" w:lineRule="auto"/>
        <w:ind w:firstLine="369" w:firstLineChars="176"/>
        <w:jc w:val="left"/>
        <w:rPr>
          <w:rFonts w:hint="eastAsia"/>
          <w:sz w:val="21"/>
          <w:szCs w:val="21"/>
        </w:rPr>
      </w:pPr>
      <w:r>
        <w:rPr>
          <w:rFonts w:hint="eastAsia"/>
          <w:sz w:val="21"/>
          <w:szCs w:val="21"/>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pPr>
        <w:adjustRightInd w:val="0"/>
        <w:snapToGrid w:val="0"/>
        <w:spacing w:line="288" w:lineRule="auto"/>
        <w:ind w:firstLine="420" w:firstLineChars="200"/>
        <w:rPr>
          <w:rFonts w:hint="eastAsia"/>
          <w:sz w:val="21"/>
          <w:szCs w:val="21"/>
        </w:rPr>
      </w:pPr>
      <w:r>
        <w:rPr>
          <w:rFonts w:hint="eastAsia"/>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pPr>
        <w:adjustRightInd w:val="0"/>
        <w:snapToGrid w:val="0"/>
        <w:spacing w:line="288" w:lineRule="auto"/>
        <w:ind w:firstLine="422" w:firstLineChars="200"/>
        <w:rPr>
          <w:rFonts w:hint="eastAsia"/>
          <w:b/>
          <w:bCs/>
          <w:sz w:val="21"/>
          <w:szCs w:val="21"/>
        </w:rPr>
      </w:pPr>
      <w:r>
        <w:rPr>
          <w:rFonts w:hint="eastAsia"/>
          <w:b/>
          <w:bCs/>
          <w:sz w:val="21"/>
          <w:szCs w:val="21"/>
        </w:rPr>
        <w:t>2.支持绿色发展</w:t>
      </w:r>
    </w:p>
    <w:p>
      <w:pPr>
        <w:adjustRightInd w:val="0"/>
        <w:snapToGrid w:val="0"/>
        <w:spacing w:line="288" w:lineRule="auto"/>
        <w:ind w:firstLine="420" w:firstLineChars="200"/>
        <w:rPr>
          <w:rFonts w:hint="eastAsia"/>
          <w:sz w:val="21"/>
          <w:szCs w:val="21"/>
          <w:u w:val="single"/>
        </w:rPr>
      </w:pPr>
      <w:r>
        <w:rPr>
          <w:rFonts w:hint="eastAsia"/>
          <w:sz w:val="21"/>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pPr>
        <w:adjustRightInd w:val="0"/>
        <w:snapToGrid w:val="0"/>
        <w:spacing w:line="288" w:lineRule="auto"/>
        <w:ind w:firstLine="420" w:firstLineChars="200"/>
        <w:rPr>
          <w:rFonts w:hint="eastAsia"/>
          <w:sz w:val="21"/>
          <w:szCs w:val="21"/>
        </w:rPr>
      </w:pPr>
      <w:r>
        <w:rPr>
          <w:rFonts w:hint="eastAsia"/>
          <w:sz w:val="21"/>
          <w:szCs w:val="21"/>
        </w:rPr>
        <w:t>采购人拟采购产品属于节能产品政府采购清单规定必须强制采购的，将在磋商文件中明确载明，供应商相应的响应产品须提供国家确定的认证机构出具的、处于有效期之内的节能产品认证证书。</w:t>
      </w:r>
    </w:p>
    <w:p>
      <w:pPr>
        <w:adjustRightInd w:val="0"/>
        <w:snapToGrid w:val="0"/>
        <w:spacing w:line="288" w:lineRule="auto"/>
        <w:ind w:firstLine="422" w:firstLineChars="200"/>
        <w:rPr>
          <w:rFonts w:hint="eastAsia"/>
          <w:b/>
          <w:bCs/>
          <w:sz w:val="21"/>
          <w:szCs w:val="21"/>
        </w:rPr>
      </w:pPr>
      <w:r>
        <w:rPr>
          <w:rFonts w:hint="eastAsia"/>
          <w:b/>
          <w:bCs/>
          <w:sz w:val="21"/>
          <w:szCs w:val="21"/>
        </w:rPr>
        <w:t>3.支持中小企业发展</w:t>
      </w:r>
    </w:p>
    <w:p>
      <w:pPr>
        <w:adjustRightInd w:val="0"/>
        <w:snapToGrid w:val="0"/>
        <w:spacing w:line="288" w:lineRule="auto"/>
        <w:ind w:firstLine="420" w:firstLineChars="200"/>
        <w:rPr>
          <w:rFonts w:hint="eastAsia"/>
          <w:sz w:val="21"/>
          <w:szCs w:val="21"/>
        </w:rPr>
      </w:pPr>
      <w:r>
        <w:rPr>
          <w:rFonts w:hint="eastAsia"/>
          <w:sz w:val="21"/>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adjustRightInd w:val="0"/>
        <w:snapToGrid w:val="0"/>
        <w:spacing w:line="288" w:lineRule="auto"/>
        <w:ind w:firstLine="420" w:firstLineChars="200"/>
        <w:rPr>
          <w:rFonts w:hint="eastAsia"/>
          <w:sz w:val="21"/>
          <w:szCs w:val="21"/>
        </w:rPr>
      </w:pPr>
      <w:r>
        <w:rPr>
          <w:rFonts w:hint="eastAsia"/>
          <w:sz w:val="21"/>
          <w:szCs w:val="21"/>
        </w:rPr>
        <w:t>3.2 在政府采购活动中，供应商提供的货物或者服务符合下列情形的，享受中小企业扶持政策：</w:t>
      </w:r>
    </w:p>
    <w:p>
      <w:pPr>
        <w:adjustRightInd w:val="0"/>
        <w:snapToGrid w:val="0"/>
        <w:spacing w:line="288" w:lineRule="auto"/>
        <w:ind w:firstLine="420" w:firstLineChars="200"/>
        <w:rPr>
          <w:rFonts w:hint="eastAsia"/>
          <w:sz w:val="21"/>
          <w:szCs w:val="21"/>
        </w:rPr>
      </w:pPr>
      <w:r>
        <w:rPr>
          <w:rFonts w:hint="eastAsia"/>
          <w:sz w:val="21"/>
          <w:szCs w:val="21"/>
        </w:rPr>
        <w:t>在货物采购项目中，货物由中小企业制造，即货物由</w:t>
      </w:r>
      <w:r>
        <w:rPr>
          <w:rFonts w:hint="eastAsia"/>
          <w:sz w:val="21"/>
          <w:szCs w:val="21"/>
          <w:u w:val="single"/>
        </w:rPr>
        <w:t>中小企业生产且使用该中小企业商号或者注册商标</w:t>
      </w:r>
      <w:r>
        <w:rPr>
          <w:rFonts w:hint="eastAsia"/>
          <w:sz w:val="21"/>
          <w:szCs w:val="21"/>
        </w:rPr>
        <w:t>。如果一个采购项目或采购包含有多个采购标的的，则每个采购标的均应由中小企业制造。在工程采购项目中，工程由中小企业承建，即工程施工单位为中小企业。</w:t>
      </w:r>
    </w:p>
    <w:p>
      <w:pPr>
        <w:adjustRightInd w:val="0"/>
        <w:snapToGrid w:val="0"/>
        <w:spacing w:line="288" w:lineRule="auto"/>
        <w:ind w:firstLine="420" w:firstLineChars="200"/>
        <w:rPr>
          <w:rFonts w:hint="eastAsia"/>
          <w:sz w:val="21"/>
          <w:szCs w:val="21"/>
        </w:rPr>
      </w:pPr>
      <w:r>
        <w:rPr>
          <w:rFonts w:hint="eastAsia"/>
          <w:sz w:val="21"/>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pPr>
        <w:adjustRightInd w:val="0"/>
        <w:snapToGrid w:val="0"/>
        <w:spacing w:line="288" w:lineRule="auto"/>
        <w:ind w:firstLine="420" w:firstLineChars="200"/>
        <w:jc w:val="left"/>
        <w:rPr>
          <w:rFonts w:hint="eastAsia"/>
          <w:sz w:val="21"/>
          <w:szCs w:val="21"/>
        </w:rPr>
      </w:pPr>
      <w:r>
        <w:rPr>
          <w:rFonts w:hint="eastAsia"/>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420" w:firstLineChars="200"/>
        <w:jc w:val="left"/>
        <w:rPr>
          <w:rFonts w:hint="eastAsia"/>
          <w:sz w:val="21"/>
          <w:szCs w:val="21"/>
        </w:rPr>
      </w:pPr>
      <w:r>
        <w:rPr>
          <w:rFonts w:hint="eastAsia"/>
          <w:sz w:val="21"/>
          <w:szCs w:val="21"/>
        </w:rPr>
        <w:t>3.4 以联合体形式参加政府采购活动，联合体各方均为中小企业的，联合体视同中小企业。其中，联合体各方均为小微企业的，联合体视同小微企业。</w:t>
      </w:r>
    </w:p>
    <w:p>
      <w:pPr>
        <w:adjustRightInd w:val="0"/>
        <w:snapToGrid w:val="0"/>
        <w:spacing w:line="288" w:lineRule="auto"/>
        <w:ind w:firstLine="420" w:firstLineChars="200"/>
        <w:jc w:val="left"/>
        <w:rPr>
          <w:rFonts w:hint="eastAsia"/>
          <w:sz w:val="21"/>
          <w:szCs w:val="21"/>
        </w:rPr>
      </w:pPr>
      <w:r>
        <w:rPr>
          <w:rFonts w:hint="eastAsia"/>
          <w:sz w:val="21"/>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adjustRightInd w:val="0"/>
        <w:snapToGrid w:val="0"/>
        <w:spacing w:line="288" w:lineRule="auto"/>
        <w:ind w:firstLine="420" w:firstLineChars="200"/>
        <w:jc w:val="left"/>
        <w:rPr>
          <w:rFonts w:hint="eastAsia"/>
          <w:sz w:val="21"/>
          <w:szCs w:val="21"/>
        </w:rPr>
      </w:pPr>
      <w:r>
        <w:rPr>
          <w:rFonts w:hint="eastAsia"/>
          <w:sz w:val="21"/>
          <w:szCs w:val="21"/>
        </w:rPr>
        <w:t>组成联合体或者接受分包合同的中小企业与联合体内其他企业、分包企业之间不得存在直接控股、管理关系。</w:t>
      </w:r>
    </w:p>
    <w:p>
      <w:pPr>
        <w:adjustRightInd w:val="0"/>
        <w:snapToGrid w:val="0"/>
        <w:spacing w:line="288" w:lineRule="auto"/>
        <w:ind w:firstLine="420" w:firstLineChars="200"/>
        <w:jc w:val="left"/>
        <w:rPr>
          <w:rFonts w:hint="eastAsia"/>
          <w:sz w:val="21"/>
          <w:szCs w:val="21"/>
        </w:rPr>
      </w:pPr>
      <w:r>
        <w:rPr>
          <w:rFonts w:hint="eastAsia"/>
          <w:sz w:val="21"/>
          <w:szCs w:val="21"/>
        </w:rPr>
        <w:t>专门面向中小企业采购的项目或者采购包，不再执行价格评审优惠的扶持政策。</w:t>
      </w:r>
    </w:p>
    <w:p>
      <w:pPr>
        <w:adjustRightInd w:val="0"/>
        <w:snapToGrid w:val="0"/>
        <w:spacing w:line="288" w:lineRule="auto"/>
        <w:ind w:firstLine="420" w:firstLineChars="200"/>
        <w:jc w:val="left"/>
        <w:rPr>
          <w:rFonts w:hint="eastAsia"/>
          <w:sz w:val="21"/>
          <w:szCs w:val="21"/>
        </w:rPr>
      </w:pPr>
      <w:r>
        <w:rPr>
          <w:rFonts w:hint="eastAsia"/>
          <w:sz w:val="21"/>
          <w:szCs w:val="21"/>
        </w:rPr>
        <w:t>3.6 未预留份额专门面向中小企业采购的采购项目，以及预留份额项目中的非预留部分采购包，对符合《政府采购促进中小企业发展管理办法》规定的小微企业报价给予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2%）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ind w:firstLine="420" w:firstLineChars="200"/>
        <w:jc w:val="left"/>
        <w:rPr>
          <w:rFonts w:hint="eastAsia"/>
          <w:sz w:val="21"/>
          <w:szCs w:val="21"/>
        </w:rPr>
      </w:pPr>
      <w:r>
        <w:rPr>
          <w:rFonts w:hint="eastAsia"/>
          <w:sz w:val="21"/>
          <w:szCs w:val="21"/>
        </w:rPr>
        <w:t>3.7 中小企业参加政府采购活动，应当出具本办法规定的《中小企业声明函》，否则不得享受相关中小企业扶持政策。</w:t>
      </w:r>
    </w:p>
    <w:p>
      <w:pPr>
        <w:adjustRightInd w:val="0"/>
        <w:snapToGrid w:val="0"/>
        <w:spacing w:line="288" w:lineRule="auto"/>
        <w:ind w:firstLine="420" w:firstLineChars="200"/>
        <w:jc w:val="left"/>
        <w:rPr>
          <w:rFonts w:hint="eastAsia"/>
          <w:sz w:val="21"/>
          <w:szCs w:val="21"/>
        </w:rPr>
      </w:pPr>
      <w:r>
        <w:rPr>
          <w:rFonts w:hint="eastAsia"/>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pPr>
        <w:adjustRightInd w:val="0"/>
        <w:snapToGrid w:val="0"/>
        <w:spacing w:line="288" w:lineRule="auto"/>
        <w:ind w:firstLine="420" w:firstLineChars="200"/>
        <w:rPr>
          <w:rFonts w:hint="eastAsia"/>
          <w:sz w:val="21"/>
          <w:szCs w:val="21"/>
        </w:rPr>
      </w:pPr>
      <w:r>
        <w:rPr>
          <w:rFonts w:hint="eastAsia"/>
          <w:sz w:val="21"/>
          <w:szCs w:val="21"/>
        </w:rPr>
        <w:t>3.8 供应商提供《中小企业声明函》内容不实的，属于提供虚假材料谋取中标、成交，依照《中华人民共和国政府采购法》等国家有关规定追究相应责任。</w:t>
      </w:r>
    </w:p>
    <w:p>
      <w:pPr>
        <w:adjustRightInd w:val="0"/>
        <w:snapToGrid w:val="0"/>
        <w:spacing w:line="288" w:lineRule="auto"/>
        <w:ind w:firstLine="420" w:firstLineChars="200"/>
        <w:rPr>
          <w:rFonts w:hint="eastAsia"/>
          <w:sz w:val="21"/>
          <w:szCs w:val="21"/>
          <w:u w:val="single"/>
        </w:rPr>
      </w:pPr>
      <w:r>
        <w:rPr>
          <w:rFonts w:hint="eastAsia"/>
          <w:sz w:val="21"/>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pPr>
        <w:adjustRightInd w:val="0"/>
        <w:snapToGrid w:val="0"/>
        <w:spacing w:line="288" w:lineRule="auto"/>
        <w:ind w:firstLine="420" w:firstLineChars="200"/>
        <w:rPr>
          <w:rFonts w:hint="eastAsia"/>
          <w:sz w:val="21"/>
          <w:szCs w:val="21"/>
          <w:u w:val="single"/>
        </w:rPr>
      </w:pPr>
      <w:r>
        <w:rPr>
          <w:rFonts w:hint="eastAsia"/>
          <w:sz w:val="21"/>
          <w:szCs w:val="21"/>
          <w:u w:val="single"/>
        </w:rPr>
        <w:t>（1）内容未包括全部采购标的；</w:t>
      </w:r>
    </w:p>
    <w:p>
      <w:pPr>
        <w:adjustRightInd w:val="0"/>
        <w:snapToGrid w:val="0"/>
        <w:spacing w:line="288" w:lineRule="auto"/>
        <w:ind w:firstLine="420" w:firstLineChars="200"/>
        <w:rPr>
          <w:rFonts w:hint="eastAsia"/>
          <w:sz w:val="21"/>
          <w:szCs w:val="21"/>
          <w:u w:val="single"/>
        </w:rPr>
      </w:pPr>
      <w:r>
        <w:rPr>
          <w:rFonts w:hint="eastAsia"/>
          <w:sz w:val="21"/>
          <w:szCs w:val="21"/>
          <w:u w:val="single"/>
        </w:rPr>
        <w:t>（2）未填写标的所属行业，或者填写的所属行业与磋商文件明确的所属行业不一致；</w:t>
      </w:r>
    </w:p>
    <w:p>
      <w:pPr>
        <w:adjustRightInd w:val="0"/>
        <w:snapToGrid w:val="0"/>
        <w:spacing w:line="288" w:lineRule="auto"/>
        <w:ind w:firstLine="420" w:firstLineChars="200"/>
        <w:rPr>
          <w:rFonts w:hint="eastAsia"/>
          <w:sz w:val="21"/>
          <w:szCs w:val="21"/>
          <w:u w:val="single"/>
        </w:rPr>
      </w:pPr>
      <w:r>
        <w:rPr>
          <w:rFonts w:hint="eastAsia"/>
          <w:sz w:val="21"/>
          <w:szCs w:val="21"/>
          <w:u w:val="single"/>
        </w:rPr>
        <w:t>（3）未填写企业类型、填写的企业类型不明确或填写的企业类型与实际不符（即：企业类型（中型企业、小型企业或微型企业）填写错误）。</w:t>
      </w:r>
    </w:p>
    <w:p>
      <w:pPr>
        <w:adjustRightInd w:val="0"/>
        <w:snapToGrid w:val="0"/>
        <w:spacing w:line="288" w:lineRule="auto"/>
        <w:ind w:firstLine="420" w:firstLineChars="200"/>
        <w:rPr>
          <w:rFonts w:hint="eastAsia"/>
          <w:sz w:val="21"/>
          <w:szCs w:val="21"/>
          <w:u w:val="single"/>
        </w:rPr>
      </w:pPr>
      <w:r>
        <w:rPr>
          <w:rFonts w:hint="eastAsia"/>
          <w:sz w:val="21"/>
          <w:szCs w:val="21"/>
          <w:u w:val="single"/>
        </w:rPr>
        <w:t>供应商声明的类型获得了本不应获得的利益（价格扣除或者资格审查通过），属于提供虚假材料。构成“提供虚假材料谋取中标的”，依法承担法律责任。</w:t>
      </w:r>
    </w:p>
    <w:p>
      <w:pPr>
        <w:adjustRightInd w:val="0"/>
        <w:snapToGrid w:val="0"/>
        <w:spacing w:line="288" w:lineRule="auto"/>
        <w:ind w:firstLine="422" w:firstLineChars="200"/>
        <w:rPr>
          <w:rFonts w:hint="eastAsia"/>
          <w:b/>
          <w:bCs/>
          <w:sz w:val="21"/>
          <w:szCs w:val="21"/>
        </w:rPr>
      </w:pPr>
      <w:r>
        <w:rPr>
          <w:rFonts w:hint="eastAsia"/>
          <w:b/>
          <w:bCs/>
          <w:sz w:val="21"/>
          <w:szCs w:val="21"/>
        </w:rPr>
        <w:t>4.支持监狱企业发展</w:t>
      </w:r>
    </w:p>
    <w:p>
      <w:pPr>
        <w:adjustRightInd w:val="0"/>
        <w:snapToGrid w:val="0"/>
        <w:spacing w:line="288" w:lineRule="auto"/>
        <w:ind w:firstLine="420" w:firstLineChars="200"/>
        <w:jc w:val="left"/>
        <w:rPr>
          <w:rFonts w:hint="eastAsia"/>
          <w:sz w:val="21"/>
          <w:szCs w:val="21"/>
        </w:rPr>
      </w:pPr>
      <w:r>
        <w:rPr>
          <w:rFonts w:hint="eastAsia"/>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422" w:firstLineChars="200"/>
        <w:rPr>
          <w:rFonts w:hint="eastAsia"/>
          <w:b/>
          <w:bCs/>
          <w:sz w:val="21"/>
          <w:szCs w:val="21"/>
        </w:rPr>
      </w:pPr>
      <w:r>
        <w:rPr>
          <w:rFonts w:hint="eastAsia"/>
          <w:b/>
          <w:bCs/>
          <w:sz w:val="21"/>
          <w:szCs w:val="21"/>
        </w:rPr>
        <w:t>5.促进残疾人就业</w:t>
      </w:r>
    </w:p>
    <w:p>
      <w:pPr>
        <w:adjustRightInd w:val="0"/>
        <w:snapToGrid w:val="0"/>
        <w:spacing w:line="288" w:lineRule="auto"/>
        <w:ind w:firstLine="420" w:firstLineChars="200"/>
        <w:jc w:val="left"/>
        <w:rPr>
          <w:rFonts w:hint="eastAsia"/>
          <w:sz w:val="21"/>
          <w:szCs w:val="21"/>
        </w:rPr>
      </w:pPr>
      <w:r>
        <w:rPr>
          <w:rFonts w:hint="eastAsia"/>
          <w:sz w:val="21"/>
          <w:szCs w:val="21"/>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422" w:firstLineChars="200"/>
        <w:rPr>
          <w:rFonts w:hint="eastAsia"/>
          <w:b/>
          <w:bCs/>
          <w:sz w:val="21"/>
          <w:szCs w:val="21"/>
        </w:rPr>
      </w:pPr>
      <w:r>
        <w:rPr>
          <w:rFonts w:hint="eastAsia"/>
          <w:b/>
          <w:bCs/>
          <w:sz w:val="21"/>
          <w:szCs w:val="21"/>
        </w:rPr>
        <w:t>6.支持创新发展</w:t>
      </w:r>
    </w:p>
    <w:p>
      <w:pPr>
        <w:adjustRightInd w:val="0"/>
        <w:snapToGrid w:val="0"/>
        <w:spacing w:line="288" w:lineRule="auto"/>
        <w:ind w:firstLine="420" w:firstLineChars="200"/>
        <w:rPr>
          <w:rFonts w:hint="eastAsia"/>
          <w:sz w:val="21"/>
          <w:szCs w:val="21"/>
        </w:rPr>
      </w:pPr>
      <w:r>
        <w:rPr>
          <w:rFonts w:hint="eastAsia"/>
          <w:sz w:val="21"/>
          <w:szCs w:val="21"/>
        </w:rPr>
        <w:t>采购人优先采购被认定为首台套产品和“制造精品”的自主创新产品。</w:t>
      </w:r>
    </w:p>
    <w:p>
      <w:pPr>
        <w:adjustRightInd w:val="0"/>
        <w:snapToGrid w:val="0"/>
        <w:spacing w:line="288" w:lineRule="auto"/>
        <w:ind w:firstLine="420" w:firstLineChars="200"/>
        <w:rPr>
          <w:rFonts w:hint="eastAsia"/>
          <w:sz w:val="21"/>
          <w:szCs w:val="21"/>
        </w:rPr>
      </w:pPr>
      <w:r>
        <w:rPr>
          <w:rFonts w:hint="eastAsia"/>
          <w:sz w:val="21"/>
          <w:szCs w:val="21"/>
        </w:rPr>
        <w:t>对省级以上主管部门认定的首台套产品，自纳入《省推广应用指导目录》起3年内参加政府采购活动，视同已具备相应销售业绩，业绩分为满分。</w:t>
      </w:r>
    </w:p>
    <w:p>
      <w:pPr>
        <w:adjustRightInd w:val="0"/>
        <w:snapToGrid w:val="0"/>
        <w:spacing w:line="288" w:lineRule="auto"/>
        <w:rPr>
          <w:rFonts w:hint="eastAsia"/>
          <w:sz w:val="21"/>
          <w:szCs w:val="21"/>
        </w:rPr>
      </w:pPr>
      <w:r>
        <w:rPr>
          <w:rFonts w:hint="eastAsia"/>
          <w:sz w:val="21"/>
          <w:szCs w:val="21"/>
        </w:rPr>
        <w:t>产品核心技术高于国内领先水平，并具有明晰自主知识产权的“制造精品”产品，自认定之日起2年内视同已具备相应销售业绩，参加政府采购活动时业绩分值为满分。</w:t>
      </w: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二、磋商文件</w:t>
      </w:r>
    </w:p>
    <w:p>
      <w:pPr>
        <w:adjustRightInd w:val="0"/>
        <w:snapToGrid w:val="0"/>
        <w:spacing w:line="288" w:lineRule="auto"/>
        <w:rPr>
          <w:rFonts w:hint="eastAsia"/>
          <w:b/>
          <w:bCs/>
          <w:sz w:val="21"/>
          <w:szCs w:val="21"/>
        </w:rPr>
      </w:pPr>
      <w:r>
        <w:rPr>
          <w:rFonts w:hint="eastAsia"/>
          <w:b/>
          <w:bCs/>
          <w:sz w:val="21"/>
          <w:szCs w:val="21"/>
        </w:rPr>
        <w:t>（一）磋商文件的构成</w:t>
      </w:r>
    </w:p>
    <w:p>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pPr>
        <w:adjustRightInd w:val="0"/>
        <w:snapToGrid w:val="0"/>
        <w:spacing w:line="288" w:lineRule="auto"/>
        <w:ind w:firstLine="420" w:firstLineChars="200"/>
        <w:rPr>
          <w:rFonts w:hint="eastAsia"/>
          <w:sz w:val="21"/>
          <w:szCs w:val="21"/>
        </w:rPr>
      </w:pPr>
      <w:r>
        <w:rPr>
          <w:rFonts w:hint="eastAsia"/>
          <w:sz w:val="21"/>
          <w:szCs w:val="21"/>
        </w:rPr>
        <w:t>1.采购邀请</w:t>
      </w:r>
    </w:p>
    <w:p>
      <w:pPr>
        <w:adjustRightInd w:val="0"/>
        <w:snapToGrid w:val="0"/>
        <w:spacing w:line="288" w:lineRule="auto"/>
        <w:ind w:firstLine="420" w:firstLineChars="200"/>
        <w:rPr>
          <w:rFonts w:hint="eastAsia"/>
          <w:sz w:val="21"/>
          <w:szCs w:val="21"/>
        </w:rPr>
      </w:pPr>
      <w:r>
        <w:rPr>
          <w:rFonts w:hint="eastAsia"/>
          <w:sz w:val="21"/>
          <w:szCs w:val="21"/>
        </w:rPr>
        <w:t>2.采购需求</w:t>
      </w:r>
    </w:p>
    <w:p>
      <w:pPr>
        <w:adjustRightInd w:val="0"/>
        <w:snapToGrid w:val="0"/>
        <w:spacing w:line="288" w:lineRule="auto"/>
        <w:ind w:firstLine="420" w:firstLineChars="200"/>
        <w:rPr>
          <w:rFonts w:hint="eastAsia"/>
          <w:sz w:val="21"/>
          <w:szCs w:val="21"/>
        </w:rPr>
      </w:pPr>
      <w:r>
        <w:rPr>
          <w:rFonts w:hint="eastAsia"/>
          <w:sz w:val="21"/>
          <w:szCs w:val="21"/>
        </w:rPr>
        <w:t>3.供应商须知</w:t>
      </w:r>
    </w:p>
    <w:p>
      <w:pPr>
        <w:adjustRightInd w:val="0"/>
        <w:snapToGrid w:val="0"/>
        <w:spacing w:line="288" w:lineRule="auto"/>
        <w:ind w:firstLine="420" w:firstLineChars="200"/>
        <w:rPr>
          <w:rFonts w:hint="eastAsia"/>
          <w:sz w:val="21"/>
          <w:szCs w:val="21"/>
        </w:rPr>
      </w:pPr>
      <w:r>
        <w:rPr>
          <w:rFonts w:hint="eastAsia"/>
          <w:sz w:val="21"/>
          <w:szCs w:val="21"/>
        </w:rPr>
        <w:t>4.评审方法和评审标准</w:t>
      </w:r>
    </w:p>
    <w:p>
      <w:pPr>
        <w:adjustRightInd w:val="0"/>
        <w:snapToGrid w:val="0"/>
        <w:spacing w:line="288" w:lineRule="auto"/>
        <w:ind w:firstLine="420" w:firstLineChars="200"/>
        <w:rPr>
          <w:rFonts w:hint="eastAsia"/>
          <w:sz w:val="21"/>
          <w:szCs w:val="21"/>
        </w:rPr>
      </w:pPr>
      <w:r>
        <w:rPr>
          <w:rFonts w:hint="eastAsia"/>
          <w:sz w:val="21"/>
          <w:szCs w:val="21"/>
        </w:rPr>
        <w:t>5.拟签订的合同文本</w:t>
      </w:r>
    </w:p>
    <w:p>
      <w:pPr>
        <w:adjustRightInd w:val="0"/>
        <w:snapToGrid w:val="0"/>
        <w:spacing w:line="288" w:lineRule="auto"/>
        <w:ind w:firstLine="420" w:firstLineChars="200"/>
        <w:rPr>
          <w:rFonts w:hint="eastAsia"/>
          <w:sz w:val="21"/>
          <w:szCs w:val="21"/>
        </w:rPr>
      </w:pPr>
      <w:r>
        <w:rPr>
          <w:rFonts w:hint="eastAsia"/>
          <w:sz w:val="21"/>
          <w:szCs w:val="21"/>
        </w:rPr>
        <w:t>6.响应文件格式</w:t>
      </w:r>
    </w:p>
    <w:p>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pPr>
        <w:adjustRightInd w:val="0"/>
        <w:snapToGrid w:val="0"/>
        <w:spacing w:line="288" w:lineRule="auto"/>
        <w:rPr>
          <w:rFonts w:hint="eastAsia"/>
          <w:b/>
          <w:bCs/>
          <w:sz w:val="21"/>
          <w:szCs w:val="21"/>
        </w:rPr>
      </w:pPr>
      <w:r>
        <w:rPr>
          <w:rFonts w:hint="eastAsia"/>
          <w:b/>
          <w:bCs/>
          <w:sz w:val="21"/>
          <w:szCs w:val="21"/>
        </w:rPr>
        <w:t>（二）供应商的风险</w:t>
      </w:r>
    </w:p>
    <w:p>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rFonts w:hint="eastAsia"/>
          <w:b/>
          <w:bCs/>
          <w:sz w:val="21"/>
          <w:szCs w:val="21"/>
        </w:rPr>
      </w:pPr>
      <w:r>
        <w:rPr>
          <w:rFonts w:hint="eastAsia"/>
          <w:b/>
          <w:bCs/>
          <w:sz w:val="21"/>
          <w:szCs w:val="21"/>
        </w:rPr>
        <w:t>（三）磋商文件的澄清与修改</w:t>
      </w:r>
    </w:p>
    <w:p>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pPr>
        <w:adjustRightInd w:val="0"/>
        <w:snapToGrid w:val="0"/>
        <w:spacing w:line="288" w:lineRule="auto"/>
        <w:rPr>
          <w:rFonts w:hint="eastAsia"/>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hint="eastAsia" w:cs="Times New Roman"/>
          <w:spacing w:val="-6"/>
          <w:sz w:val="21"/>
          <w:szCs w:val="21"/>
        </w:rPr>
      </w:pPr>
      <w:bookmarkStart w:id="42"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如供应商提供的产品技术支持材料与采购需求偏离表响应不一致，以产品技术支持材料为准。</w:t>
      </w:r>
    </w:p>
    <w:bookmarkEnd w:id="42"/>
    <w:p>
      <w:pPr>
        <w:adjustRightInd w:val="0"/>
        <w:snapToGrid w:val="0"/>
        <w:spacing w:line="288" w:lineRule="auto"/>
        <w:rPr>
          <w:rFonts w:hint="eastAsia"/>
          <w:b/>
          <w:bCs/>
          <w:sz w:val="21"/>
          <w:szCs w:val="21"/>
        </w:rPr>
      </w:pPr>
      <w:r>
        <w:rPr>
          <w:rFonts w:hint="eastAsia"/>
          <w:b/>
          <w:bCs/>
          <w:sz w:val="21"/>
          <w:szCs w:val="21"/>
        </w:rPr>
        <w:t>（二）响应文件的签署和份数</w:t>
      </w:r>
    </w:p>
    <w:p>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3" w:name="_Hlk96329193"/>
      <w:r>
        <w:rPr>
          <w:rFonts w:hint="eastAsia"/>
          <w:sz w:val="21"/>
          <w:szCs w:val="21"/>
        </w:rPr>
        <w:t>，供应商应写全称。</w:t>
      </w:r>
      <w:bookmarkEnd w:id="43"/>
    </w:p>
    <w:p>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-87666117，寄出后将（快递单号、项目名称、公司名称、联系方式等相关信息）发至：zb05@qszb.net，以便查收）。</w:t>
      </w:r>
    </w:p>
    <w:p>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rFonts w:hint="eastAsia"/>
          <w:b/>
          <w:bCs/>
          <w:sz w:val="21"/>
          <w:szCs w:val="21"/>
        </w:rPr>
      </w:pPr>
      <w:r>
        <w:rPr>
          <w:rFonts w:hint="eastAsia"/>
          <w:b/>
          <w:bCs/>
          <w:sz w:val="21"/>
          <w:szCs w:val="21"/>
        </w:rPr>
        <w:t>备注：</w:t>
      </w:r>
    </w:p>
    <w:p>
      <w:pPr>
        <w:adjustRightInd w:val="0"/>
        <w:snapToGrid w:val="0"/>
        <w:spacing w:line="288" w:lineRule="auto"/>
        <w:rPr>
          <w:rFonts w:hint="eastAsia"/>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rFonts w:hint="eastAsia"/>
          <w:sz w:val="21"/>
          <w:szCs w:val="21"/>
        </w:rPr>
      </w:pPr>
      <w:r>
        <w:rPr>
          <w:rFonts w:hint="eastAsia"/>
          <w:sz w:val="21"/>
          <w:szCs w:val="21"/>
        </w:rPr>
        <w:t>1.响应文件的上传、递交：</w:t>
      </w:r>
    </w:p>
    <w:p>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rFonts w:hint="eastAsia"/>
          <w:b/>
          <w:bCs/>
          <w:sz w:val="21"/>
          <w:szCs w:val="21"/>
        </w:rPr>
      </w:pPr>
      <w:r>
        <w:rPr>
          <w:rFonts w:hint="eastAsia"/>
          <w:b/>
          <w:bCs/>
          <w:sz w:val="21"/>
          <w:szCs w:val="21"/>
        </w:rPr>
        <w:t>备注：</w:t>
      </w:r>
    </w:p>
    <w:p>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rFonts w:hint="eastAsia"/>
          <w:b/>
          <w:bCs/>
          <w:sz w:val="21"/>
          <w:szCs w:val="21"/>
        </w:rPr>
      </w:pPr>
      <w:r>
        <w:rPr>
          <w:rFonts w:hint="eastAsia"/>
          <w:b/>
          <w:bCs/>
          <w:sz w:val="21"/>
          <w:szCs w:val="21"/>
        </w:rPr>
        <w:t>（四）响应文件的语言及计量</w:t>
      </w:r>
    </w:p>
    <w:p>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rFonts w:hint="eastAsia"/>
          <w:b/>
          <w:bCs/>
          <w:sz w:val="21"/>
          <w:szCs w:val="21"/>
        </w:rPr>
      </w:pPr>
      <w:r>
        <w:rPr>
          <w:rFonts w:hint="eastAsia"/>
          <w:b/>
          <w:bCs/>
          <w:sz w:val="21"/>
          <w:szCs w:val="21"/>
        </w:rPr>
        <w:t>（五）磋商报价</w:t>
      </w:r>
    </w:p>
    <w:p>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2.本次磋商采用人民币报价；</w:t>
      </w:r>
    </w:p>
    <w:p>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3.最后磋商报价是履行合同的最终价格，有关本项目实施所涉及的一切费用均计入报价。总价不为零，分项报价中部分产品、服务单价为零的，视作已包含在总价中。</w:t>
      </w:r>
    </w:p>
    <w:p>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▲4.采购人将以合同形式有偿取得货物、工程和服务，不接受供应商给予的赠品、回扣或者与采购无关的其他商品、服务。</w:t>
      </w:r>
    </w:p>
    <w:p>
      <w:pPr>
        <w:adjustRightInd w:val="0"/>
        <w:snapToGrid w:val="0"/>
        <w:spacing w:line="288" w:lineRule="auto"/>
        <w:rPr>
          <w:rFonts w:hint="eastAsia"/>
          <w:b/>
          <w:bCs/>
          <w:sz w:val="21"/>
          <w:szCs w:val="21"/>
        </w:rPr>
      </w:pPr>
      <w:r>
        <w:rPr>
          <w:rFonts w:hint="eastAsia"/>
          <w:b/>
          <w:bCs/>
          <w:sz w:val="21"/>
          <w:szCs w:val="21"/>
        </w:rPr>
        <w:t>（六）响应有效期</w:t>
      </w:r>
    </w:p>
    <w:p>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hint="eastAsia"/>
          <w:b/>
          <w:bCs/>
          <w:sz w:val="21"/>
          <w:szCs w:val="21"/>
        </w:rPr>
      </w:pPr>
      <w:r>
        <w:rPr>
          <w:b/>
          <w:bCs/>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pPr>
        <w:adjustRightInd w:val="0"/>
        <w:snapToGrid w:val="0"/>
        <w:spacing w:line="288" w:lineRule="auto"/>
        <w:ind w:firstLine="420" w:firstLineChars="200"/>
        <w:rPr>
          <w:rFonts w:hint="eastAsia"/>
          <w:sz w:val="21"/>
          <w:szCs w:val="21"/>
        </w:rPr>
      </w:pPr>
      <w:bookmarkStart w:id="44" w:name="_Hlk97039899"/>
      <w:r>
        <w:rPr>
          <w:rFonts w:hint="eastAsia"/>
          <w:sz w:val="21"/>
          <w:szCs w:val="21"/>
        </w:rPr>
        <w:t>未响应磋商文件“▲”标记条款要求的，响应无效。</w:t>
      </w:r>
    </w:p>
    <w:bookmarkEnd w:id="44"/>
    <w:p>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rFonts w:hint="eastAsia"/>
          <w:sz w:val="21"/>
          <w:szCs w:val="21"/>
        </w:rPr>
      </w:pPr>
      <w:bookmarkStart w:id="45" w:name="_Hlk97039841"/>
      <w:r>
        <w:rPr>
          <w:rFonts w:hint="eastAsia"/>
          <w:sz w:val="21"/>
          <w:szCs w:val="21"/>
        </w:rPr>
        <w:t>（3）资格文件未按要求签署、盖章。</w:t>
      </w:r>
    </w:p>
    <w:bookmarkEnd w:id="45"/>
    <w:p>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pPr>
        <w:adjustRightInd w:val="0"/>
        <w:snapToGrid w:val="0"/>
        <w:spacing w:line="288" w:lineRule="auto"/>
        <w:ind w:firstLine="420" w:firstLineChars="200"/>
        <w:rPr>
          <w:rFonts w:hint="eastAsia"/>
          <w:sz w:val="21"/>
          <w:szCs w:val="21"/>
        </w:rPr>
      </w:pPr>
      <w:r>
        <w:rPr>
          <w:rFonts w:hint="eastAsia"/>
          <w:sz w:val="21"/>
          <w:szCs w:val="21"/>
        </w:rPr>
        <w:t>（2）最后报价具有选择性。</w:t>
      </w:r>
    </w:p>
    <w:p>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pPr>
        <w:adjustRightInd w:val="0"/>
        <w:snapToGrid w:val="0"/>
        <w:spacing w:line="288" w:lineRule="auto"/>
        <w:ind w:firstLine="398" w:firstLineChars="200"/>
        <w:rPr>
          <w:rFonts w:hint="eastAsia"/>
          <w:b/>
          <w:bCs/>
          <w:sz w:val="21"/>
          <w:szCs w:val="21"/>
        </w:rPr>
      </w:pPr>
      <w:r>
        <w:rPr>
          <w:rFonts w:hint="eastAsia"/>
          <w:b/>
          <w:spacing w:val="-6"/>
          <w:sz w:val="21"/>
          <w:szCs w:val="21"/>
        </w:rPr>
        <w:t>5.</w:t>
      </w:r>
      <w:r>
        <w:rPr>
          <w:rFonts w:hint="eastAsia"/>
          <w:b/>
          <w:bCs/>
          <w:sz w:val="21"/>
          <w:szCs w:val="21"/>
        </w:rPr>
        <w:t>参与同一个采购包（标项）的供应商存在下列情形之一且无法合理解释的，其响应文件无效：</w:t>
      </w:r>
    </w:p>
    <w:p>
      <w:pPr>
        <w:adjustRightInd w:val="0"/>
        <w:snapToGrid w:val="0"/>
        <w:spacing w:line="288" w:lineRule="auto"/>
        <w:ind w:firstLine="420" w:firstLineChars="200"/>
        <w:rPr>
          <w:rFonts w:hint="eastAsia"/>
          <w:sz w:val="21"/>
          <w:szCs w:val="21"/>
        </w:rPr>
      </w:pPr>
      <w:r>
        <w:rPr>
          <w:rFonts w:hint="eastAsia"/>
          <w:sz w:val="21"/>
          <w:szCs w:val="21"/>
        </w:rPr>
        <w:t>（1）不同供应商的电子响应文件上传计算机的网卡MAC地址或硬盘序列号等硬件信息相同的；</w:t>
      </w:r>
    </w:p>
    <w:p>
      <w:pPr>
        <w:adjustRightInd w:val="0"/>
        <w:snapToGrid w:val="0"/>
        <w:spacing w:line="288" w:lineRule="auto"/>
        <w:ind w:firstLine="420" w:firstLineChars="200"/>
        <w:rPr>
          <w:rFonts w:hint="eastAsia"/>
          <w:sz w:val="21"/>
          <w:szCs w:val="21"/>
        </w:rPr>
      </w:pPr>
      <w:r>
        <w:rPr>
          <w:rFonts w:hint="eastAsia"/>
          <w:sz w:val="21"/>
          <w:szCs w:val="21"/>
        </w:rPr>
        <w:t>（2）上传的电子响应文件若出现使用本项目其他响应供应商的数字证书加密的，或者加盖本项目其他响应供应商的电子印章的；</w:t>
      </w:r>
    </w:p>
    <w:p>
      <w:pPr>
        <w:adjustRightInd w:val="0"/>
        <w:snapToGrid w:val="0"/>
        <w:spacing w:line="288" w:lineRule="auto"/>
        <w:ind w:firstLine="420" w:firstLineChars="200"/>
        <w:rPr>
          <w:rFonts w:hint="eastAsia"/>
          <w:sz w:val="21"/>
          <w:szCs w:val="21"/>
        </w:rPr>
      </w:pPr>
      <w:r>
        <w:rPr>
          <w:rFonts w:hint="eastAsia"/>
          <w:sz w:val="21"/>
          <w:szCs w:val="21"/>
        </w:rPr>
        <w:t>（3）不同供应商的响应文件的内容存在3处（含）以上错误一致的；</w:t>
      </w:r>
    </w:p>
    <w:p>
      <w:pPr>
        <w:adjustRightInd w:val="0"/>
        <w:snapToGrid w:val="0"/>
        <w:spacing w:line="288" w:lineRule="auto"/>
        <w:ind w:firstLine="420" w:firstLineChars="200"/>
        <w:rPr>
          <w:rFonts w:hint="eastAsia"/>
          <w:sz w:val="21"/>
          <w:szCs w:val="21"/>
        </w:rPr>
      </w:pPr>
      <w:r>
        <w:rPr>
          <w:rFonts w:hint="eastAsia"/>
          <w:sz w:val="21"/>
          <w:szCs w:val="21"/>
        </w:rPr>
        <w:t>（4）不同供应商联系人为同一人或不同联系人的联系电话一致的。</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hint="eastAsia" w:cs="Times New Roman"/>
          <w:b/>
          <w:bCs/>
          <w:spacing w:val="-6"/>
          <w:sz w:val="21"/>
          <w:szCs w:val="21"/>
        </w:rPr>
      </w:pPr>
    </w:p>
    <w:p>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1"/>
        <w:rPr>
          <w:rFonts w:hint="eastAsia"/>
          <w:b/>
          <w:bCs/>
          <w:sz w:val="21"/>
          <w:szCs w:val="21"/>
        </w:rPr>
      </w:pPr>
      <w:r>
        <w:rPr>
          <w:rFonts w:hint="eastAsia"/>
          <w:b/>
          <w:bCs/>
          <w:sz w:val="21"/>
          <w:szCs w:val="21"/>
        </w:rPr>
        <w:t>六、评审程序</w:t>
      </w:r>
    </w:p>
    <w:p>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供应商的磋商内容无法通过政府采购云平台上传的，可在规定时间内（不少于半小时）通过指定的电子邮箱（zb05@qszb.net</w:t>
      </w:r>
      <w:r>
        <w:rPr>
          <w:kern w:val="0"/>
          <w:sz w:val="21"/>
          <w:szCs w:val="21"/>
        </w:rPr>
        <w:t>）或传真号码（0571-87666116）提交。</w:t>
      </w:r>
    </w:p>
    <w:p>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hint="eastAsia" w:cs="Arial"/>
          <w:b/>
          <w:kern w:val="0"/>
          <w:sz w:val="21"/>
          <w:szCs w:val="21"/>
        </w:rPr>
      </w:pPr>
    </w:p>
    <w:p>
      <w:pPr>
        <w:widowControl/>
        <w:adjustRightInd w:val="0"/>
        <w:snapToGrid w:val="0"/>
        <w:spacing w:line="288" w:lineRule="auto"/>
        <w:ind w:firstLine="414" w:firstLineChars="200"/>
        <w:rPr>
          <w:rFonts w:hint="eastAsia"/>
          <w:b/>
          <w:bCs/>
          <w:spacing w:val="-2"/>
          <w:kern w:val="0"/>
          <w:sz w:val="21"/>
          <w:szCs w:val="21"/>
          <w:shd w:val="clear" w:color="auto" w:fill="FFFFFF"/>
          <w:lang w:bidi="ar"/>
        </w:rPr>
      </w:pPr>
      <w:r>
        <w:rPr>
          <w:rFonts w:hint="eastAsia"/>
          <w:b/>
          <w:bCs/>
          <w:spacing w:val="-2"/>
          <w:kern w:val="0"/>
          <w:sz w:val="21"/>
          <w:szCs w:val="21"/>
          <w:shd w:val="clear" w:color="auto" w:fill="FFFFFF"/>
          <w:lang w:bidi="ar"/>
        </w:rPr>
        <w:t>评审中出现下列情形之一的，磋商应当启动异常低价响应审查程序：</w:t>
      </w:r>
    </w:p>
    <w:p>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（一）最后报价低于全部通过符合性审查供应商最后报价平均值50%的，即最后报价&lt;全部通过符合性审查供应商最后报价平均值×50%；</w:t>
      </w:r>
    </w:p>
    <w:p>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（二）最后报价低于通过符合性审查且报价次低供应商最后报价50%的，即最后报价&lt;通过符合性审查且报价次低供应商最后报价×50%；</w:t>
      </w:r>
    </w:p>
    <w:p>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（三）最后报价低于采购项目最高限价45%的，即最后报价&lt;采购项目最高限价×45%；</w:t>
      </w:r>
    </w:p>
    <w:p>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（四）其他磋商小组认为供应商报价过低，有可能影响产品质量或者不能诚信履约的情形。</w:t>
      </w:r>
    </w:p>
    <w:p>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磋商小组启动异常低价响应审查后，</w:t>
      </w:r>
      <w:r>
        <w:rPr>
          <w:rFonts w:hint="eastAsia"/>
          <w:spacing w:val="-2"/>
          <w:kern w:val="0"/>
          <w:sz w:val="21"/>
          <w:szCs w:val="21"/>
          <w:u w:val="single"/>
          <w:shd w:val="clear" w:color="auto" w:fill="FFFFFF"/>
          <w:lang w:bidi="ar"/>
        </w:rPr>
        <w:t>应当要求相关供应商在评审现场合理的时间内提供书面说明及必要的证明材料，对响应价格作出解释。</w:t>
      </w:r>
      <w:r>
        <w:rPr>
          <w:rFonts w:hint="eastAsia"/>
          <w:spacing w:val="-2"/>
          <w:kern w:val="0"/>
          <w:sz w:val="21"/>
          <w:szCs w:val="21"/>
          <w:shd w:val="clear" w:color="auto" w:fill="FFFFFF"/>
          <w:lang w:bidi="ar"/>
        </w:rPr>
        <w:t>书面说明、证明材料主要是</w:t>
      </w:r>
      <w:r>
        <w:rPr>
          <w:rFonts w:hint="eastAsia"/>
          <w:b/>
          <w:bCs/>
          <w:spacing w:val="-2"/>
          <w:kern w:val="0"/>
          <w:sz w:val="21"/>
          <w:szCs w:val="21"/>
          <w:shd w:val="clear" w:color="auto" w:fill="FFFFFF"/>
          <w:lang w:bidi="ar"/>
        </w:rPr>
        <w:t>项目具体成本测算等与报价合理性相关的说明、材料</w:t>
      </w:r>
      <w:r>
        <w:rPr>
          <w:rFonts w:hint="eastAsia"/>
          <w:spacing w:val="-2"/>
          <w:kern w:val="0"/>
          <w:sz w:val="21"/>
          <w:szCs w:val="21"/>
          <w:shd w:val="clear" w:color="auto" w:fill="FFFFFF"/>
          <w:lang w:bidi="ar"/>
        </w:rPr>
        <w:t>。</w:t>
      </w:r>
    </w:p>
    <w:p>
      <w:pPr>
        <w:adjustRightInd w:val="0"/>
        <w:snapToGrid w:val="0"/>
        <w:spacing w:line="288" w:lineRule="auto"/>
        <w:ind w:firstLine="416" w:firstLineChars="202"/>
        <w:rPr>
          <w:rFonts w:hint="eastAsia" w:cs="Arial"/>
          <w:b/>
          <w:kern w:val="0"/>
          <w:szCs w:val="21"/>
        </w:rPr>
      </w:pPr>
      <w:r>
        <w:rPr>
          <w:rFonts w:hint="eastAsia"/>
          <w:spacing w:val="-2"/>
          <w:kern w:val="0"/>
          <w:sz w:val="21"/>
          <w:szCs w:val="21"/>
          <w:shd w:val="clear" w:color="auto" w:fill="FFFFFF"/>
          <w:lang w:bidi="ar"/>
        </w:rPr>
        <w:t>磋商小组应当</w:t>
      </w:r>
      <w:r>
        <w:rPr>
          <w:rFonts w:hint="eastAsia"/>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spacing w:val="-2"/>
          <w:kern w:val="0"/>
          <w:sz w:val="21"/>
          <w:szCs w:val="21"/>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pPr>
        <w:adjustRightInd w:val="0"/>
        <w:snapToGrid w:val="0"/>
        <w:spacing w:line="288" w:lineRule="auto"/>
        <w:ind w:firstLine="426" w:firstLineChars="202"/>
        <w:rPr>
          <w:rFonts w:hint="eastAsia" w:cs="Arial"/>
          <w:b/>
          <w:kern w:val="0"/>
          <w:sz w:val="21"/>
          <w:szCs w:val="21"/>
        </w:rPr>
      </w:pP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hint="eastAsia" w:cs="Arial"/>
          <w:kern w:val="0"/>
          <w:sz w:val="21"/>
          <w:szCs w:val="21"/>
        </w:rPr>
      </w:pPr>
      <w:bookmarkStart w:id="46"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pPr>
        <w:adjustRightInd w:val="0"/>
        <w:snapToGrid w:val="0"/>
        <w:spacing w:line="288" w:lineRule="auto"/>
        <w:ind w:firstLine="420" w:firstLineChars="200"/>
        <w:rPr>
          <w:rFonts w:hint="eastAsia"/>
          <w:sz w:val="21"/>
          <w:szCs w:val="21"/>
        </w:rPr>
      </w:pPr>
      <w:bookmarkStart w:id="47"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7"/>
    <w:p>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rFonts w:hint="eastAsia"/>
          <w:b/>
          <w:bCs/>
          <w:sz w:val="21"/>
          <w:szCs w:val="21"/>
        </w:rPr>
      </w:pPr>
      <w:r>
        <w:rPr>
          <w:rFonts w:hint="eastAsia"/>
          <w:b/>
          <w:bCs/>
          <w:sz w:val="21"/>
          <w:szCs w:val="21"/>
        </w:rPr>
        <w:t>（一）成交</w:t>
      </w:r>
    </w:p>
    <w:p>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rFonts w:hint="eastAsia"/>
          <w:b/>
          <w:bCs/>
          <w:sz w:val="21"/>
          <w:szCs w:val="21"/>
        </w:rPr>
      </w:pPr>
      <w:r>
        <w:rPr>
          <w:rFonts w:hint="eastAsia"/>
          <w:b/>
          <w:bCs/>
          <w:sz w:val="21"/>
          <w:szCs w:val="21"/>
        </w:rPr>
        <w:t>（二）合同授予</w:t>
      </w:r>
    </w:p>
    <w:p>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rFonts w:hint="eastAsia"/>
          <w:sz w:val="21"/>
          <w:szCs w:val="21"/>
        </w:rPr>
      </w:pPr>
    </w:p>
    <w:p>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hint="eastAsia"/>
          <w:sz w:val="21"/>
          <w:szCs w:val="21"/>
        </w:rPr>
      </w:pPr>
    </w:p>
    <w:p>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pPr>
        <w:adjustRightInd w:val="0"/>
        <w:snapToGrid w:val="0"/>
        <w:spacing w:line="288" w:lineRule="auto"/>
        <w:rPr>
          <w:rFonts w:hint="eastAsia"/>
          <w:b/>
          <w:bCs/>
          <w:sz w:val="21"/>
          <w:szCs w:val="21"/>
        </w:rPr>
      </w:pPr>
      <w:r>
        <w:rPr>
          <w:rFonts w:hint="eastAsia"/>
          <w:b/>
          <w:bCs/>
          <w:sz w:val="21"/>
          <w:szCs w:val="21"/>
        </w:rPr>
        <w:t>一、评审方法</w:t>
      </w:r>
    </w:p>
    <w:p>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hint="eastAsia"/>
          <w:b/>
          <w:bCs/>
          <w:sz w:val="21"/>
          <w:szCs w:val="21"/>
        </w:rPr>
      </w:pPr>
      <w:r>
        <w:rPr>
          <w:rFonts w:hint="eastAsia"/>
          <w:b/>
          <w:bCs/>
          <w:sz w:val="21"/>
          <w:szCs w:val="21"/>
        </w:rPr>
        <w:t>二、评审标准</w:t>
      </w:r>
    </w:p>
    <w:tbl>
      <w:tblPr>
        <w:tblStyle w:val="19"/>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641"/>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7397"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30</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rFonts w:hint="eastAsia"/>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p>
            <w:pPr>
              <w:adjustRightInd w:val="0"/>
              <w:snapToGrid w:val="0"/>
              <w:spacing w:line="288" w:lineRule="auto"/>
              <w:rPr>
                <w:rFonts w:hint="eastAsia"/>
                <w:kern w:val="0"/>
                <w:sz w:val="21"/>
                <w:szCs w:val="21"/>
              </w:rPr>
            </w:pPr>
            <w:r>
              <w:rPr>
                <w:rFonts w:hint="eastAsia"/>
                <w:sz w:val="21"/>
                <w:szCs w:val="21"/>
              </w:rPr>
              <w:t>注：本项目</w:t>
            </w:r>
            <w:r>
              <w:rPr>
                <w:rFonts w:hint="eastAsia" w:cs="Times New Roman"/>
                <w:sz w:val="21"/>
                <w:szCs w:val="21"/>
              </w:rPr>
              <w:t>对符合规定的小微企业报价给予【1</w:t>
            </w:r>
            <w:r>
              <w:rPr>
                <w:rFonts w:cs="Times New Roman"/>
                <w:sz w:val="21"/>
                <w:szCs w:val="21"/>
              </w:rPr>
              <w:t>0</w:t>
            </w:r>
            <w:r>
              <w:rPr>
                <w:rFonts w:hint="eastAsia" w:cs="Times New Roman"/>
                <w:sz w:val="21"/>
                <w:szCs w:val="21"/>
              </w:rPr>
              <w:t>】%的扣除后计算价格得分。</w:t>
            </w:r>
            <w:r>
              <w:rPr>
                <w:rFonts w:hint="eastAsia" w:cs="Times New Roman"/>
                <w:spacing w:val="-6"/>
                <w:sz w:val="21"/>
                <w:szCs w:val="21"/>
              </w:rPr>
              <w:t>对于联合协议或者分包意向协议约定小微企业的合同份额占到合同总金额30%以上的，对联合体或者大中型企业的报价给予【4】%的扣除，用扣除后的价格参加评审。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商务分（4）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业绩</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3</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1.供应商自2020年1月1日以来（以合同签订时间为准）承接过类似</w:t>
            </w:r>
            <w:r>
              <w:rPr>
                <w:rFonts w:hint="eastAsia"/>
                <w:b/>
                <w:bCs/>
                <w:kern w:val="0"/>
                <w:sz w:val="21"/>
                <w:szCs w:val="21"/>
              </w:rPr>
              <w:t>延时摄影装置类相关</w:t>
            </w:r>
            <w:r>
              <w:rPr>
                <w:rFonts w:hint="eastAsia"/>
                <w:kern w:val="0"/>
                <w:sz w:val="21"/>
                <w:szCs w:val="21"/>
              </w:rPr>
              <w:t>（主要设备为延时摄影装置）的合同业绩（以提供的合同扫描件为准）：每提供1份合同业绩得0.5分，最高得1.5分。</w:t>
            </w:r>
          </w:p>
          <w:p>
            <w:pPr>
              <w:adjustRightInd w:val="0"/>
              <w:snapToGrid w:val="0"/>
              <w:spacing w:line="288" w:lineRule="auto"/>
              <w:rPr>
                <w:rFonts w:hint="eastAsia"/>
                <w:kern w:val="0"/>
                <w:sz w:val="21"/>
                <w:szCs w:val="21"/>
              </w:rPr>
            </w:pPr>
            <w:r>
              <w:rPr>
                <w:rFonts w:hint="eastAsia"/>
                <w:kern w:val="0"/>
                <w:sz w:val="21"/>
                <w:szCs w:val="21"/>
              </w:rPr>
              <w:t>2.供应商自2020年1月1日以来（以合同签订时间为准）承接过类似</w:t>
            </w:r>
            <w:r>
              <w:rPr>
                <w:rFonts w:hint="eastAsia"/>
                <w:b/>
                <w:bCs/>
                <w:kern w:val="0"/>
                <w:sz w:val="21"/>
                <w:szCs w:val="21"/>
              </w:rPr>
              <w:t>三维可视化展示设备类相关</w:t>
            </w:r>
            <w:r>
              <w:rPr>
                <w:rFonts w:hint="eastAsia"/>
                <w:kern w:val="0"/>
                <w:sz w:val="21"/>
                <w:szCs w:val="21"/>
              </w:rPr>
              <w:t>（主要设备为LED显示屏、接收卡、视频处理器）的合同业绩（以提供的合同扫描件为准）：每提供1份合同业绩得0.5分，最高得1.5分。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政策功能</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1</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响应产品属于品目清单范围且提供国家确定的认证机构出具的有效的环境标志产品认证证书（扫描件）的得</w:t>
            </w:r>
            <w:r>
              <w:rPr>
                <w:kern w:val="0"/>
                <w:sz w:val="21"/>
                <w:szCs w:val="21"/>
              </w:rPr>
              <w:t>1</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rFonts w:hint="eastAsia"/>
                <w:kern w:val="0"/>
                <w:sz w:val="21"/>
                <w:szCs w:val="21"/>
              </w:rPr>
            </w:pPr>
            <w:r>
              <w:rPr>
                <w:rFonts w:hint="eastAsia"/>
                <w:b/>
                <w:bCs/>
                <w:kern w:val="0"/>
                <w:sz w:val="21"/>
                <w:szCs w:val="21"/>
              </w:rPr>
              <w:t>技术分（66）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产品响应程度</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27</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不符合（负偏离）技术要求中标注“▲”条款（不可偏离）的响应文件无效，满足或明显优于磋商文件明确的全部技术条款要求的该项得满分；</w:t>
            </w:r>
          </w:p>
          <w:p>
            <w:pPr>
              <w:adjustRightInd w:val="0"/>
              <w:snapToGrid w:val="0"/>
              <w:spacing w:line="288" w:lineRule="auto"/>
              <w:rPr>
                <w:rFonts w:hint="eastAsia"/>
                <w:kern w:val="0"/>
                <w:sz w:val="21"/>
                <w:szCs w:val="21"/>
              </w:rPr>
            </w:pPr>
            <w:r>
              <w:rPr>
                <w:rFonts w:hint="eastAsia"/>
                <w:kern w:val="0"/>
                <w:sz w:val="21"/>
                <w:szCs w:val="21"/>
              </w:rPr>
              <w:t>技术条款低于技术要求（负偏离）的每项扣3分；</w:t>
            </w:r>
          </w:p>
          <w:p>
            <w:pPr>
              <w:adjustRightInd w:val="0"/>
              <w:snapToGrid w:val="0"/>
              <w:spacing w:line="288" w:lineRule="auto"/>
              <w:rPr>
                <w:rFonts w:hint="eastAsia"/>
                <w:kern w:val="0"/>
                <w:sz w:val="21"/>
                <w:szCs w:val="21"/>
              </w:rPr>
            </w:pPr>
            <w:r>
              <w:rPr>
                <w:rFonts w:hint="eastAsia"/>
                <w:kern w:val="0"/>
                <w:sz w:val="21"/>
                <w:szCs w:val="21"/>
              </w:rPr>
              <w:t>负偏离10项及以上的，视为采购人不能接受的附加条件。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产品功能及配置</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【主观分】响应</w:t>
            </w:r>
            <w:r>
              <w:rPr>
                <w:rFonts w:hint="eastAsia"/>
                <w:sz w:val="21"/>
                <w:szCs w:val="21"/>
              </w:rPr>
              <w:t>产品功能先进，与本项目的实际需求相匹配，后续维护成本低，配置合理，兼容性强。</w:t>
            </w:r>
            <w:r>
              <w:rPr>
                <w:rFonts w:hint="eastAsia"/>
                <w:kern w:val="0"/>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总体实施方案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【主观分】供应商拟提供的项目总体实施方案，提供项目组织管理、实施管理等内容：内容详细、完整、合理性强、针对采购需求和实际特点、有利于采购标的实现及合同履约。（评分范围：5，4，3，2，1，0）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进度计划方案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【主观分】供应商拟提供的项目整体工作阶段及任务划分情况：要求进度控制合理、关键时间节点把握科学准确。（评分范围：5，4，3，2，1，0）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项目风险保障方案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实施风险保障方案完善（明确风险管理目标，识别潜在的风险源），应急预案与处置合理（确定应急预案的主要目标，确立应急处置的基本原则），制定相应的应急预案和处置方案，可最大限度控制和减少意外情况发生。（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安装调试方案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tcPr>
          <w:p>
            <w:pPr>
              <w:adjustRightInd w:val="0"/>
              <w:snapToGrid w:val="0"/>
              <w:spacing w:line="288" w:lineRule="auto"/>
              <w:rPr>
                <w:rFonts w:hint="eastAsia"/>
                <w:kern w:val="0"/>
                <w:sz w:val="21"/>
                <w:szCs w:val="21"/>
              </w:rPr>
            </w:pPr>
            <w:r>
              <w:rPr>
                <w:rFonts w:hint="eastAsia"/>
                <w:kern w:val="0"/>
                <w:sz w:val="21"/>
                <w:szCs w:val="21"/>
              </w:rPr>
              <w:t>【主观分】供应商拟</w:t>
            </w:r>
            <w:r>
              <w:rPr>
                <w:rFonts w:hint="eastAsia"/>
                <w:kern w:val="0"/>
                <w:sz w:val="21"/>
                <w:szCs w:val="21"/>
                <w:lang w:val="en"/>
              </w:rPr>
              <w:t>提供的</w:t>
            </w:r>
            <w:r>
              <w:rPr>
                <w:rFonts w:hint="eastAsia"/>
                <w:kern w:val="0"/>
                <w:sz w:val="21"/>
                <w:szCs w:val="21"/>
              </w:rPr>
              <w:t>安装调试方案：对项目设备或系统的规格、要求和配置熟悉，安装计划和时间安排合理；方案专业、全面。（评分范围：4，3，2，1，0）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服务团队</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【客观分】供应商拟派团队具有电气或机械自动化类专业技术人员，每提供符合要求1人得1分，最高得4分。</w:t>
            </w:r>
          </w:p>
          <w:p>
            <w:pPr>
              <w:adjustRightInd w:val="0"/>
              <w:snapToGrid w:val="0"/>
              <w:spacing w:line="288" w:lineRule="auto"/>
              <w:rPr>
                <w:rFonts w:hint="eastAsia"/>
                <w:kern w:val="0"/>
                <w:sz w:val="21"/>
                <w:szCs w:val="21"/>
              </w:rPr>
            </w:pPr>
            <w:r>
              <w:rPr>
                <w:rFonts w:hint="eastAsia"/>
                <w:kern w:val="0"/>
                <w:sz w:val="21"/>
                <w:szCs w:val="21"/>
              </w:rPr>
              <w:t>注：以上技术人员需提供毕业证书扫描件及由供应商本单位缴纳的近半年内任意一个月社保缴纳证明，未提供或提供不全不得分。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lang w:val="en"/>
              </w:rPr>
              <w:t>培训方案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【主观分】供应商培训流程（理论知识培训、实践案例分析、技能训练）完善、培训方式全面、培训内容丰富，可使采购人对投标产品充分了解且正确使用。（评分范围：4，3，2，1，0）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售后服务方案</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提供的售后服务方案（如服务体系、服务内容、人员保障及服务电话等）：售后服务方案内容完整、详细，建立专门的售后支持团队，采用多种沟通渠道，确保客户能够方便地联系到售后支持团队能够有效地解决采购人的问题和需求。（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0"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配件耗材</w:t>
            </w:r>
          </w:p>
        </w:tc>
        <w:tc>
          <w:tcPr>
            <w:tcW w:w="64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397" w:type="dxa"/>
            <w:vAlign w:val="center"/>
          </w:tcPr>
          <w:p>
            <w:pPr>
              <w:adjustRightInd w:val="0"/>
              <w:snapToGrid w:val="0"/>
              <w:spacing w:line="288" w:lineRule="auto"/>
              <w:rPr>
                <w:rFonts w:hint="eastAsia"/>
                <w:kern w:val="0"/>
                <w:sz w:val="21"/>
                <w:szCs w:val="21"/>
              </w:rPr>
            </w:pPr>
            <w:r>
              <w:rPr>
                <w:rFonts w:hint="eastAsia"/>
                <w:kern w:val="0"/>
                <w:sz w:val="21"/>
                <w:szCs w:val="21"/>
              </w:rPr>
              <w:t>【主观分】供应商配件、附件、备品备件充分（建立备件管理系统、制定备品备件应急预案和应对措施）、确保供应链的可靠性和及时性。质保期满后配件备件收费合理。（评分范围：4，3，2，1，0）</w:t>
            </w:r>
          </w:p>
        </w:tc>
      </w:tr>
    </w:tbl>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pPr>
        <w:adjustRightInd w:val="0"/>
        <w:snapToGrid w:val="0"/>
        <w:spacing w:line="288" w:lineRule="auto"/>
        <w:jc w:val="center"/>
        <w:rPr>
          <w:rFonts w:hint="eastAsia"/>
          <w:b/>
          <w:bCs/>
          <w:sz w:val="21"/>
          <w:szCs w:val="21"/>
        </w:rPr>
      </w:pPr>
      <w:r>
        <w:rPr>
          <w:rFonts w:hint="eastAsia"/>
          <w:b/>
          <w:spacing w:val="-6"/>
          <w:sz w:val="21"/>
          <w:szCs w:val="21"/>
        </w:rPr>
        <w:t>浙江省文物考古研究所(浙江省世界文化遗产监测中心) 政府采购合同</w:t>
      </w: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项目名称：2025年良渚古城及水利系统（反山遗址）发掘不间断延时摄影及三维可视化呈现设备采购</w:t>
      </w:r>
    </w:p>
    <w:p>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QSZBE250048ZHCS</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采购计划文号：</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甲方（需方）：浙江省文物考古研究所(浙江省世界文化遗产监测中心)</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乙方（供方）：</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采购代理机构：浙江求是招标代理有限公司</w:t>
      </w:r>
    </w:p>
    <w:p>
      <w:pPr>
        <w:adjustRightInd w:val="0"/>
        <w:snapToGrid w:val="0"/>
        <w:spacing w:line="288" w:lineRule="auto"/>
        <w:rPr>
          <w:rFonts w:hint="eastAsia" w:cs="Times New Roman"/>
          <w:spacing w:val="-6"/>
          <w:sz w:val="21"/>
          <w:szCs w:val="21"/>
        </w:rPr>
      </w:pPr>
    </w:p>
    <w:p>
      <w:pPr>
        <w:adjustRightInd w:val="0"/>
        <w:snapToGrid w:val="0"/>
        <w:spacing w:line="288" w:lineRule="auto"/>
        <w:ind w:firstLine="396" w:firstLineChars="200"/>
        <w:rPr>
          <w:rFonts w:hint="eastAsia"/>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浙江省文物考古研究所(浙江省世界文化遗产监测中心)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2025年良渚古城及水利系统（反山遗址）发掘不间断延时摄影及三维可视化呈现设备采购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QSZBE250048ZHCS</w:t>
      </w:r>
      <w:r>
        <w:rPr>
          <w:rFonts w:hint="eastAsia"/>
          <w:spacing w:val="-6"/>
          <w:sz w:val="21"/>
          <w:szCs w:val="21"/>
          <w:u w:val="single"/>
        </w:rPr>
        <w:t>）</w:t>
      </w:r>
      <w:r>
        <w:rPr>
          <w:rFonts w:hint="eastAsia"/>
          <w:spacing w:val="-6"/>
          <w:sz w:val="21"/>
          <w:szCs w:val="21"/>
        </w:rPr>
        <w:t>的成交供应商。根据《中华人民共和国民法典》规定，签署本合同。</w:t>
      </w:r>
    </w:p>
    <w:p>
      <w:pPr>
        <w:adjustRightInd w:val="0"/>
        <w:snapToGrid w:val="0"/>
        <w:spacing w:line="288" w:lineRule="auto"/>
        <w:rPr>
          <w:rFonts w:hint="eastAsia"/>
          <w:b/>
          <w:spacing w:val="-6"/>
          <w:sz w:val="21"/>
          <w:szCs w:val="21"/>
        </w:rPr>
      </w:pPr>
    </w:p>
    <w:p>
      <w:pPr>
        <w:adjustRightInd w:val="0"/>
        <w:snapToGrid w:val="0"/>
        <w:spacing w:line="288" w:lineRule="auto"/>
        <w:rPr>
          <w:rFonts w:hint="eastAsia"/>
          <w:b/>
          <w:spacing w:val="-6"/>
          <w:sz w:val="21"/>
          <w:szCs w:val="21"/>
        </w:rPr>
      </w:pPr>
      <w:r>
        <w:rPr>
          <w:rFonts w:hint="eastAsia"/>
          <w:b/>
          <w:spacing w:val="-6"/>
          <w:sz w:val="21"/>
          <w:szCs w:val="21"/>
        </w:rPr>
        <w:t>第一条：采购内容及合同价格</w:t>
      </w:r>
    </w:p>
    <w:tbl>
      <w:tblPr>
        <w:tblStyle w:val="18"/>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序号</w:t>
            </w:r>
          </w:p>
        </w:tc>
        <w:tc>
          <w:tcPr>
            <w:tcW w:w="2163"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名称</w:t>
            </w:r>
          </w:p>
        </w:tc>
        <w:tc>
          <w:tcPr>
            <w:tcW w:w="2532"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品牌、型号</w:t>
            </w:r>
          </w:p>
        </w:tc>
        <w:tc>
          <w:tcPr>
            <w:tcW w:w="709"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数量</w:t>
            </w:r>
          </w:p>
        </w:tc>
        <w:tc>
          <w:tcPr>
            <w:tcW w:w="708"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单位</w:t>
            </w:r>
          </w:p>
        </w:tc>
        <w:tc>
          <w:tcPr>
            <w:tcW w:w="1418"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单价（元）</w:t>
            </w:r>
          </w:p>
        </w:tc>
        <w:tc>
          <w:tcPr>
            <w:tcW w:w="1300" w:type="dxa"/>
            <w:vAlign w:val="center"/>
          </w:tcPr>
          <w:p>
            <w:pPr>
              <w:adjustRightInd w:val="0"/>
              <w:snapToGrid w:val="0"/>
              <w:spacing w:line="288" w:lineRule="auto"/>
              <w:jc w:val="center"/>
              <w:rPr>
                <w:rFonts w:hint="eastAsia"/>
                <w:spacing w:val="-6"/>
                <w:sz w:val="21"/>
                <w:szCs w:val="21"/>
              </w:rPr>
            </w:pPr>
            <w:r>
              <w:rPr>
                <w:rFonts w:hint="eastAsia"/>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hint="eastAsia"/>
                <w:spacing w:val="-6"/>
                <w:sz w:val="21"/>
                <w:szCs w:val="21"/>
              </w:rPr>
            </w:pPr>
            <w:r>
              <w:rPr>
                <w:rFonts w:hint="eastAsia"/>
                <w:spacing w:val="-6"/>
                <w:sz w:val="21"/>
                <w:szCs w:val="21"/>
              </w:rPr>
              <w:t>1</w:t>
            </w:r>
          </w:p>
        </w:tc>
        <w:tc>
          <w:tcPr>
            <w:tcW w:w="2163" w:type="dxa"/>
            <w:vAlign w:val="center"/>
          </w:tcPr>
          <w:p>
            <w:pPr>
              <w:adjustRightInd w:val="0"/>
              <w:snapToGrid w:val="0"/>
              <w:spacing w:line="288" w:lineRule="auto"/>
              <w:ind w:firstLine="396" w:firstLineChars="200"/>
              <w:jc w:val="center"/>
              <w:rPr>
                <w:rFonts w:hint="eastAsia"/>
                <w:spacing w:val="-6"/>
                <w:sz w:val="21"/>
                <w:szCs w:val="21"/>
              </w:rPr>
            </w:pPr>
          </w:p>
        </w:tc>
        <w:tc>
          <w:tcPr>
            <w:tcW w:w="2532" w:type="dxa"/>
            <w:vAlign w:val="center"/>
          </w:tcPr>
          <w:p>
            <w:pPr>
              <w:adjustRightInd w:val="0"/>
              <w:snapToGrid w:val="0"/>
              <w:spacing w:line="288" w:lineRule="auto"/>
              <w:ind w:firstLine="396" w:firstLineChars="200"/>
              <w:jc w:val="center"/>
              <w:rPr>
                <w:rFonts w:hint="eastAsia"/>
                <w:spacing w:val="-6"/>
                <w:sz w:val="21"/>
                <w:szCs w:val="21"/>
              </w:rPr>
            </w:pPr>
          </w:p>
        </w:tc>
        <w:tc>
          <w:tcPr>
            <w:tcW w:w="709" w:type="dxa"/>
            <w:vAlign w:val="center"/>
          </w:tcPr>
          <w:p>
            <w:pPr>
              <w:adjustRightInd w:val="0"/>
              <w:snapToGrid w:val="0"/>
              <w:spacing w:line="288" w:lineRule="auto"/>
              <w:ind w:firstLine="396" w:firstLineChars="200"/>
              <w:jc w:val="center"/>
              <w:rPr>
                <w:rFonts w:hint="eastAsia"/>
                <w:spacing w:val="-6"/>
                <w:sz w:val="21"/>
                <w:szCs w:val="21"/>
              </w:rPr>
            </w:pPr>
          </w:p>
        </w:tc>
        <w:tc>
          <w:tcPr>
            <w:tcW w:w="708" w:type="dxa"/>
            <w:vAlign w:val="center"/>
          </w:tcPr>
          <w:p>
            <w:pPr>
              <w:adjustRightInd w:val="0"/>
              <w:snapToGrid w:val="0"/>
              <w:spacing w:line="288" w:lineRule="auto"/>
              <w:ind w:firstLine="396" w:firstLineChars="200"/>
              <w:jc w:val="center"/>
              <w:rPr>
                <w:rFonts w:hint="eastAsia"/>
                <w:spacing w:val="-6"/>
                <w:sz w:val="21"/>
                <w:szCs w:val="21"/>
              </w:rPr>
            </w:pPr>
          </w:p>
        </w:tc>
        <w:tc>
          <w:tcPr>
            <w:tcW w:w="1418" w:type="dxa"/>
            <w:vAlign w:val="center"/>
          </w:tcPr>
          <w:p>
            <w:pPr>
              <w:adjustRightInd w:val="0"/>
              <w:snapToGrid w:val="0"/>
              <w:spacing w:line="288" w:lineRule="auto"/>
              <w:ind w:firstLine="396" w:firstLineChars="200"/>
              <w:jc w:val="center"/>
              <w:rPr>
                <w:rFonts w:hint="eastAsia"/>
                <w:spacing w:val="-6"/>
                <w:sz w:val="21"/>
                <w:szCs w:val="21"/>
              </w:rPr>
            </w:pPr>
          </w:p>
        </w:tc>
        <w:tc>
          <w:tcPr>
            <w:tcW w:w="1300" w:type="dxa"/>
            <w:vAlign w:val="center"/>
          </w:tcPr>
          <w:p>
            <w:pPr>
              <w:adjustRightInd w:val="0"/>
              <w:snapToGrid w:val="0"/>
              <w:spacing w:line="288" w:lineRule="auto"/>
              <w:ind w:firstLine="396" w:firstLineChars="200"/>
              <w:jc w:val="center"/>
              <w:rPr>
                <w:rFonts w:hint="eastAsia"/>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hint="eastAsia"/>
                <w:spacing w:val="-6"/>
                <w:sz w:val="21"/>
                <w:szCs w:val="21"/>
              </w:rPr>
            </w:pPr>
            <w:r>
              <w:rPr>
                <w:rFonts w:hint="eastAsia"/>
                <w:spacing w:val="-6"/>
                <w:sz w:val="21"/>
                <w:szCs w:val="21"/>
              </w:rPr>
              <w:t>2</w:t>
            </w:r>
          </w:p>
        </w:tc>
        <w:tc>
          <w:tcPr>
            <w:tcW w:w="2163" w:type="dxa"/>
            <w:vAlign w:val="center"/>
          </w:tcPr>
          <w:p>
            <w:pPr>
              <w:adjustRightInd w:val="0"/>
              <w:snapToGrid w:val="0"/>
              <w:spacing w:line="288" w:lineRule="auto"/>
              <w:ind w:firstLine="396" w:firstLineChars="200"/>
              <w:jc w:val="center"/>
              <w:rPr>
                <w:rFonts w:hint="eastAsia"/>
                <w:spacing w:val="-6"/>
                <w:sz w:val="21"/>
                <w:szCs w:val="21"/>
              </w:rPr>
            </w:pPr>
          </w:p>
        </w:tc>
        <w:tc>
          <w:tcPr>
            <w:tcW w:w="2532" w:type="dxa"/>
            <w:vAlign w:val="center"/>
          </w:tcPr>
          <w:p>
            <w:pPr>
              <w:adjustRightInd w:val="0"/>
              <w:snapToGrid w:val="0"/>
              <w:spacing w:line="288" w:lineRule="auto"/>
              <w:ind w:firstLine="396" w:firstLineChars="200"/>
              <w:jc w:val="center"/>
              <w:rPr>
                <w:rFonts w:hint="eastAsia"/>
                <w:spacing w:val="-6"/>
                <w:sz w:val="21"/>
                <w:szCs w:val="21"/>
              </w:rPr>
            </w:pPr>
          </w:p>
        </w:tc>
        <w:tc>
          <w:tcPr>
            <w:tcW w:w="709" w:type="dxa"/>
            <w:vAlign w:val="center"/>
          </w:tcPr>
          <w:p>
            <w:pPr>
              <w:adjustRightInd w:val="0"/>
              <w:snapToGrid w:val="0"/>
              <w:spacing w:line="288" w:lineRule="auto"/>
              <w:ind w:firstLine="396" w:firstLineChars="200"/>
              <w:jc w:val="center"/>
              <w:rPr>
                <w:rFonts w:hint="eastAsia"/>
                <w:spacing w:val="-6"/>
                <w:sz w:val="21"/>
                <w:szCs w:val="21"/>
              </w:rPr>
            </w:pPr>
          </w:p>
        </w:tc>
        <w:tc>
          <w:tcPr>
            <w:tcW w:w="708" w:type="dxa"/>
            <w:vAlign w:val="center"/>
          </w:tcPr>
          <w:p>
            <w:pPr>
              <w:adjustRightInd w:val="0"/>
              <w:snapToGrid w:val="0"/>
              <w:spacing w:line="288" w:lineRule="auto"/>
              <w:ind w:firstLine="396" w:firstLineChars="200"/>
              <w:jc w:val="center"/>
              <w:rPr>
                <w:rFonts w:hint="eastAsia"/>
                <w:spacing w:val="-6"/>
                <w:sz w:val="21"/>
                <w:szCs w:val="21"/>
              </w:rPr>
            </w:pPr>
          </w:p>
        </w:tc>
        <w:tc>
          <w:tcPr>
            <w:tcW w:w="1418" w:type="dxa"/>
            <w:vAlign w:val="center"/>
          </w:tcPr>
          <w:p>
            <w:pPr>
              <w:adjustRightInd w:val="0"/>
              <w:snapToGrid w:val="0"/>
              <w:spacing w:line="288" w:lineRule="auto"/>
              <w:ind w:firstLine="396" w:firstLineChars="200"/>
              <w:jc w:val="center"/>
              <w:rPr>
                <w:rFonts w:hint="eastAsia"/>
                <w:spacing w:val="-6"/>
                <w:sz w:val="21"/>
                <w:szCs w:val="21"/>
              </w:rPr>
            </w:pPr>
          </w:p>
        </w:tc>
        <w:tc>
          <w:tcPr>
            <w:tcW w:w="1300" w:type="dxa"/>
            <w:vAlign w:val="center"/>
          </w:tcPr>
          <w:p>
            <w:pPr>
              <w:adjustRightInd w:val="0"/>
              <w:snapToGrid w:val="0"/>
              <w:spacing w:line="288" w:lineRule="auto"/>
              <w:ind w:firstLine="396" w:firstLineChars="200"/>
              <w:jc w:val="center"/>
              <w:rPr>
                <w:rFonts w:hint="eastAsia"/>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hint="eastAsia"/>
                <w:spacing w:val="-6"/>
                <w:sz w:val="21"/>
                <w:szCs w:val="21"/>
              </w:rPr>
            </w:pPr>
            <w:r>
              <w:rPr>
                <w:rFonts w:hint="eastAsia"/>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hint="eastAsia"/>
                <w:spacing w:val="-6"/>
                <w:sz w:val="21"/>
                <w:szCs w:val="21"/>
                <w:lang w:val="zh-CN"/>
              </w:rPr>
            </w:pPr>
          </w:p>
          <w:p>
            <w:pPr>
              <w:adjustRightInd w:val="0"/>
              <w:snapToGrid w:val="0"/>
              <w:spacing w:line="288" w:lineRule="auto"/>
              <w:jc w:val="left"/>
              <w:rPr>
                <w:rFonts w:hint="eastAsia"/>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jc w:val="left"/>
              <w:rPr>
                <w:rFonts w:hint="eastAsia"/>
                <w:spacing w:val="-6"/>
                <w:sz w:val="21"/>
                <w:szCs w:val="21"/>
              </w:rPr>
            </w:pPr>
            <w:r>
              <w:rPr>
                <w:rFonts w:hint="eastAsia"/>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hint="eastAsia"/>
          <w:spacing w:val="-6"/>
          <w:sz w:val="21"/>
          <w:szCs w:val="21"/>
        </w:rPr>
      </w:pP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第二条：履约保证金和付款方式</w:t>
      </w:r>
    </w:p>
    <w:p>
      <w:pPr>
        <w:adjustRightInd w:val="0"/>
        <w:snapToGrid w:val="0"/>
        <w:spacing w:line="288" w:lineRule="auto"/>
        <w:rPr>
          <w:rFonts w:hint="eastAsia"/>
          <w:spacing w:val="-6"/>
          <w:kern w:val="0"/>
          <w:sz w:val="21"/>
          <w:szCs w:val="21"/>
        </w:rPr>
      </w:pPr>
    </w:p>
    <w:p>
      <w:pPr>
        <w:adjustRightInd w:val="0"/>
        <w:snapToGrid w:val="0"/>
        <w:spacing w:line="288" w:lineRule="auto"/>
        <w:rPr>
          <w:rFonts w:hint="eastAsia" w:cs="Times New Roman"/>
          <w:b/>
          <w:spacing w:val="-6"/>
          <w:sz w:val="21"/>
          <w:szCs w:val="21"/>
        </w:rPr>
      </w:pP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第三条：交付时间、地点、货物质保期</w:t>
      </w:r>
    </w:p>
    <w:p>
      <w:pPr>
        <w:adjustRightInd w:val="0"/>
        <w:snapToGrid w:val="0"/>
        <w:spacing w:line="288" w:lineRule="auto"/>
        <w:ind w:right="-588" w:rightChars="-245" w:firstLine="396" w:firstLineChars="200"/>
        <w:rPr>
          <w:rFonts w:hint="eastAsia"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pPr>
        <w:adjustRightInd w:val="0"/>
        <w:snapToGrid w:val="0"/>
        <w:spacing w:line="288" w:lineRule="auto"/>
        <w:ind w:right="-588" w:rightChars="-245" w:firstLine="396" w:firstLineChars="200"/>
        <w:rPr>
          <w:rFonts w:hint="eastAsia"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ind w:right="-588" w:rightChars="-245" w:firstLine="396" w:firstLineChars="200"/>
        <w:rPr>
          <w:rFonts w:hint="eastAsia"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第四条：服务标准、期限、效率</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2.质保期内出现无法排除的故障，乙方需无条件更换同型号产品。</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3.质保期满后，乙方继续为甲方服务，仅收取零配件成本费。</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4.因人为因素出现的故障不在免费保修范围内。</w:t>
      </w:r>
    </w:p>
    <w:p>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u w:val="single"/>
        </w:rPr>
        <w:t>电话技术支持时间：    小时以内；</w:t>
      </w:r>
    </w:p>
    <w:p>
      <w:pPr>
        <w:adjustRightInd w:val="0"/>
        <w:snapToGrid w:val="0"/>
        <w:spacing w:line="288" w:lineRule="auto"/>
        <w:ind w:firstLine="396" w:firstLineChars="200"/>
        <w:rPr>
          <w:rFonts w:hint="eastAsia" w:cs="Times New Roman"/>
          <w:spacing w:val="-6"/>
          <w:sz w:val="21"/>
          <w:szCs w:val="21"/>
          <w:u w:val="single"/>
        </w:rPr>
      </w:pPr>
      <w:r>
        <w:rPr>
          <w:rFonts w:hint="eastAsia" w:cs="Times New Roman"/>
          <w:spacing w:val="-6"/>
          <w:sz w:val="21"/>
          <w:szCs w:val="21"/>
          <w:u w:val="single"/>
        </w:rPr>
        <w:t>若需上门维修，则在：    小时内到达现场并进行维修；</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第五条：其他技术、服务要求</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1.乙方应按磋商文件规定的货物性能、技术要求、质量标准向甲方提供未经使用的全新产品，符合国家法律法规规定和技术规格、质量标准的出厂原装合格产品。</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2.技术支持：</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3.安装调试</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3.1安装地点：甲方指定地点；</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3.5乙方免费提供合同货物的安装服务；</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3.6乙方在响应文件中应提供安装调试计划、对安装场地和环境的要求。</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5.供货时提供有关的全套技术文件。</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6</w:t>
      </w:r>
      <w:r>
        <w:rPr>
          <w:rFonts w:cs="Times New Roman"/>
          <w:spacing w:val="-6"/>
          <w:sz w:val="21"/>
          <w:szCs w:val="21"/>
        </w:rPr>
        <w:t>.</w:t>
      </w:r>
      <w:r>
        <w:rPr>
          <w:rFonts w:hint="eastAsia" w:cs="Times New Roman"/>
          <w:spacing w:val="-6"/>
          <w:sz w:val="21"/>
          <w:szCs w:val="21"/>
        </w:rPr>
        <w:t>乙方应保证所提供的货物或其中任何一部分均不会侵犯第三方的知识产权。</w:t>
      </w: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第六条：验收标准</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1.验收由甲方负责实施；</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2.验收依据：</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2.1合同、磋商文件、响应文件；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2.2乙方提供的技术规格、经甲方认可的合同货物的有效检验文件；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4.验收合格的条件：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4.1所供货物符合产品标准和合同的要求；</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4.2在进行测试和验收过程中发现的问题已被解决并得到甲方的认可；</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4.3合同中规定的所有货物和材料均已交付；</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4.4所供货物已通过使用单位组织的验收；</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4.5所有相关的技术文件及资料均已提交并得到接受。</w:t>
      </w:r>
    </w:p>
    <w:p>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第七条：违约责任</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hint="eastAsia"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2.不可抗力事件发生后，应立即通知对方，并寄送有关权威机构出具的证明。</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3.不可抗力事件延续120天以上，双方应通过友好协商，确定是否继续履行合同。</w:t>
      </w:r>
    </w:p>
    <w:p>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第九条：争议解决</w:t>
      </w:r>
    </w:p>
    <w:p>
      <w:pPr>
        <w:adjustRightInd w:val="0"/>
        <w:snapToGrid w:val="0"/>
        <w:spacing w:line="288" w:lineRule="auto"/>
        <w:ind w:right="26" w:rightChars="11" w:firstLine="396" w:firstLineChars="200"/>
        <w:rPr>
          <w:rFonts w:hint="eastAsia"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pPr>
        <w:adjustRightInd w:val="0"/>
        <w:snapToGrid w:val="0"/>
        <w:spacing w:line="288" w:lineRule="auto"/>
        <w:ind w:right="-588" w:rightChars="-245"/>
        <w:rPr>
          <w:rFonts w:hint="eastAsia" w:cs="Times New Roman"/>
          <w:b/>
          <w:spacing w:val="-6"/>
          <w:sz w:val="21"/>
          <w:szCs w:val="21"/>
        </w:rPr>
      </w:pPr>
      <w:r>
        <w:rPr>
          <w:rFonts w:hint="eastAsia" w:cs="Times New Roman"/>
          <w:b/>
          <w:spacing w:val="-6"/>
          <w:sz w:val="21"/>
          <w:szCs w:val="21"/>
        </w:rPr>
        <w:t>第十条：合同生效</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第十一条：合同份数</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本合同一式五份，甲方执三份，乙方执一份，采购代理机构执一份。</w:t>
      </w:r>
    </w:p>
    <w:tbl>
      <w:tblPr>
        <w:tblStyle w:val="1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甲方代表：</w:t>
            </w:r>
          </w:p>
          <w:p>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乙方代表：</w:t>
            </w:r>
          </w:p>
          <w:p>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z w:val="21"/>
                <w:szCs w:val="21"/>
              </w:rPr>
            </w:pPr>
            <w:r>
              <w:rPr>
                <w:rFonts w:hint="eastAsia" w:cs="Times New Roman"/>
                <w:sz w:val="21"/>
                <w:szCs w:val="21"/>
              </w:rPr>
              <w:t>地址：</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z w:val="21"/>
                <w:szCs w:val="21"/>
              </w:rPr>
            </w:pPr>
            <w:r>
              <w:rPr>
                <w:rFonts w:hint="eastAsia" w:cs="Times New Roman"/>
                <w:sz w:val="21"/>
                <w:szCs w:val="21"/>
              </w:rPr>
              <w:t>开户银行：</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z w:val="21"/>
                <w:szCs w:val="21"/>
              </w:rPr>
            </w:pPr>
            <w:r>
              <w:rPr>
                <w:rFonts w:hint="eastAsia" w:cs="Times New Roman"/>
                <w:sz w:val="21"/>
                <w:szCs w:val="21"/>
              </w:rPr>
              <w:t>账号：</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签名日期：      年    月    日</w:t>
            </w:r>
          </w:p>
        </w:tc>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hint="eastAsia" w:cs="Times New Roman"/>
                <w:spacing w:val="-6"/>
                <w:sz w:val="21"/>
                <w:szCs w:val="21"/>
              </w:rPr>
            </w:pPr>
            <w:r>
              <w:rPr>
                <w:rFonts w:hint="eastAsia" w:cs="Times New Roman"/>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cs="Times New Roman"/>
                <w:spacing w:val="-6"/>
                <w:sz w:val="21"/>
                <w:szCs w:val="21"/>
              </w:rPr>
            </w:pPr>
            <w:r>
              <w:rPr>
                <w:rFonts w:hint="eastAsia"/>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cs="Times New Roman"/>
                <w:spacing w:val="-6"/>
                <w:sz w:val="21"/>
                <w:szCs w:val="21"/>
              </w:rPr>
            </w:pPr>
            <w:r>
              <w:rPr>
                <w:rFonts w:hint="eastAsia"/>
                <w:sz w:val="21"/>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cs="Times New Roman"/>
                <w:spacing w:val="-6"/>
                <w:sz w:val="21"/>
                <w:szCs w:val="21"/>
              </w:rPr>
            </w:pPr>
            <w:r>
              <w:rPr>
                <w:rFonts w:hint="eastAsia" w:cs="Times New Roman"/>
                <w:spacing w:val="-6"/>
                <w:sz w:val="21"/>
                <w:szCs w:val="21"/>
              </w:rPr>
              <w:t>鉴证日期：      年    月    日</w:t>
            </w:r>
          </w:p>
        </w:tc>
      </w:tr>
    </w:tbl>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pPr>
        <w:adjustRightInd w:val="0"/>
        <w:snapToGrid w:val="0"/>
        <w:spacing w:line="288" w:lineRule="auto"/>
        <w:rPr>
          <w:rFonts w:hint="eastAsia"/>
          <w:sz w:val="21"/>
          <w:szCs w:val="21"/>
        </w:rPr>
      </w:pPr>
    </w:p>
    <w:p>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rFonts w:hint="eastAsia"/>
          <w:sz w:val="21"/>
          <w:szCs w:val="21"/>
        </w:rPr>
      </w:pPr>
    </w:p>
    <w:p>
      <w:pPr>
        <w:adjustRightInd w:val="0"/>
        <w:snapToGrid w:val="0"/>
        <w:spacing w:line="288" w:lineRule="auto"/>
        <w:ind w:firstLine="422" w:firstLineChars="200"/>
        <w:rPr>
          <w:rFonts w:hint="eastAsia"/>
          <w:b/>
          <w:bCs/>
          <w:sz w:val="21"/>
          <w:szCs w:val="21"/>
        </w:rPr>
      </w:pPr>
      <w:bookmarkStart w:id="48" w:name="_Hlk71884160"/>
      <w:r>
        <w:rPr>
          <w:rFonts w:hint="eastAsia"/>
          <w:b/>
          <w:bCs/>
          <w:sz w:val="21"/>
          <w:szCs w:val="21"/>
        </w:rPr>
        <w:t>▲1.资格文件（单独上传）。资格审查要求的资格证明材料（均需加盖公章）</w:t>
      </w:r>
    </w:p>
    <w:bookmarkEnd w:id="48"/>
    <w:p>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rFonts w:hint="eastAsia"/>
          <w:sz w:val="21"/>
          <w:szCs w:val="21"/>
        </w:rPr>
      </w:pPr>
      <w:bookmarkStart w:id="49"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3）落实政府采购政策需满足的资格要求：无</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w:t>
      </w:r>
      <w:r>
        <w:rPr>
          <w:rFonts w:hint="eastAsia"/>
          <w:sz w:val="21"/>
          <w:szCs w:val="21"/>
        </w:rPr>
        <w:t>本项目的特定资格要求</w:t>
      </w:r>
      <w:r>
        <w:rPr>
          <w:sz w:val="21"/>
          <w:szCs w:val="21"/>
        </w:rPr>
        <w:t>证明材料：无</w:t>
      </w:r>
    </w:p>
    <w:p>
      <w:pPr>
        <w:adjustRightInd w:val="0"/>
        <w:snapToGrid w:val="0"/>
        <w:spacing w:line="288" w:lineRule="auto"/>
        <w:ind w:firstLine="396" w:firstLineChars="200"/>
        <w:rPr>
          <w:rFonts w:hint="eastAsia"/>
          <w:bCs/>
          <w:sz w:val="21"/>
          <w:szCs w:val="21"/>
        </w:rPr>
      </w:pPr>
      <w:r>
        <w:rPr>
          <w:rFonts w:hint="eastAsia"/>
          <w:bCs/>
          <w:spacing w:val="-6"/>
          <w:sz w:val="21"/>
          <w:szCs w:val="21"/>
        </w:rPr>
        <w:t>▲联合体响应的，联合体各方均应提供资格文件（</w:t>
      </w:r>
      <w:r>
        <w:rPr>
          <w:bCs/>
          <w:spacing w:val="-6"/>
          <w:sz w:val="21"/>
          <w:szCs w:val="21"/>
        </w:rPr>
        <w:t>1）、（2）</w:t>
      </w:r>
      <w:r>
        <w:rPr>
          <w:rFonts w:hint="eastAsia"/>
          <w:bCs/>
          <w:spacing w:val="-6"/>
          <w:sz w:val="21"/>
          <w:szCs w:val="21"/>
        </w:rPr>
        <w:t>材料</w:t>
      </w:r>
      <w:r>
        <w:rPr>
          <w:bCs/>
          <w:spacing w:val="-6"/>
          <w:sz w:val="21"/>
          <w:szCs w:val="21"/>
        </w:rPr>
        <w:t>。</w:t>
      </w:r>
    </w:p>
    <w:p>
      <w:pPr>
        <w:adjustRightInd w:val="0"/>
        <w:snapToGrid w:val="0"/>
        <w:spacing w:line="288" w:lineRule="auto"/>
        <w:ind w:firstLine="422" w:firstLineChars="200"/>
        <w:rPr>
          <w:rFonts w:hint="eastAsia"/>
          <w:b/>
          <w:bCs/>
          <w:sz w:val="21"/>
          <w:szCs w:val="21"/>
        </w:rPr>
      </w:pPr>
    </w:p>
    <w:bookmarkEnd w:id="49"/>
    <w:p>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rFonts w:hint="eastAsia"/>
          <w:sz w:val="21"/>
          <w:szCs w:val="21"/>
        </w:rPr>
      </w:pPr>
      <w:r>
        <w:rPr>
          <w:rFonts w:hint="eastAsia"/>
          <w:sz w:val="21"/>
          <w:szCs w:val="21"/>
        </w:rPr>
        <w:t>（1）响应函</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rFonts w:hint="eastAsia"/>
          <w:sz w:val="21"/>
          <w:szCs w:val="21"/>
        </w:rPr>
      </w:pPr>
      <w:r>
        <w:rPr>
          <w:rFonts w:hint="eastAsia"/>
          <w:sz w:val="21"/>
          <w:szCs w:val="21"/>
        </w:rPr>
        <w:t>附：授权代表社保缴纳证明（2024年12月</w:t>
      </w:r>
      <w:r>
        <w:rPr>
          <w:sz w:val="21"/>
          <w:szCs w:val="21"/>
        </w:rPr>
        <w:t>（含）以后任意一月）</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5）</w:t>
      </w:r>
      <w:r>
        <w:rPr>
          <w:rFonts w:hint="eastAsia"/>
          <w:sz w:val="21"/>
          <w:szCs w:val="21"/>
        </w:rPr>
        <w:t>标的配置</w:t>
      </w:r>
      <w:r>
        <w:rPr>
          <w:sz w:val="21"/>
          <w:szCs w:val="21"/>
        </w:rPr>
        <w:t>清单</w:t>
      </w:r>
    </w:p>
    <w:p>
      <w:pPr>
        <w:adjustRightInd w:val="0"/>
        <w:snapToGrid w:val="0"/>
        <w:spacing w:line="288" w:lineRule="auto"/>
        <w:ind w:firstLine="420" w:firstLineChars="200"/>
        <w:rPr>
          <w:rFonts w:hint="eastAsia"/>
          <w:sz w:val="21"/>
          <w:szCs w:val="21"/>
        </w:rPr>
      </w:pPr>
      <w:bookmarkStart w:id="50" w:name="_Hlk71884196"/>
      <w:r>
        <w:rPr>
          <w:rFonts w:hint="eastAsia"/>
          <w:sz w:val="21"/>
          <w:szCs w:val="21"/>
        </w:rPr>
        <w:t>（</w:t>
      </w:r>
      <w:r>
        <w:rPr>
          <w:sz w:val="21"/>
          <w:szCs w:val="21"/>
        </w:rPr>
        <w:t>6）技术方案：</w:t>
      </w:r>
    </w:p>
    <w:p>
      <w:pPr>
        <w:adjustRightInd w:val="0"/>
        <w:snapToGrid w:val="0"/>
        <w:spacing w:line="288" w:lineRule="auto"/>
        <w:ind w:firstLine="420" w:firstLineChars="200"/>
        <w:rPr>
          <w:rFonts w:hint="eastAsia"/>
          <w:sz w:val="21"/>
          <w:szCs w:val="21"/>
        </w:rPr>
      </w:pPr>
      <w:r>
        <w:rPr>
          <w:rFonts w:hint="eastAsia"/>
          <w:sz w:val="21"/>
          <w:szCs w:val="21"/>
        </w:rPr>
        <w:t>总体实施方案</w:t>
      </w:r>
    </w:p>
    <w:p>
      <w:pPr>
        <w:adjustRightInd w:val="0"/>
        <w:snapToGrid w:val="0"/>
        <w:spacing w:line="288" w:lineRule="auto"/>
        <w:ind w:firstLine="420" w:firstLineChars="200"/>
        <w:rPr>
          <w:rFonts w:hint="eastAsia"/>
          <w:sz w:val="21"/>
          <w:szCs w:val="21"/>
        </w:rPr>
      </w:pPr>
      <w:r>
        <w:rPr>
          <w:rFonts w:hint="eastAsia"/>
          <w:sz w:val="21"/>
          <w:szCs w:val="21"/>
        </w:rPr>
        <w:t>进度计划方案</w:t>
      </w:r>
    </w:p>
    <w:p>
      <w:pPr>
        <w:adjustRightInd w:val="0"/>
        <w:snapToGrid w:val="0"/>
        <w:spacing w:line="288" w:lineRule="auto"/>
        <w:ind w:firstLine="420" w:firstLineChars="200"/>
        <w:rPr>
          <w:rFonts w:hint="eastAsia"/>
          <w:sz w:val="21"/>
          <w:szCs w:val="21"/>
        </w:rPr>
      </w:pPr>
      <w:r>
        <w:rPr>
          <w:rFonts w:hint="eastAsia"/>
          <w:sz w:val="21"/>
          <w:szCs w:val="21"/>
        </w:rPr>
        <w:t>项目风险保障方案</w:t>
      </w:r>
    </w:p>
    <w:p>
      <w:pPr>
        <w:adjustRightInd w:val="0"/>
        <w:snapToGrid w:val="0"/>
        <w:spacing w:line="288" w:lineRule="auto"/>
        <w:ind w:firstLine="420" w:firstLineChars="200"/>
        <w:rPr>
          <w:rFonts w:hint="eastAsia"/>
          <w:sz w:val="21"/>
          <w:szCs w:val="21"/>
        </w:rPr>
      </w:pPr>
      <w:r>
        <w:rPr>
          <w:rFonts w:hint="eastAsia"/>
          <w:sz w:val="21"/>
          <w:szCs w:val="21"/>
        </w:rPr>
        <w:t>安装调试方案</w:t>
      </w:r>
    </w:p>
    <w:p>
      <w:pPr>
        <w:adjustRightInd w:val="0"/>
        <w:snapToGrid w:val="0"/>
        <w:spacing w:line="288" w:lineRule="auto"/>
        <w:ind w:firstLine="420" w:firstLineChars="200"/>
        <w:rPr>
          <w:rFonts w:hint="eastAsia"/>
          <w:sz w:val="21"/>
          <w:szCs w:val="21"/>
        </w:rPr>
      </w:pPr>
      <w:r>
        <w:rPr>
          <w:rFonts w:hint="eastAsia"/>
          <w:sz w:val="21"/>
          <w:szCs w:val="21"/>
        </w:rPr>
        <w:t>服务团队</w:t>
      </w:r>
    </w:p>
    <w:p>
      <w:pPr>
        <w:adjustRightInd w:val="0"/>
        <w:snapToGrid w:val="0"/>
        <w:spacing w:line="288" w:lineRule="auto"/>
        <w:ind w:firstLine="420" w:firstLineChars="200"/>
        <w:rPr>
          <w:rFonts w:hint="eastAsia"/>
          <w:sz w:val="21"/>
          <w:szCs w:val="21"/>
        </w:rPr>
      </w:pPr>
      <w:r>
        <w:rPr>
          <w:rFonts w:hint="eastAsia"/>
          <w:sz w:val="21"/>
          <w:szCs w:val="21"/>
        </w:rPr>
        <w:t>培训方案</w:t>
      </w:r>
    </w:p>
    <w:p>
      <w:pPr>
        <w:adjustRightInd w:val="0"/>
        <w:snapToGrid w:val="0"/>
        <w:spacing w:line="288" w:lineRule="auto"/>
        <w:ind w:firstLine="420" w:firstLineChars="200"/>
        <w:rPr>
          <w:rFonts w:hint="eastAsia"/>
          <w:sz w:val="21"/>
          <w:szCs w:val="21"/>
        </w:rPr>
      </w:pPr>
      <w:r>
        <w:rPr>
          <w:rFonts w:hint="eastAsia"/>
          <w:sz w:val="21"/>
          <w:szCs w:val="21"/>
        </w:rPr>
        <w:t>售后服务方案</w:t>
      </w:r>
    </w:p>
    <w:p>
      <w:pPr>
        <w:adjustRightInd w:val="0"/>
        <w:snapToGrid w:val="0"/>
        <w:spacing w:line="288" w:lineRule="auto"/>
        <w:ind w:firstLine="420" w:firstLineChars="200"/>
        <w:rPr>
          <w:rFonts w:hint="eastAsia"/>
          <w:sz w:val="21"/>
          <w:szCs w:val="21"/>
        </w:rPr>
      </w:pPr>
      <w:r>
        <w:rPr>
          <w:rFonts w:hint="eastAsia"/>
          <w:sz w:val="21"/>
          <w:szCs w:val="21"/>
        </w:rPr>
        <w:t>配件耗材</w:t>
      </w:r>
    </w:p>
    <w:p>
      <w:pPr>
        <w:adjustRightInd w:val="0"/>
        <w:snapToGrid w:val="0"/>
        <w:spacing w:line="288" w:lineRule="auto"/>
        <w:ind w:firstLine="420" w:firstLineChars="200"/>
        <w:rPr>
          <w:rFonts w:hint="eastAsia"/>
          <w:sz w:val="21"/>
          <w:szCs w:val="21"/>
        </w:rPr>
      </w:pPr>
    </w:p>
    <w:p>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w:t>
      </w:r>
      <w:r>
        <w:rPr>
          <w:rFonts w:cs="Times New Roman"/>
          <w:spacing w:val="-6"/>
          <w:sz w:val="21"/>
          <w:szCs w:val="21"/>
        </w:rPr>
        <w:t>7</w:t>
      </w:r>
      <w:r>
        <w:rPr>
          <w:rFonts w:hint="eastAsia" w:cs="Times New Roman"/>
          <w:spacing w:val="-6"/>
          <w:sz w:val="21"/>
          <w:szCs w:val="21"/>
        </w:rPr>
        <w:t>）节能、环保产品证明材料</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w:t>
      </w:r>
      <w:r>
        <w:rPr>
          <w:rFonts w:hint="eastAsia"/>
          <w:sz w:val="21"/>
          <w:szCs w:val="21"/>
        </w:rPr>
        <w:t>供应商</w:t>
      </w:r>
      <w:r>
        <w:rPr>
          <w:sz w:val="21"/>
          <w:szCs w:val="21"/>
        </w:rPr>
        <w:t>需要说明的其他文件和材料</w:t>
      </w:r>
      <w:bookmarkEnd w:id="50"/>
    </w:p>
    <w:p>
      <w:pPr>
        <w:adjustRightInd w:val="0"/>
        <w:snapToGrid w:val="0"/>
        <w:spacing w:line="288" w:lineRule="auto"/>
        <w:ind w:firstLine="420" w:firstLineChars="200"/>
        <w:rPr>
          <w:rFonts w:hint="eastAsia"/>
          <w:sz w:val="21"/>
          <w:szCs w:val="21"/>
        </w:rPr>
      </w:pPr>
    </w:p>
    <w:p>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pPr>
        <w:adjustRightInd w:val="0"/>
        <w:snapToGrid w:val="0"/>
        <w:spacing w:line="288" w:lineRule="auto"/>
        <w:ind w:firstLine="420" w:firstLineChars="200"/>
        <w:rPr>
          <w:rFonts w:hint="eastAsia"/>
          <w:sz w:val="21"/>
          <w:szCs w:val="21"/>
        </w:rPr>
      </w:pPr>
      <w:r>
        <w:rPr>
          <w:rFonts w:hint="eastAsia"/>
          <w:sz w:val="21"/>
          <w:szCs w:val="21"/>
        </w:rPr>
        <w:t>（1）初次报价一览表</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）中小企业声明函（若属于中小企业）</w:t>
      </w:r>
    </w:p>
    <w:p>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）属于监狱企业的证明文件（若属于监狱企业）</w:t>
      </w:r>
    </w:p>
    <w:p>
      <w:pPr>
        <w:adjustRightInd w:val="0"/>
        <w:snapToGrid w:val="0"/>
        <w:spacing w:line="288" w:lineRule="auto"/>
        <w:ind w:firstLine="420" w:firstLineChars="200"/>
        <w:rPr>
          <w:rFonts w:hint="eastAsia"/>
          <w:sz w:val="21"/>
          <w:szCs w:val="21"/>
        </w:rPr>
      </w:pPr>
      <w:bookmarkStart w:id="51" w:name="OLE_LINK14"/>
      <w:bookmarkStart w:id="52" w:name="OLE_LINK13"/>
      <w:r>
        <w:rPr>
          <w:rFonts w:hint="eastAsia"/>
          <w:sz w:val="21"/>
          <w:szCs w:val="21"/>
        </w:rPr>
        <w:t>（</w:t>
      </w:r>
      <w:r>
        <w:rPr>
          <w:sz w:val="21"/>
          <w:szCs w:val="21"/>
        </w:rPr>
        <w:t>4</w:t>
      </w:r>
      <w:r>
        <w:rPr>
          <w:rFonts w:hint="eastAsia"/>
          <w:sz w:val="21"/>
          <w:szCs w:val="21"/>
        </w:rPr>
        <w:t>）残疾人福利性单位声明函</w:t>
      </w:r>
      <w:bookmarkEnd w:id="51"/>
      <w:bookmarkEnd w:id="52"/>
      <w:r>
        <w:rPr>
          <w:rFonts w:hint="eastAsia"/>
          <w:sz w:val="21"/>
          <w:szCs w:val="21"/>
        </w:rPr>
        <w:t>（若属于残疾人福利性单位）</w:t>
      </w:r>
    </w:p>
    <w:p>
      <w:pPr>
        <w:widowControl/>
        <w:jc w:val="left"/>
        <w:rPr>
          <w:rFonts w:hint="eastAsia"/>
          <w:sz w:val="21"/>
          <w:szCs w:val="21"/>
        </w:rPr>
      </w:pPr>
      <w:r>
        <w:rPr>
          <w:sz w:val="21"/>
          <w:szCs w:val="21"/>
        </w:rPr>
        <w:br w:type="page"/>
      </w:r>
    </w:p>
    <w:p>
      <w:pPr>
        <w:tabs>
          <w:tab w:val="center" w:pos="4706"/>
        </w:tabs>
        <w:adjustRightInd w:val="0"/>
        <w:snapToGrid w:val="0"/>
        <w:spacing w:line="288" w:lineRule="auto"/>
        <w:jc w:val="center"/>
        <w:outlineLvl w:val="2"/>
        <w:rPr>
          <w:rFonts w:hint="eastAsia" w:cs="Times New Roman"/>
          <w:b/>
          <w:spacing w:val="-6"/>
          <w:sz w:val="21"/>
          <w:szCs w:val="21"/>
        </w:rPr>
      </w:pPr>
      <w:bookmarkStart w:id="53" w:name="_Hlk140130228"/>
      <w:r>
        <w:rPr>
          <w:rFonts w:hint="eastAsia" w:cs="Times New Roman"/>
          <w:b/>
          <w:spacing w:val="-6"/>
          <w:sz w:val="21"/>
          <w:szCs w:val="21"/>
        </w:rPr>
        <w:t>评分索引表</w:t>
      </w:r>
    </w:p>
    <w:tbl>
      <w:tblPr>
        <w:tblStyle w:val="18"/>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kern w:val="0"/>
                <w:sz w:val="21"/>
                <w:szCs w:val="21"/>
              </w:rPr>
            </w:pPr>
          </w:p>
        </w:tc>
        <w:tc>
          <w:tcPr>
            <w:tcW w:w="2091" w:type="dxa"/>
            <w:vAlign w:val="center"/>
          </w:tcPr>
          <w:p>
            <w:pPr>
              <w:adjustRightInd w:val="0"/>
              <w:snapToGrid w:val="0"/>
              <w:spacing w:line="288" w:lineRule="auto"/>
              <w:jc w:val="center"/>
              <w:rPr>
                <w:rFonts w:hint="eastAsia" w:cs="Times New Roman"/>
                <w:kern w:val="0"/>
                <w:sz w:val="21"/>
                <w:szCs w:val="21"/>
              </w:rPr>
            </w:pPr>
          </w:p>
        </w:tc>
        <w:tc>
          <w:tcPr>
            <w:tcW w:w="709" w:type="dxa"/>
            <w:vAlign w:val="center"/>
          </w:tcPr>
          <w:p>
            <w:pPr>
              <w:adjustRightInd w:val="0"/>
              <w:snapToGrid w:val="0"/>
              <w:spacing w:line="288" w:lineRule="auto"/>
              <w:jc w:val="center"/>
              <w:rPr>
                <w:rFonts w:hint="eastAsia" w:cs="Times New Roman"/>
                <w:kern w:val="0"/>
                <w:sz w:val="21"/>
                <w:szCs w:val="21"/>
              </w:rPr>
            </w:pPr>
          </w:p>
        </w:tc>
        <w:tc>
          <w:tcPr>
            <w:tcW w:w="3040" w:type="dxa"/>
            <w:vAlign w:val="center"/>
          </w:tcPr>
          <w:p>
            <w:pPr>
              <w:adjustRightInd w:val="0"/>
              <w:snapToGrid w:val="0"/>
              <w:spacing w:line="288" w:lineRule="auto"/>
              <w:rPr>
                <w:rFonts w:hint="eastAsia" w:cs="Times New Roman"/>
                <w:kern w:val="0"/>
                <w:sz w:val="21"/>
                <w:szCs w:val="21"/>
              </w:rPr>
            </w:pPr>
          </w:p>
        </w:tc>
        <w:tc>
          <w:tcPr>
            <w:tcW w:w="967" w:type="dxa"/>
            <w:vAlign w:val="center"/>
          </w:tcPr>
          <w:p>
            <w:pPr>
              <w:adjustRightInd w:val="0"/>
              <w:snapToGrid w:val="0"/>
              <w:spacing w:line="288" w:lineRule="auto"/>
              <w:jc w:val="center"/>
              <w:rPr>
                <w:rFonts w:hint="eastAsia" w:cs="Times New Roman"/>
                <w:sz w:val="21"/>
                <w:szCs w:val="21"/>
              </w:rPr>
            </w:pPr>
          </w:p>
        </w:tc>
        <w:tc>
          <w:tcPr>
            <w:tcW w:w="1053" w:type="dxa"/>
            <w:vAlign w:val="center"/>
          </w:tcPr>
          <w:p>
            <w:pPr>
              <w:adjustRightInd w:val="0"/>
              <w:snapToGrid w:val="0"/>
              <w:spacing w:line="288" w:lineRule="auto"/>
              <w:jc w:val="center"/>
              <w:rPr>
                <w:rFonts w:hint="eastAsia" w:cs="Times New Roman"/>
                <w:sz w:val="21"/>
                <w:szCs w:val="21"/>
              </w:rPr>
            </w:pPr>
          </w:p>
        </w:tc>
        <w:tc>
          <w:tcPr>
            <w:tcW w:w="881" w:type="dxa"/>
          </w:tcPr>
          <w:p>
            <w:pPr>
              <w:adjustRightInd w:val="0"/>
              <w:snapToGrid w:val="0"/>
              <w:spacing w:line="288" w:lineRule="auto"/>
              <w:jc w:val="center"/>
              <w:rPr>
                <w:rFonts w:hint="eastAsia"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hint="eastAsia" w:cs="Times New Roman"/>
                <w:spacing w:val="-6"/>
                <w:sz w:val="21"/>
                <w:szCs w:val="21"/>
              </w:rPr>
            </w:pPr>
          </w:p>
        </w:tc>
        <w:tc>
          <w:tcPr>
            <w:tcW w:w="2091" w:type="dxa"/>
            <w:vAlign w:val="center"/>
          </w:tcPr>
          <w:p>
            <w:pPr>
              <w:adjustRightInd w:val="0"/>
              <w:snapToGrid w:val="0"/>
              <w:spacing w:line="288" w:lineRule="auto"/>
              <w:jc w:val="center"/>
              <w:rPr>
                <w:rFonts w:hint="eastAsia" w:cs="Times New Roman"/>
                <w:spacing w:val="-6"/>
                <w:sz w:val="21"/>
                <w:szCs w:val="21"/>
              </w:rPr>
            </w:pPr>
          </w:p>
        </w:tc>
        <w:tc>
          <w:tcPr>
            <w:tcW w:w="709" w:type="dxa"/>
            <w:vAlign w:val="center"/>
          </w:tcPr>
          <w:p>
            <w:pPr>
              <w:adjustRightInd w:val="0"/>
              <w:snapToGrid w:val="0"/>
              <w:spacing w:line="288" w:lineRule="auto"/>
              <w:jc w:val="center"/>
              <w:rPr>
                <w:rFonts w:hint="eastAsia" w:cs="Times New Roman"/>
                <w:spacing w:val="-6"/>
                <w:sz w:val="21"/>
                <w:szCs w:val="21"/>
              </w:rPr>
            </w:pPr>
          </w:p>
        </w:tc>
        <w:tc>
          <w:tcPr>
            <w:tcW w:w="3040" w:type="dxa"/>
            <w:vAlign w:val="center"/>
          </w:tcPr>
          <w:p>
            <w:pPr>
              <w:adjustRightInd w:val="0"/>
              <w:snapToGrid w:val="0"/>
              <w:spacing w:line="288" w:lineRule="auto"/>
              <w:rPr>
                <w:rFonts w:hint="eastAsia" w:cs="Times New Roman"/>
                <w:spacing w:val="-6"/>
                <w:sz w:val="21"/>
                <w:szCs w:val="21"/>
              </w:rPr>
            </w:pPr>
          </w:p>
        </w:tc>
        <w:tc>
          <w:tcPr>
            <w:tcW w:w="967" w:type="dxa"/>
            <w:vAlign w:val="center"/>
          </w:tcPr>
          <w:p>
            <w:pPr>
              <w:adjustRightInd w:val="0"/>
              <w:snapToGrid w:val="0"/>
              <w:spacing w:line="288" w:lineRule="auto"/>
              <w:jc w:val="center"/>
              <w:rPr>
                <w:rFonts w:hint="eastAsia" w:cs="Times New Roman"/>
                <w:spacing w:val="-6"/>
                <w:sz w:val="21"/>
                <w:szCs w:val="21"/>
              </w:rPr>
            </w:pPr>
          </w:p>
        </w:tc>
        <w:tc>
          <w:tcPr>
            <w:tcW w:w="1053" w:type="dxa"/>
            <w:vAlign w:val="center"/>
          </w:tcPr>
          <w:p>
            <w:pPr>
              <w:adjustRightInd w:val="0"/>
              <w:snapToGrid w:val="0"/>
              <w:spacing w:line="288" w:lineRule="auto"/>
              <w:jc w:val="center"/>
              <w:rPr>
                <w:rFonts w:hint="eastAsia" w:cs="Times New Roman"/>
                <w:spacing w:val="-6"/>
                <w:sz w:val="21"/>
                <w:szCs w:val="21"/>
              </w:rPr>
            </w:pPr>
          </w:p>
        </w:tc>
        <w:tc>
          <w:tcPr>
            <w:tcW w:w="881" w:type="dxa"/>
          </w:tcPr>
          <w:p>
            <w:pPr>
              <w:adjustRightInd w:val="0"/>
              <w:snapToGrid w:val="0"/>
              <w:spacing w:line="288" w:lineRule="auto"/>
              <w:jc w:val="center"/>
              <w:rPr>
                <w:rFonts w:hint="eastAsia" w:cs="Times New Roman"/>
                <w:spacing w:val="-6"/>
                <w:sz w:val="21"/>
                <w:szCs w:val="21"/>
              </w:rPr>
            </w:pPr>
          </w:p>
        </w:tc>
      </w:tr>
    </w:tbl>
    <w:p>
      <w:pPr>
        <w:adjustRightInd w:val="0"/>
        <w:snapToGrid w:val="0"/>
        <w:spacing w:line="288" w:lineRule="auto"/>
        <w:rPr>
          <w:rFonts w:hint="eastAsia" w:cs="Times New Roman"/>
          <w:spacing w:val="-6"/>
          <w:sz w:val="21"/>
          <w:szCs w:val="21"/>
        </w:rPr>
      </w:pPr>
    </w:p>
    <w:p>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3"/>
    <w:p>
      <w:pPr>
        <w:widowControl/>
        <w:jc w:val="left"/>
        <w:rPr>
          <w:rFonts w:hint="eastAsia"/>
          <w:b/>
          <w:bCs/>
          <w:sz w:val="21"/>
          <w:szCs w:val="21"/>
        </w:rPr>
      </w:pPr>
      <w:r>
        <w:rPr>
          <w:b/>
          <w:bCs/>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资格文件</w:t>
      </w:r>
    </w:p>
    <w:p>
      <w:pPr>
        <w:adjustRightInd w:val="0"/>
        <w:snapToGrid w:val="0"/>
        <w:spacing w:line="288" w:lineRule="auto"/>
        <w:jc w:val="center"/>
        <w:rPr>
          <w:rFonts w:hint="eastAsia"/>
          <w:b/>
          <w:bCs/>
          <w:sz w:val="21"/>
          <w:szCs w:val="21"/>
        </w:rPr>
      </w:pPr>
    </w:p>
    <w:p>
      <w:pPr>
        <w:adjustRightInd w:val="0"/>
        <w:snapToGrid w:val="0"/>
        <w:spacing w:line="288" w:lineRule="auto"/>
        <w:jc w:val="center"/>
        <w:rPr>
          <w:rFonts w:hint="eastAsia"/>
          <w:b/>
          <w:bCs/>
          <w:sz w:val="21"/>
          <w:szCs w:val="21"/>
        </w:rPr>
      </w:pPr>
    </w:p>
    <w:p>
      <w:pPr>
        <w:adjustRightInd w:val="0"/>
        <w:snapToGrid w:val="0"/>
        <w:spacing w:line="288" w:lineRule="auto"/>
        <w:jc w:val="center"/>
        <w:rPr>
          <w:rFonts w:hint="eastAsia"/>
          <w:b/>
          <w:bCs/>
          <w:sz w:val="21"/>
          <w:szCs w:val="21"/>
        </w:rPr>
      </w:pPr>
      <w:bookmarkStart w:id="54" w:name="_Hlk94097338"/>
      <w:r>
        <w:rPr>
          <w:rFonts w:hint="eastAsia"/>
          <w:b/>
          <w:bCs/>
          <w:sz w:val="21"/>
          <w:szCs w:val="21"/>
        </w:rPr>
        <w:t>资格审查要求的资格证明材料（均需加盖公章）</w:t>
      </w:r>
    </w:p>
    <w:bookmarkEnd w:id="54"/>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r>
        <w:rPr>
          <w:rFonts w:hint="eastAsia"/>
          <w:sz w:val="21"/>
          <w:szCs w:val="21"/>
        </w:rPr>
        <w:t>说明：</w:t>
      </w:r>
    </w:p>
    <w:p>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pPr>
        <w:adjustRightInd w:val="0"/>
        <w:snapToGrid w:val="0"/>
        <w:spacing w:line="288" w:lineRule="auto"/>
        <w:rPr>
          <w:rFonts w:hint="eastAsia"/>
          <w:sz w:val="21"/>
          <w:szCs w:val="21"/>
        </w:rPr>
      </w:pPr>
      <w:r>
        <w:rPr>
          <w:rFonts w:hint="eastAsia"/>
          <w:sz w:val="21"/>
          <w:szCs w:val="21"/>
        </w:rPr>
        <w:t>5.如供应商是自然人，提供有效的自然人身份证明。</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hint="eastAsia" w:cs="Times New Roman"/>
          <w:color w:val="000000"/>
          <w:sz w:val="21"/>
          <w:szCs w:val="21"/>
          <w:shd w:val="clear" w:color="auto" w:fill="FFFFFF"/>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致：浙江省文物考古研究所(浙江省世界文化遗产监测中心)、浙江求是招标代理有限公司</w:t>
      </w:r>
    </w:p>
    <w:p>
      <w:pPr>
        <w:adjustRightInd w:val="0"/>
        <w:snapToGrid w:val="0"/>
        <w:spacing w:line="288" w:lineRule="auto"/>
        <w:rPr>
          <w:rFonts w:hint="eastAsia" w:cs="Times New Roman"/>
          <w:spacing w:val="-6"/>
          <w:sz w:val="21"/>
          <w:szCs w:val="21"/>
        </w:rPr>
      </w:pPr>
    </w:p>
    <w:p>
      <w:pPr>
        <w:adjustRightInd w:val="0"/>
        <w:snapToGrid w:val="0"/>
        <w:spacing w:line="288" w:lineRule="auto"/>
        <w:ind w:firstLine="396" w:firstLineChars="200"/>
        <w:rPr>
          <w:rFonts w:hint="eastAsia" w:cs="Times New Roman"/>
          <w:spacing w:val="-6"/>
          <w:sz w:val="21"/>
          <w:szCs w:val="21"/>
        </w:rPr>
      </w:pPr>
      <w:bookmarkStart w:id="55"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5"/>
    <w:p>
      <w:pPr>
        <w:widowControl/>
        <w:adjustRightInd w:val="0"/>
        <w:snapToGrid w:val="0"/>
        <w:spacing w:line="288" w:lineRule="auto"/>
        <w:jc w:val="left"/>
        <w:rPr>
          <w:rFonts w:hint="eastAsia"/>
          <w:sz w:val="21"/>
          <w:szCs w:val="21"/>
        </w:rPr>
      </w:pPr>
      <w:r>
        <w:rPr>
          <w:sz w:val="21"/>
          <w:szCs w:val="21"/>
        </w:rPr>
        <w:br w:type="page"/>
      </w:r>
    </w:p>
    <w:p>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3）落实政府采购政策需满足的资格要求：无</w:t>
      </w:r>
    </w:p>
    <w:p>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pPr>
        <w:adjustRightInd w:val="0"/>
        <w:snapToGrid w:val="0"/>
        <w:spacing w:line="288" w:lineRule="auto"/>
        <w:rPr>
          <w:rFonts w:hint="eastAsia"/>
        </w:rPr>
      </w:pPr>
      <w:r>
        <w:rPr>
          <w:rFonts w:hint="eastAsia"/>
        </w:rPr>
        <w:br w:type="page"/>
      </w:r>
    </w:p>
    <w:p>
      <w:pPr>
        <w:adjustRightInd w:val="0"/>
        <w:snapToGrid w:val="0"/>
        <w:spacing w:line="288" w:lineRule="auto"/>
        <w:jc w:val="center"/>
        <w:outlineLvl w:val="2"/>
        <w:rPr>
          <w:rFonts w:hint="eastAsia"/>
          <w:b/>
          <w:bCs/>
          <w:sz w:val="21"/>
          <w:szCs w:val="21"/>
        </w:rPr>
      </w:pPr>
      <w:r>
        <w:rPr>
          <w:rFonts w:hint="eastAsia"/>
          <w:b/>
          <w:bCs/>
          <w:sz w:val="21"/>
          <w:szCs w:val="21"/>
        </w:rPr>
        <w:t>（1）响应函</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致：浙江省文物考古研究所(浙江省世界文化遗产监测中心)、浙江求是招标代理有限公司</w:t>
      </w:r>
    </w:p>
    <w:p>
      <w:pPr>
        <w:adjustRightInd w:val="0"/>
        <w:snapToGrid w:val="0"/>
        <w:spacing w:line="288" w:lineRule="auto"/>
        <w:rPr>
          <w:rFonts w:hint="eastAsia" w:cs="Times New Roman"/>
          <w:spacing w:val="-6"/>
          <w:sz w:val="21"/>
          <w:szCs w:val="21"/>
          <w:highlight w:val="cyan"/>
        </w:rPr>
      </w:pPr>
    </w:p>
    <w:p>
      <w:pPr>
        <w:adjustRightInd w:val="0"/>
        <w:snapToGrid w:val="0"/>
        <w:spacing w:line="288" w:lineRule="auto"/>
        <w:ind w:firstLine="396" w:firstLineChars="200"/>
        <w:rPr>
          <w:rFonts w:hint="eastAsia"/>
          <w:sz w:val="21"/>
          <w:szCs w:val="21"/>
        </w:rPr>
      </w:pPr>
      <w:bookmarkStart w:id="56" w:name="_Hlk97040115"/>
      <w:r>
        <w:rPr>
          <w:rFonts w:hint="eastAsia" w:cs="Times New Roman"/>
          <w:spacing w:val="-6"/>
          <w:sz w:val="21"/>
          <w:szCs w:val="21"/>
        </w:rPr>
        <w:t>我方参加</w:t>
      </w:r>
      <w:r>
        <w:rPr>
          <w:rFonts w:hint="eastAsia" w:cs="Times New Roman"/>
          <w:bCs/>
          <w:spacing w:val="-6"/>
          <w:sz w:val="21"/>
          <w:szCs w:val="21"/>
          <w:u w:val="single"/>
        </w:rPr>
        <w:t>浙江省文物考古研究所(浙江省世界文化遗产监测中心)2025年良渚古城及水利系统（反山遗址）发掘不间断延时摄影及三维可视化呈现设备采购</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QSZBE250048ZHCS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6"/>
    <w:p>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bookmarkStart w:id="57" w:name="_Hlk97040154"/>
            <w:r>
              <w:rPr>
                <w:rFonts w:hint="eastAsia" w:cs="Times New Roman"/>
                <w:spacing w:val="-6"/>
                <w:kern w:val="0"/>
                <w:sz w:val="21"/>
                <w:szCs w:val="21"/>
              </w:rPr>
              <w:t>联系人：</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hint="eastAsia"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hint="eastAsia" w:cs="Times New Roman"/>
                <w:spacing w:val="-6"/>
                <w:kern w:val="0"/>
                <w:sz w:val="21"/>
                <w:szCs w:val="21"/>
              </w:rPr>
            </w:pPr>
          </w:p>
        </w:tc>
      </w:tr>
      <w:bookmarkEnd w:id="57"/>
    </w:tbl>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bookmarkStart w:id="58"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8"/>
    <w:p>
      <w:pPr>
        <w:widowControl/>
        <w:adjustRightInd w:val="0"/>
        <w:snapToGrid w:val="0"/>
        <w:spacing w:line="288" w:lineRule="auto"/>
        <w:jc w:val="left"/>
        <w:rPr>
          <w:rFonts w:hint="eastAsia"/>
          <w:sz w:val="21"/>
          <w:szCs w:val="21"/>
        </w:rPr>
      </w:pPr>
      <w:r>
        <w:rPr>
          <w:sz w:val="21"/>
          <w:szCs w:val="21"/>
        </w:rPr>
        <w:br w:type="page"/>
      </w:r>
    </w:p>
    <w:p>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hint="eastAsia" w:cs="Times New Roman"/>
          <w:b/>
          <w:bCs/>
          <w:spacing w:val="-6"/>
          <w:sz w:val="21"/>
          <w:szCs w:val="21"/>
        </w:rPr>
      </w:pPr>
    </w:p>
    <w:p>
      <w:pPr>
        <w:adjustRightInd w:val="0"/>
        <w:snapToGrid w:val="0"/>
        <w:spacing w:line="288" w:lineRule="auto"/>
        <w:rPr>
          <w:rFonts w:hint="eastAsia" w:cs="Times New Roman"/>
          <w:b/>
          <w:spacing w:val="-6"/>
          <w:sz w:val="21"/>
          <w:szCs w:val="21"/>
        </w:rPr>
      </w:pPr>
      <w:r>
        <w:rPr>
          <w:rFonts w:hint="eastAsia" w:cs="Times New Roman"/>
          <w:b/>
          <w:spacing w:val="-6"/>
          <w:sz w:val="21"/>
          <w:szCs w:val="21"/>
        </w:rPr>
        <w:t>致：浙江省文物考古研究所(浙江省世界文化遗产监测中心)、浙江求是招标代理有限公司</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浙江省文物考古研究所(浙江省世界文化遗产监测中心)2025年良渚古城及水利系统（反山遗址）发掘不间断延时摄影及三维可视化呈现设备采购项目（项目编号：</w:t>
      </w:r>
      <w:r>
        <w:rPr>
          <w:rFonts w:hint="eastAsia" w:cs="Times New Roman"/>
          <w:bCs/>
          <w:spacing w:val="-6"/>
          <w:sz w:val="21"/>
          <w:szCs w:val="21"/>
          <w:lang w:eastAsia="zh-CN"/>
        </w:rPr>
        <w:t>QSZBE250048ZHCS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▲提供授权代表社保缴纳证明（2024年12月（含）以后任意一月）。</w:t>
      </w:r>
    </w:p>
    <w:p>
      <w:pPr>
        <w:adjustRightInd w:val="0"/>
        <w:snapToGrid w:val="0"/>
        <w:spacing w:line="288" w:lineRule="auto"/>
        <w:rPr>
          <w:rFonts w:hint="eastAsia" w:cs="Times New Roman"/>
          <w:spacing w:val="-6"/>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sz w:val="21"/>
          <w:szCs w:val="21"/>
        </w:rPr>
      </w:pPr>
      <w:r>
        <w:rPr>
          <w:rFonts w:hint="eastAsia" w:cs="Times New Roman"/>
          <w:sz w:val="21"/>
          <w:szCs w:val="21"/>
        </w:rPr>
        <w:t>注：</w:t>
      </w:r>
    </w:p>
    <w:p>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hint="eastAsia" w:cs="Times New Roman"/>
          <w:sz w:val="21"/>
          <w:szCs w:val="21"/>
        </w:rPr>
      </w:pPr>
    </w:p>
    <w:p>
      <w:pPr>
        <w:adjustRightInd w:val="0"/>
        <w:snapToGrid w:val="0"/>
        <w:spacing w:line="288" w:lineRule="auto"/>
        <w:rPr>
          <w:rFonts w:hint="eastAsia" w:cs="Times New Roman"/>
          <w:sz w:val="21"/>
          <w:szCs w:val="21"/>
        </w:rPr>
      </w:pPr>
    </w:p>
    <w:p>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hint="eastAsia"/>
                <w:bCs/>
                <w:sz w:val="21"/>
                <w:szCs w:val="21"/>
              </w:rPr>
            </w:pPr>
            <w:r>
              <w:rPr>
                <w:rFonts w:hint="eastAsia"/>
                <w:bCs/>
                <w:sz w:val="21"/>
                <w:szCs w:val="21"/>
              </w:rPr>
              <w:t>正面：</w:t>
            </w:r>
          </w:p>
        </w:tc>
        <w:tc>
          <w:tcPr>
            <w:tcW w:w="4951" w:type="dxa"/>
          </w:tcPr>
          <w:p>
            <w:pPr>
              <w:adjustRightInd w:val="0"/>
              <w:snapToGrid w:val="0"/>
              <w:spacing w:line="288" w:lineRule="auto"/>
              <w:rPr>
                <w:rFonts w:hint="eastAsia"/>
                <w:bCs/>
                <w:sz w:val="21"/>
                <w:szCs w:val="21"/>
              </w:rPr>
            </w:pPr>
            <w:r>
              <w:rPr>
                <w:rFonts w:hint="eastAsia"/>
                <w:bCs/>
                <w:sz w:val="21"/>
                <w:szCs w:val="21"/>
              </w:rPr>
              <w:t>反面：</w:t>
            </w:r>
          </w:p>
        </w:tc>
      </w:tr>
    </w:tbl>
    <w:p>
      <w:pPr>
        <w:adjustRightInd w:val="0"/>
        <w:snapToGrid w:val="0"/>
        <w:spacing w:line="288" w:lineRule="auto"/>
        <w:rPr>
          <w:rFonts w:hint="eastAsia" w:cs="Times New Roman"/>
          <w:sz w:val="21"/>
          <w:szCs w:val="21"/>
        </w:rPr>
      </w:pPr>
    </w:p>
    <w:p>
      <w:pPr>
        <w:widowControl/>
        <w:adjustRightInd w:val="0"/>
        <w:snapToGrid w:val="0"/>
        <w:spacing w:line="288" w:lineRule="auto"/>
        <w:jc w:val="left"/>
        <w:rPr>
          <w:rFonts w:hint="eastAsia" w:cs="Times New Roman"/>
          <w:sz w:val="21"/>
          <w:szCs w:val="21"/>
        </w:rPr>
      </w:pPr>
      <w:r>
        <w:rPr>
          <w:rFonts w:cs="Times New Roman"/>
          <w:sz w:val="21"/>
          <w:szCs w:val="21"/>
        </w:rPr>
        <w:br w:type="page"/>
      </w:r>
    </w:p>
    <w:p>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附：授权代表社保缴纳证明（2024年12月（含）以后任意一月）</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kern w:val="0"/>
                <w:sz w:val="21"/>
                <w:szCs w:val="21"/>
              </w:rPr>
            </w:pPr>
          </w:p>
        </w:tc>
        <w:tc>
          <w:tcPr>
            <w:tcW w:w="1268" w:type="dxa"/>
            <w:vAlign w:val="center"/>
          </w:tcPr>
          <w:p>
            <w:pPr>
              <w:adjustRightInd w:val="0"/>
              <w:snapToGrid w:val="0"/>
              <w:spacing w:line="288" w:lineRule="auto"/>
              <w:jc w:val="center"/>
              <w:rPr>
                <w:rFonts w:hint="eastAsia"/>
                <w:kern w:val="0"/>
                <w:sz w:val="21"/>
                <w:szCs w:val="21"/>
              </w:rPr>
            </w:pPr>
          </w:p>
        </w:tc>
        <w:tc>
          <w:tcPr>
            <w:tcW w:w="1282" w:type="dxa"/>
            <w:vAlign w:val="center"/>
          </w:tcPr>
          <w:p>
            <w:pPr>
              <w:adjustRightInd w:val="0"/>
              <w:snapToGrid w:val="0"/>
              <w:spacing w:line="288" w:lineRule="auto"/>
              <w:jc w:val="center"/>
              <w:rPr>
                <w:rFonts w:hint="eastAsia"/>
                <w:kern w:val="0"/>
                <w:sz w:val="21"/>
                <w:szCs w:val="21"/>
              </w:rPr>
            </w:pPr>
          </w:p>
        </w:tc>
        <w:tc>
          <w:tcPr>
            <w:tcW w:w="1432" w:type="dxa"/>
            <w:vAlign w:val="center"/>
          </w:tcPr>
          <w:p>
            <w:pPr>
              <w:adjustRightInd w:val="0"/>
              <w:snapToGrid w:val="0"/>
              <w:spacing w:line="288" w:lineRule="auto"/>
              <w:jc w:val="center"/>
              <w:rPr>
                <w:rFonts w:hint="eastAsia"/>
                <w:kern w:val="0"/>
                <w:sz w:val="21"/>
                <w:szCs w:val="21"/>
              </w:rPr>
            </w:pPr>
          </w:p>
        </w:tc>
        <w:tc>
          <w:tcPr>
            <w:tcW w:w="1256" w:type="dxa"/>
            <w:vAlign w:val="center"/>
          </w:tcPr>
          <w:p>
            <w:pPr>
              <w:adjustRightInd w:val="0"/>
              <w:snapToGrid w:val="0"/>
              <w:spacing w:line="288" w:lineRule="auto"/>
              <w:jc w:val="center"/>
              <w:rPr>
                <w:rFonts w:hint="eastAsia"/>
                <w:kern w:val="0"/>
                <w:sz w:val="21"/>
                <w:szCs w:val="21"/>
              </w:rPr>
            </w:pPr>
          </w:p>
        </w:tc>
        <w:tc>
          <w:tcPr>
            <w:tcW w:w="899" w:type="dxa"/>
            <w:vAlign w:val="center"/>
          </w:tcPr>
          <w:p>
            <w:pPr>
              <w:adjustRightInd w:val="0"/>
              <w:snapToGrid w:val="0"/>
              <w:spacing w:line="288" w:lineRule="auto"/>
              <w:jc w:val="center"/>
              <w:rPr>
                <w:rFonts w:hint="eastAsia"/>
                <w:kern w:val="0"/>
                <w:sz w:val="21"/>
                <w:szCs w:val="21"/>
              </w:rPr>
            </w:pPr>
          </w:p>
        </w:tc>
        <w:tc>
          <w:tcPr>
            <w:tcW w:w="995" w:type="dxa"/>
            <w:vAlign w:val="center"/>
          </w:tcPr>
          <w:p>
            <w:pPr>
              <w:adjustRightInd w:val="0"/>
              <w:snapToGrid w:val="0"/>
              <w:spacing w:line="288" w:lineRule="auto"/>
              <w:jc w:val="center"/>
              <w:rPr>
                <w:rFonts w:hint="eastAsia"/>
                <w:kern w:val="0"/>
                <w:sz w:val="21"/>
                <w:szCs w:val="21"/>
              </w:rPr>
            </w:pPr>
          </w:p>
        </w:tc>
        <w:tc>
          <w:tcPr>
            <w:tcW w:w="1718" w:type="dxa"/>
            <w:vAlign w:val="center"/>
          </w:tcPr>
          <w:p>
            <w:pPr>
              <w:adjustRightInd w:val="0"/>
              <w:snapToGrid w:val="0"/>
              <w:spacing w:line="288" w:lineRule="auto"/>
              <w:jc w:val="center"/>
              <w:rPr>
                <w:rFonts w:hint="eastAsia"/>
                <w:kern w:val="0"/>
                <w:sz w:val="21"/>
                <w:szCs w:val="21"/>
              </w:rPr>
            </w:pPr>
          </w:p>
        </w:tc>
      </w:tr>
    </w:tbl>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adjustRightInd w:val="0"/>
        <w:snapToGrid w:val="0"/>
        <w:spacing w:line="288" w:lineRule="auto"/>
        <w:rPr>
          <w:rFonts w:hint="eastAsia"/>
          <w:b/>
          <w:bCs/>
          <w:sz w:val="21"/>
          <w:szCs w:val="21"/>
        </w:rPr>
      </w:pPr>
      <w:r>
        <w:rPr>
          <w:rFonts w:hint="eastAsia"/>
          <w:b/>
          <w:bCs/>
          <w:sz w:val="21"/>
          <w:szCs w:val="21"/>
        </w:rPr>
        <w:t>1.供应商须提供上述业绩合同扫描件；</w:t>
      </w:r>
    </w:p>
    <w:p>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sz w:val="21"/>
          <w:szCs w:val="21"/>
        </w:rPr>
      </w:pPr>
      <w:r>
        <w:rPr>
          <w:rFonts w:hint="eastAsia"/>
          <w:sz w:val="21"/>
          <w:szCs w:val="21"/>
        </w:rPr>
        <w:t>采 购 人：浙江省文物考古研究所(浙江省世界文化遗产监测中心)</w:t>
      </w:r>
    </w:p>
    <w:p>
      <w:pPr>
        <w:adjustRightInd w:val="0"/>
        <w:snapToGrid w:val="0"/>
        <w:spacing w:line="288" w:lineRule="auto"/>
        <w:rPr>
          <w:rFonts w:hint="eastAsia"/>
          <w:sz w:val="21"/>
          <w:szCs w:val="21"/>
        </w:rPr>
      </w:pPr>
      <w:r>
        <w:rPr>
          <w:rFonts w:hint="eastAsia"/>
          <w:sz w:val="21"/>
          <w:szCs w:val="21"/>
        </w:rPr>
        <w:t>项目名称：2025年良渚古城及水利系统（反山遗址）发掘不间断延时摄影及三维可视化呈现设备采购</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QSZBE250048ZHCS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b/>
                <w:bCs/>
                <w:kern w:val="0"/>
                <w:sz w:val="21"/>
                <w:szCs w:val="21"/>
              </w:rPr>
            </w:pPr>
            <w:bookmarkStart w:id="59" w:name="_Hlk97040421"/>
            <w:r>
              <w:rPr>
                <w:rFonts w:hint="eastAsia"/>
                <w:b/>
                <w:bCs/>
                <w:kern w:val="0"/>
                <w:sz w:val="21"/>
                <w:szCs w:val="21"/>
              </w:rPr>
              <w:t>序号</w:t>
            </w:r>
          </w:p>
        </w:tc>
        <w:tc>
          <w:tcPr>
            <w:tcW w:w="3286"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rFonts w:hint="eastAsia"/>
                <w:kern w:val="0"/>
                <w:sz w:val="21"/>
                <w:szCs w:val="21"/>
              </w:rPr>
            </w:pPr>
          </w:p>
        </w:tc>
        <w:tc>
          <w:tcPr>
            <w:tcW w:w="2911" w:type="dxa"/>
            <w:vAlign w:val="center"/>
          </w:tcPr>
          <w:p>
            <w:pPr>
              <w:adjustRightInd w:val="0"/>
              <w:snapToGrid w:val="0"/>
              <w:spacing w:line="288" w:lineRule="auto"/>
              <w:jc w:val="center"/>
              <w:rPr>
                <w:rFonts w:hint="eastAsia"/>
                <w:kern w:val="0"/>
                <w:sz w:val="21"/>
                <w:szCs w:val="21"/>
              </w:rPr>
            </w:pPr>
          </w:p>
        </w:tc>
        <w:tc>
          <w:tcPr>
            <w:tcW w:w="2407" w:type="dxa"/>
            <w:vAlign w:val="center"/>
          </w:tcPr>
          <w:p>
            <w:pPr>
              <w:adjustRightInd w:val="0"/>
              <w:snapToGrid w:val="0"/>
              <w:spacing w:line="288" w:lineRule="auto"/>
              <w:jc w:val="center"/>
              <w:rPr>
                <w:rFonts w:hint="eastAsia"/>
                <w:kern w:val="0"/>
                <w:sz w:val="21"/>
                <w:szCs w:val="21"/>
              </w:rPr>
            </w:pPr>
          </w:p>
        </w:tc>
      </w:tr>
      <w:bookmarkEnd w:id="59"/>
    </w:tbl>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adjustRightInd w:val="0"/>
        <w:snapToGrid w:val="0"/>
        <w:spacing w:line="288" w:lineRule="auto"/>
        <w:rPr>
          <w:rFonts w:hint="eastAsia"/>
          <w:b/>
          <w:bCs/>
          <w:sz w:val="21"/>
          <w:szCs w:val="21"/>
        </w:rPr>
      </w:pPr>
      <w:r>
        <w:rPr>
          <w:rFonts w:hint="eastAsia"/>
          <w:b/>
          <w:bCs/>
          <w:sz w:val="21"/>
          <w:szCs w:val="21"/>
        </w:rPr>
        <w:t>1.逐项按照磋商文件要求填写响应规格；</w:t>
      </w:r>
    </w:p>
    <w:p>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）标的配置清单</w:t>
      </w:r>
      <w:r>
        <w:rPr>
          <w:rFonts w:hint="eastAsia"/>
          <w:sz w:val="21"/>
          <w:szCs w:val="21"/>
        </w:rPr>
        <w:t>（不含报价）</w:t>
      </w:r>
    </w:p>
    <w:tbl>
      <w:tblPr>
        <w:tblStyle w:val="18"/>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规格型号</w:t>
            </w:r>
          </w:p>
          <w:p>
            <w:pPr>
              <w:adjustRightInd w:val="0"/>
              <w:snapToGrid w:val="0"/>
              <w:spacing w:line="360" w:lineRule="auto"/>
              <w:jc w:val="center"/>
              <w:rPr>
                <w:rFonts w:hint="eastAsia"/>
                <w:b/>
                <w:bCs/>
                <w:sz w:val="21"/>
                <w:szCs w:val="21"/>
              </w:rPr>
            </w:pPr>
            <w:r>
              <w:rPr>
                <w:rFonts w:hint="eastAsia"/>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r>
              <w:rPr>
                <w:rFonts w:hint="eastAsia"/>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r>
              <w:rPr>
                <w:rFonts w:hint="eastAsia"/>
                <w:b/>
                <w:bCs/>
                <w:sz w:val="21"/>
                <w:szCs w:val="21"/>
              </w:rPr>
              <w:t>备注</w:t>
            </w:r>
          </w:p>
          <w:p>
            <w:pPr>
              <w:adjustRightInd w:val="0"/>
              <w:snapToGrid w:val="0"/>
              <w:spacing w:line="360" w:lineRule="auto"/>
              <w:jc w:val="center"/>
              <w:rPr>
                <w:rFonts w:hint="eastAsia"/>
                <w:b/>
                <w:bCs/>
                <w:sz w:val="21"/>
                <w:szCs w:val="21"/>
              </w:rPr>
            </w:pPr>
            <w:r>
              <w:rPr>
                <w:rFonts w:hint="eastAsia"/>
                <w:b/>
                <w:bCs/>
                <w:sz w:val="21"/>
                <w:szCs w:val="21"/>
              </w:rPr>
              <w:t>（可另附页）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bl>
    <w:p>
      <w:pPr>
        <w:adjustRightInd w:val="0"/>
        <w:snapToGrid w:val="0"/>
        <w:spacing w:line="288" w:lineRule="auto"/>
        <w:rPr>
          <w:rFonts w:hint="eastAsia"/>
          <w:spacing w:val="-6"/>
          <w:sz w:val="21"/>
          <w:szCs w:val="21"/>
        </w:rPr>
      </w:pPr>
    </w:p>
    <w:p>
      <w:pPr>
        <w:adjustRightInd w:val="0"/>
        <w:snapToGrid w:val="0"/>
        <w:spacing w:line="360" w:lineRule="auto"/>
        <w:rPr>
          <w:rFonts w:hint="eastAsia"/>
          <w:bCs/>
          <w:spacing w:val="-6"/>
          <w:sz w:val="21"/>
          <w:szCs w:val="21"/>
        </w:rPr>
      </w:pPr>
      <w:r>
        <w:rPr>
          <w:rFonts w:hint="eastAsia"/>
          <w:bCs/>
          <w:spacing w:val="-6"/>
          <w:sz w:val="21"/>
          <w:szCs w:val="21"/>
        </w:rPr>
        <w:t>注：</w:t>
      </w:r>
    </w:p>
    <w:p>
      <w:pPr>
        <w:adjustRightInd w:val="0"/>
        <w:snapToGrid w:val="0"/>
        <w:spacing w:line="288" w:lineRule="auto"/>
        <w:rPr>
          <w:rFonts w:hint="eastAsia"/>
          <w:bCs/>
          <w:spacing w:val="-6"/>
          <w:sz w:val="21"/>
          <w:szCs w:val="21"/>
        </w:rPr>
      </w:pPr>
      <w:r>
        <w:rPr>
          <w:rFonts w:hint="eastAsia"/>
          <w:bCs/>
          <w:spacing w:val="-6"/>
          <w:sz w:val="21"/>
          <w:szCs w:val="21"/>
        </w:rPr>
        <w:t>1.供应商应按照磋商文件明确的标的清单填写此表；</w:t>
      </w:r>
    </w:p>
    <w:p>
      <w:pPr>
        <w:adjustRightInd w:val="0"/>
        <w:snapToGrid w:val="0"/>
        <w:spacing w:line="288" w:lineRule="auto"/>
        <w:rPr>
          <w:rFonts w:hint="eastAsia"/>
          <w:bCs/>
          <w:spacing w:val="-6"/>
          <w:sz w:val="21"/>
          <w:szCs w:val="21"/>
        </w:rPr>
      </w:pPr>
      <w:r>
        <w:rPr>
          <w:rFonts w:hint="eastAsia"/>
          <w:bCs/>
          <w:spacing w:val="-6"/>
          <w:sz w:val="21"/>
          <w:szCs w:val="21"/>
        </w:rPr>
        <w:t>★2.服务项目不涉及提供货物的，规格型号、品牌、制造商、产地的可不填写；</w:t>
      </w:r>
    </w:p>
    <w:p>
      <w:pPr>
        <w:adjustRightInd w:val="0"/>
        <w:snapToGrid w:val="0"/>
        <w:spacing w:line="288" w:lineRule="auto"/>
        <w:rPr>
          <w:rFonts w:hint="eastAsia"/>
          <w:spacing w:val="-6"/>
          <w:sz w:val="21"/>
          <w:szCs w:val="21"/>
        </w:rPr>
      </w:pPr>
      <w:r>
        <w:rPr>
          <w:rFonts w:hint="eastAsia"/>
          <w:bCs/>
          <w:spacing w:val="-6"/>
          <w:sz w:val="21"/>
          <w:szCs w:val="21"/>
        </w:rPr>
        <w:t>★3.联合体其他成员承担的部分，应在表中列明。</w:t>
      </w: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hint="eastAsia"/>
          <w:sz w:val="21"/>
          <w:szCs w:val="21"/>
        </w:rPr>
      </w:pPr>
    </w:p>
    <w:p>
      <w:pPr>
        <w:adjustRightInd w:val="0"/>
        <w:snapToGrid w:val="0"/>
        <w:spacing w:line="288" w:lineRule="auto"/>
        <w:rPr>
          <w:rFonts w:hint="eastAsia"/>
          <w:b/>
          <w:spacing w:val="-6"/>
          <w:sz w:val="21"/>
          <w:szCs w:val="21"/>
        </w:rPr>
      </w:pPr>
      <w:r>
        <w:rPr>
          <w:rFonts w:hint="eastAsia"/>
          <w:b/>
          <w:spacing w:val="-6"/>
          <w:sz w:val="21"/>
          <w:szCs w:val="21"/>
        </w:rPr>
        <w:t>附：产品技术支持材料</w:t>
      </w:r>
    </w:p>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jc w:val="left"/>
        <w:outlineLvl w:val="2"/>
        <w:rPr>
          <w:rFonts w:hint="eastAsia"/>
          <w:b/>
          <w:spacing w:val="-6"/>
          <w:sz w:val="21"/>
          <w:szCs w:val="21"/>
        </w:rPr>
      </w:pPr>
      <w:bookmarkStart w:id="60" w:name="_Hlk71885757"/>
      <w:r>
        <w:rPr>
          <w:rFonts w:hint="eastAsia"/>
          <w:b/>
          <w:spacing w:val="-6"/>
          <w:sz w:val="21"/>
          <w:szCs w:val="21"/>
        </w:rPr>
        <w:t>（</w:t>
      </w:r>
      <w:r>
        <w:rPr>
          <w:b/>
          <w:spacing w:val="-6"/>
          <w:sz w:val="21"/>
          <w:szCs w:val="21"/>
        </w:rPr>
        <w:t>6</w:t>
      </w:r>
      <w:r>
        <w:rPr>
          <w:rFonts w:hint="eastAsia"/>
          <w:b/>
          <w:spacing w:val="-6"/>
          <w:sz w:val="21"/>
          <w:szCs w:val="21"/>
        </w:rPr>
        <w:t>）技术方案</w:t>
      </w:r>
    </w:p>
    <w:p>
      <w:pPr>
        <w:adjustRightInd w:val="0"/>
        <w:snapToGrid w:val="0"/>
        <w:spacing w:line="288" w:lineRule="auto"/>
        <w:rPr>
          <w:rFonts w:hint="eastAsia"/>
          <w:b/>
          <w:spacing w:val="-6"/>
          <w:sz w:val="21"/>
          <w:szCs w:val="21"/>
        </w:rPr>
      </w:pPr>
      <w:r>
        <w:rPr>
          <w:rFonts w:hint="eastAsia"/>
          <w:b/>
          <w:spacing w:val="-6"/>
          <w:sz w:val="21"/>
          <w:szCs w:val="21"/>
        </w:rPr>
        <w:t>总体实施方案</w:t>
      </w:r>
    </w:p>
    <w:p>
      <w:pPr>
        <w:adjustRightInd w:val="0"/>
        <w:snapToGrid w:val="0"/>
        <w:spacing w:line="288" w:lineRule="auto"/>
        <w:rPr>
          <w:rFonts w:hint="eastAsia"/>
          <w:b/>
          <w:spacing w:val="-6"/>
          <w:sz w:val="21"/>
          <w:szCs w:val="21"/>
        </w:rPr>
      </w:pPr>
      <w:r>
        <w:rPr>
          <w:rFonts w:hint="eastAsia"/>
          <w:b/>
          <w:spacing w:val="-6"/>
          <w:sz w:val="21"/>
          <w:szCs w:val="21"/>
        </w:rPr>
        <w:t>进度计划方案</w:t>
      </w:r>
    </w:p>
    <w:p>
      <w:pPr>
        <w:adjustRightInd w:val="0"/>
        <w:snapToGrid w:val="0"/>
        <w:spacing w:line="288" w:lineRule="auto"/>
        <w:rPr>
          <w:rFonts w:hint="eastAsia"/>
          <w:b/>
          <w:spacing w:val="-6"/>
          <w:sz w:val="21"/>
          <w:szCs w:val="21"/>
        </w:rPr>
      </w:pPr>
      <w:r>
        <w:rPr>
          <w:rFonts w:hint="eastAsia"/>
          <w:b/>
          <w:spacing w:val="-6"/>
          <w:sz w:val="21"/>
          <w:szCs w:val="21"/>
        </w:rPr>
        <w:t>项目风险保障方案</w:t>
      </w:r>
    </w:p>
    <w:p>
      <w:pPr>
        <w:adjustRightInd w:val="0"/>
        <w:snapToGrid w:val="0"/>
        <w:spacing w:line="288" w:lineRule="auto"/>
        <w:rPr>
          <w:rFonts w:hint="eastAsia"/>
          <w:b/>
          <w:spacing w:val="-6"/>
          <w:sz w:val="21"/>
          <w:szCs w:val="21"/>
        </w:rPr>
      </w:pPr>
      <w:r>
        <w:rPr>
          <w:rFonts w:hint="eastAsia"/>
          <w:b/>
          <w:spacing w:val="-6"/>
          <w:sz w:val="21"/>
          <w:szCs w:val="21"/>
        </w:rPr>
        <w:t>安装调试方案</w:t>
      </w:r>
    </w:p>
    <w:p>
      <w:pPr>
        <w:adjustRightInd w:val="0"/>
        <w:snapToGrid w:val="0"/>
        <w:spacing w:line="288" w:lineRule="auto"/>
        <w:rPr>
          <w:rFonts w:hint="eastAsia"/>
          <w:b/>
          <w:spacing w:val="-6"/>
          <w:sz w:val="21"/>
          <w:szCs w:val="21"/>
        </w:rPr>
      </w:pPr>
      <w:r>
        <w:rPr>
          <w:rFonts w:hint="eastAsia"/>
          <w:b/>
          <w:spacing w:val="-6"/>
          <w:sz w:val="21"/>
          <w:szCs w:val="21"/>
        </w:rPr>
        <w:t>服务团队</w:t>
      </w:r>
    </w:p>
    <w:p>
      <w:pPr>
        <w:adjustRightInd w:val="0"/>
        <w:snapToGrid w:val="0"/>
        <w:spacing w:line="288" w:lineRule="auto"/>
        <w:rPr>
          <w:rFonts w:hint="eastAsia"/>
          <w:b/>
          <w:spacing w:val="-6"/>
          <w:sz w:val="21"/>
          <w:szCs w:val="21"/>
        </w:rPr>
      </w:pPr>
      <w:r>
        <w:rPr>
          <w:rFonts w:hint="eastAsia"/>
          <w:b/>
          <w:spacing w:val="-6"/>
          <w:sz w:val="21"/>
          <w:szCs w:val="21"/>
        </w:rPr>
        <w:t>培训方案</w:t>
      </w:r>
    </w:p>
    <w:p>
      <w:pPr>
        <w:adjustRightInd w:val="0"/>
        <w:snapToGrid w:val="0"/>
        <w:spacing w:line="288" w:lineRule="auto"/>
        <w:rPr>
          <w:rFonts w:hint="eastAsia"/>
          <w:b/>
          <w:spacing w:val="-6"/>
          <w:sz w:val="21"/>
          <w:szCs w:val="21"/>
        </w:rPr>
      </w:pPr>
      <w:r>
        <w:rPr>
          <w:rFonts w:hint="eastAsia"/>
          <w:b/>
          <w:spacing w:val="-6"/>
          <w:sz w:val="21"/>
          <w:szCs w:val="21"/>
        </w:rPr>
        <w:t>售后服务方案</w:t>
      </w:r>
    </w:p>
    <w:p>
      <w:pPr>
        <w:adjustRightInd w:val="0"/>
        <w:snapToGrid w:val="0"/>
        <w:spacing w:line="288" w:lineRule="auto"/>
        <w:rPr>
          <w:rFonts w:hint="eastAsia"/>
          <w:b/>
          <w:spacing w:val="-6"/>
          <w:sz w:val="21"/>
          <w:szCs w:val="21"/>
        </w:rPr>
      </w:pPr>
      <w:r>
        <w:rPr>
          <w:rFonts w:hint="eastAsia"/>
          <w:b/>
          <w:spacing w:val="-6"/>
          <w:sz w:val="21"/>
          <w:szCs w:val="21"/>
        </w:rPr>
        <w:t>配件耗材</w:t>
      </w:r>
    </w:p>
    <w:p>
      <w:pPr>
        <w:adjustRightInd w:val="0"/>
        <w:snapToGrid w:val="0"/>
        <w:spacing w:line="288" w:lineRule="auto"/>
        <w:rPr>
          <w:rFonts w:hint="eastAsia"/>
          <w:b/>
          <w:spacing w:val="-6"/>
          <w:sz w:val="21"/>
          <w:szCs w:val="21"/>
        </w:rPr>
      </w:pPr>
    </w:p>
    <w:p>
      <w:pPr>
        <w:adjustRightInd w:val="0"/>
        <w:snapToGrid w:val="0"/>
        <w:spacing w:line="288" w:lineRule="auto"/>
        <w:outlineLvl w:val="2"/>
        <w:rPr>
          <w:rFonts w:hint="eastAsia"/>
          <w:b/>
          <w:spacing w:val="-6"/>
          <w:sz w:val="21"/>
          <w:szCs w:val="21"/>
        </w:rPr>
      </w:pPr>
      <w:r>
        <w:rPr>
          <w:rFonts w:hint="eastAsia"/>
          <w:b/>
          <w:spacing w:val="-6"/>
          <w:sz w:val="21"/>
          <w:szCs w:val="21"/>
        </w:rPr>
        <w:t>（</w:t>
      </w:r>
      <w:r>
        <w:rPr>
          <w:b/>
          <w:spacing w:val="-6"/>
          <w:sz w:val="21"/>
          <w:szCs w:val="21"/>
        </w:rPr>
        <w:t>7</w:t>
      </w:r>
      <w:r>
        <w:rPr>
          <w:rFonts w:hint="eastAsia"/>
          <w:b/>
          <w:spacing w:val="-6"/>
          <w:sz w:val="21"/>
          <w:szCs w:val="21"/>
        </w:rPr>
        <w:t>）节能环保产品证明材料</w:t>
      </w:r>
    </w:p>
    <w:p>
      <w:pPr>
        <w:adjustRightInd w:val="0"/>
        <w:snapToGrid w:val="0"/>
        <w:spacing w:line="288" w:lineRule="auto"/>
        <w:rPr>
          <w:rFonts w:hint="eastAsia" w:cs="Times New Roman"/>
          <w:b/>
          <w:sz w:val="21"/>
          <w:szCs w:val="21"/>
        </w:rPr>
      </w:pPr>
      <w:r>
        <w:rPr>
          <w:rFonts w:hint="eastAsia" w:cs="Times New Roman"/>
          <w:b/>
          <w:sz w:val="21"/>
          <w:szCs w:val="21"/>
        </w:rPr>
        <w:t>说明：产品属于品目清单范围且提供国家确定的认证机构出具的有效的节能产品、环境标志产品认证证书（扫描件）。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rPr>
        <w:t>磋商</w:t>
      </w:r>
      <w:r>
        <w:rPr>
          <w:rFonts w:cs="Times New Roman"/>
          <w:spacing w:val="-6"/>
          <w:sz w:val="21"/>
          <w:szCs w:val="21"/>
        </w:rPr>
        <w:t>文件要求提供相关产品认证证书。</w:t>
      </w:r>
    </w:p>
    <w:p>
      <w:pPr>
        <w:adjustRightInd w:val="0"/>
        <w:snapToGrid w:val="0"/>
        <w:spacing w:line="288" w:lineRule="auto"/>
        <w:ind w:firstLine="396" w:firstLineChars="200"/>
        <w:jc w:val="left"/>
        <w:rPr>
          <w:rFonts w:hint="eastAsia" w:cs="Times New Roman"/>
          <w:spacing w:val="-6"/>
          <w:sz w:val="21"/>
          <w:szCs w:val="21"/>
        </w:rPr>
      </w:pPr>
      <w:r>
        <w:rPr>
          <w:rFonts w:cs="Times New Roman"/>
          <w:spacing w:val="-6"/>
          <w:sz w:val="21"/>
          <w:szCs w:val="21"/>
        </w:rPr>
        <w:t>▲采购人拟采购的产品属于政府强制采购的节能产品品目清单范围的，供应商未按</w:t>
      </w:r>
      <w:r>
        <w:rPr>
          <w:rFonts w:hint="eastAsia" w:cs="Times New Roman"/>
          <w:spacing w:val="-6"/>
          <w:sz w:val="21"/>
          <w:szCs w:val="21"/>
        </w:rPr>
        <w:t>磋商</w:t>
      </w:r>
      <w:r>
        <w:rPr>
          <w:rFonts w:cs="Times New Roman"/>
          <w:spacing w:val="-6"/>
          <w:sz w:val="21"/>
          <w:szCs w:val="21"/>
        </w:rPr>
        <w:t>文件要求提供国家确定的认证机构出具的、有效的节能产品认证证书的，</w:t>
      </w:r>
      <w:r>
        <w:rPr>
          <w:rFonts w:hint="eastAsia" w:cs="Times New Roman"/>
          <w:spacing w:val="-6"/>
          <w:sz w:val="21"/>
          <w:szCs w:val="21"/>
        </w:rPr>
        <w:t>响应</w:t>
      </w:r>
      <w:r>
        <w:rPr>
          <w:rFonts w:cs="Times New Roman"/>
          <w:spacing w:val="-6"/>
          <w:sz w:val="21"/>
          <w:szCs w:val="21"/>
        </w:rPr>
        <w:t>无效。</w:t>
      </w:r>
    </w:p>
    <w:p>
      <w:pPr>
        <w:adjustRightInd w:val="0"/>
        <w:snapToGrid w:val="0"/>
        <w:spacing w:line="288" w:lineRule="auto"/>
        <w:jc w:val="left"/>
        <w:rPr>
          <w:rFonts w:hint="eastAsia" w:cs="Times New Roman"/>
          <w:spacing w:val="-6"/>
          <w:sz w:val="21"/>
          <w:szCs w:val="21"/>
        </w:rPr>
      </w:pPr>
    </w:p>
    <w:p>
      <w:pPr>
        <w:adjustRightInd w:val="0"/>
        <w:snapToGrid w:val="0"/>
        <w:spacing w:line="288" w:lineRule="auto"/>
        <w:rPr>
          <w:rFonts w:hint="eastAsia"/>
          <w:b/>
          <w:spacing w:val="-6"/>
          <w:sz w:val="21"/>
          <w:szCs w:val="21"/>
        </w:rPr>
      </w:pPr>
    </w:p>
    <w:p>
      <w:pPr>
        <w:adjustRightInd w:val="0"/>
        <w:snapToGrid w:val="0"/>
        <w:spacing w:line="288" w:lineRule="auto"/>
        <w:rPr>
          <w:rFonts w:hint="eastAsia"/>
          <w:b/>
          <w:spacing w:val="-6"/>
          <w:sz w:val="21"/>
          <w:szCs w:val="21"/>
        </w:rPr>
      </w:pPr>
    </w:p>
    <w:p>
      <w:pPr>
        <w:adjustRightInd w:val="0"/>
        <w:snapToGrid w:val="0"/>
        <w:spacing w:line="288" w:lineRule="auto"/>
        <w:outlineLvl w:val="2"/>
        <w:rPr>
          <w:rFonts w:hint="eastAsia"/>
          <w:b/>
          <w:spacing w:val="-6"/>
          <w:sz w:val="21"/>
          <w:szCs w:val="21"/>
        </w:rPr>
      </w:pPr>
      <w:r>
        <w:rPr>
          <w:rFonts w:hint="eastAsia"/>
          <w:b/>
          <w:spacing w:val="-6"/>
          <w:sz w:val="21"/>
          <w:szCs w:val="21"/>
        </w:rPr>
        <w:t>（……）供应商需要说明的其他文件和材料。</w:t>
      </w:r>
      <w:bookmarkEnd w:id="60"/>
    </w:p>
    <w:p>
      <w:pPr>
        <w:widowControl/>
        <w:jc w:val="left"/>
        <w:rPr>
          <w:rFonts w:hint="eastAsia"/>
          <w:b/>
          <w:spacing w:val="-6"/>
          <w:sz w:val="21"/>
          <w:szCs w:val="21"/>
        </w:rPr>
      </w:pPr>
      <w:r>
        <w:rPr>
          <w:b/>
          <w:spacing w:val="-6"/>
          <w:sz w:val="21"/>
          <w:szCs w:val="21"/>
        </w:rPr>
        <w:br w:type="page"/>
      </w:r>
    </w:p>
    <w:p>
      <w:pPr>
        <w:adjustRightInd w:val="0"/>
        <w:snapToGrid w:val="0"/>
        <w:spacing w:line="288" w:lineRule="auto"/>
        <w:rPr>
          <w:rFonts w:hint="eastAsia"/>
        </w:rPr>
      </w:pPr>
    </w:p>
    <w:p>
      <w:pPr>
        <w:adjustRightInd w:val="0"/>
        <w:snapToGrid w:val="0"/>
        <w:spacing w:line="288" w:lineRule="auto"/>
        <w:jc w:val="center"/>
        <w:outlineLvl w:val="1"/>
        <w:rPr>
          <w:rFonts w:hint="eastAsia"/>
          <w:b/>
          <w:bCs/>
          <w:sz w:val="84"/>
          <w:szCs w:val="84"/>
        </w:rPr>
      </w:pPr>
      <w:r>
        <w:rPr>
          <w:rFonts w:hint="eastAsia"/>
          <w:b/>
          <w:bCs/>
          <w:sz w:val="84"/>
          <w:szCs w:val="84"/>
        </w:rPr>
        <w:t>报价文件</w:t>
      </w:r>
    </w:p>
    <w:p>
      <w:pPr>
        <w:adjustRightInd w:val="0"/>
        <w:snapToGrid w:val="0"/>
        <w:spacing w:line="288" w:lineRule="auto"/>
        <w:rPr>
          <w:rFonts w:hint="eastAsia"/>
        </w:rPr>
      </w:pPr>
      <w:r>
        <w:rPr>
          <w:rFonts w:hint="eastAsia"/>
        </w:rPr>
        <w:br w:type="page"/>
      </w:r>
    </w:p>
    <w:p>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pPr>
        <w:adjustRightInd w:val="0"/>
        <w:snapToGrid w:val="0"/>
        <w:spacing w:line="288" w:lineRule="auto"/>
        <w:rPr>
          <w:rFonts w:hint="eastAsia"/>
          <w:sz w:val="21"/>
          <w:szCs w:val="21"/>
        </w:rPr>
      </w:pPr>
      <w:r>
        <w:rPr>
          <w:rFonts w:hint="eastAsia"/>
          <w:sz w:val="21"/>
          <w:szCs w:val="21"/>
        </w:rPr>
        <w:t>采 购 人：浙江省文物考古研究所(浙江省世界文化遗产监测中心)</w:t>
      </w:r>
    </w:p>
    <w:p>
      <w:pPr>
        <w:adjustRightInd w:val="0"/>
        <w:snapToGrid w:val="0"/>
        <w:spacing w:line="288" w:lineRule="auto"/>
        <w:rPr>
          <w:rFonts w:hint="eastAsia"/>
          <w:sz w:val="21"/>
          <w:szCs w:val="21"/>
        </w:rPr>
      </w:pPr>
      <w:r>
        <w:rPr>
          <w:rFonts w:hint="eastAsia"/>
          <w:sz w:val="21"/>
          <w:szCs w:val="21"/>
        </w:rPr>
        <w:t>项目名称：2025年良渚古城及水利系统（反山遗址）发掘不间断延时摄影及三维可视化呈现设备采购</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QSZBE250048ZHCS</w:t>
      </w:r>
    </w:p>
    <w:tbl>
      <w:tblPr>
        <w:tblStyle w:val="18"/>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bookmarkStart w:id="61" w:name="_Hlk97040072"/>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w:t>
            </w:r>
            <w:bookmarkStart w:id="62" w:name="_Hlk177717733"/>
            <w:r>
              <w:rPr>
                <w:rFonts w:hint="eastAsia"/>
                <w:b/>
                <w:bCs/>
                <w:sz w:val="21"/>
                <w:szCs w:val="21"/>
              </w:rPr>
              <w:t>规格型号</w:t>
            </w:r>
          </w:p>
          <w:p>
            <w:pPr>
              <w:adjustRightInd w:val="0"/>
              <w:snapToGrid w:val="0"/>
              <w:spacing w:line="360" w:lineRule="auto"/>
              <w:jc w:val="center"/>
              <w:rPr>
                <w:rFonts w:hint="eastAsia"/>
                <w:b/>
                <w:bCs/>
                <w:sz w:val="21"/>
                <w:szCs w:val="21"/>
              </w:rPr>
            </w:pPr>
            <w:r>
              <w:rPr>
                <w:rFonts w:hint="eastAsia"/>
                <w:b/>
                <w:bCs/>
                <w:sz w:val="21"/>
                <w:szCs w:val="21"/>
              </w:rPr>
              <w:t>或具体服务</w:t>
            </w:r>
            <w:bookmarkEnd w:id="62"/>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r>
              <w:rPr>
                <w:rFonts w:hint="eastAsia"/>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单价</w:t>
            </w:r>
          </w:p>
          <w:p>
            <w:pPr>
              <w:adjustRightInd w:val="0"/>
              <w:snapToGrid w:val="0"/>
              <w:spacing w:line="360" w:lineRule="auto"/>
              <w:jc w:val="center"/>
              <w:rPr>
                <w:rFonts w:hint="eastAsia"/>
                <w:b/>
                <w:bCs/>
                <w:sz w:val="21"/>
                <w:szCs w:val="21"/>
              </w:rPr>
            </w:pPr>
            <w:r>
              <w:rPr>
                <w:rFonts w:hint="eastAsia"/>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r>
              <w:rPr>
                <w:rFonts w:hint="eastAsia"/>
                <w:b/>
                <w:bCs/>
                <w:sz w:val="21"/>
                <w:szCs w:val="21"/>
              </w:rPr>
              <w:t>合计</w:t>
            </w:r>
          </w:p>
          <w:p>
            <w:pPr>
              <w:adjustRightInd w:val="0"/>
              <w:snapToGrid w:val="0"/>
              <w:spacing w:line="360" w:lineRule="auto"/>
              <w:jc w:val="center"/>
              <w:rPr>
                <w:rFonts w:hint="eastAsia"/>
                <w:b/>
                <w:bCs/>
                <w:sz w:val="21"/>
                <w:szCs w:val="21"/>
              </w:rPr>
            </w:pPr>
            <w:r>
              <w:rPr>
                <w:rFonts w:hint="eastAsia"/>
                <w:b/>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b/>
                <w:bCs/>
                <w:sz w:val="21"/>
                <w:szCs w:val="21"/>
              </w:rPr>
            </w:pPr>
            <w:r>
              <w:rPr>
                <w:rFonts w:hint="eastAsia"/>
                <w:b/>
                <w:bCs/>
                <w:sz w:val="21"/>
                <w:szCs w:val="21"/>
              </w:rPr>
              <w:t>总价（人民币元）</w:t>
            </w:r>
          </w:p>
          <w:p>
            <w:pPr>
              <w:adjustRightInd w:val="0"/>
              <w:snapToGrid w:val="0"/>
              <w:spacing w:line="288" w:lineRule="auto"/>
              <w:rPr>
                <w:rFonts w:hint="eastAsia"/>
                <w:b/>
                <w:bCs/>
                <w:sz w:val="21"/>
                <w:szCs w:val="21"/>
              </w:rPr>
            </w:pPr>
          </w:p>
          <w:p>
            <w:pPr>
              <w:adjustRightInd w:val="0"/>
              <w:snapToGrid w:val="0"/>
              <w:spacing w:line="288" w:lineRule="auto"/>
              <w:rPr>
                <w:rFonts w:hint="eastAsia"/>
                <w:b/>
                <w:bCs/>
                <w:sz w:val="21"/>
                <w:szCs w:val="21"/>
              </w:rPr>
            </w:pPr>
            <w:r>
              <w:rPr>
                <w:rFonts w:hint="eastAsia"/>
                <w:b/>
                <w:bCs/>
                <w:sz w:val="21"/>
                <w:szCs w:val="21"/>
              </w:rPr>
              <w:t>小写：_________________________</w:t>
            </w:r>
          </w:p>
          <w:p>
            <w:pPr>
              <w:adjustRightInd w:val="0"/>
              <w:snapToGrid w:val="0"/>
              <w:spacing w:line="288" w:lineRule="auto"/>
              <w:rPr>
                <w:rFonts w:hint="eastAsia"/>
                <w:b/>
                <w:bCs/>
                <w:sz w:val="21"/>
                <w:szCs w:val="21"/>
              </w:rPr>
            </w:pPr>
          </w:p>
          <w:p>
            <w:pPr>
              <w:adjustRightInd w:val="0"/>
              <w:snapToGrid w:val="0"/>
              <w:spacing w:line="288" w:lineRule="auto"/>
              <w:rPr>
                <w:rFonts w:hint="eastAsia"/>
                <w:b/>
                <w:bCs/>
                <w:sz w:val="21"/>
                <w:szCs w:val="21"/>
              </w:rPr>
            </w:pPr>
            <w:r>
              <w:rPr>
                <w:rFonts w:hint="eastAsia"/>
                <w:b/>
                <w:bCs/>
                <w:sz w:val="21"/>
                <w:szCs w:val="21"/>
              </w:rPr>
              <w:t>大写：_________________________</w:t>
            </w:r>
          </w:p>
          <w:p>
            <w:pPr>
              <w:adjustRightInd w:val="0"/>
              <w:snapToGrid w:val="0"/>
              <w:spacing w:line="288" w:lineRule="auto"/>
              <w:rPr>
                <w:rFonts w:hint="eastAsia"/>
                <w:b/>
                <w:bCs/>
                <w:sz w:val="21"/>
                <w:szCs w:val="21"/>
              </w:rPr>
            </w:pPr>
          </w:p>
        </w:tc>
      </w:tr>
    </w:tbl>
    <w:p>
      <w:pPr>
        <w:adjustRightInd w:val="0"/>
        <w:snapToGrid w:val="0"/>
        <w:spacing w:line="288" w:lineRule="auto"/>
        <w:rPr>
          <w:rFonts w:hint="eastAsia"/>
          <w:spacing w:val="-6"/>
          <w:sz w:val="21"/>
          <w:szCs w:val="21"/>
        </w:rPr>
      </w:pPr>
    </w:p>
    <w:p>
      <w:pPr>
        <w:adjustRightInd w:val="0"/>
        <w:snapToGrid w:val="0"/>
        <w:spacing w:line="288" w:lineRule="auto"/>
        <w:rPr>
          <w:rFonts w:hint="eastAsia"/>
          <w:b/>
          <w:bCs/>
          <w:spacing w:val="-6"/>
          <w:sz w:val="21"/>
          <w:szCs w:val="21"/>
        </w:rPr>
      </w:pPr>
      <w:r>
        <w:rPr>
          <w:rFonts w:hint="eastAsia"/>
          <w:b/>
          <w:bCs/>
          <w:spacing w:val="-6"/>
          <w:sz w:val="21"/>
          <w:szCs w:val="21"/>
        </w:rPr>
        <w:t>说明：</w:t>
      </w:r>
    </w:p>
    <w:p>
      <w:pPr>
        <w:adjustRightInd w:val="0"/>
        <w:snapToGrid w:val="0"/>
        <w:spacing w:line="288" w:lineRule="auto"/>
        <w:rPr>
          <w:rFonts w:hint="eastAsia"/>
          <w:sz w:val="21"/>
          <w:szCs w:val="21"/>
        </w:rPr>
      </w:pPr>
      <w:r>
        <w:rPr>
          <w:rFonts w:hint="eastAsia"/>
          <w:sz w:val="21"/>
          <w:szCs w:val="21"/>
        </w:rPr>
        <w:t>1.初次报价一览表应按照本磋商文件“第三章 供应商须知”关于“磋商报价”的规定填写；</w:t>
      </w:r>
    </w:p>
    <w:p>
      <w:pPr>
        <w:adjustRightInd w:val="0"/>
        <w:snapToGrid w:val="0"/>
        <w:spacing w:line="288" w:lineRule="auto"/>
        <w:rPr>
          <w:rFonts w:hint="eastAsia"/>
          <w:sz w:val="21"/>
          <w:szCs w:val="21"/>
        </w:rPr>
      </w:pPr>
      <w:r>
        <w:rPr>
          <w:rFonts w:hint="eastAsia"/>
          <w:sz w:val="21"/>
          <w:szCs w:val="21"/>
        </w:rPr>
        <w:t>★2.服务项目不涉及提供货物的，规格型号、品牌、制造商、产地的可不填写；</w:t>
      </w:r>
    </w:p>
    <w:p>
      <w:pPr>
        <w:adjustRightInd w:val="0"/>
        <w:snapToGrid w:val="0"/>
        <w:spacing w:line="288" w:lineRule="auto"/>
        <w:rPr>
          <w:rFonts w:hint="eastAsia"/>
          <w:sz w:val="21"/>
          <w:szCs w:val="21"/>
        </w:rPr>
      </w:pPr>
      <w:r>
        <w:rPr>
          <w:rFonts w:hint="eastAsia"/>
          <w:sz w:val="21"/>
          <w:szCs w:val="21"/>
        </w:rPr>
        <w:t>★3.联合体其他成员承担的部分，应在表中列明。</w:t>
      </w:r>
    </w:p>
    <w:p>
      <w:pPr>
        <w:adjustRightInd w:val="0"/>
        <w:snapToGrid w:val="0"/>
        <w:spacing w:line="288" w:lineRule="auto"/>
        <w:rPr>
          <w:rFonts w:hint="eastAsia"/>
          <w:sz w:val="21"/>
          <w:szCs w:val="21"/>
        </w:rPr>
      </w:pPr>
    </w:p>
    <w:p>
      <w:pPr>
        <w:adjustRightInd w:val="0"/>
        <w:snapToGrid w:val="0"/>
        <w:spacing w:line="288" w:lineRule="auto"/>
        <w:rPr>
          <w:rFonts w:hint="eastAsia"/>
          <w:sz w:val="21"/>
          <w:szCs w:val="21"/>
        </w:rPr>
      </w:pP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61"/>
    <w:p>
      <w:pPr>
        <w:adjustRightInd w:val="0"/>
        <w:snapToGrid w:val="0"/>
        <w:spacing w:line="288" w:lineRule="auto"/>
        <w:rPr>
          <w:rFonts w:hint="eastAsia"/>
          <w:sz w:val="21"/>
          <w:szCs w:val="21"/>
        </w:rPr>
      </w:pPr>
      <w:r>
        <w:rPr>
          <w:rFonts w:hint="eastAsia"/>
          <w:sz w:val="21"/>
          <w:szCs w:val="21"/>
        </w:rPr>
        <w:br w:type="page"/>
      </w:r>
    </w:p>
    <w:p>
      <w:pPr>
        <w:adjustRightInd w:val="0"/>
        <w:snapToGrid w:val="0"/>
        <w:spacing w:line="288" w:lineRule="auto"/>
        <w:ind w:firstLine="498" w:firstLineChars="236"/>
        <w:jc w:val="center"/>
        <w:outlineLvl w:val="2"/>
        <w:rPr>
          <w:rFonts w:hint="eastAsia"/>
          <w:b/>
          <w:bCs/>
          <w:sz w:val="21"/>
          <w:szCs w:val="21"/>
        </w:rPr>
      </w:pPr>
      <w:r>
        <w:rPr>
          <w:rFonts w:hint="eastAsia"/>
          <w:b/>
          <w:bCs/>
          <w:sz w:val="21"/>
          <w:szCs w:val="21"/>
        </w:rPr>
        <w:t>（</w:t>
      </w:r>
      <w:r>
        <w:rPr>
          <w:b/>
          <w:bCs/>
          <w:sz w:val="21"/>
          <w:szCs w:val="21"/>
        </w:rPr>
        <w:t>2</w:t>
      </w:r>
      <w:r>
        <w:rPr>
          <w:rFonts w:hint="eastAsia"/>
          <w:b/>
          <w:bCs/>
          <w:sz w:val="21"/>
          <w:szCs w:val="21"/>
        </w:rPr>
        <w:t>）</w:t>
      </w:r>
      <w:r>
        <w:rPr>
          <w:b/>
          <w:bCs/>
          <w:sz w:val="21"/>
          <w:szCs w:val="21"/>
        </w:rPr>
        <w:t>中小企业声明函（货物）</w:t>
      </w:r>
      <w:r>
        <w:rPr>
          <w:rFonts w:hint="eastAsia"/>
          <w:b/>
          <w:bCs/>
          <w:sz w:val="21"/>
          <w:szCs w:val="21"/>
        </w:rPr>
        <w:t>（若属于中小企业）</w:t>
      </w:r>
    </w:p>
    <w:p>
      <w:pPr>
        <w:adjustRightInd w:val="0"/>
        <w:snapToGrid w:val="0"/>
        <w:spacing w:line="288" w:lineRule="auto"/>
        <w:ind w:firstLine="498" w:firstLineChars="236"/>
        <w:rPr>
          <w:rFonts w:hint="eastAsia"/>
          <w:b/>
          <w:sz w:val="21"/>
          <w:szCs w:val="21"/>
        </w:rPr>
      </w:pPr>
    </w:p>
    <w:p>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hint="eastAsia"/>
          <w:sz w:val="21"/>
          <w:szCs w:val="21"/>
        </w:rPr>
      </w:pPr>
      <w:r>
        <w:rPr>
          <w:i/>
          <w:sz w:val="21"/>
          <w:szCs w:val="21"/>
          <w:u w:val="single"/>
        </w:rPr>
        <w:t>1. （标的名称）</w:t>
      </w:r>
      <w:r>
        <w:rPr>
          <w:i/>
          <w:sz w:val="21"/>
          <w:szCs w:val="21"/>
        </w:rPr>
        <w:t xml:space="preserve"> </w:t>
      </w:r>
      <w:r>
        <w:rPr>
          <w:sz w:val="21"/>
          <w:szCs w:val="21"/>
        </w:rPr>
        <w:t>，属于</w:t>
      </w:r>
      <w:r>
        <w:rPr>
          <w:i/>
          <w:sz w:val="21"/>
          <w:szCs w:val="21"/>
        </w:rPr>
        <w:t>（</w:t>
      </w:r>
      <w:r>
        <w:rPr>
          <w:i/>
          <w:sz w:val="21"/>
          <w:szCs w:val="21"/>
          <w:u w:val="single"/>
        </w:rPr>
        <w:t>采购文件中明确的所属行业）行业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rFonts w:hint="eastAsia"/>
          <w:sz w:val="21"/>
          <w:szCs w:val="21"/>
        </w:rPr>
      </w:pPr>
      <w:r>
        <w:rPr>
          <w:i/>
          <w:sz w:val="21"/>
          <w:szCs w:val="21"/>
          <w:u w:val="single"/>
        </w:rPr>
        <w:t>2. （标的名称）</w:t>
      </w:r>
      <w:r>
        <w:rPr>
          <w:i/>
          <w:sz w:val="21"/>
          <w:szCs w:val="21"/>
        </w:rPr>
        <w:t xml:space="preserve"> </w:t>
      </w:r>
      <w:r>
        <w:rPr>
          <w:sz w:val="21"/>
          <w:szCs w:val="21"/>
        </w:rPr>
        <w:t>，属于</w:t>
      </w:r>
      <w:r>
        <w:rPr>
          <w:i/>
          <w:sz w:val="21"/>
          <w:szCs w:val="21"/>
        </w:rPr>
        <w:t>（</w:t>
      </w:r>
      <w:r>
        <w:rPr>
          <w:i/>
          <w:sz w:val="21"/>
          <w:szCs w:val="21"/>
          <w:u w:val="single"/>
        </w:rPr>
        <w:t>采购文件中明确的所属行业）行业</w:t>
      </w:r>
      <w:r>
        <w:rPr>
          <w:sz w:val="21"/>
          <w:szCs w:val="21"/>
        </w:rPr>
        <w:t>；制造商为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rFonts w:hint="eastAsia"/>
          <w:sz w:val="21"/>
          <w:szCs w:val="21"/>
        </w:rPr>
        <w:t>；</w:t>
      </w:r>
    </w:p>
    <w:p>
      <w:pPr>
        <w:adjustRightInd w:val="0"/>
        <w:snapToGrid w:val="0"/>
        <w:spacing w:line="288" w:lineRule="auto"/>
        <w:ind w:firstLine="495" w:firstLineChars="236"/>
        <w:rPr>
          <w:rFonts w:hint="eastAsia"/>
          <w:sz w:val="21"/>
          <w:szCs w:val="21"/>
        </w:rPr>
      </w:pPr>
      <w:r>
        <w:rPr>
          <w:sz w:val="21"/>
          <w:szCs w:val="21"/>
        </w:rPr>
        <w:t>……</w:t>
      </w:r>
    </w:p>
    <w:p>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sz w:val="21"/>
          <w:szCs w:val="21"/>
        </w:rPr>
        <w:t>企业名称（盖章）：</w:t>
      </w:r>
    </w:p>
    <w:p>
      <w:pPr>
        <w:adjustRightInd w:val="0"/>
        <w:snapToGrid w:val="0"/>
        <w:spacing w:line="288" w:lineRule="auto"/>
        <w:ind w:firstLine="495" w:firstLineChars="236"/>
        <w:rPr>
          <w:rFonts w:hint="eastAsia"/>
          <w:sz w:val="21"/>
          <w:szCs w:val="21"/>
        </w:rPr>
      </w:pPr>
      <w:r>
        <w:rPr>
          <w:sz w:val="21"/>
          <w:szCs w:val="21"/>
        </w:rPr>
        <w:t>日期：</w:t>
      </w:r>
    </w:p>
    <w:p>
      <w:pPr>
        <w:adjustRightInd w:val="0"/>
        <w:snapToGrid w:val="0"/>
        <w:spacing w:line="288" w:lineRule="auto"/>
        <w:ind w:firstLine="495" w:firstLineChars="236"/>
        <w:rPr>
          <w:rFonts w:hint="eastAsia"/>
          <w:sz w:val="21"/>
          <w:szCs w:val="21"/>
        </w:rPr>
      </w:pPr>
    </w:p>
    <w:p>
      <w:pPr>
        <w:adjustRightInd w:val="0"/>
        <w:snapToGrid w:val="0"/>
        <w:spacing w:line="288" w:lineRule="auto"/>
        <w:ind w:firstLine="495" w:firstLineChars="236"/>
        <w:rPr>
          <w:rFonts w:hint="eastAsia"/>
          <w:sz w:val="21"/>
          <w:szCs w:val="21"/>
        </w:rPr>
      </w:pPr>
      <w:r>
        <w:rPr>
          <w:rFonts w:hint="eastAsia"/>
          <w:sz w:val="21"/>
          <w:szCs w:val="21"/>
        </w:rPr>
        <w:t>注：</w:t>
      </w:r>
    </w:p>
    <w:p>
      <w:pPr>
        <w:adjustRightInd w:val="0"/>
        <w:snapToGrid w:val="0"/>
        <w:spacing w:line="288" w:lineRule="auto"/>
        <w:ind w:firstLine="495" w:firstLineChars="236"/>
        <w:rPr>
          <w:rFonts w:hint="eastAsia"/>
          <w:sz w:val="21"/>
          <w:szCs w:val="21"/>
        </w:rPr>
      </w:pPr>
      <w:r>
        <w:rPr>
          <w:rFonts w:hint="eastAsia"/>
          <w:sz w:val="21"/>
          <w:szCs w:val="21"/>
        </w:rPr>
        <w:t>1.标的名称，按照【磋商文件】中明确的标的填写；</w:t>
      </w:r>
    </w:p>
    <w:p>
      <w:pPr>
        <w:adjustRightInd w:val="0"/>
        <w:snapToGrid w:val="0"/>
        <w:spacing w:line="288" w:lineRule="auto"/>
        <w:ind w:firstLine="495" w:firstLineChars="236"/>
        <w:rPr>
          <w:rFonts w:hint="eastAsia"/>
          <w:sz w:val="21"/>
          <w:szCs w:val="21"/>
        </w:rPr>
      </w:pPr>
      <w:r>
        <w:rPr>
          <w:rFonts w:hint="eastAsia"/>
          <w:sz w:val="21"/>
          <w:szCs w:val="21"/>
        </w:rPr>
        <w:t>2.所属行业，按照【磋商文件】中明确的标的“所属行业”填写；</w:t>
      </w:r>
    </w:p>
    <w:p>
      <w:pPr>
        <w:adjustRightInd w:val="0"/>
        <w:snapToGrid w:val="0"/>
        <w:spacing w:line="288" w:lineRule="auto"/>
        <w:ind w:firstLine="495" w:firstLineChars="236"/>
        <w:rPr>
          <w:rFonts w:hint="eastAsia"/>
          <w:sz w:val="21"/>
          <w:szCs w:val="21"/>
        </w:rPr>
      </w:pPr>
      <w:r>
        <w:rPr>
          <w:rFonts w:hint="eastAsia"/>
          <w:sz w:val="21"/>
          <w:szCs w:val="21"/>
        </w:rPr>
        <w:t>3.制造商，货物由中小企业制造，即货物由中小企业生产且使用该中小企业商号或者注册商标；</w:t>
      </w:r>
    </w:p>
    <w:p>
      <w:pPr>
        <w:adjustRightInd w:val="0"/>
        <w:snapToGrid w:val="0"/>
        <w:spacing w:line="288" w:lineRule="auto"/>
        <w:ind w:firstLine="495" w:firstLineChars="236"/>
        <w:rPr>
          <w:rFonts w:hint="eastAsia"/>
          <w:sz w:val="21"/>
          <w:szCs w:val="21"/>
        </w:rPr>
      </w:pPr>
      <w:r>
        <w:rPr>
          <w:rFonts w:hint="eastAsia"/>
          <w:sz w:val="21"/>
          <w:szCs w:val="21"/>
        </w:rPr>
        <w:t>4.从业人员、营业收入、资产总额填报上一年度数据，无上一年度数据的新成立企业可不填报。</w:t>
      </w:r>
    </w:p>
    <w:p>
      <w:pPr>
        <w:adjustRightInd w:val="0"/>
        <w:snapToGrid w:val="0"/>
        <w:spacing w:line="288" w:lineRule="auto"/>
        <w:ind w:firstLine="495" w:firstLineChars="236"/>
        <w:rPr>
          <w:rFonts w:hint="eastAsia"/>
          <w:sz w:val="21"/>
          <w:szCs w:val="21"/>
        </w:rPr>
      </w:pPr>
      <w:r>
        <w:rPr>
          <w:rFonts w:hint="eastAsia"/>
          <w:sz w:val="21"/>
          <w:szCs w:val="21"/>
        </w:rPr>
        <w:t>5.企业类型（包括新成立企业），按照《中小企业划型标准规定》（工信部联企业〔2011〕300号）规定和【磋商文件】中明确的标的“所属行业”，选择</w:t>
      </w:r>
      <w:r>
        <w:rPr>
          <w:rFonts w:hint="eastAsia"/>
          <w:b/>
          <w:bCs/>
          <w:sz w:val="21"/>
          <w:szCs w:val="21"/>
          <w:u w:val="single"/>
        </w:rPr>
        <w:t>“中型企业、小型企业、微型企业”</w:t>
      </w:r>
      <w:r>
        <w:rPr>
          <w:rFonts w:hint="eastAsia"/>
          <w:sz w:val="21"/>
          <w:szCs w:val="21"/>
        </w:rPr>
        <w:t>其中之一；</w:t>
      </w:r>
    </w:p>
    <w:p>
      <w:pPr>
        <w:widowControl/>
        <w:adjustRightInd w:val="0"/>
        <w:snapToGrid w:val="0"/>
        <w:spacing w:line="288" w:lineRule="auto"/>
        <w:ind w:firstLine="495" w:firstLineChars="236"/>
        <w:jc w:val="left"/>
        <w:rPr>
          <w:rFonts w:hint="eastAsia"/>
          <w:sz w:val="21"/>
          <w:szCs w:val="21"/>
        </w:rPr>
      </w:pPr>
      <w:r>
        <w:rPr>
          <w:rFonts w:hint="eastAsia"/>
          <w:sz w:val="21"/>
          <w:szCs w:val="21"/>
        </w:rPr>
        <w:t>6.磋商文件中明确的标的是能够独立发挥功能的产品，配件、辅料不作为标的，不需要在《中小企业声明函》里填列。</w:t>
      </w:r>
    </w:p>
    <w:p>
      <w:pPr>
        <w:widowControl/>
        <w:adjustRightInd w:val="0"/>
        <w:snapToGrid w:val="0"/>
        <w:spacing w:line="288" w:lineRule="auto"/>
        <w:ind w:firstLine="495" w:firstLineChars="236"/>
        <w:jc w:val="left"/>
        <w:rPr>
          <w:rFonts w:hint="eastAsia"/>
          <w:sz w:val="21"/>
          <w:szCs w:val="21"/>
        </w:rPr>
      </w:pPr>
      <w:r>
        <w:rPr>
          <w:rFonts w:hint="eastAsia" w:cs="Times New Roman"/>
          <w:sz w:val="21"/>
          <w:szCs w:val="21"/>
          <w:u w:val="single"/>
        </w:rPr>
        <w:t>7</w:t>
      </w:r>
      <w:r>
        <w:rPr>
          <w:rFonts w:cs="Times New Roman"/>
          <w:sz w:val="21"/>
          <w:szCs w:val="21"/>
          <w:u w:val="single"/>
        </w:rPr>
        <w:t>.</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不享受中小企业扶持政策。</w:t>
      </w:r>
    </w:p>
    <w:p>
      <w:pPr>
        <w:adjustRightInd w:val="0"/>
        <w:snapToGrid w:val="0"/>
        <w:spacing w:line="288" w:lineRule="auto"/>
        <w:ind w:firstLine="495" w:firstLineChars="236"/>
        <w:rPr>
          <w:rFonts w:hint="eastAsia"/>
          <w:color w:val="FF0000"/>
          <w:sz w:val="21"/>
          <w:szCs w:val="21"/>
        </w:rPr>
      </w:pPr>
    </w:p>
    <w:p>
      <w:pPr>
        <w:widowControl/>
        <w:adjustRightInd w:val="0"/>
        <w:snapToGrid w:val="0"/>
        <w:spacing w:line="288" w:lineRule="auto"/>
        <w:ind w:firstLine="495" w:firstLineChars="236"/>
        <w:jc w:val="left"/>
        <w:rPr>
          <w:rFonts w:hint="eastAsia"/>
          <w:sz w:val="21"/>
          <w:szCs w:val="21"/>
        </w:rPr>
      </w:pPr>
      <w:r>
        <w:rPr>
          <w:sz w:val="21"/>
          <w:szCs w:val="21"/>
        </w:rPr>
        <w:br w:type="page"/>
      </w:r>
    </w:p>
    <w:p>
      <w:pPr>
        <w:adjustRightInd w:val="0"/>
        <w:snapToGrid w:val="0"/>
        <w:spacing w:line="288" w:lineRule="auto"/>
        <w:jc w:val="center"/>
        <w:outlineLvl w:val="2"/>
        <w:rPr>
          <w:rFonts w:hint="eastAsia"/>
          <w:color w:val="000000"/>
          <w:kern w:val="0"/>
          <w:sz w:val="21"/>
          <w:szCs w:val="21"/>
          <w:highlight w:val="yellow"/>
        </w:rPr>
      </w:pPr>
      <w:r>
        <w:rPr>
          <w:rFonts w:hint="eastAsia"/>
          <w:b/>
          <w:spacing w:val="-6"/>
          <w:sz w:val="21"/>
          <w:szCs w:val="21"/>
        </w:rPr>
        <w:t>（</w:t>
      </w:r>
      <w:r>
        <w:rPr>
          <w:b/>
          <w:spacing w:val="-6"/>
          <w:sz w:val="21"/>
          <w:szCs w:val="21"/>
        </w:rPr>
        <w:t>3</w:t>
      </w:r>
      <w:r>
        <w:rPr>
          <w:rFonts w:hint="eastAsia"/>
          <w:b/>
          <w:spacing w:val="-6"/>
          <w:sz w:val="21"/>
          <w:szCs w:val="21"/>
        </w:rPr>
        <w:t>）属于监狱企业的证明文件（若属于监狱企业）</w:t>
      </w:r>
    </w:p>
    <w:p>
      <w:pPr>
        <w:adjustRightInd w:val="0"/>
        <w:snapToGrid w:val="0"/>
        <w:spacing w:line="288" w:lineRule="auto"/>
        <w:rPr>
          <w:rFonts w:hint="eastAsia"/>
          <w:color w:val="000000"/>
          <w:kern w:val="0"/>
          <w:sz w:val="21"/>
          <w:szCs w:val="21"/>
        </w:rPr>
      </w:pPr>
    </w:p>
    <w:p>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b/>
          <w:spacing w:val="-6"/>
          <w:sz w:val="21"/>
          <w:szCs w:val="21"/>
        </w:rPr>
      </w:pPr>
      <w:r>
        <w:rPr>
          <w:b/>
          <w:spacing w:val="-6"/>
          <w:sz w:val="21"/>
          <w:szCs w:val="21"/>
        </w:rPr>
        <w:br w:type="page"/>
      </w:r>
    </w:p>
    <w:p>
      <w:pPr>
        <w:adjustRightInd w:val="0"/>
        <w:snapToGrid w:val="0"/>
        <w:spacing w:line="288" w:lineRule="auto"/>
        <w:jc w:val="center"/>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）残疾人福利性单位声明函（若属于残疾人福利性单位）</w:t>
      </w:r>
    </w:p>
    <w:p>
      <w:pPr>
        <w:adjustRightInd w:val="0"/>
        <w:snapToGrid w:val="0"/>
        <w:spacing w:line="288" w:lineRule="auto"/>
        <w:rPr>
          <w:rFonts w:hint="eastAsia" w:cs="Times New Roman"/>
          <w:b/>
          <w:spacing w:val="6"/>
          <w:sz w:val="21"/>
          <w:szCs w:val="21"/>
        </w:rPr>
      </w:pPr>
    </w:p>
    <w:p>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pPr>
        <w:adjustRightInd w:val="0"/>
        <w:snapToGrid w:val="0"/>
        <w:spacing w:line="288" w:lineRule="auto"/>
        <w:rPr>
          <w:rFonts w:hint="eastAsia"/>
          <w:sz w:val="21"/>
          <w:szCs w:val="21"/>
        </w:rPr>
      </w:pPr>
    </w:p>
    <w:p>
      <w:pPr>
        <w:adjustRightInd w:val="0"/>
        <w:snapToGrid w:val="0"/>
        <w:spacing w:line="288" w:lineRule="auto"/>
        <w:rPr>
          <w:rFonts w:hint="eastAsia"/>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残疾人福利性单位属于小型、微型企业的，不重复享受政策。</w:t>
      </w:r>
    </w:p>
    <w:p>
      <w:pPr>
        <w:widowControl/>
        <w:adjustRightInd w:val="0"/>
        <w:snapToGrid w:val="0"/>
        <w:spacing w:line="288" w:lineRule="auto"/>
        <w:jc w:val="left"/>
        <w:rPr>
          <w:rFonts w:hint="eastAsia" w:cs="Times New Roman"/>
          <w:b/>
          <w:bCs/>
          <w:spacing w:val="-6"/>
          <w:sz w:val="21"/>
          <w:szCs w:val="21"/>
        </w:rPr>
      </w:pPr>
      <w:r>
        <w:rPr>
          <w:rFonts w:cs="Times New Roman"/>
          <w:b/>
          <w:bCs/>
          <w:spacing w:val="-6"/>
          <w:sz w:val="21"/>
          <w:szCs w:val="21"/>
        </w:rPr>
        <w:br w:type="page"/>
      </w:r>
    </w:p>
    <w:p>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hint="eastAsia" w:cs="仿宋_GB2312"/>
          <w:sz w:val="21"/>
          <w:szCs w:val="21"/>
          <w:u w:val="single"/>
        </w:rPr>
      </w:pPr>
    </w:p>
    <w:p>
      <w:pPr>
        <w:snapToGrid w:val="0"/>
        <w:spacing w:line="288" w:lineRule="auto"/>
        <w:rPr>
          <w:rFonts w:hint="eastAsia"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rFonts w:hint="eastAsia"/>
          <w:sz w:val="21"/>
          <w:szCs w:val="21"/>
        </w:rPr>
      </w:pPr>
      <w:r>
        <w:rPr>
          <w:rFonts w:hint="eastAsia"/>
          <w:sz w:val="21"/>
          <w:szCs w:val="21"/>
        </w:rPr>
        <w:t>特此说明。</w:t>
      </w:r>
    </w:p>
    <w:p>
      <w:pPr>
        <w:snapToGrid w:val="0"/>
        <w:spacing w:line="288" w:lineRule="auto"/>
        <w:ind w:right="480" w:firstLine="424" w:firstLineChars="202"/>
        <w:rPr>
          <w:rFonts w:hint="eastAsia"/>
          <w:sz w:val="21"/>
          <w:szCs w:val="21"/>
        </w:rPr>
      </w:pPr>
      <w:r>
        <w:rPr>
          <w:rFonts w:hint="eastAsia"/>
          <w:sz w:val="21"/>
          <w:szCs w:val="21"/>
        </w:rPr>
        <w:t>供应商（法定名称章）：</w:t>
      </w:r>
    </w:p>
    <w:p>
      <w:pPr>
        <w:snapToGrid w:val="0"/>
        <w:spacing w:line="288" w:lineRule="auto"/>
        <w:ind w:right="1440" w:firstLine="424" w:firstLineChars="202"/>
        <w:rPr>
          <w:rFonts w:hint="eastAsia"/>
          <w:sz w:val="21"/>
          <w:szCs w:val="21"/>
        </w:rPr>
      </w:pPr>
      <w:r>
        <w:rPr>
          <w:sz w:val="21"/>
          <w:szCs w:val="21"/>
        </w:rPr>
        <w:t>日期：       年     月     日</w:t>
      </w:r>
    </w:p>
    <w:p>
      <w:pPr>
        <w:snapToGrid w:val="0"/>
        <w:spacing w:line="288" w:lineRule="auto"/>
        <w:rPr>
          <w:rFonts w:hint="eastAsia"/>
          <w:b/>
          <w:bCs/>
          <w:sz w:val="21"/>
          <w:szCs w:val="21"/>
        </w:rPr>
      </w:pPr>
    </w:p>
    <w:p>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rFonts w:hint="eastAsia"/>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hint="eastAsia"/>
          <w:b/>
          <w:spacing w:val="-6"/>
          <w:sz w:val="21"/>
          <w:szCs w:val="21"/>
        </w:rPr>
      </w:pPr>
      <w:r>
        <w:rPr>
          <w:b/>
          <w:spacing w:val="-6"/>
          <w:sz w:val="21"/>
          <w:szCs w:val="21"/>
        </w:rPr>
        <w:br w:type="page"/>
      </w:r>
    </w:p>
    <w:p>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kern w:val="0"/>
          <w:sz w:val="21"/>
          <w:szCs w:val="21"/>
        </w:rPr>
        <w:t>响应</w:t>
      </w:r>
      <w:r>
        <w:rPr>
          <w:rFonts w:hint="eastAsia" w:cs="仿宋_GB2312"/>
          <w:kern w:val="0"/>
          <w:sz w:val="21"/>
          <w:szCs w:val="21"/>
          <w:lang w:val="zh-CN"/>
        </w:rPr>
        <w:t>等均对联合响应各方产生约束力。</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hint="eastAsia" w:cs="仿宋_GB2312"/>
          <w:b/>
          <w:kern w:val="0"/>
          <w:sz w:val="21"/>
          <w:szCs w:val="21"/>
        </w:rPr>
        <w:t>4</w:t>
      </w:r>
      <w:r>
        <w:rPr>
          <w:rFonts w:cs="仿宋_GB2312"/>
          <w:b/>
          <w:kern w:val="0"/>
          <w:sz w:val="21"/>
          <w:szCs w:val="21"/>
          <w:lang w:val="zh-CN"/>
        </w:rPr>
        <w:t>%的扣除</w:t>
      </w:r>
      <w:r>
        <w:rPr>
          <w:rFonts w:hint="eastAsia" w:cs="仿宋_GB2312"/>
          <w:b/>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pPr>
        <w:snapToGrid w:val="0"/>
        <w:spacing w:line="288" w:lineRule="auto"/>
        <w:ind w:firstLine="422" w:firstLineChars="201"/>
        <w:rPr>
          <w:rFonts w:hint="eastAsia" w:cs="仿宋_GB2312"/>
          <w:kern w:val="0"/>
          <w:sz w:val="21"/>
          <w:szCs w:val="21"/>
          <w:lang w:val="zh-CN"/>
        </w:rPr>
      </w:pPr>
    </w:p>
    <w:p>
      <w:pPr>
        <w:snapToGrid w:val="0"/>
        <w:spacing w:line="288" w:lineRule="auto"/>
        <w:ind w:firstLine="422" w:firstLineChars="201"/>
        <w:rPr>
          <w:rFonts w:hint="eastAsia" w:cs="仿宋_GB2312"/>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hint="eastAsia" w:cs="仿宋_GB2312"/>
          <w:b/>
          <w:bCs/>
          <w:kern w:val="0"/>
          <w:sz w:val="21"/>
          <w:szCs w:val="21"/>
          <w:lang w:val="zh-CN"/>
        </w:rPr>
      </w:pPr>
    </w:p>
    <w:p>
      <w:pPr>
        <w:snapToGrid w:val="0"/>
        <w:spacing w:line="288" w:lineRule="auto"/>
        <w:ind w:firstLine="424" w:firstLineChars="201"/>
        <w:rPr>
          <w:rFonts w:hint="eastAsia" w:cs="Times New Roman"/>
          <w:b/>
          <w:bCs/>
          <w:sz w:val="21"/>
          <w:szCs w:val="21"/>
        </w:rPr>
      </w:pPr>
    </w:p>
    <w:p>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pPr>
        <w:widowControl/>
        <w:jc w:val="left"/>
        <w:rPr>
          <w:rFonts w:hint="eastAsia" w:cs="仿宋_GB2312"/>
          <w:b/>
          <w:kern w:val="0"/>
          <w:sz w:val="21"/>
          <w:szCs w:val="21"/>
        </w:rPr>
      </w:pPr>
      <w:r>
        <w:rPr>
          <w:rFonts w:cs="仿宋_GB2312"/>
          <w:b/>
          <w:kern w:val="0"/>
          <w:sz w:val="21"/>
          <w:szCs w:val="21"/>
        </w:rPr>
        <w:br w:type="page"/>
      </w:r>
    </w:p>
    <w:p>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hint="eastAsia" w:cs="仿宋_GB2312"/>
          <w:b/>
          <w:kern w:val="0"/>
          <w:sz w:val="21"/>
          <w:szCs w:val="21"/>
        </w:rPr>
        <w:t>4</w:t>
      </w:r>
      <w:r>
        <w:rPr>
          <w:rFonts w:cs="仿宋_GB2312"/>
          <w:b/>
          <w:kern w:val="0"/>
          <w:sz w:val="21"/>
          <w:szCs w:val="21"/>
          <w:lang w:val="zh-CN"/>
        </w:rPr>
        <w:t>%的扣除</w:t>
      </w:r>
      <w:r>
        <w:rPr>
          <w:rFonts w:hint="eastAsia" w:cs="仿宋_GB2312"/>
          <w:b/>
          <w:kern w:val="0"/>
          <w:sz w:val="21"/>
          <w:szCs w:val="21"/>
          <w:lang w:val="zh-CN"/>
        </w:rPr>
        <w:t>）</w:t>
      </w:r>
    </w:p>
    <w:p>
      <w:pPr>
        <w:snapToGrid w:val="0"/>
        <w:spacing w:line="288" w:lineRule="auto"/>
        <w:rPr>
          <w:rFonts w:hint="eastAsia" w:cs="仿宋_GB2312"/>
          <w:kern w:val="0"/>
          <w:sz w:val="21"/>
          <w:szCs w:val="21"/>
          <w:lang w:val="zh-CN"/>
        </w:rPr>
      </w:pPr>
    </w:p>
    <w:p>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hint="eastAsia" w:cs="仿宋_GB2312"/>
          <w:b/>
          <w:bCs/>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hint="eastAsia" w:cs="仿宋_GB2312"/>
          <w:b/>
          <w:bCs/>
          <w:kern w:val="0"/>
          <w:sz w:val="21"/>
          <w:szCs w:val="21"/>
          <w:lang w:val="zh-CN"/>
        </w:rPr>
      </w:pPr>
    </w:p>
    <w:p>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宋体;SimSun">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584F"/>
    <w:rsid w:val="0017776E"/>
    <w:rsid w:val="001A02BC"/>
    <w:rsid w:val="001E1F6A"/>
    <w:rsid w:val="00215143"/>
    <w:rsid w:val="00216C31"/>
    <w:rsid w:val="00232E27"/>
    <w:rsid w:val="00252BBD"/>
    <w:rsid w:val="00256B2D"/>
    <w:rsid w:val="00256F5C"/>
    <w:rsid w:val="0026429E"/>
    <w:rsid w:val="002645F1"/>
    <w:rsid w:val="00297E76"/>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42E58"/>
    <w:rsid w:val="0054558A"/>
    <w:rsid w:val="00546319"/>
    <w:rsid w:val="0055045F"/>
    <w:rsid w:val="00551DAC"/>
    <w:rsid w:val="00565520"/>
    <w:rsid w:val="00590C97"/>
    <w:rsid w:val="005A30FB"/>
    <w:rsid w:val="005B2955"/>
    <w:rsid w:val="005D064A"/>
    <w:rsid w:val="005E3478"/>
    <w:rsid w:val="00605C23"/>
    <w:rsid w:val="00611721"/>
    <w:rsid w:val="0061541C"/>
    <w:rsid w:val="00631B4E"/>
    <w:rsid w:val="0063741D"/>
    <w:rsid w:val="006402AB"/>
    <w:rsid w:val="00642879"/>
    <w:rsid w:val="00697AA6"/>
    <w:rsid w:val="006A0B04"/>
    <w:rsid w:val="006A2B3D"/>
    <w:rsid w:val="006B5B13"/>
    <w:rsid w:val="006C1E17"/>
    <w:rsid w:val="006E6002"/>
    <w:rsid w:val="007133EB"/>
    <w:rsid w:val="00723439"/>
    <w:rsid w:val="00742B14"/>
    <w:rsid w:val="0076422D"/>
    <w:rsid w:val="00792093"/>
    <w:rsid w:val="007A10F7"/>
    <w:rsid w:val="007D5140"/>
    <w:rsid w:val="007E109E"/>
    <w:rsid w:val="007E55F1"/>
    <w:rsid w:val="00813E3D"/>
    <w:rsid w:val="00834B9A"/>
    <w:rsid w:val="00835A1C"/>
    <w:rsid w:val="008543A5"/>
    <w:rsid w:val="00855401"/>
    <w:rsid w:val="008772E5"/>
    <w:rsid w:val="00882FF5"/>
    <w:rsid w:val="0089630B"/>
    <w:rsid w:val="0091334C"/>
    <w:rsid w:val="00913E41"/>
    <w:rsid w:val="009429A3"/>
    <w:rsid w:val="009469B6"/>
    <w:rsid w:val="0096732E"/>
    <w:rsid w:val="009675F7"/>
    <w:rsid w:val="009724A2"/>
    <w:rsid w:val="00982682"/>
    <w:rsid w:val="00986D07"/>
    <w:rsid w:val="009C7C60"/>
    <w:rsid w:val="009D6F21"/>
    <w:rsid w:val="009E2396"/>
    <w:rsid w:val="00A13935"/>
    <w:rsid w:val="00A353D5"/>
    <w:rsid w:val="00A60FF3"/>
    <w:rsid w:val="00A86BED"/>
    <w:rsid w:val="00AA4532"/>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C6BBA"/>
    <w:rsid w:val="00CF2E63"/>
    <w:rsid w:val="00D06F51"/>
    <w:rsid w:val="00D16917"/>
    <w:rsid w:val="00D317F8"/>
    <w:rsid w:val="00D518A3"/>
    <w:rsid w:val="00D51B1F"/>
    <w:rsid w:val="00D52A86"/>
    <w:rsid w:val="00D67B15"/>
    <w:rsid w:val="00D92B74"/>
    <w:rsid w:val="00D961D0"/>
    <w:rsid w:val="00D9733D"/>
    <w:rsid w:val="00DB0284"/>
    <w:rsid w:val="00DB5D1B"/>
    <w:rsid w:val="00DB7C4C"/>
    <w:rsid w:val="00DE0C5F"/>
    <w:rsid w:val="00DF5A9F"/>
    <w:rsid w:val="00E22C25"/>
    <w:rsid w:val="00E4559E"/>
    <w:rsid w:val="00E52B31"/>
    <w:rsid w:val="00E56A74"/>
    <w:rsid w:val="00E70D67"/>
    <w:rsid w:val="00E8510B"/>
    <w:rsid w:val="00EB1C8D"/>
    <w:rsid w:val="00EB60B2"/>
    <w:rsid w:val="00EB700F"/>
    <w:rsid w:val="00EC091A"/>
    <w:rsid w:val="00ED1230"/>
    <w:rsid w:val="00F156DB"/>
    <w:rsid w:val="00F55B07"/>
    <w:rsid w:val="00F61206"/>
    <w:rsid w:val="00F71A17"/>
    <w:rsid w:val="00F91463"/>
    <w:rsid w:val="00FA22BD"/>
    <w:rsid w:val="00FC2099"/>
    <w:rsid w:val="00FC2885"/>
    <w:rsid w:val="0119677B"/>
    <w:rsid w:val="01D016EE"/>
    <w:rsid w:val="02936A01"/>
    <w:rsid w:val="03435D32"/>
    <w:rsid w:val="045A6946"/>
    <w:rsid w:val="049F4F72"/>
    <w:rsid w:val="052D4B75"/>
    <w:rsid w:val="06936FD0"/>
    <w:rsid w:val="07EA70C4"/>
    <w:rsid w:val="08183C31"/>
    <w:rsid w:val="088210AA"/>
    <w:rsid w:val="0A27015B"/>
    <w:rsid w:val="0B505490"/>
    <w:rsid w:val="0BEB6F66"/>
    <w:rsid w:val="0C2B7783"/>
    <w:rsid w:val="0C656D19"/>
    <w:rsid w:val="0CF34325"/>
    <w:rsid w:val="0D6E4DCD"/>
    <w:rsid w:val="0D9D24E2"/>
    <w:rsid w:val="0E820056"/>
    <w:rsid w:val="0EEC1973"/>
    <w:rsid w:val="0F680C0A"/>
    <w:rsid w:val="0F9F0AA7"/>
    <w:rsid w:val="10E44957"/>
    <w:rsid w:val="110F36F7"/>
    <w:rsid w:val="113849FC"/>
    <w:rsid w:val="125C296C"/>
    <w:rsid w:val="12A8795F"/>
    <w:rsid w:val="13294F44"/>
    <w:rsid w:val="134C0C32"/>
    <w:rsid w:val="13D80718"/>
    <w:rsid w:val="14104748"/>
    <w:rsid w:val="14221993"/>
    <w:rsid w:val="143811B7"/>
    <w:rsid w:val="15595889"/>
    <w:rsid w:val="15CC7E09"/>
    <w:rsid w:val="15ED232D"/>
    <w:rsid w:val="16866209"/>
    <w:rsid w:val="192B4E46"/>
    <w:rsid w:val="1A3A1517"/>
    <w:rsid w:val="1BF260EF"/>
    <w:rsid w:val="1C715266"/>
    <w:rsid w:val="1C9E70AE"/>
    <w:rsid w:val="1CC72D6E"/>
    <w:rsid w:val="1D121E99"/>
    <w:rsid w:val="1D340697"/>
    <w:rsid w:val="1E42335E"/>
    <w:rsid w:val="1E9E60BA"/>
    <w:rsid w:val="1EB678A8"/>
    <w:rsid w:val="1FA12306"/>
    <w:rsid w:val="20A21E92"/>
    <w:rsid w:val="22AD4B1E"/>
    <w:rsid w:val="23735D67"/>
    <w:rsid w:val="23E24D51"/>
    <w:rsid w:val="24741D97"/>
    <w:rsid w:val="24D52FE3"/>
    <w:rsid w:val="26062EC3"/>
    <w:rsid w:val="26655E3B"/>
    <w:rsid w:val="266C756F"/>
    <w:rsid w:val="26EA4592"/>
    <w:rsid w:val="2791542A"/>
    <w:rsid w:val="2798754C"/>
    <w:rsid w:val="28220306"/>
    <w:rsid w:val="2B731BD4"/>
    <w:rsid w:val="2C93663F"/>
    <w:rsid w:val="2D2E0F8B"/>
    <w:rsid w:val="2DAD44B7"/>
    <w:rsid w:val="2DC55411"/>
    <w:rsid w:val="2DC72F38"/>
    <w:rsid w:val="2DE74C9D"/>
    <w:rsid w:val="2E894580"/>
    <w:rsid w:val="2EC76F67"/>
    <w:rsid w:val="2EE23DA1"/>
    <w:rsid w:val="30334B55"/>
    <w:rsid w:val="3088708F"/>
    <w:rsid w:val="318921E5"/>
    <w:rsid w:val="31D40D8A"/>
    <w:rsid w:val="3287538B"/>
    <w:rsid w:val="32B37F2E"/>
    <w:rsid w:val="33B5534E"/>
    <w:rsid w:val="33DB773D"/>
    <w:rsid w:val="35215623"/>
    <w:rsid w:val="358160C2"/>
    <w:rsid w:val="36176A26"/>
    <w:rsid w:val="366B28CE"/>
    <w:rsid w:val="37AA0086"/>
    <w:rsid w:val="3A092B2A"/>
    <w:rsid w:val="3B2B1934"/>
    <w:rsid w:val="3BD97B87"/>
    <w:rsid w:val="3CCD770B"/>
    <w:rsid w:val="3ED90D1D"/>
    <w:rsid w:val="3F454604"/>
    <w:rsid w:val="3FE16D38"/>
    <w:rsid w:val="4226054F"/>
    <w:rsid w:val="424267F1"/>
    <w:rsid w:val="42D737C5"/>
    <w:rsid w:val="445B21D4"/>
    <w:rsid w:val="45682DFA"/>
    <w:rsid w:val="457B5ED9"/>
    <w:rsid w:val="46742991"/>
    <w:rsid w:val="46B67767"/>
    <w:rsid w:val="479E48B1"/>
    <w:rsid w:val="47ED3A8B"/>
    <w:rsid w:val="48211CD3"/>
    <w:rsid w:val="49437E06"/>
    <w:rsid w:val="49CD5922"/>
    <w:rsid w:val="4A3E4E95"/>
    <w:rsid w:val="4A622179"/>
    <w:rsid w:val="4B074E64"/>
    <w:rsid w:val="4C1415E6"/>
    <w:rsid w:val="4C793DF2"/>
    <w:rsid w:val="4D1F0243"/>
    <w:rsid w:val="4DED39F3"/>
    <w:rsid w:val="4DF96CE5"/>
    <w:rsid w:val="4E7D6D7D"/>
    <w:rsid w:val="4F244236"/>
    <w:rsid w:val="4FBD3D43"/>
    <w:rsid w:val="50304850"/>
    <w:rsid w:val="508825A3"/>
    <w:rsid w:val="508872DA"/>
    <w:rsid w:val="51942202"/>
    <w:rsid w:val="521231B6"/>
    <w:rsid w:val="542C3DF0"/>
    <w:rsid w:val="543B00DA"/>
    <w:rsid w:val="55F37FF5"/>
    <w:rsid w:val="56F956C0"/>
    <w:rsid w:val="57AE76D2"/>
    <w:rsid w:val="58625BCC"/>
    <w:rsid w:val="591E5852"/>
    <w:rsid w:val="59376914"/>
    <w:rsid w:val="59AD6BD6"/>
    <w:rsid w:val="59CD1728"/>
    <w:rsid w:val="5A8F0385"/>
    <w:rsid w:val="5AA60A7D"/>
    <w:rsid w:val="5AB22BAC"/>
    <w:rsid w:val="5B2E750F"/>
    <w:rsid w:val="5B6341C3"/>
    <w:rsid w:val="5B721E85"/>
    <w:rsid w:val="5BFD69A3"/>
    <w:rsid w:val="5CC74453"/>
    <w:rsid w:val="5D41435A"/>
    <w:rsid w:val="5DD72473"/>
    <w:rsid w:val="5EC450EE"/>
    <w:rsid w:val="60C9248E"/>
    <w:rsid w:val="613737E4"/>
    <w:rsid w:val="6265548D"/>
    <w:rsid w:val="634D66C7"/>
    <w:rsid w:val="635C3B47"/>
    <w:rsid w:val="646863BA"/>
    <w:rsid w:val="65E6594A"/>
    <w:rsid w:val="66682803"/>
    <w:rsid w:val="66CE5F3A"/>
    <w:rsid w:val="68122928"/>
    <w:rsid w:val="68D93CAA"/>
    <w:rsid w:val="6A0E36C1"/>
    <w:rsid w:val="6AC62687"/>
    <w:rsid w:val="6B543355"/>
    <w:rsid w:val="6B5477F9"/>
    <w:rsid w:val="6CFB58C9"/>
    <w:rsid w:val="6D584FD7"/>
    <w:rsid w:val="6DC5334B"/>
    <w:rsid w:val="6E290AC9"/>
    <w:rsid w:val="6E7A7577"/>
    <w:rsid w:val="6EB83BFB"/>
    <w:rsid w:val="70227EC6"/>
    <w:rsid w:val="7119579E"/>
    <w:rsid w:val="71791D68"/>
    <w:rsid w:val="71FB4625"/>
    <w:rsid w:val="72485159"/>
    <w:rsid w:val="73235A49"/>
    <w:rsid w:val="732D4BB8"/>
    <w:rsid w:val="73A12E13"/>
    <w:rsid w:val="74387CB8"/>
    <w:rsid w:val="74C652C4"/>
    <w:rsid w:val="74EE481B"/>
    <w:rsid w:val="762C1090"/>
    <w:rsid w:val="76797A09"/>
    <w:rsid w:val="769A6A08"/>
    <w:rsid w:val="76B64EC4"/>
    <w:rsid w:val="773504DF"/>
    <w:rsid w:val="7758332B"/>
    <w:rsid w:val="7893118B"/>
    <w:rsid w:val="79634FF1"/>
    <w:rsid w:val="796926C2"/>
    <w:rsid w:val="7A5A025C"/>
    <w:rsid w:val="7B8203A3"/>
    <w:rsid w:val="7C43544C"/>
    <w:rsid w:val="7CC0084B"/>
    <w:rsid w:val="7CF93D5D"/>
    <w:rsid w:val="7D074354"/>
    <w:rsid w:val="7E9C0E44"/>
    <w:rsid w:val="7E9C7095"/>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7"/>
    <w:autoRedefine/>
    <w:qFormat/>
    <w:uiPriority w:val="0"/>
    <w:pPr>
      <w:spacing w:after="120"/>
    </w:pPr>
  </w:style>
  <w:style w:type="paragraph" w:styleId="3">
    <w:name w:val="toa heading"/>
    <w:basedOn w:val="4"/>
    <w:next w:val="4"/>
    <w:autoRedefine/>
    <w:qFormat/>
    <w:uiPriority w:val="0"/>
    <w:pPr>
      <w:spacing w:before="120"/>
    </w:pPr>
    <w:rPr>
      <w:rFonts w:ascii="Arial" w:hAnsi="Arial"/>
      <w:sz w:val="24"/>
    </w:rPr>
  </w:style>
  <w:style w:type="paragraph" w:customStyle="1" w:styleId="4">
    <w:name w:val="正文_2_0_0_0"/>
    <w:basedOn w:val="5"/>
    <w:next w:val="3"/>
    <w:autoRedefine/>
    <w:qFormat/>
    <w:uiPriority w:val="0"/>
    <w:rPr>
      <w:rFonts w:ascii="Calibri" w:hAnsi="Calibri"/>
    </w:rPr>
  </w:style>
  <w:style w:type="paragraph" w:customStyle="1" w:styleId="5">
    <w:name w:val="正文_3_0_0_0"/>
    <w:next w:val="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正文_1"/>
    <w:basedOn w:val="7"/>
    <w:autoRedefine/>
    <w:qFormat/>
    <w:uiPriority w:val="0"/>
    <w:pPr>
      <w:suppressAutoHyphens/>
    </w:pPr>
    <w:rPr>
      <w:rFonts w:ascii="Calibri" w:hAnsi="Calibri" w:eastAsia="宋体;SimSun" w:cs="Calibri"/>
    </w:rPr>
  </w:style>
  <w:style w:type="paragraph" w:customStyle="1" w:styleId="7">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annotation text"/>
    <w:basedOn w:val="1"/>
    <w:link w:val="25"/>
    <w:autoRedefine/>
    <w:unhideWhenUsed/>
    <w:qFormat/>
    <w:uiPriority w:val="99"/>
    <w:pPr>
      <w:jc w:val="left"/>
    </w:pPr>
    <w:rPr>
      <w:rFonts w:ascii="Times New Roman" w:hAnsi="Times New Roman" w:cs="Times New Roman"/>
      <w:sz w:val="28"/>
    </w:rPr>
  </w:style>
  <w:style w:type="paragraph" w:styleId="9">
    <w:name w:val="Body Text Indent"/>
    <w:basedOn w:val="1"/>
    <w:next w:val="1"/>
    <w:link w:val="28"/>
    <w:autoRedefine/>
    <w:qFormat/>
    <w:uiPriority w:val="0"/>
    <w:pPr>
      <w:spacing w:line="200" w:lineRule="atLeast"/>
      <w:ind w:firstLine="301"/>
    </w:pPr>
    <w:rPr>
      <w:rFonts w:hAnsi="Courier New" w:cs="Times New Roman"/>
      <w:spacing w:val="-4"/>
      <w:sz w:val="18"/>
      <w:szCs w:val="20"/>
    </w:rPr>
  </w:style>
  <w:style w:type="paragraph" w:styleId="10">
    <w:name w:val="Plain Text"/>
    <w:basedOn w:val="1"/>
    <w:link w:val="38"/>
    <w:autoRedefine/>
    <w:semiHidden/>
    <w:unhideWhenUsed/>
    <w:qFormat/>
    <w:uiPriority w:val="99"/>
    <w:rPr>
      <w:rFonts w:hAnsi="Courier New" w:cs="Courier New" w:asciiTheme="minorEastAsia" w:eastAsiaTheme="minorEastAsia"/>
    </w:rPr>
  </w:style>
  <w:style w:type="paragraph" w:styleId="11">
    <w:name w:val="Balloon Text"/>
    <w:basedOn w:val="1"/>
    <w:link w:val="27"/>
    <w:autoRedefine/>
    <w:qFormat/>
    <w:uiPriority w:val="0"/>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kern w:val="0"/>
    </w:rPr>
  </w:style>
  <w:style w:type="paragraph" w:styleId="15">
    <w:name w:val="annotation subject"/>
    <w:basedOn w:val="8"/>
    <w:next w:val="8"/>
    <w:link w:val="35"/>
    <w:autoRedefine/>
    <w:semiHidden/>
    <w:unhideWhenUsed/>
    <w:qFormat/>
    <w:uiPriority w:val="0"/>
    <w:rPr>
      <w:rFonts w:ascii="宋体" w:hAnsi="宋体" w:cs="宋体"/>
      <w:b/>
      <w:bCs/>
      <w:sz w:val="24"/>
    </w:rPr>
  </w:style>
  <w:style w:type="paragraph" w:styleId="16">
    <w:name w:val="Body Text First Indent"/>
    <w:basedOn w:val="2"/>
    <w:next w:val="17"/>
    <w:autoRedefine/>
    <w:qFormat/>
    <w:uiPriority w:val="0"/>
    <w:pPr>
      <w:ind w:firstLine="420" w:firstLineChars="100"/>
    </w:pPr>
    <w:rPr>
      <w:rFonts w:ascii="Calibri" w:hAnsi="Calibri" w:cs="Times New Roman"/>
      <w:sz w:val="21"/>
    </w:rPr>
  </w:style>
  <w:style w:type="paragraph" w:styleId="17">
    <w:name w:val="Body Text First Indent 2"/>
    <w:basedOn w:val="9"/>
    <w:next w:val="16"/>
    <w:autoRedefine/>
    <w:unhideWhenUsed/>
    <w:qFormat/>
    <w:uiPriority w:val="99"/>
    <w:pPr>
      <w:ind w:firstLine="420"/>
    </w:p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unhideWhenUsed/>
    <w:qFormat/>
    <w:uiPriority w:val="99"/>
    <w:rPr>
      <w:color w:val="0000FF"/>
      <w:u w:val="single"/>
    </w:rPr>
  </w:style>
  <w:style w:type="character" w:styleId="22">
    <w:name w:val="annotation reference"/>
    <w:autoRedefine/>
    <w:unhideWhenUsed/>
    <w:qFormat/>
    <w:uiPriority w:val="99"/>
    <w:rPr>
      <w:sz w:val="21"/>
      <w:szCs w:val="21"/>
    </w:rPr>
  </w:style>
  <w:style w:type="character" w:customStyle="1" w:styleId="23">
    <w:name w:val="页眉 字符"/>
    <w:basedOn w:val="20"/>
    <w:link w:val="13"/>
    <w:autoRedefine/>
    <w:qFormat/>
    <w:uiPriority w:val="99"/>
    <w:rPr>
      <w:sz w:val="18"/>
      <w:szCs w:val="18"/>
    </w:rPr>
  </w:style>
  <w:style w:type="character" w:customStyle="1" w:styleId="24">
    <w:name w:val="页脚 字符"/>
    <w:basedOn w:val="20"/>
    <w:link w:val="12"/>
    <w:autoRedefine/>
    <w:qFormat/>
    <w:uiPriority w:val="99"/>
    <w:rPr>
      <w:sz w:val="18"/>
      <w:szCs w:val="18"/>
    </w:rPr>
  </w:style>
  <w:style w:type="character" w:customStyle="1" w:styleId="25">
    <w:name w:val="批注文字 字符"/>
    <w:basedOn w:val="20"/>
    <w:link w:val="8"/>
    <w:autoRedefine/>
    <w:qFormat/>
    <w:uiPriority w:val="99"/>
    <w:rPr>
      <w:rFonts w:ascii="Times New Roman" w:hAnsi="Times New Roman" w:eastAsia="宋体" w:cs="Times New Roman"/>
      <w:sz w:val="28"/>
      <w:szCs w:val="24"/>
    </w:rPr>
  </w:style>
  <w:style w:type="character" w:customStyle="1" w:styleId="26">
    <w:name w:val="正文文本缩进 字符"/>
    <w:basedOn w:val="20"/>
    <w:autoRedefine/>
    <w:qFormat/>
    <w:uiPriority w:val="0"/>
    <w:rPr>
      <w:rFonts w:ascii="宋体" w:hAnsi="宋体" w:eastAsia="宋体" w:cs="宋体"/>
      <w:sz w:val="24"/>
      <w:szCs w:val="24"/>
    </w:rPr>
  </w:style>
  <w:style w:type="character" w:customStyle="1" w:styleId="27">
    <w:name w:val="批注框文本 字符"/>
    <w:basedOn w:val="20"/>
    <w:link w:val="11"/>
    <w:autoRedefine/>
    <w:qFormat/>
    <w:uiPriority w:val="0"/>
    <w:rPr>
      <w:rFonts w:ascii="宋体" w:hAnsi="宋体" w:eastAsia="宋体" w:cs="宋体"/>
      <w:sz w:val="18"/>
      <w:szCs w:val="18"/>
    </w:rPr>
  </w:style>
  <w:style w:type="character" w:customStyle="1" w:styleId="28">
    <w:name w:val="正文文本缩进 字符1"/>
    <w:link w:val="9"/>
    <w:autoRedefine/>
    <w:qFormat/>
    <w:uiPriority w:val="0"/>
    <w:rPr>
      <w:rFonts w:ascii="宋体" w:hAnsi="Courier New" w:eastAsia="宋体" w:cs="Times New Roman"/>
      <w:spacing w:val="-4"/>
      <w:sz w:val="18"/>
      <w:szCs w:val="20"/>
    </w:rPr>
  </w:style>
  <w:style w:type="character" w:customStyle="1" w:styleId="29">
    <w:name w:val="正文文本缩进 字符2"/>
    <w:autoRedefine/>
    <w:qFormat/>
    <w:uiPriority w:val="0"/>
    <w:rPr>
      <w:rFonts w:ascii="宋体" w:hAnsi="Courier New"/>
      <w:spacing w:val="-4"/>
      <w:kern w:val="2"/>
      <w:sz w:val="18"/>
    </w:rPr>
  </w:style>
  <w:style w:type="character" w:customStyle="1" w:styleId="30">
    <w:name w:val="未处理的提及1"/>
    <w:basedOn w:val="20"/>
    <w:autoRedefine/>
    <w:semiHidden/>
    <w:unhideWhenUsed/>
    <w:qFormat/>
    <w:uiPriority w:val="99"/>
    <w:rPr>
      <w:color w:val="605E5C"/>
      <w:shd w:val="clear" w:color="auto" w:fill="E1DFDD"/>
    </w:rPr>
  </w:style>
  <w:style w:type="paragraph" w:styleId="31">
    <w:name w:val="List Paragraph"/>
    <w:basedOn w:val="1"/>
    <w:autoRedefine/>
    <w:qFormat/>
    <w:uiPriority w:val="99"/>
    <w:pPr>
      <w:ind w:firstLine="420" w:firstLineChars="200"/>
    </w:pPr>
  </w:style>
  <w:style w:type="paragraph" w:customStyle="1" w:styleId="32">
    <w:name w:val="纯文本1"/>
    <w:basedOn w:val="1"/>
    <w:next w:val="10"/>
    <w:link w:val="34"/>
    <w:autoRedefine/>
    <w:qFormat/>
    <w:uiPriority w:val="99"/>
    <w:pPr>
      <w:spacing w:before="156" w:beforeLines="50" w:after="156" w:afterLines="50" w:line="400" w:lineRule="atLeast"/>
    </w:pPr>
    <w:rPr>
      <w:rFonts w:hAnsi="Courier New" w:cs="Times New Roman"/>
    </w:rPr>
  </w:style>
  <w:style w:type="character" w:customStyle="1" w:styleId="33">
    <w:name w:val="纯文本 字符"/>
    <w:basedOn w:val="20"/>
    <w:autoRedefine/>
    <w:qFormat/>
    <w:uiPriority w:val="0"/>
    <w:rPr>
      <w:rFonts w:ascii="宋体" w:hAnsi="Courier New" w:eastAsia="宋体" w:cs="Courier New"/>
      <w:kern w:val="2"/>
      <w:sz w:val="24"/>
      <w:szCs w:val="24"/>
    </w:rPr>
  </w:style>
  <w:style w:type="character" w:customStyle="1" w:styleId="34">
    <w:name w:val="纯文本 字符1"/>
    <w:link w:val="32"/>
    <w:autoRedefine/>
    <w:qFormat/>
    <w:uiPriority w:val="99"/>
    <w:rPr>
      <w:rFonts w:ascii="宋体" w:hAnsi="Courier New" w:eastAsia="宋体" w:cs="Times New Roman"/>
      <w:kern w:val="2"/>
      <w:sz w:val="24"/>
      <w:szCs w:val="24"/>
    </w:rPr>
  </w:style>
  <w:style w:type="character" w:customStyle="1" w:styleId="35">
    <w:name w:val="批注主题 字符"/>
    <w:basedOn w:val="25"/>
    <w:link w:val="15"/>
    <w:autoRedefine/>
    <w:semiHidden/>
    <w:qFormat/>
    <w:uiPriority w:val="0"/>
    <w:rPr>
      <w:rFonts w:ascii="宋体" w:hAnsi="宋体" w:eastAsia="宋体" w:cs="宋体"/>
      <w:b/>
      <w:bCs/>
      <w:sz w:val="24"/>
      <w:szCs w:val="24"/>
    </w:rPr>
  </w:style>
  <w:style w:type="character" w:customStyle="1" w:styleId="36">
    <w:name w:val="未处理的提及2"/>
    <w:basedOn w:val="20"/>
    <w:autoRedefine/>
    <w:semiHidden/>
    <w:unhideWhenUsed/>
    <w:qFormat/>
    <w:uiPriority w:val="99"/>
    <w:rPr>
      <w:color w:val="605E5C"/>
      <w:shd w:val="clear" w:color="auto" w:fill="E1DFDD"/>
    </w:rPr>
  </w:style>
  <w:style w:type="character" w:customStyle="1" w:styleId="37">
    <w:name w:val="正文文本 字符"/>
    <w:basedOn w:val="20"/>
    <w:link w:val="2"/>
    <w:autoRedefine/>
    <w:qFormat/>
    <w:uiPriority w:val="0"/>
    <w:rPr>
      <w:rFonts w:ascii="宋体" w:hAnsi="宋体" w:eastAsia="宋体" w:cs="宋体"/>
      <w:sz w:val="24"/>
      <w:szCs w:val="24"/>
    </w:rPr>
  </w:style>
  <w:style w:type="character" w:customStyle="1" w:styleId="38">
    <w:name w:val="纯文本 字符2"/>
    <w:basedOn w:val="20"/>
    <w:link w:val="10"/>
    <w:autoRedefine/>
    <w:semiHidden/>
    <w:qFormat/>
    <w:uiPriority w:val="99"/>
    <w:rPr>
      <w:rFonts w:hAnsi="Courier New" w:cs="Courier New" w:asciiTheme="minorEastAsia"/>
      <w:sz w:val="24"/>
      <w:szCs w:val="24"/>
    </w:rPr>
  </w:style>
  <w:style w:type="table" w:customStyle="1" w:styleId="39">
    <w:name w:val="网格型1"/>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Revision"/>
    <w:autoRedefine/>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53</Pages>
  <Words>17089</Words>
  <Characters>17944</Characters>
  <Lines>1121</Lines>
  <Paragraphs>1208</Paragraphs>
  <TotalTime>46</TotalTime>
  <ScaleCrop>false</ScaleCrop>
  <LinksUpToDate>false</LinksUpToDate>
  <CharactersWithSpaces>33825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2025-07-02T12:42:00Z</dcterms:created>
  <dc:creator>j hj</dc:creator>
  <cp:lastModifiedBy>蒋晗</cp:lastModifiedBy>
  <dcterms:modified xsi:type="dcterms:W3CDTF">2025-07-03T07:33:39Z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02EF07264D2B4B64A0F8B3BA32D4F4FE_13</vt:lpwstr>
  </property>
  <property fmtid="{D5CDD505-2E9C-101B-9397-08002B2CF9AE}" pid="4" name="KSOTemplateDocerSaveRecord">
    <vt:lpwstr>eyJoZGlkIjoiM2IyYTM3NDU5MTlmNzg5OWU3NzY4ZGZlZTVhODMxZWEifQ==</vt:lpwstr>
  </property>
</Properties>
</file>