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浙江工业大学</w:t>
      </w:r>
    </w:p>
    <w:p w14:paraId="56C5EEB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高校一站式化学品与材料采购平台开发服务</w:t>
      </w:r>
    </w:p>
    <w:p w14:paraId="3266DA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08B3E0C">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037E84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浙江工业大学高校一站式化学品与材料采购平台开发服务</w:t>
      </w:r>
    </w:p>
    <w:p w14:paraId="5B6C58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QSZBH250032ZFGK</w:t>
      </w:r>
    </w:p>
    <w:p w14:paraId="19C712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人：浙江工业大学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2F04A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[2025]33774号</w:t>
      </w:r>
    </w:p>
    <w:p w14:paraId="70971B58">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0B61840">
      <w:pPr>
        <w:adjustRightInd w:val="0"/>
        <w:snapToGrid w:val="0"/>
        <w:jc w:val="center"/>
        <w:rPr>
          <w:rFonts w:ascii="仿宋" w:hAnsi="仿宋" w:eastAsia="仿宋" w:cs="仿宋"/>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06F53247">
            <w:pPr>
              <w:adjustRightInd w:val="0"/>
              <w:snapToGrid w:val="0"/>
              <w:ind w:firstLine="422" w:firstLineChars="200"/>
              <w:rPr>
                <w:rFonts w:ascii="仿宋" w:hAnsi="仿宋" w:eastAsia="仿宋" w:cs="仿宋"/>
                <w:b/>
                <w:color w:val="auto"/>
                <w:szCs w:val="21"/>
                <w:highlight w:val="none"/>
              </w:rPr>
            </w:pPr>
            <w:bookmarkStart w:id="0" w:name="_Toc35393621"/>
            <w:bookmarkStart w:id="1" w:name="_Toc35393790"/>
            <w:bookmarkStart w:id="2" w:name="_Toc28359002"/>
            <w:bookmarkStart w:id="3" w:name="_Toc28359079"/>
            <w:bookmarkStart w:id="4" w:name="_Hlk24379207"/>
            <w:r>
              <w:rPr>
                <w:rFonts w:hint="eastAsia" w:ascii="仿宋" w:hAnsi="仿宋" w:eastAsia="仿宋" w:cs="仿宋"/>
                <w:b/>
                <w:color w:val="auto"/>
                <w:szCs w:val="21"/>
                <w:highlight w:val="none"/>
              </w:rPr>
              <w:t>项目概况</w:t>
            </w:r>
          </w:p>
          <w:p w14:paraId="02CFB3E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浙江工业大学高校一站式化学品与材料采购平台开发服务</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2025年08月06日上午9:30:00（北京时间）</w:t>
            </w:r>
            <w:r>
              <w:rPr>
                <w:rFonts w:hint="eastAsia" w:ascii="仿宋" w:hAnsi="仿宋" w:eastAsia="仿宋" w:cs="仿宋"/>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QSZBH250032ZFGK</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浙江工业大学高校一站式化学品与材料采购平台开发服务</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w:t>
      </w:r>
      <w:r>
        <w:rPr>
          <w:rFonts w:hint="eastAsia" w:ascii="仿宋" w:hAnsi="仿宋" w:eastAsia="仿宋" w:cs="仿宋"/>
          <w:color w:val="auto"/>
          <w:szCs w:val="21"/>
          <w:highlight w:val="none"/>
          <w:lang w:val="en-US" w:eastAsia="zh-CN"/>
        </w:rPr>
        <w:t>600000</w:t>
      </w:r>
    </w:p>
    <w:p w14:paraId="5C9AB1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750"/>
        <w:gridCol w:w="750"/>
        <w:gridCol w:w="5278"/>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75" w:type="pct"/>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390" w:type="pct"/>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390" w:type="pct"/>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2744" w:type="pct"/>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w:t>
            </w:r>
            <w:r>
              <w:rPr>
                <w:rFonts w:hint="eastAsia" w:ascii="仿宋" w:hAnsi="仿宋" w:eastAsia="仿宋" w:cs="仿宋"/>
                <w:b/>
                <w:color w:val="auto"/>
                <w:szCs w:val="21"/>
                <w:highlight w:val="none"/>
                <w:lang w:val="en-US" w:eastAsia="zh-CN"/>
              </w:rPr>
              <w:t>服务</w:t>
            </w:r>
            <w:r>
              <w:rPr>
                <w:rFonts w:hint="eastAsia" w:ascii="仿宋" w:hAnsi="仿宋" w:eastAsia="仿宋" w:cs="仿宋"/>
                <w:b/>
                <w:color w:val="auto"/>
                <w:szCs w:val="21"/>
                <w:highlight w:val="none"/>
              </w:rPr>
              <w:t>需求</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75" w:type="pct"/>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高校一站式化学品与材料采购平台开发服务</w:t>
            </w:r>
          </w:p>
        </w:tc>
        <w:tc>
          <w:tcPr>
            <w:tcW w:w="390" w:type="pct"/>
            <w:tcBorders>
              <w:tl2br w:val="nil"/>
              <w:tr2bl w:val="nil"/>
            </w:tcBorders>
            <w:vAlign w:val="center"/>
          </w:tcPr>
          <w:p w14:paraId="7E3ACC5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390" w:type="pct"/>
            <w:tcBorders>
              <w:tl2br w:val="nil"/>
              <w:tr2bl w:val="nil"/>
            </w:tcBorders>
            <w:vAlign w:val="center"/>
          </w:tcPr>
          <w:p w14:paraId="7B194670">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2744" w:type="pct"/>
            <w:tcBorders>
              <w:right w:val="single" w:color="auto" w:sz="4" w:space="0"/>
              <w:tl2br w:val="nil"/>
              <w:tr2bl w:val="nil"/>
            </w:tcBorders>
            <w:vAlign w:val="center"/>
          </w:tcPr>
          <w:p w14:paraId="3F11251F">
            <w:pPr>
              <w:ind w:left="0" w:leftChars="0" w:right="0" w:rightChars="0" w:firstLine="0" w:firstLineChars="0"/>
              <w:jc w:val="both"/>
              <w:rPr>
                <w:rFonts w:hint="default" w:eastAsia="仿宋"/>
                <w:color w:val="auto"/>
                <w:highlight w:val="none"/>
                <w:lang w:val="en-US" w:eastAsia="zh-CN"/>
              </w:rPr>
            </w:pPr>
            <w:r>
              <w:rPr>
                <w:rFonts w:hint="default" w:eastAsia="仿宋"/>
                <w:color w:val="auto"/>
                <w:highlight w:val="none"/>
                <w:lang w:val="en-US" w:eastAsia="zh-CN"/>
              </w:rPr>
              <w:t>在现有实验室综合管理平台基础上进行迭代升级开发，基于现有实验室档案、物联网设施数据进一步构建基于实验室安防设施的智能分析能力体系和面向实验室档案溯源闭环的智能管控体系。</w:t>
            </w:r>
          </w:p>
        </w:tc>
      </w:tr>
    </w:tbl>
    <w:p w14:paraId="4618D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622"/>
      <w:bookmarkStart w:id="6" w:name="_Toc28359003"/>
      <w:bookmarkStart w:id="7" w:name="_Toc28359080"/>
      <w:bookmarkStart w:id="8" w:name="_Toc35393791"/>
    </w:p>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589E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自合同签订生效之日起90日内交付并通过验收</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szCs w:val="21"/>
          <w:highlight w:val="none"/>
        </w:rPr>
        <w:t>专门面向中小企业，服务全部由符合政策要求的中小企业承接，提供中小企业声明函。</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793"/>
      <w:bookmarkStart w:id="14" w:name="_Toc28359082"/>
      <w:bookmarkStart w:id="15" w:name="_Toc28359005"/>
      <w:bookmarkStart w:id="16" w:name="_Toc35393624"/>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2025年07月15日至2025年08月0</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2025年08月06日上午9:30:00（北京时间）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7AE88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2025年08月06日上午9:30:00（北京时间）</w:t>
      </w:r>
    </w:p>
    <w:p w14:paraId="3B6906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3</w:t>
      </w:r>
      <w:bookmarkStart w:id="50" w:name="_GoBack"/>
      <w:bookmarkEnd w:id="50"/>
    </w:p>
    <w:bookmarkEnd w:id="17"/>
    <w:p w14:paraId="127C4E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28359084"/>
      <w:bookmarkStart w:id="20" w:name="_Toc3539379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627"/>
      <w:bookmarkStart w:id="28" w:name="_Toc28359085"/>
      <w:bookmarkStart w:id="29" w:name="_Toc28359008"/>
      <w:bookmarkStart w:id="30" w:name="_Toc35393796"/>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22DC309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名称：浙江工业大学</w:t>
      </w:r>
    </w:p>
    <w:p w14:paraId="361192E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地址：杭州市潮王路18号</w:t>
      </w:r>
    </w:p>
    <w:p w14:paraId="5479D77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4FA4E3B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金老师</w:t>
      </w:r>
    </w:p>
    <w:p w14:paraId="0270EE3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85290708</w:t>
      </w:r>
    </w:p>
    <w:p w14:paraId="5BB377C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质疑联系人：马老师</w:t>
      </w:r>
    </w:p>
    <w:p w14:paraId="5E2E9BA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质疑联系方式：0571-88320626</w:t>
      </w:r>
    </w:p>
    <w:p w14:paraId="7BC677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叶鲁茂、冯增伟</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629979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37BB223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61F188F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3377320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6CA5CB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highlight w:val="none"/>
        </w:rPr>
      </w:pPr>
      <w:r>
        <w:rPr>
          <w:rFonts w:hint="eastAsia" w:ascii="仿宋" w:hAnsi="仿宋" w:eastAsia="仿宋" w:cs="仿宋"/>
          <w:color w:val="auto"/>
          <w:szCs w:val="21"/>
          <w:highlight w:val="none"/>
        </w:rPr>
        <w:t>预算金额未达100万元的采购项目，由采购人处理采购争议。</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F726B3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0D4F33C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147"/>
        <w:gridCol w:w="5819"/>
      </w:tblGrid>
      <w:tr w14:paraId="5D57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6D75666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635" w:type="pct"/>
            <w:vAlign w:val="center"/>
          </w:tcPr>
          <w:p w14:paraId="76EEE72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23" w:type="pct"/>
            <w:vAlign w:val="center"/>
          </w:tcPr>
          <w:p w14:paraId="7EC29F2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29B2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5EA2489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635" w:type="pct"/>
            <w:vAlign w:val="center"/>
          </w:tcPr>
          <w:p w14:paraId="773AB60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23" w:type="pct"/>
            <w:vAlign w:val="center"/>
          </w:tcPr>
          <w:p w14:paraId="2D6BF55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2FAC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5155FC6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635" w:type="pct"/>
            <w:vAlign w:val="center"/>
          </w:tcPr>
          <w:p w14:paraId="3F0504D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23" w:type="pct"/>
            <w:vAlign w:val="center"/>
          </w:tcPr>
          <w:p w14:paraId="1E31039F">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6D2B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6B34CFA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635" w:type="pct"/>
            <w:vAlign w:val="center"/>
          </w:tcPr>
          <w:p w14:paraId="2900F2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23" w:type="pct"/>
            <w:vAlign w:val="center"/>
          </w:tcPr>
          <w:p w14:paraId="090FFE8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不适用</w:t>
            </w:r>
          </w:p>
        </w:tc>
      </w:tr>
      <w:tr w14:paraId="699C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4C50EAB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635" w:type="pct"/>
            <w:vAlign w:val="center"/>
          </w:tcPr>
          <w:p w14:paraId="20605DE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23" w:type="pct"/>
            <w:vAlign w:val="center"/>
          </w:tcPr>
          <w:p w14:paraId="7F23889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6805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7EBC330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635" w:type="pct"/>
            <w:vAlign w:val="center"/>
          </w:tcPr>
          <w:p w14:paraId="119B7EC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23" w:type="pct"/>
            <w:vAlign w:val="center"/>
          </w:tcPr>
          <w:p w14:paraId="6DD4366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p>
          <w:p w14:paraId="2154AAC3">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Cs w:val="21"/>
                <w:highlight w:val="none"/>
                <w:lang w:val="en-US"/>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属性：服务</w:t>
            </w:r>
          </w:p>
          <w:p w14:paraId="2091534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：软件和信息技术服务业</w:t>
            </w:r>
          </w:p>
          <w:p w14:paraId="1457C75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9EB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3929460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635" w:type="pct"/>
            <w:vAlign w:val="center"/>
          </w:tcPr>
          <w:p w14:paraId="1A4680C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23" w:type="pct"/>
            <w:vAlign w:val="center"/>
          </w:tcPr>
          <w:p w14:paraId="044910E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439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0" w:type="pct"/>
            <w:vAlign w:val="center"/>
          </w:tcPr>
          <w:p w14:paraId="75E4E2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635" w:type="pct"/>
            <w:vAlign w:val="center"/>
          </w:tcPr>
          <w:p w14:paraId="28EB033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23" w:type="pct"/>
            <w:vAlign w:val="center"/>
          </w:tcPr>
          <w:p w14:paraId="1753DF2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2EFF7D66">
      <w:pPr>
        <w:adjustRightInd w:val="0"/>
        <w:snapToGrid w:val="0"/>
        <w:spacing w:line="288" w:lineRule="auto"/>
        <w:rPr>
          <w:rFonts w:ascii="仿宋" w:hAnsi="仿宋" w:eastAsia="仿宋" w:cs="仿宋"/>
          <w:b/>
          <w:color w:val="auto"/>
          <w:spacing w:val="-4"/>
          <w:szCs w:val="21"/>
          <w:highlight w:val="none"/>
        </w:rPr>
      </w:pPr>
    </w:p>
    <w:p w14:paraId="5FD5D71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712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719331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3780" w:type="pct"/>
            <w:tcBorders>
              <w:top w:val="single" w:color="auto" w:sz="4" w:space="0"/>
              <w:left w:val="single" w:color="auto" w:sz="4" w:space="0"/>
              <w:bottom w:val="single" w:color="auto" w:sz="4" w:space="0"/>
              <w:right w:val="single" w:color="auto" w:sz="4" w:space="0"/>
            </w:tcBorders>
            <w:vAlign w:val="center"/>
          </w:tcPr>
          <w:p w14:paraId="139659A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5718B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4954BD3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3780" w:type="pct"/>
            <w:tcBorders>
              <w:top w:val="single" w:color="auto" w:sz="4" w:space="0"/>
              <w:left w:val="single" w:color="auto" w:sz="4" w:space="0"/>
              <w:bottom w:val="single" w:color="auto" w:sz="4" w:space="0"/>
              <w:right w:val="single" w:color="auto" w:sz="4" w:space="0"/>
            </w:tcBorders>
            <w:vAlign w:val="center"/>
          </w:tcPr>
          <w:p w14:paraId="4C00853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rPr>
            </w:pPr>
            <w:r>
              <w:rPr>
                <w:rFonts w:hint="eastAsia" w:ascii="仿宋" w:hAnsi="仿宋" w:eastAsia="仿宋" w:cs="仿宋"/>
                <w:highlight w:val="none"/>
              </w:rPr>
              <w:t>合同生效以及具备实施条件后7个工作日内</w:t>
            </w:r>
            <w:r>
              <w:rPr>
                <w:rFonts w:hint="eastAsia" w:ascii="仿宋" w:hAnsi="仿宋" w:eastAsia="仿宋" w:cs="仿宋"/>
                <w:highlight w:val="none"/>
                <w:lang w:eastAsia="zh-CN"/>
              </w:rPr>
              <w:t>，</w:t>
            </w:r>
            <w:r>
              <w:rPr>
                <w:rFonts w:hint="eastAsia" w:ascii="仿宋" w:hAnsi="仿宋" w:eastAsia="仿宋" w:cs="仿宋"/>
                <w:highlight w:val="none"/>
              </w:rPr>
              <w:t>采购人向中标人支付合同总价的40%作为预付款，</w:t>
            </w:r>
            <w:r>
              <w:rPr>
                <w:rFonts w:hint="eastAsia" w:ascii="仿宋" w:hAnsi="仿宋" w:eastAsia="仿宋" w:cs="仿宋"/>
                <w:highlight w:val="none"/>
                <w:lang w:val="en-US" w:eastAsia="zh-CN"/>
              </w:rPr>
              <w:t>项目实施完成</w:t>
            </w:r>
            <w:r>
              <w:rPr>
                <w:rFonts w:hint="eastAsia" w:ascii="仿宋" w:hAnsi="仿宋" w:eastAsia="仿宋" w:cs="仿宋"/>
                <w:highlight w:val="none"/>
                <w:lang w:eastAsia="zh-CN"/>
              </w:rPr>
              <w:t>并经校级验收合格且收到中标人开具的增值税专用发票后</w:t>
            </w:r>
            <w:r>
              <w:rPr>
                <w:rFonts w:hint="eastAsia" w:ascii="仿宋" w:hAnsi="仿宋" w:eastAsia="仿宋" w:cs="仿宋"/>
                <w:highlight w:val="none"/>
              </w:rPr>
              <w:t>，采购人于7个工作日内向中标人支付剩余合同价款。</w:t>
            </w:r>
          </w:p>
          <w:p w14:paraId="7B1E27F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可降低预付款比例；如联合体投标则由</w:t>
            </w:r>
            <w:r>
              <w:rPr>
                <w:rFonts w:hint="eastAsia" w:ascii="仿宋" w:hAnsi="仿宋" w:eastAsia="仿宋" w:cs="仿宋"/>
                <w:b/>
                <w:bCs/>
                <w:sz w:val="18"/>
                <w:szCs w:val="18"/>
                <w:highlight w:val="none"/>
                <w:lang w:val="en-US" w:eastAsia="zh-CN"/>
              </w:rPr>
              <w:t>采购人</w:t>
            </w:r>
            <w:r>
              <w:rPr>
                <w:rFonts w:hint="eastAsia" w:ascii="仿宋" w:hAnsi="仿宋" w:eastAsia="仿宋" w:cs="仿宋"/>
                <w:b/>
                <w:bCs/>
                <w:sz w:val="18"/>
                <w:szCs w:val="18"/>
                <w:highlight w:val="none"/>
                <w:lang w:eastAsia="zh-CN"/>
              </w:rPr>
              <w:t>支付给联合体牵头人，联合体成员与联合体牵头人的付款方式以双方约定的为准，与</w:t>
            </w:r>
            <w:r>
              <w:rPr>
                <w:rFonts w:hint="eastAsia" w:ascii="仿宋" w:hAnsi="仿宋" w:eastAsia="仿宋" w:cs="仿宋"/>
                <w:b/>
                <w:bCs/>
                <w:sz w:val="18"/>
                <w:szCs w:val="18"/>
                <w:highlight w:val="none"/>
                <w:lang w:val="en-US" w:eastAsia="zh-CN"/>
              </w:rPr>
              <w:t>采购人</w:t>
            </w:r>
            <w:r>
              <w:rPr>
                <w:rFonts w:hint="eastAsia" w:ascii="仿宋" w:hAnsi="仿宋" w:eastAsia="仿宋" w:cs="仿宋"/>
                <w:b/>
                <w:bCs/>
                <w:sz w:val="18"/>
                <w:szCs w:val="18"/>
                <w:highlight w:val="none"/>
                <w:lang w:eastAsia="zh-CN"/>
              </w:rPr>
              <w:t>无涉。</w:t>
            </w:r>
          </w:p>
        </w:tc>
      </w:tr>
      <w:tr w14:paraId="0741A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0FD4A3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3780" w:type="pct"/>
            <w:tcBorders>
              <w:top w:val="single" w:color="auto" w:sz="4" w:space="0"/>
              <w:left w:val="single" w:color="auto" w:sz="4" w:space="0"/>
              <w:bottom w:val="single" w:color="auto" w:sz="4" w:space="0"/>
              <w:right w:val="single" w:color="auto" w:sz="4" w:space="0"/>
            </w:tcBorders>
            <w:vAlign w:val="center"/>
          </w:tcPr>
          <w:p w14:paraId="63BEA86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1.比例：</w:t>
            </w:r>
            <w:r>
              <w:rPr>
                <w:rFonts w:hint="eastAsia" w:ascii="仿宋" w:hAnsi="仿宋" w:eastAsia="仿宋" w:cs="仿宋"/>
                <w:color w:val="auto"/>
                <w:highlight w:val="none"/>
                <w:lang w:eastAsia="zh-CN"/>
              </w:rPr>
              <w:t>合同金额的1%</w:t>
            </w:r>
            <w:r>
              <w:rPr>
                <w:rFonts w:hint="eastAsia" w:ascii="仿宋" w:hAnsi="仿宋" w:eastAsia="仿宋" w:cs="仿宋"/>
                <w:color w:val="auto"/>
                <w:highlight w:val="none"/>
              </w:rPr>
              <w:t>；</w:t>
            </w:r>
          </w:p>
          <w:p w14:paraId="31DEE2A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2.提交方式：支票、汇票、本票或者金融机构、担保机构出具的保函等非现金形式；</w:t>
            </w:r>
          </w:p>
          <w:p w14:paraId="33A6D91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rPr>
            </w:pPr>
            <w:r>
              <w:rPr>
                <w:rFonts w:hint="eastAsia" w:ascii="仿宋" w:hAnsi="仿宋" w:eastAsia="仿宋" w:cs="仿宋"/>
                <w:color w:val="auto"/>
                <w:highlight w:val="none"/>
              </w:rPr>
              <w:t>3.提交时间：收到采购人发出的签订合同要约后7天内；</w:t>
            </w:r>
          </w:p>
          <w:p w14:paraId="72F2C83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rPr>
              <w:t>4.退还时间及条件：合同履约期间无违约情形的，</w:t>
            </w:r>
            <w:r>
              <w:rPr>
                <w:rFonts w:hint="eastAsia" w:ascii="仿宋" w:hAnsi="仿宋" w:eastAsia="仿宋" w:cs="仿宋"/>
                <w:color w:val="auto"/>
                <w:highlight w:val="none"/>
                <w:lang w:eastAsia="zh-CN"/>
              </w:rPr>
              <w:t>项目经校级验收合格后</w:t>
            </w:r>
            <w:r>
              <w:rPr>
                <w:rFonts w:hint="eastAsia" w:ascii="仿宋" w:hAnsi="仿宋" w:eastAsia="仿宋" w:cs="仿宋"/>
                <w:color w:val="auto"/>
                <w:highlight w:val="none"/>
                <w:lang w:val="en-US" w:eastAsia="zh-CN"/>
              </w:rPr>
              <w:t>浙江工业大学</w:t>
            </w:r>
            <w:r>
              <w:rPr>
                <w:rFonts w:hint="eastAsia" w:ascii="仿宋" w:hAnsi="仿宋" w:eastAsia="仿宋" w:cs="仿宋"/>
                <w:color w:val="auto"/>
                <w:highlight w:val="none"/>
                <w:lang w:eastAsia="zh-CN"/>
              </w:rPr>
              <w:t>财务部门及时无息退还。如校级验收未通过，履约保证金不予退还。</w:t>
            </w:r>
          </w:p>
        </w:tc>
      </w:tr>
    </w:tbl>
    <w:p w14:paraId="363F206C">
      <w:pPr>
        <w:adjustRightInd w:val="0"/>
        <w:snapToGrid w:val="0"/>
        <w:spacing w:line="288" w:lineRule="auto"/>
        <w:rPr>
          <w:rFonts w:ascii="仿宋" w:hAnsi="仿宋" w:eastAsia="仿宋" w:cs="仿宋"/>
          <w:color w:val="auto"/>
          <w:spacing w:val="-4"/>
          <w:szCs w:val="21"/>
          <w:highlight w:val="none"/>
        </w:rPr>
      </w:pPr>
    </w:p>
    <w:p w14:paraId="68D1D6B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38"/>
        <w:gridCol w:w="7190"/>
      </w:tblGrid>
      <w:tr w14:paraId="637D2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0AA8C69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3733" w:type="pct"/>
            <w:tcBorders>
              <w:top w:val="single" w:color="auto" w:sz="4" w:space="0"/>
              <w:left w:val="single" w:color="auto" w:sz="4" w:space="0"/>
              <w:bottom w:val="single" w:color="auto" w:sz="4" w:space="0"/>
              <w:right w:val="single" w:color="auto" w:sz="4" w:space="0"/>
            </w:tcBorders>
            <w:vAlign w:val="center"/>
          </w:tcPr>
          <w:p w14:paraId="1C739DB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w:t>
            </w:r>
            <w:r>
              <w:rPr>
                <w:rFonts w:hint="eastAsia" w:ascii="仿宋" w:hAnsi="仿宋" w:eastAsia="仿宋" w:cs="仿宋"/>
                <w:color w:val="auto"/>
                <w:szCs w:val="21"/>
                <w:highlight w:val="none"/>
                <w:lang w:val="en-US" w:eastAsia="zh-CN"/>
              </w:rPr>
              <w:t>90</w:t>
            </w:r>
            <w:r>
              <w:rPr>
                <w:rFonts w:hint="eastAsia" w:ascii="仿宋" w:hAnsi="仿宋" w:eastAsia="仿宋" w:cs="仿宋"/>
                <w:color w:val="auto"/>
                <w:szCs w:val="21"/>
                <w:highlight w:val="none"/>
                <w:lang w:eastAsia="zh-CN"/>
              </w:rPr>
              <w:t>日内交付并通过验收</w:t>
            </w:r>
          </w:p>
        </w:tc>
      </w:tr>
      <w:tr w14:paraId="41FD9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160FB8D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3733" w:type="pct"/>
            <w:tcBorders>
              <w:top w:val="single" w:color="auto" w:sz="4" w:space="0"/>
              <w:left w:val="single" w:color="auto" w:sz="4" w:space="0"/>
              <w:bottom w:val="single" w:color="auto" w:sz="4" w:space="0"/>
              <w:right w:val="single" w:color="auto" w:sz="4" w:space="0"/>
            </w:tcBorders>
            <w:vAlign w:val="center"/>
          </w:tcPr>
          <w:p w14:paraId="4FF57D91">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616D1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0CF9B64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免费维护期</w:t>
            </w:r>
          </w:p>
        </w:tc>
        <w:tc>
          <w:tcPr>
            <w:tcW w:w="3733" w:type="pct"/>
            <w:tcBorders>
              <w:top w:val="single" w:color="auto" w:sz="4" w:space="0"/>
              <w:left w:val="single" w:color="auto" w:sz="4" w:space="0"/>
              <w:bottom w:val="single" w:color="auto" w:sz="4" w:space="0"/>
              <w:right w:val="single" w:color="auto" w:sz="4" w:space="0"/>
            </w:tcBorders>
            <w:vAlign w:val="center"/>
          </w:tcPr>
          <w:p w14:paraId="23D4876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项目经校级验收合格后</w:t>
            </w:r>
            <w:r>
              <w:rPr>
                <w:rFonts w:hint="eastAsia" w:ascii="仿宋" w:hAnsi="仿宋" w:eastAsia="仿宋" w:cs="仿宋"/>
                <w:color w:val="auto"/>
                <w:szCs w:val="21"/>
                <w:highlight w:val="none"/>
              </w:rPr>
              <w:t>开始计算）</w:t>
            </w:r>
          </w:p>
        </w:tc>
      </w:tr>
      <w:tr w14:paraId="1B9CF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3289D17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3733" w:type="pct"/>
            <w:tcBorders>
              <w:top w:val="single" w:color="auto" w:sz="4" w:space="0"/>
              <w:left w:val="single" w:color="auto" w:sz="4" w:space="0"/>
              <w:bottom w:val="single" w:color="auto" w:sz="4" w:space="0"/>
              <w:right w:val="single" w:color="auto" w:sz="4" w:space="0"/>
            </w:tcBorders>
            <w:vAlign w:val="center"/>
          </w:tcPr>
          <w:p w14:paraId="7E40CC4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default" w:ascii="仿宋" w:hAnsi="仿宋" w:eastAsia="仿宋" w:cs="仿宋"/>
                <w:color w:val="auto"/>
                <w:highlight w:val="none"/>
                <w:lang w:val="en-US" w:eastAsia="zh-CN"/>
              </w:rPr>
              <w:t>项目启动后</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配合</w:t>
            </w:r>
            <w:r>
              <w:rPr>
                <w:rFonts w:hint="eastAsia" w:ascii="仿宋" w:hAnsi="仿宋" w:eastAsia="仿宋" w:cs="仿宋"/>
                <w:color w:val="auto"/>
                <w:highlight w:val="none"/>
                <w:lang w:val="en-US" w:eastAsia="zh-CN"/>
              </w:rPr>
              <w:t>并</w:t>
            </w:r>
            <w:r>
              <w:rPr>
                <w:rFonts w:hint="default" w:ascii="仿宋" w:hAnsi="仿宋" w:eastAsia="仿宋" w:cs="仿宋"/>
                <w:color w:val="auto"/>
                <w:highlight w:val="none"/>
                <w:lang w:val="en-US" w:eastAsia="zh-CN"/>
              </w:rPr>
              <w:t>允许采购人及相关工作人员参与项目开发及</w:t>
            </w:r>
            <w:r>
              <w:rPr>
                <w:rFonts w:hint="eastAsia" w:ascii="仿宋" w:hAnsi="仿宋" w:eastAsia="仿宋" w:cs="仿宋"/>
                <w:color w:val="auto"/>
                <w:highlight w:val="none"/>
                <w:lang w:val="en-US" w:eastAsia="zh-CN"/>
              </w:rPr>
              <w:t>平台</w:t>
            </w:r>
            <w:r>
              <w:rPr>
                <w:rFonts w:hint="default" w:ascii="仿宋" w:hAnsi="仿宋" w:eastAsia="仿宋" w:cs="仿宋"/>
                <w:color w:val="auto"/>
                <w:highlight w:val="none"/>
                <w:lang w:val="en-US" w:eastAsia="zh-CN"/>
              </w:rPr>
              <w:t>整合本身必须的需求分析、初步设计、单元测试等相关工作，满足采购人提出的需求且得到书面认可后方可正式实施</w:t>
            </w:r>
            <w:r>
              <w:rPr>
                <w:rFonts w:hint="eastAsia" w:ascii="仿宋" w:hAnsi="仿宋" w:eastAsia="仿宋" w:cs="仿宋"/>
                <w:color w:val="auto"/>
                <w:highlight w:val="none"/>
                <w:lang w:val="en-US" w:eastAsia="zh-CN"/>
              </w:rPr>
              <w:t>；</w:t>
            </w:r>
          </w:p>
          <w:p w14:paraId="7D743153">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2.平台</w:t>
            </w:r>
            <w:r>
              <w:rPr>
                <w:rFonts w:hint="default" w:ascii="仿宋" w:hAnsi="仿宋" w:eastAsia="仿宋" w:cs="仿宋"/>
                <w:color w:val="auto"/>
                <w:highlight w:val="none"/>
                <w:lang w:val="en-US" w:eastAsia="zh-CN"/>
              </w:rPr>
              <w:t>开发过程及免费维护期内，在</w:t>
            </w:r>
            <w:r>
              <w:rPr>
                <w:rFonts w:hint="eastAsia" w:ascii="仿宋" w:hAnsi="仿宋" w:eastAsia="仿宋" w:cs="仿宋"/>
                <w:color w:val="auto"/>
                <w:highlight w:val="none"/>
                <w:lang w:val="en-US" w:eastAsia="zh-CN"/>
              </w:rPr>
              <w:t>平台</w:t>
            </w:r>
            <w:r>
              <w:rPr>
                <w:rFonts w:hint="default" w:ascii="仿宋" w:hAnsi="仿宋" w:eastAsia="仿宋" w:cs="仿宋"/>
                <w:color w:val="auto"/>
                <w:highlight w:val="none"/>
                <w:lang w:val="en-US" w:eastAsia="zh-CN"/>
              </w:rPr>
              <w:t>大模块不变的情况下，根据</w:t>
            </w:r>
            <w:r>
              <w:rPr>
                <w:rFonts w:hint="eastAsia" w:ascii="仿宋" w:hAnsi="仿宋" w:eastAsia="仿宋" w:cs="仿宋"/>
                <w:color w:val="auto"/>
                <w:highlight w:val="none"/>
                <w:lang w:val="en-US" w:eastAsia="zh-CN"/>
              </w:rPr>
              <w:t>采购人</w:t>
            </w:r>
            <w:r>
              <w:rPr>
                <w:rFonts w:hint="default" w:ascii="仿宋" w:hAnsi="仿宋" w:eastAsia="仿宋" w:cs="仿宋"/>
                <w:color w:val="auto"/>
                <w:highlight w:val="none"/>
                <w:lang w:val="en-US" w:eastAsia="zh-CN"/>
              </w:rPr>
              <w:t>实际使用需求</w:t>
            </w:r>
            <w:r>
              <w:rPr>
                <w:rFonts w:hint="eastAsia" w:ascii="仿宋" w:hAnsi="仿宋" w:eastAsia="仿宋" w:cs="仿宋"/>
                <w:color w:val="auto"/>
                <w:highlight w:val="none"/>
                <w:lang w:val="en-US" w:eastAsia="zh-CN"/>
              </w:rPr>
              <w:t>使</w:t>
            </w:r>
            <w:r>
              <w:rPr>
                <w:rFonts w:hint="default" w:ascii="仿宋" w:hAnsi="仿宋" w:eastAsia="仿宋" w:cs="仿宋"/>
                <w:color w:val="auto"/>
                <w:highlight w:val="none"/>
                <w:lang w:val="en-US" w:eastAsia="zh-CN"/>
              </w:rPr>
              <w:t>各子系统功能变更及新增功能工作量增加30%以内的情形，中标人</w:t>
            </w:r>
            <w:r>
              <w:rPr>
                <w:rFonts w:hint="eastAsia" w:ascii="仿宋" w:hAnsi="仿宋" w:eastAsia="仿宋" w:cs="仿宋"/>
                <w:color w:val="auto"/>
                <w:highlight w:val="none"/>
                <w:lang w:val="en-US" w:eastAsia="zh-CN"/>
              </w:rPr>
              <w:t>需</w:t>
            </w:r>
            <w:r>
              <w:rPr>
                <w:rFonts w:hint="default" w:ascii="仿宋" w:hAnsi="仿宋" w:eastAsia="仿宋" w:cs="仿宋"/>
                <w:color w:val="auto"/>
                <w:highlight w:val="none"/>
                <w:lang w:val="en-US" w:eastAsia="zh-CN"/>
              </w:rPr>
              <w:t>无偿完成采购人提出的需求</w:t>
            </w:r>
            <w:r>
              <w:rPr>
                <w:rFonts w:hint="eastAsia" w:ascii="仿宋" w:hAnsi="仿宋" w:eastAsia="仿宋" w:cs="仿宋"/>
                <w:color w:val="auto"/>
                <w:highlight w:val="none"/>
                <w:lang w:val="en-US" w:eastAsia="zh-CN"/>
              </w:rPr>
              <w:t>；</w:t>
            </w:r>
          </w:p>
          <w:p w14:paraId="4BD67F7A">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3.提供1人驻场的技术支持服务（费用包含在投标总价中），服务期为验收通过后6个月；</w:t>
            </w:r>
          </w:p>
          <w:p w14:paraId="1C8258A2">
            <w:pP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4.售后服务</w:t>
            </w:r>
          </w:p>
          <w:p w14:paraId="41BF8DC6">
            <w:pPr>
              <w:rPr>
                <w:rFonts w:hint="default" w:ascii="仿宋" w:hAnsi="仿宋" w:eastAsia="仿宋" w:cs="仿宋"/>
                <w:color w:val="auto"/>
                <w:highlight w:val="none"/>
                <w:lang w:val="en-US" w:eastAsia="zh-CN"/>
              </w:rPr>
            </w:pPr>
            <w:r>
              <w:rPr>
                <w:rFonts w:hint="eastAsia" w:ascii="仿宋" w:hAnsi="仿宋" w:eastAsia="仿宋" w:cs="仿宋"/>
                <w:b w:val="0"/>
                <w:bCs w:val="0"/>
                <w:color w:val="auto"/>
                <w:szCs w:val="21"/>
                <w:highlight w:val="none"/>
                <w:lang w:val="en-US" w:eastAsia="zh-CN"/>
              </w:rPr>
              <w:t>4.1 免费维护期内：提供包括但不仅限于系统维护、应急维护、完善修改、软件迁移、系统更新等技术支持服务（费用包含在投标总价中），因不能排除的故障而影响工作的情况每发生一次，其免费维护期相应延长60天，因平台本身缺陷造成的各种故障由中标人免费负责解决</w:t>
            </w:r>
            <w:r>
              <w:rPr>
                <w:rFonts w:hint="default" w:ascii="仿宋" w:hAnsi="仿宋" w:eastAsia="仿宋" w:cs="仿宋"/>
                <w:color w:val="auto"/>
                <w:highlight w:val="none"/>
                <w:lang w:val="en-US" w:eastAsia="zh-CN"/>
              </w:rPr>
              <w:t>，否则将扣除履约保证金作为对采购人的补偿</w:t>
            </w:r>
            <w:r>
              <w:rPr>
                <w:rFonts w:hint="eastAsia" w:ascii="仿宋" w:hAnsi="仿宋" w:eastAsia="仿宋" w:cs="仿宋"/>
                <w:color w:val="auto"/>
                <w:highlight w:val="none"/>
                <w:lang w:val="en-US" w:eastAsia="zh-CN"/>
              </w:rPr>
              <w:t>；</w:t>
            </w:r>
          </w:p>
          <w:p w14:paraId="093B814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4.</w:t>
            </w:r>
            <w:r>
              <w:rPr>
                <w:rFonts w:hint="eastAsia" w:ascii="仿宋" w:hAnsi="仿宋" w:eastAsia="仿宋" w:cs="仿宋"/>
                <w:color w:val="auto"/>
                <w:highlight w:val="none"/>
                <w:lang w:val="en-US" w:eastAsia="zh-CN"/>
              </w:rPr>
              <w:t xml:space="preserve">2 </w:t>
            </w:r>
            <w:r>
              <w:rPr>
                <w:rFonts w:hint="default" w:ascii="仿宋" w:hAnsi="仿宋" w:eastAsia="仿宋" w:cs="仿宋"/>
                <w:color w:val="auto"/>
                <w:highlight w:val="none"/>
                <w:lang w:val="en-US" w:eastAsia="zh-CN"/>
              </w:rPr>
              <w:t>免费维护期满后</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实行有偿服务，年运维服务费不得超过中标金额的8%，免人工费、差旅费</w:t>
            </w:r>
            <w:r>
              <w:rPr>
                <w:rFonts w:hint="eastAsia" w:ascii="仿宋" w:hAnsi="仿宋" w:eastAsia="仿宋" w:cs="仿宋"/>
                <w:color w:val="auto"/>
                <w:highlight w:val="none"/>
                <w:lang w:val="en-US" w:eastAsia="zh-CN"/>
              </w:rPr>
              <w:t>；</w:t>
            </w:r>
          </w:p>
          <w:p w14:paraId="49518D8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4.3 接到问题反馈后1小时内响应、24小时内解决问题，如遇需要上门排除故障的则在48小时内安排工程师上门服务；</w:t>
            </w:r>
          </w:p>
          <w:p w14:paraId="364103E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4.4 </w:t>
            </w:r>
            <w:r>
              <w:rPr>
                <w:rFonts w:hint="eastAsia" w:ascii="仿宋" w:hAnsi="仿宋" w:eastAsia="仿宋" w:cs="仿宋"/>
                <w:b w:val="0"/>
                <w:bCs w:val="0"/>
                <w:color w:val="auto"/>
                <w:szCs w:val="21"/>
                <w:highlight w:val="none"/>
                <w:lang w:val="en-US" w:eastAsia="zh-CN"/>
              </w:rPr>
              <w:t>售后服务方案完善，包括</w:t>
            </w:r>
            <w:r>
              <w:rPr>
                <w:rFonts w:hint="eastAsia" w:ascii="仿宋" w:hAnsi="仿宋" w:eastAsia="仿宋" w:cs="仿宋"/>
                <w:szCs w:val="21"/>
              </w:rPr>
              <w:t>免费维护期内服务内容[定期走访或远程维护时间区间、周期和详细规划（方式、人员、维护内容）、重大事项及时响应（不同响应级别人员、时间、内容）、服务请求方式（即时和非即时）、服务请求流程]、免费维护期外服务内容[定期走访或远程维护收费服务时间区间、周期和详细规划（方式、人员、维护内容）、重大事项及时响应（不同响应级别人员、时间、内容）]、运行服务档案、用户投诉受理</w:t>
            </w:r>
            <w:r>
              <w:rPr>
                <w:rFonts w:hint="eastAsia" w:ascii="仿宋" w:hAnsi="仿宋" w:eastAsia="仿宋" w:cs="仿宋"/>
                <w:szCs w:val="21"/>
                <w:lang w:val="en-US" w:eastAsia="zh-CN"/>
              </w:rPr>
              <w:t>等</w:t>
            </w:r>
            <w:r>
              <w:rPr>
                <w:rFonts w:hint="eastAsia" w:ascii="仿宋" w:hAnsi="仿宋" w:eastAsia="仿宋" w:cs="仿宋"/>
                <w:color w:val="auto"/>
                <w:sz w:val="21"/>
                <w:szCs w:val="21"/>
                <w:highlight w:val="none"/>
                <w:lang w:eastAsia="zh-CN"/>
              </w:rPr>
              <w:t>。</w:t>
            </w:r>
          </w:p>
        </w:tc>
      </w:tr>
      <w:tr w14:paraId="6BE4F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5A0C7F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3733" w:type="pct"/>
            <w:tcBorders>
              <w:top w:val="single" w:color="auto" w:sz="4" w:space="0"/>
              <w:left w:val="single" w:color="auto" w:sz="4" w:space="0"/>
              <w:bottom w:val="single" w:color="auto" w:sz="4" w:space="0"/>
              <w:right w:val="single" w:color="auto" w:sz="4" w:space="0"/>
            </w:tcBorders>
            <w:vAlign w:val="center"/>
          </w:tcPr>
          <w:p w14:paraId="20AB687B">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.培训</w:t>
            </w:r>
          </w:p>
          <w:p w14:paraId="5A4EDAF0">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val="en-US" w:eastAsia="zh-CN"/>
              </w:rPr>
              <w:t>平台</w:t>
            </w:r>
            <w:r>
              <w:rPr>
                <w:rFonts w:hint="eastAsia" w:ascii="仿宋" w:hAnsi="仿宋" w:eastAsia="仿宋" w:cs="仿宋"/>
                <w:color w:val="auto"/>
                <w:szCs w:val="21"/>
                <w:highlight w:val="none"/>
              </w:rPr>
              <w:t>上线后安排集中培训，培训涉及的电子培训材料及培训师由中标人提供；</w:t>
            </w:r>
          </w:p>
          <w:p w14:paraId="30218645">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 xml:space="preserve">.2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highlight w:val="none"/>
                <w:lang w:eastAsia="zh-CN"/>
              </w:rPr>
              <w:t>；</w:t>
            </w:r>
          </w:p>
          <w:p w14:paraId="613BB6A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培训计划科学</w:t>
            </w:r>
            <w:r>
              <w:rPr>
                <w:rFonts w:hint="eastAsia" w:ascii="仿宋" w:hAnsi="仿宋" w:eastAsia="仿宋" w:cs="仿宋"/>
                <w:color w:val="auto"/>
                <w:szCs w:val="21"/>
                <w:highlight w:val="none"/>
              </w:rPr>
              <w:t>，包括培训目标、培训内容（一般使用人员功能操作培训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管理员维护操作培训</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）、培训时间与地点、培训方式、培训师资、培训后跟进（效果跟踪、复训计划、技术支持等）等</w:t>
            </w:r>
            <w:r>
              <w:rPr>
                <w:rFonts w:hint="eastAsia" w:ascii="仿宋" w:hAnsi="仿宋" w:eastAsia="仿宋" w:cs="仿宋"/>
                <w:color w:val="auto"/>
                <w:sz w:val="21"/>
                <w:szCs w:val="21"/>
                <w:highlight w:val="none"/>
                <w:lang w:eastAsia="zh-CN"/>
              </w:rPr>
              <w:t>。</w:t>
            </w:r>
          </w:p>
          <w:p w14:paraId="1913A4D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2.知识产权</w:t>
            </w:r>
          </w:p>
          <w:p w14:paraId="0D9D362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 定制开发软件部分的所有权和知识产权归采购人所有；</w:t>
            </w:r>
          </w:p>
          <w:p w14:paraId="091579E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 涉及的源代码（含免费维护期内的后续升级版本）遵循相关标准和规范并无条件提交给采购人；</w:t>
            </w:r>
          </w:p>
          <w:p w14:paraId="3FEA202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 涉及接口的遵循相关标准和规范，向下部署的无条件开放所有接口且满足国家共享相关规定要求，中标人有义务配合采购人做好有关信息共享工作；</w:t>
            </w:r>
          </w:p>
          <w:p w14:paraId="413FA2F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 在开发、使用和维护过程中接触到的采购人所有资料，未经采购人授权代表书面许可，不得留存、私自查阅及向任何第三方泄露；</w:t>
            </w:r>
          </w:p>
          <w:p w14:paraId="4EC008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 设计开发专利申请权、技术秘密的使用权和转让权及成果（包括计算机软件、技术诀窍、秘密信息、技术资料和文件等）归采购人所有；</w:t>
            </w:r>
          </w:p>
          <w:p w14:paraId="52E443F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 保证采购人在使用、接受服务或其任何一部分时不受第三方提出侵犯其专利权、版权、商标权和工业设计权等知识产权的起诉，一旦出现侵权，由中标人负全部责任。</w:t>
            </w:r>
          </w:p>
          <w:p w14:paraId="459D6DB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▲3.遵守浙江工业大学《化学品与材料采购平台供货商管理办法》（浙工大资〔2021〕1号），不参与化学品与耗材供应商管理；</w:t>
            </w:r>
          </w:p>
          <w:p w14:paraId="75FE37A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▲4.不得以任何理由向入驻平台的供应商收取费用；</w:t>
            </w:r>
          </w:p>
          <w:p w14:paraId="10DF5B61">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5.平台建设完成后通过国家信息安全等级保护2.0二级标准，验收时提交相应测评报告</w:t>
            </w:r>
            <w:r>
              <w:rPr>
                <w:rFonts w:hint="eastAsia" w:ascii="仿宋" w:hAnsi="仿宋" w:eastAsia="仿宋" w:cs="仿宋"/>
                <w:b w:val="0"/>
                <w:bCs w:val="0"/>
                <w:color w:val="auto"/>
                <w:szCs w:val="21"/>
                <w:highlight w:val="none"/>
                <w:lang w:val="en-US" w:eastAsia="zh-CN"/>
              </w:rPr>
              <w:t>（费用包含在投标总价中）。</w:t>
            </w:r>
          </w:p>
        </w:tc>
      </w:tr>
      <w:tr w14:paraId="5DF37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0B4818C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3733" w:type="pct"/>
            <w:tcBorders>
              <w:top w:val="single" w:color="auto" w:sz="4" w:space="0"/>
              <w:left w:val="single" w:color="auto" w:sz="4" w:space="0"/>
              <w:bottom w:val="single" w:color="auto" w:sz="4" w:space="0"/>
              <w:right w:val="single" w:color="auto" w:sz="4" w:space="0"/>
            </w:tcBorders>
            <w:vAlign w:val="center"/>
          </w:tcPr>
          <w:p w14:paraId="38F3203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2E30A30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6FFC27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55E5783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中标人提供的技术规格、经采购人认可的有效检验文件；</w:t>
            </w:r>
          </w:p>
          <w:p w14:paraId="11967DC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中标人投标文件中提供的经采购人认可的验收标准（符合中国有关的国家、地方、行业标准）和检测办法及相应检测手段；</w:t>
            </w:r>
          </w:p>
          <w:p w14:paraId="323EF3C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3.验收过程中若发现任何质量问题，中标人负责妥善处理直至采购人满意，由此产生的费用由中标人承担；</w:t>
            </w:r>
          </w:p>
          <w:p w14:paraId="63F803E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1FB5D0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4.1 符合产品标准和招标文件及合同的要求；</w:t>
            </w:r>
          </w:p>
          <w:p w14:paraId="51E207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52EE5DA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4.3 完成项目成果在采购人单位本地化部署；</w:t>
            </w:r>
          </w:p>
          <w:p w14:paraId="691F2EC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所有提供的服务符合采购人要求并获得认可；</w:t>
            </w:r>
          </w:p>
          <w:p w14:paraId="72580C4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4.5 所有相关的技术文件及资料均已提交并得到采购人认可。</w:t>
            </w:r>
          </w:p>
        </w:tc>
      </w:tr>
      <w:tr w14:paraId="79B5E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7BF89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其他</w:t>
            </w:r>
          </w:p>
        </w:tc>
        <w:tc>
          <w:tcPr>
            <w:tcW w:w="3733" w:type="pct"/>
            <w:tcBorders>
              <w:top w:val="single" w:color="auto" w:sz="4" w:space="0"/>
              <w:left w:val="single" w:color="auto" w:sz="4" w:space="0"/>
              <w:bottom w:val="single" w:color="auto" w:sz="4" w:space="0"/>
              <w:right w:val="single" w:color="auto" w:sz="4" w:space="0"/>
            </w:tcBorders>
            <w:shd w:val="clear" w:color="auto" w:fill="auto"/>
            <w:vAlign w:val="center"/>
          </w:tcPr>
          <w:p w14:paraId="374CE6A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370AC70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6D267E1">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054E22F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rPr>
        <w:t>如涉及国家标准及规范、行业标准及规范、</w:t>
      </w:r>
      <w:r>
        <w:rPr>
          <w:rFonts w:hint="eastAsia" w:ascii="仿宋" w:hAnsi="仿宋" w:eastAsia="仿宋" w:cs="仿宋"/>
          <w:color w:val="auto"/>
          <w:szCs w:val="21"/>
          <w:highlight w:val="none"/>
          <w:lang w:val="en-US" w:eastAsia="zh-CN"/>
        </w:rPr>
        <w:t>地方</w:t>
      </w:r>
      <w:r>
        <w:rPr>
          <w:rFonts w:hint="eastAsia" w:ascii="仿宋" w:hAnsi="仿宋" w:eastAsia="仿宋" w:cs="仿宋"/>
          <w:color w:val="auto"/>
          <w:szCs w:val="21"/>
          <w:highlight w:val="none"/>
        </w:rPr>
        <w:t>标准及规范</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其它标准及规范，则按最新相关标准及规范执行，上述标准及规范如有不一致，则以更严格者为准；</w:t>
      </w:r>
    </w:p>
    <w:bookmarkEnd w:id="33"/>
    <w:p w14:paraId="2FEC986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bCs/>
          <w:color w:val="auto"/>
          <w:szCs w:val="21"/>
          <w:highlight w:val="none"/>
          <w:lang w:eastAsia="zh-CN"/>
        </w:rPr>
        <w:t>：</w:t>
      </w:r>
    </w:p>
    <w:p w14:paraId="02167D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Cs w:val="21"/>
          <w:highlight w:val="none"/>
          <w:lang w:val="en-US" w:eastAsia="zh-CN"/>
        </w:rPr>
        <w:t xml:space="preserve">2.1 </w:t>
      </w:r>
      <w:r>
        <w:rPr>
          <w:rFonts w:hint="eastAsia" w:ascii="仿宋" w:hAnsi="仿宋" w:eastAsia="仿宋" w:cs="仿宋"/>
          <w:color w:val="auto"/>
          <w:highlight w:val="none"/>
          <w:lang w:val="en-US" w:eastAsia="zh-CN"/>
        </w:rPr>
        <w:t>基于实验室数据对象构建一个一站式的化学品与材料采购平台，实现教学科研试剂耗材采购的全流程透明化、溯源化和规范化及危险化学品从采购、审批、入库、领用、盘点到处置的全生命周期管理，有利于学校完成实验室安全全流程管控的目标；基于实验室管理平台中的实验室数据，打通学校组织、人员信息，构造实验室化学品与材料采购的一站式商城平台并实现实验室化学品库存数字化动态管理及财务报销无纸化统一结算；</w:t>
      </w:r>
    </w:p>
    <w:p w14:paraId="4CCD9E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
          <w:bCs/>
          <w:color w:val="auto"/>
          <w:szCs w:val="21"/>
          <w:highlight w:val="none"/>
          <w:lang w:eastAsia="zh-CN"/>
        </w:rPr>
      </w:pPr>
      <w:r>
        <w:rPr>
          <w:rFonts w:hint="eastAsia" w:ascii="仿宋" w:hAnsi="仿宋" w:eastAsia="仿宋" w:cs="仿宋"/>
          <w:b w:val="0"/>
          <w:bCs w:val="0"/>
          <w:color w:val="auto"/>
          <w:szCs w:val="21"/>
          <w:highlight w:val="none"/>
          <w:lang w:val="en-US" w:eastAsia="zh-CN"/>
        </w:rPr>
        <w:t>2.2 负责项目实施的中标人</w:t>
      </w:r>
      <w:r>
        <w:rPr>
          <w:rFonts w:hint="eastAsia" w:ascii="仿宋" w:hAnsi="仿宋" w:eastAsia="仿宋" w:cs="仿宋"/>
          <w:b w:val="0"/>
          <w:bCs w:val="0"/>
          <w:color w:val="auto"/>
          <w:sz w:val="21"/>
          <w:szCs w:val="21"/>
          <w:highlight w:val="none"/>
          <w:lang w:val="en-US" w:eastAsia="zh-CN"/>
        </w:rPr>
        <w:t>具备</w:t>
      </w:r>
      <w:r>
        <w:rPr>
          <w:rFonts w:hint="eastAsia" w:ascii="仿宋" w:hAnsi="仿宋" w:eastAsia="仿宋" w:cs="仿宋"/>
          <w:b w:val="0"/>
          <w:bCs w:val="0"/>
          <w:color w:val="auto"/>
          <w:sz w:val="21"/>
          <w:szCs w:val="21"/>
          <w:highlight w:val="none"/>
        </w:rPr>
        <w:t>信息安全服务</w:t>
      </w:r>
      <w:r>
        <w:rPr>
          <w:rFonts w:hint="eastAsia" w:ascii="仿宋" w:hAnsi="仿宋" w:eastAsia="仿宋" w:cs="仿宋"/>
          <w:b w:val="0"/>
          <w:bCs w:val="0"/>
          <w:color w:val="auto"/>
          <w:sz w:val="21"/>
          <w:szCs w:val="21"/>
          <w:highlight w:val="none"/>
          <w:lang w:val="en-US" w:eastAsia="zh-CN"/>
        </w:rPr>
        <w:t>、信息系统建设和服务、信息技术服务运行维护能力。</w:t>
      </w:r>
    </w:p>
    <w:p w14:paraId="6832D70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3.需满足的质量、安全、技术规格、物理特性等要求</w:t>
      </w:r>
    </w:p>
    <w:p w14:paraId="46558C2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3.1 总体要求</w:t>
      </w:r>
    </w:p>
    <w:p w14:paraId="7F606D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(1)技术要求</w:t>
      </w:r>
    </w:p>
    <w:p w14:paraId="5200E7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1)平台及应用系统软件采用Java语言进行开发，遵循J2EE的技术标准，支持主流关系数据库（Oracle、武汉达梦、人大金仓）和东方通等主流中间件及JSON数据交换标准；</w:t>
      </w:r>
    </w:p>
    <w:p w14:paraId="5CB24A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2)平台或系统采用前后端分离B/S结构，后端可运行于Linux等高安全性的服务器操作系统中，所有服务均本地化部署；</w:t>
      </w:r>
    </w:p>
    <w:p w14:paraId="52490C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用B/S结构，无需另行安装插件即可支持客户端浏览器的正常使用，支持多种主流浏览器（包括IE、chrome、firefox、safari、opera、360浏览器、QQ浏览器、华为浏览器等），系统页面能满足PC、手机和平板电脑的自适应访问。</w:t>
      </w:r>
    </w:p>
    <w:p w14:paraId="5BEB05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(2)安全性：平台和系统符合我国相关部门制订的政策，对安全策略、密码与安全设备选用、网络互联、安全管理等符合我国信息安全法律法规；</w:t>
      </w:r>
    </w:p>
    <w:p w14:paraId="4E566F9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1)确保应用系统源代码安全、无漏洞；提供较完善的数据加密机制，确保数据存储和数据传输安全；提供明晰的身份鉴别和访问控制机制，按业务要求实现功能分级并对用户分级授权；</w:t>
      </w:r>
    </w:p>
    <w:p w14:paraId="72EB3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2)具备日志跟踪与分析功能，提供访问、修改、删除等的用户操作日志及丰富的查询方式供追溯和追责；</w:t>
      </w:r>
    </w:p>
    <w:p w14:paraId="4CFBD4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可靠性、稳定性、界面友好：提供事务监控手段，具备有效系统运行日志管理功能；具备可靠的数据自动、远程备份功能；具备良好的运行保障体系，提供完整的存储、备份手段及故障恢复手段，确保系统的稳定性；操作流程清晰简洁、用户界面美观大方；</w:t>
      </w:r>
    </w:p>
    <w:p w14:paraId="2FA258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设计时考虑整体安全性，从数据访问操作、用户认证、数据加密、系统安全等多个方面对体系进行安全性设计，提高系统的安全性；在设计中实现信息资源的充分共享并注意信息的保护和隔离，分别针对不同的应用和不同的环境采取不同的措施，包括系统安全机制、数据存取权限控制和数据存储加密机制；</w:t>
      </w:r>
    </w:p>
    <w:p w14:paraId="5437FB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5)需从物理安全、网络安全、系统安全、应用软件安全、数据备份安全等方面提出配套的安全体系完善方案以便防范安全风险；</w:t>
      </w:r>
    </w:p>
    <w:p w14:paraId="1A98B5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6)所提供软件满足软件正版化要求，如未满足则由中标人承担法律责任；</w:t>
      </w:r>
    </w:p>
    <w:p w14:paraId="3226E6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7)上线前需通过学校信息安全评测，对检测出的安全问题需无条件整改（</w:t>
      </w:r>
      <w:r>
        <w:rPr>
          <w:rFonts w:hint="eastAsia" w:ascii="仿宋" w:hAnsi="仿宋" w:eastAsia="仿宋" w:cs="仿宋"/>
          <w:b w:val="0"/>
          <w:bCs w:val="0"/>
          <w:color w:val="auto"/>
          <w:szCs w:val="21"/>
          <w:highlight w:val="none"/>
          <w:lang w:val="en-US" w:eastAsia="zh-CN"/>
        </w:rPr>
        <w:t>费用包含在投标总价中</w:t>
      </w:r>
      <w:r>
        <w:rPr>
          <w:rFonts w:hint="eastAsia" w:ascii="仿宋" w:hAnsi="仿宋" w:eastAsia="仿宋" w:cs="仿宋"/>
          <w:color w:val="auto"/>
          <w:highlight w:val="none"/>
          <w:lang w:val="en-US" w:eastAsia="zh-CN"/>
        </w:rPr>
        <w:t>），待所有安全问题处理完成后方可上线。</w:t>
      </w:r>
    </w:p>
    <w:p w14:paraId="77DAE30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(3)稳定性和性能</w:t>
      </w:r>
    </w:p>
    <w:p w14:paraId="02A2164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1)架构设计合理，结合必要的集群、热备等手段，保证系统不间断运行；在设计范围内保证随着系统数据量的增加，系统性能不出现显著下降；</w:t>
      </w:r>
    </w:p>
    <w:p w14:paraId="38EA15C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2)需满足年累计访问量10000人次以上，同时支持300人访问页面响应时间在3秒以内。</w:t>
      </w:r>
    </w:p>
    <w:p w14:paraId="69F35C5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(4)数据对接：需与财务系统、校统一认证、校工大钉、校人脸数据系统、库房管理系统、实验室综合管理平台、废液处理系统进行数据对接和共享（费用包含在投标总价中）</w:t>
      </w:r>
    </w:p>
    <w:p w14:paraId="63DD5A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1)财务系统、校统一认证、校工大钉、校人脸数据系统、库房管理系统对接由采购人信息中心协调；</w:t>
      </w:r>
    </w:p>
    <w:p w14:paraId="4154FE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2)实验室综合管理平台、废液处理系统开发商为浙江省公众信息产业有限公司；</w:t>
      </w:r>
    </w:p>
    <w:p w14:paraId="2C10160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3)支持按照采购人要求对接第三方系统，支持按照校工大钉消息对接机制实现工大钉消息推送；</w:t>
      </w:r>
    </w:p>
    <w:p w14:paraId="28D9F03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数据库设计遵循《浙江工业大学信息系统数据管理办法》，可实现仅对校内各部门（单位）共享,通过学校数据中心进行数据交互且不再收取额外的接口费用，如有特殊情况需与其他业务系统单独对接则说明情况并承担由此产生的相关费用。</w:t>
      </w:r>
    </w:p>
    <w:p w14:paraId="1EA9E5F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(5)支持国产环境运行；</w:t>
      </w:r>
    </w:p>
    <w:p w14:paraId="3FB1685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(6)数据备份：中标人需对平台中数据进行备份，包括定期全量数据备份和每日对数据库增量部分备份。</w:t>
      </w:r>
    </w:p>
    <w:p w14:paraId="6509693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3.2 具体要求</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89"/>
        <w:gridCol w:w="1955"/>
        <w:gridCol w:w="5058"/>
      </w:tblGrid>
      <w:tr w14:paraId="322B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shd w:val="clear" w:color="auto" w:fill="auto"/>
            <w:vAlign w:val="center"/>
          </w:tcPr>
          <w:p w14:paraId="04A446E8">
            <w:pPr>
              <w:jc w:val="center"/>
              <w:rPr>
                <w:rFonts w:hint="eastAsia" w:ascii="仿宋" w:hAnsi="仿宋" w:eastAsia="仿宋" w:cs="仿宋"/>
                <w:b/>
                <w:bCs/>
                <w:sz w:val="21"/>
                <w:szCs w:val="21"/>
              </w:rPr>
            </w:pPr>
            <w:r>
              <w:rPr>
                <w:rFonts w:hint="eastAsia" w:ascii="仿宋" w:hAnsi="仿宋" w:eastAsia="仿宋" w:cs="仿宋"/>
                <w:b/>
                <w:bCs/>
                <w:sz w:val="21"/>
                <w:szCs w:val="21"/>
              </w:rPr>
              <w:t>平台</w:t>
            </w:r>
          </w:p>
        </w:tc>
        <w:tc>
          <w:tcPr>
            <w:tcW w:w="670" w:type="pct"/>
            <w:shd w:val="clear" w:color="auto" w:fill="auto"/>
            <w:vAlign w:val="center"/>
          </w:tcPr>
          <w:p w14:paraId="4DF2EE7D">
            <w:pPr>
              <w:jc w:val="center"/>
              <w:rPr>
                <w:rFonts w:hint="eastAsia" w:ascii="仿宋" w:hAnsi="仿宋" w:eastAsia="仿宋" w:cs="仿宋"/>
                <w:b/>
                <w:bCs/>
                <w:sz w:val="21"/>
                <w:szCs w:val="21"/>
              </w:rPr>
            </w:pPr>
            <w:r>
              <w:rPr>
                <w:rFonts w:hint="eastAsia" w:ascii="仿宋" w:hAnsi="仿宋" w:eastAsia="仿宋" w:cs="仿宋"/>
                <w:b/>
                <w:bCs/>
                <w:sz w:val="21"/>
                <w:szCs w:val="21"/>
              </w:rPr>
              <w:t>系统</w:t>
            </w:r>
          </w:p>
        </w:tc>
        <w:tc>
          <w:tcPr>
            <w:tcW w:w="1016" w:type="pct"/>
            <w:shd w:val="clear" w:color="auto" w:fill="auto"/>
            <w:vAlign w:val="center"/>
          </w:tcPr>
          <w:p w14:paraId="4C445C34">
            <w:pPr>
              <w:jc w:val="center"/>
              <w:rPr>
                <w:rFonts w:hint="eastAsia" w:ascii="仿宋" w:hAnsi="仿宋" w:eastAsia="仿宋" w:cs="仿宋"/>
                <w:b/>
                <w:bCs/>
                <w:sz w:val="21"/>
                <w:szCs w:val="21"/>
              </w:rPr>
            </w:pPr>
            <w:r>
              <w:rPr>
                <w:rFonts w:hint="eastAsia" w:ascii="仿宋" w:hAnsi="仿宋" w:eastAsia="仿宋" w:cs="仿宋"/>
                <w:b/>
                <w:bCs/>
                <w:sz w:val="21"/>
                <w:szCs w:val="21"/>
              </w:rPr>
              <w:t>功能模块</w:t>
            </w:r>
          </w:p>
        </w:tc>
        <w:tc>
          <w:tcPr>
            <w:tcW w:w="2629" w:type="pct"/>
            <w:shd w:val="clear" w:color="auto" w:fill="auto"/>
            <w:vAlign w:val="center"/>
          </w:tcPr>
          <w:p w14:paraId="75F22B66">
            <w:pPr>
              <w:jc w:val="center"/>
              <w:rPr>
                <w:rFonts w:hint="eastAsia" w:ascii="仿宋" w:hAnsi="仿宋" w:eastAsia="仿宋" w:cs="仿宋"/>
                <w:b/>
                <w:bCs/>
                <w:sz w:val="21"/>
                <w:szCs w:val="21"/>
              </w:rPr>
            </w:pPr>
            <w:r>
              <w:rPr>
                <w:rFonts w:hint="eastAsia" w:ascii="仿宋" w:hAnsi="仿宋" w:eastAsia="仿宋" w:cs="仿宋"/>
                <w:b/>
                <w:bCs/>
                <w:sz w:val="21"/>
                <w:szCs w:val="21"/>
              </w:rPr>
              <w:t>开发要求</w:t>
            </w:r>
          </w:p>
        </w:tc>
      </w:tr>
      <w:tr w14:paraId="3A21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restart"/>
            <w:shd w:val="clear" w:color="auto" w:fill="auto"/>
            <w:vAlign w:val="center"/>
          </w:tcPr>
          <w:p w14:paraId="65A0A07F">
            <w:pPr>
              <w:jc w:val="center"/>
              <w:rPr>
                <w:rFonts w:hint="eastAsia" w:ascii="仿宋" w:hAnsi="仿宋" w:eastAsia="仿宋" w:cs="仿宋"/>
                <w:sz w:val="21"/>
                <w:szCs w:val="21"/>
              </w:rPr>
            </w:pPr>
            <w:r>
              <w:rPr>
                <w:rFonts w:hint="eastAsia" w:ascii="仿宋" w:hAnsi="仿宋" w:eastAsia="仿宋" w:cs="仿宋"/>
                <w:b/>
                <w:bCs/>
                <w:sz w:val="21"/>
                <w:szCs w:val="21"/>
              </w:rPr>
              <w:t>实验室采购平台PC端</w:t>
            </w:r>
          </w:p>
        </w:tc>
        <w:tc>
          <w:tcPr>
            <w:tcW w:w="670" w:type="pct"/>
            <w:shd w:val="clear" w:color="auto" w:fill="auto"/>
            <w:vAlign w:val="center"/>
          </w:tcPr>
          <w:p w14:paraId="60896C53">
            <w:pPr>
              <w:jc w:val="center"/>
              <w:rPr>
                <w:rFonts w:hint="eastAsia" w:ascii="仿宋" w:hAnsi="仿宋" w:eastAsia="仿宋" w:cs="仿宋"/>
                <w:sz w:val="21"/>
                <w:szCs w:val="21"/>
              </w:rPr>
            </w:pPr>
            <w:r>
              <w:rPr>
                <w:rFonts w:hint="eastAsia" w:ascii="仿宋" w:hAnsi="仿宋" w:eastAsia="仿宋" w:cs="仿宋"/>
                <w:sz w:val="21"/>
                <w:szCs w:val="21"/>
              </w:rPr>
              <w:t>数据工作台</w:t>
            </w:r>
          </w:p>
        </w:tc>
        <w:tc>
          <w:tcPr>
            <w:tcW w:w="1016" w:type="pct"/>
            <w:shd w:val="clear" w:color="auto" w:fill="auto"/>
            <w:vAlign w:val="center"/>
          </w:tcPr>
          <w:p w14:paraId="49E44D8B">
            <w:pPr>
              <w:jc w:val="center"/>
              <w:rPr>
                <w:rFonts w:hint="eastAsia" w:ascii="仿宋" w:hAnsi="仿宋" w:eastAsia="仿宋" w:cs="仿宋"/>
                <w:sz w:val="21"/>
                <w:szCs w:val="21"/>
              </w:rPr>
            </w:pPr>
            <w:r>
              <w:rPr>
                <w:rFonts w:hint="eastAsia" w:ascii="仿宋" w:hAnsi="仿宋" w:eastAsia="仿宋" w:cs="仿宋"/>
                <w:sz w:val="21"/>
                <w:szCs w:val="21"/>
              </w:rPr>
              <w:t>数据可视化平台</w:t>
            </w:r>
          </w:p>
        </w:tc>
        <w:tc>
          <w:tcPr>
            <w:tcW w:w="2629" w:type="pct"/>
            <w:shd w:val="clear" w:color="auto" w:fill="auto"/>
            <w:vAlign w:val="center"/>
          </w:tcPr>
          <w:p w14:paraId="6F0FD71D">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支持统计汇总系统当中的数据并支持多级数据钻取条件下的实时更新展示可视化数据在工作台上</w:t>
            </w:r>
          </w:p>
        </w:tc>
      </w:tr>
      <w:tr w14:paraId="4773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7314BF5">
            <w:pPr>
              <w:rPr>
                <w:rFonts w:hint="eastAsia" w:ascii="仿宋" w:hAnsi="仿宋" w:eastAsia="仿宋" w:cs="仿宋"/>
                <w:sz w:val="21"/>
                <w:szCs w:val="21"/>
              </w:rPr>
            </w:pPr>
          </w:p>
        </w:tc>
        <w:tc>
          <w:tcPr>
            <w:tcW w:w="670" w:type="pct"/>
            <w:vMerge w:val="restart"/>
            <w:shd w:val="clear" w:color="auto" w:fill="auto"/>
            <w:vAlign w:val="center"/>
          </w:tcPr>
          <w:p w14:paraId="6CFF37F2">
            <w:pPr>
              <w:jc w:val="center"/>
              <w:rPr>
                <w:rFonts w:hint="eastAsia" w:ascii="仿宋" w:hAnsi="仿宋" w:eastAsia="仿宋" w:cs="仿宋"/>
                <w:sz w:val="21"/>
                <w:szCs w:val="21"/>
              </w:rPr>
            </w:pPr>
            <w:r>
              <w:rPr>
                <w:rFonts w:hint="eastAsia" w:ascii="仿宋" w:hAnsi="仿宋" w:eastAsia="仿宋" w:cs="仿宋"/>
                <w:sz w:val="21"/>
                <w:szCs w:val="21"/>
              </w:rPr>
              <w:t>个人中心</w:t>
            </w:r>
          </w:p>
        </w:tc>
        <w:tc>
          <w:tcPr>
            <w:tcW w:w="1016" w:type="pct"/>
            <w:shd w:val="clear" w:color="auto" w:fill="auto"/>
            <w:vAlign w:val="center"/>
          </w:tcPr>
          <w:p w14:paraId="74716AE7">
            <w:pPr>
              <w:jc w:val="center"/>
              <w:rPr>
                <w:rFonts w:hint="eastAsia" w:ascii="仿宋" w:hAnsi="仿宋" w:eastAsia="仿宋" w:cs="仿宋"/>
                <w:sz w:val="21"/>
                <w:szCs w:val="21"/>
              </w:rPr>
            </w:pPr>
            <w:r>
              <w:rPr>
                <w:rFonts w:hint="eastAsia" w:ascii="仿宋" w:hAnsi="仿宋" w:eastAsia="仿宋" w:cs="仿宋"/>
                <w:sz w:val="21"/>
                <w:szCs w:val="21"/>
              </w:rPr>
              <w:t>个人中心</w:t>
            </w:r>
          </w:p>
        </w:tc>
        <w:tc>
          <w:tcPr>
            <w:tcW w:w="2629" w:type="pct"/>
            <w:shd w:val="clear" w:color="auto" w:fill="auto"/>
            <w:vAlign w:val="center"/>
          </w:tcPr>
          <w:p w14:paraId="36CBB2BD">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个性化采购管理功能，包括订单管理、销售订单统计、金额统计、账户信息等</w:t>
            </w:r>
            <w:r>
              <w:rPr>
                <w:rFonts w:hint="eastAsia" w:ascii="仿宋" w:hAnsi="仿宋" w:eastAsia="仿宋" w:cs="仿宋"/>
                <w:color w:val="auto"/>
                <w:sz w:val="21"/>
                <w:szCs w:val="21"/>
                <w:lang w:eastAsia="zh-CN"/>
              </w:rPr>
              <w:t>。</w:t>
            </w:r>
          </w:p>
        </w:tc>
      </w:tr>
      <w:tr w14:paraId="78C2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5EE1FFE">
            <w:pPr>
              <w:rPr>
                <w:rFonts w:hint="eastAsia" w:ascii="仿宋" w:hAnsi="仿宋" w:eastAsia="仿宋" w:cs="仿宋"/>
                <w:sz w:val="21"/>
                <w:szCs w:val="21"/>
              </w:rPr>
            </w:pPr>
          </w:p>
        </w:tc>
        <w:tc>
          <w:tcPr>
            <w:tcW w:w="670" w:type="pct"/>
            <w:vMerge w:val="continue"/>
            <w:vAlign w:val="center"/>
          </w:tcPr>
          <w:p w14:paraId="0A417948">
            <w:pPr>
              <w:jc w:val="center"/>
              <w:rPr>
                <w:rFonts w:hint="eastAsia" w:ascii="仿宋" w:hAnsi="仿宋" w:eastAsia="仿宋" w:cs="仿宋"/>
                <w:sz w:val="21"/>
                <w:szCs w:val="21"/>
              </w:rPr>
            </w:pPr>
          </w:p>
        </w:tc>
        <w:tc>
          <w:tcPr>
            <w:tcW w:w="1016" w:type="pct"/>
            <w:shd w:val="clear" w:color="auto" w:fill="auto"/>
            <w:vAlign w:val="center"/>
          </w:tcPr>
          <w:p w14:paraId="684CE361">
            <w:pPr>
              <w:jc w:val="center"/>
              <w:rPr>
                <w:rFonts w:hint="eastAsia" w:ascii="仿宋" w:hAnsi="仿宋" w:eastAsia="仿宋" w:cs="仿宋"/>
                <w:sz w:val="21"/>
                <w:szCs w:val="21"/>
              </w:rPr>
            </w:pPr>
            <w:r>
              <w:rPr>
                <w:rFonts w:hint="eastAsia" w:ascii="仿宋" w:hAnsi="仿宋" w:eastAsia="仿宋" w:cs="仿宋"/>
                <w:sz w:val="21"/>
                <w:szCs w:val="21"/>
              </w:rPr>
              <w:t>实验室团队</w:t>
            </w:r>
          </w:p>
        </w:tc>
        <w:tc>
          <w:tcPr>
            <w:tcW w:w="2629" w:type="pct"/>
            <w:shd w:val="clear" w:color="auto" w:fill="auto"/>
            <w:vAlign w:val="center"/>
          </w:tcPr>
          <w:p w14:paraId="513378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★支持按浙江工业大学实验室管理平台实验室档案动态归属用户到实验室</w:t>
            </w:r>
            <w:r>
              <w:rPr>
                <w:rFonts w:hint="eastAsia" w:ascii="仿宋" w:hAnsi="仿宋" w:eastAsia="仿宋" w:cs="仿宋"/>
                <w:b/>
                <w:bCs/>
                <w:color w:val="auto"/>
                <w:highlight w:val="none"/>
                <w:lang w:val="en-US" w:eastAsia="zh-CN"/>
              </w:rPr>
              <w:t>（演示内容1）</w:t>
            </w:r>
          </w:p>
        </w:tc>
      </w:tr>
      <w:tr w14:paraId="0AA4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164AA16A">
            <w:pPr>
              <w:rPr>
                <w:rFonts w:hint="eastAsia" w:ascii="仿宋" w:hAnsi="仿宋" w:eastAsia="仿宋" w:cs="仿宋"/>
                <w:sz w:val="21"/>
                <w:szCs w:val="21"/>
              </w:rPr>
            </w:pPr>
          </w:p>
        </w:tc>
        <w:tc>
          <w:tcPr>
            <w:tcW w:w="670" w:type="pct"/>
            <w:vMerge w:val="restart"/>
            <w:shd w:val="clear" w:color="auto" w:fill="auto"/>
            <w:vAlign w:val="center"/>
          </w:tcPr>
          <w:p w14:paraId="45F660DA">
            <w:pPr>
              <w:jc w:val="center"/>
              <w:rPr>
                <w:rFonts w:hint="eastAsia" w:ascii="仿宋" w:hAnsi="仿宋" w:eastAsia="仿宋" w:cs="仿宋"/>
                <w:sz w:val="21"/>
                <w:szCs w:val="21"/>
              </w:rPr>
            </w:pPr>
            <w:r>
              <w:rPr>
                <w:rFonts w:hint="eastAsia" w:ascii="仿宋" w:hAnsi="仿宋" w:eastAsia="仿宋" w:cs="仿宋"/>
                <w:sz w:val="21"/>
                <w:szCs w:val="21"/>
              </w:rPr>
              <w:t>平台商城</w:t>
            </w:r>
          </w:p>
        </w:tc>
        <w:tc>
          <w:tcPr>
            <w:tcW w:w="1016" w:type="pct"/>
            <w:shd w:val="clear" w:color="auto" w:fill="auto"/>
            <w:vAlign w:val="center"/>
          </w:tcPr>
          <w:p w14:paraId="4FB0DABA">
            <w:pPr>
              <w:jc w:val="center"/>
              <w:rPr>
                <w:rFonts w:hint="eastAsia" w:ascii="仿宋" w:hAnsi="仿宋" w:eastAsia="仿宋" w:cs="仿宋"/>
                <w:sz w:val="21"/>
                <w:szCs w:val="21"/>
              </w:rPr>
            </w:pPr>
            <w:r>
              <w:rPr>
                <w:rFonts w:hint="eastAsia" w:ascii="仿宋" w:hAnsi="仿宋" w:eastAsia="仿宋" w:cs="仿宋"/>
                <w:sz w:val="21"/>
                <w:szCs w:val="21"/>
              </w:rPr>
              <w:t>商城首页</w:t>
            </w:r>
          </w:p>
        </w:tc>
        <w:tc>
          <w:tcPr>
            <w:tcW w:w="2629" w:type="pct"/>
            <w:shd w:val="clear" w:color="auto" w:fill="auto"/>
            <w:vAlign w:val="center"/>
          </w:tcPr>
          <w:p w14:paraId="2BF898EE">
            <w:pPr>
              <w:rPr>
                <w:rFonts w:hint="eastAsia" w:ascii="仿宋" w:hAnsi="仿宋" w:eastAsia="仿宋" w:cs="仿宋"/>
                <w:color w:val="auto"/>
                <w:sz w:val="21"/>
                <w:szCs w:val="21"/>
              </w:rPr>
            </w:pPr>
            <w:r>
              <w:rPr>
                <w:rFonts w:hint="eastAsia" w:ascii="仿宋" w:hAnsi="仿宋" w:eastAsia="仿宋" w:cs="仿宋"/>
                <w:color w:val="auto"/>
                <w:sz w:val="21"/>
                <w:szCs w:val="21"/>
              </w:rPr>
              <w:t>包含通知公告和优惠活动、图片轮播（跳转链接）、商城产品分类等</w:t>
            </w:r>
          </w:p>
        </w:tc>
      </w:tr>
      <w:tr w14:paraId="3DA2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F49112E">
            <w:pPr>
              <w:rPr>
                <w:rFonts w:hint="eastAsia" w:ascii="仿宋" w:hAnsi="仿宋" w:eastAsia="仿宋" w:cs="仿宋"/>
                <w:sz w:val="21"/>
                <w:szCs w:val="21"/>
              </w:rPr>
            </w:pPr>
          </w:p>
        </w:tc>
        <w:tc>
          <w:tcPr>
            <w:tcW w:w="670" w:type="pct"/>
            <w:vMerge w:val="continue"/>
            <w:shd w:val="clear" w:color="auto" w:fill="auto"/>
            <w:vAlign w:val="center"/>
          </w:tcPr>
          <w:p w14:paraId="05582313">
            <w:pPr>
              <w:jc w:val="center"/>
              <w:rPr>
                <w:rFonts w:hint="eastAsia" w:ascii="仿宋" w:hAnsi="仿宋" w:eastAsia="仿宋" w:cs="仿宋"/>
                <w:sz w:val="21"/>
                <w:szCs w:val="21"/>
              </w:rPr>
            </w:pPr>
          </w:p>
        </w:tc>
        <w:tc>
          <w:tcPr>
            <w:tcW w:w="1016" w:type="pct"/>
            <w:shd w:val="clear" w:color="auto" w:fill="auto"/>
            <w:vAlign w:val="center"/>
          </w:tcPr>
          <w:p w14:paraId="069798F0">
            <w:pPr>
              <w:jc w:val="center"/>
              <w:rPr>
                <w:rFonts w:hint="eastAsia" w:ascii="仿宋" w:hAnsi="仿宋" w:eastAsia="仿宋" w:cs="仿宋"/>
                <w:sz w:val="21"/>
                <w:szCs w:val="21"/>
              </w:rPr>
            </w:pPr>
            <w:r>
              <w:rPr>
                <w:rFonts w:hint="eastAsia" w:ascii="仿宋" w:hAnsi="仿宋" w:eastAsia="仿宋" w:cs="仿宋"/>
                <w:sz w:val="21"/>
                <w:szCs w:val="21"/>
              </w:rPr>
              <w:t>化学品</w:t>
            </w:r>
          </w:p>
        </w:tc>
        <w:tc>
          <w:tcPr>
            <w:tcW w:w="2629" w:type="pct"/>
            <w:shd w:val="clear" w:color="auto" w:fill="auto"/>
            <w:vAlign w:val="center"/>
          </w:tcPr>
          <w:p w14:paraId="131E7F27">
            <w:pPr>
              <w:rPr>
                <w:rFonts w:hint="eastAsia" w:ascii="仿宋" w:hAnsi="仿宋" w:eastAsia="仿宋" w:cs="仿宋"/>
                <w:color w:val="auto"/>
                <w:sz w:val="21"/>
                <w:szCs w:val="21"/>
              </w:rPr>
            </w:pPr>
            <w:r>
              <w:rPr>
                <w:rFonts w:hint="eastAsia" w:ascii="仿宋" w:hAnsi="仿宋" w:eastAsia="仿宋" w:cs="仿宋"/>
                <w:color w:val="auto"/>
                <w:sz w:val="21"/>
                <w:szCs w:val="21"/>
              </w:rPr>
              <w:t>包含所有化学品分类的商城，可按品牌、类别、规格等不同信息进行检索分类，每个产品均</w:t>
            </w: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提供价格比对功能及官网链接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支持同一商品上架不同规格参数。</w:t>
            </w:r>
          </w:p>
        </w:tc>
      </w:tr>
      <w:tr w14:paraId="2546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1C48EBA4">
            <w:pPr>
              <w:rPr>
                <w:rFonts w:hint="eastAsia" w:ascii="仿宋" w:hAnsi="仿宋" w:eastAsia="仿宋" w:cs="仿宋"/>
                <w:sz w:val="21"/>
                <w:szCs w:val="21"/>
              </w:rPr>
            </w:pPr>
          </w:p>
        </w:tc>
        <w:tc>
          <w:tcPr>
            <w:tcW w:w="670" w:type="pct"/>
            <w:vMerge w:val="continue"/>
            <w:vAlign w:val="center"/>
          </w:tcPr>
          <w:p w14:paraId="04C09D09">
            <w:pPr>
              <w:jc w:val="center"/>
              <w:rPr>
                <w:rFonts w:hint="eastAsia" w:ascii="仿宋" w:hAnsi="仿宋" w:eastAsia="仿宋" w:cs="仿宋"/>
                <w:sz w:val="21"/>
                <w:szCs w:val="21"/>
              </w:rPr>
            </w:pPr>
          </w:p>
        </w:tc>
        <w:tc>
          <w:tcPr>
            <w:tcW w:w="1016" w:type="pct"/>
            <w:shd w:val="clear" w:color="auto" w:fill="auto"/>
            <w:vAlign w:val="center"/>
          </w:tcPr>
          <w:p w14:paraId="2AD7478D">
            <w:pPr>
              <w:jc w:val="center"/>
              <w:rPr>
                <w:rFonts w:hint="eastAsia" w:ascii="仿宋" w:hAnsi="仿宋" w:eastAsia="仿宋" w:cs="仿宋"/>
                <w:sz w:val="21"/>
                <w:szCs w:val="21"/>
              </w:rPr>
            </w:pPr>
            <w:r>
              <w:rPr>
                <w:rFonts w:hint="eastAsia" w:ascii="仿宋" w:hAnsi="仿宋" w:eastAsia="仿宋" w:cs="仿宋"/>
                <w:sz w:val="21"/>
                <w:szCs w:val="21"/>
              </w:rPr>
              <w:t>生物试剂</w:t>
            </w:r>
          </w:p>
        </w:tc>
        <w:tc>
          <w:tcPr>
            <w:tcW w:w="2629" w:type="pct"/>
            <w:shd w:val="clear" w:color="auto" w:fill="auto"/>
            <w:vAlign w:val="center"/>
          </w:tcPr>
          <w:p w14:paraId="6853B59D">
            <w:pPr>
              <w:rPr>
                <w:rFonts w:hint="eastAsia" w:ascii="仿宋" w:hAnsi="仿宋" w:eastAsia="仿宋" w:cs="仿宋"/>
                <w:color w:val="auto"/>
                <w:sz w:val="21"/>
                <w:szCs w:val="21"/>
              </w:rPr>
            </w:pPr>
            <w:r>
              <w:rPr>
                <w:rFonts w:hint="eastAsia" w:ascii="仿宋" w:hAnsi="仿宋" w:eastAsia="仿宋" w:cs="仿宋"/>
                <w:color w:val="auto"/>
                <w:sz w:val="21"/>
                <w:szCs w:val="21"/>
              </w:rPr>
              <w:t>包含所有生物试剂分类的商城，可按品牌、类别、规格等不同信息进行检索分类，每个产品均</w:t>
            </w: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提供价格比对功能及官网链接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支持同一商品上架不同规格参数。</w:t>
            </w:r>
          </w:p>
        </w:tc>
      </w:tr>
      <w:tr w14:paraId="2981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1F44B15">
            <w:pPr>
              <w:rPr>
                <w:rFonts w:hint="eastAsia" w:ascii="仿宋" w:hAnsi="仿宋" w:eastAsia="仿宋" w:cs="仿宋"/>
                <w:sz w:val="21"/>
                <w:szCs w:val="21"/>
              </w:rPr>
            </w:pPr>
          </w:p>
        </w:tc>
        <w:tc>
          <w:tcPr>
            <w:tcW w:w="670" w:type="pct"/>
            <w:vMerge w:val="continue"/>
            <w:vAlign w:val="center"/>
          </w:tcPr>
          <w:p w14:paraId="6F793C85">
            <w:pPr>
              <w:jc w:val="center"/>
              <w:rPr>
                <w:rFonts w:hint="eastAsia" w:ascii="仿宋" w:hAnsi="仿宋" w:eastAsia="仿宋" w:cs="仿宋"/>
                <w:sz w:val="21"/>
                <w:szCs w:val="21"/>
              </w:rPr>
            </w:pPr>
          </w:p>
        </w:tc>
        <w:tc>
          <w:tcPr>
            <w:tcW w:w="1016" w:type="pct"/>
            <w:shd w:val="clear" w:color="auto" w:fill="auto"/>
            <w:vAlign w:val="center"/>
          </w:tcPr>
          <w:p w14:paraId="2FFCD149">
            <w:pPr>
              <w:jc w:val="center"/>
              <w:rPr>
                <w:rFonts w:hint="eastAsia" w:ascii="仿宋" w:hAnsi="仿宋" w:eastAsia="仿宋" w:cs="仿宋"/>
                <w:sz w:val="21"/>
                <w:szCs w:val="21"/>
              </w:rPr>
            </w:pPr>
            <w:r>
              <w:rPr>
                <w:rFonts w:hint="eastAsia" w:ascii="仿宋" w:hAnsi="仿宋" w:eastAsia="仿宋" w:cs="仿宋"/>
                <w:sz w:val="21"/>
                <w:szCs w:val="21"/>
              </w:rPr>
              <w:t>实验耗材</w:t>
            </w:r>
          </w:p>
        </w:tc>
        <w:tc>
          <w:tcPr>
            <w:tcW w:w="2629" w:type="pct"/>
            <w:shd w:val="clear" w:color="auto" w:fill="auto"/>
            <w:vAlign w:val="center"/>
          </w:tcPr>
          <w:p w14:paraId="0DEBA83F">
            <w:pPr>
              <w:rPr>
                <w:rFonts w:hint="eastAsia" w:ascii="仿宋" w:hAnsi="仿宋" w:eastAsia="仿宋" w:cs="仿宋"/>
                <w:color w:val="auto"/>
                <w:sz w:val="21"/>
                <w:szCs w:val="21"/>
              </w:rPr>
            </w:pPr>
            <w:r>
              <w:rPr>
                <w:rFonts w:hint="eastAsia" w:ascii="仿宋" w:hAnsi="仿宋" w:eastAsia="仿宋" w:cs="仿宋"/>
                <w:color w:val="auto"/>
                <w:sz w:val="21"/>
                <w:szCs w:val="21"/>
              </w:rPr>
              <w:t>包含所有实验耗材分类的商城，可按品牌、类别、规格等不同信息进行检索分类，每个产品均</w:t>
            </w: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提供价格比对功能及官网链接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支持同一商品上架不同规格参数。</w:t>
            </w:r>
          </w:p>
        </w:tc>
      </w:tr>
      <w:tr w14:paraId="4A10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61C735A">
            <w:pPr>
              <w:rPr>
                <w:rFonts w:hint="eastAsia" w:ascii="仿宋" w:hAnsi="仿宋" w:eastAsia="仿宋" w:cs="仿宋"/>
                <w:sz w:val="21"/>
                <w:szCs w:val="21"/>
              </w:rPr>
            </w:pPr>
          </w:p>
        </w:tc>
        <w:tc>
          <w:tcPr>
            <w:tcW w:w="670" w:type="pct"/>
            <w:vMerge w:val="continue"/>
            <w:vAlign w:val="center"/>
          </w:tcPr>
          <w:p w14:paraId="42ED9798">
            <w:pPr>
              <w:jc w:val="center"/>
              <w:rPr>
                <w:rFonts w:hint="eastAsia" w:ascii="仿宋" w:hAnsi="仿宋" w:eastAsia="仿宋" w:cs="仿宋"/>
                <w:sz w:val="21"/>
                <w:szCs w:val="21"/>
              </w:rPr>
            </w:pPr>
          </w:p>
        </w:tc>
        <w:tc>
          <w:tcPr>
            <w:tcW w:w="1016" w:type="pct"/>
            <w:shd w:val="clear" w:color="auto" w:fill="auto"/>
            <w:vAlign w:val="center"/>
          </w:tcPr>
          <w:p w14:paraId="52548887">
            <w:pPr>
              <w:jc w:val="center"/>
              <w:rPr>
                <w:rFonts w:hint="eastAsia" w:ascii="仿宋" w:hAnsi="仿宋" w:eastAsia="仿宋" w:cs="仿宋"/>
                <w:sz w:val="21"/>
                <w:szCs w:val="21"/>
              </w:rPr>
            </w:pPr>
            <w:r>
              <w:rPr>
                <w:rFonts w:hint="eastAsia" w:ascii="仿宋" w:hAnsi="仿宋" w:eastAsia="仿宋" w:cs="仿宋"/>
                <w:sz w:val="21"/>
                <w:szCs w:val="21"/>
              </w:rPr>
              <w:t>厂家店铺</w:t>
            </w:r>
          </w:p>
        </w:tc>
        <w:tc>
          <w:tcPr>
            <w:tcW w:w="2629" w:type="pct"/>
            <w:shd w:val="clear" w:color="auto" w:fill="auto"/>
            <w:vAlign w:val="center"/>
          </w:tcPr>
          <w:p w14:paraId="0BC4B1D9">
            <w:pPr>
              <w:rPr>
                <w:rFonts w:hint="eastAsia" w:ascii="仿宋" w:hAnsi="仿宋" w:eastAsia="仿宋" w:cs="仿宋"/>
                <w:color w:val="auto"/>
                <w:sz w:val="21"/>
                <w:szCs w:val="21"/>
              </w:rPr>
            </w:pPr>
            <w:r>
              <w:rPr>
                <w:rFonts w:hint="eastAsia" w:ascii="仿宋" w:hAnsi="仿宋" w:eastAsia="仿宋" w:cs="仿宋"/>
                <w:color w:val="auto"/>
                <w:sz w:val="21"/>
                <w:szCs w:val="21"/>
              </w:rPr>
              <w:t>包含厂家的通知公告和优惠活动、图片轮播（跳转链接）、商城产品分类等</w:t>
            </w:r>
          </w:p>
        </w:tc>
      </w:tr>
      <w:tr w14:paraId="4964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DC595F3">
            <w:pPr>
              <w:rPr>
                <w:rFonts w:hint="eastAsia" w:ascii="仿宋" w:hAnsi="仿宋" w:eastAsia="仿宋" w:cs="仿宋"/>
                <w:sz w:val="21"/>
                <w:szCs w:val="21"/>
              </w:rPr>
            </w:pPr>
          </w:p>
        </w:tc>
        <w:tc>
          <w:tcPr>
            <w:tcW w:w="670" w:type="pct"/>
            <w:vMerge w:val="restart"/>
            <w:shd w:val="clear" w:color="auto" w:fill="auto"/>
            <w:vAlign w:val="center"/>
          </w:tcPr>
          <w:p w14:paraId="6C3A1EDF">
            <w:pPr>
              <w:jc w:val="center"/>
              <w:rPr>
                <w:rFonts w:hint="eastAsia" w:ascii="仿宋" w:hAnsi="仿宋" w:eastAsia="仿宋" w:cs="仿宋"/>
                <w:sz w:val="21"/>
                <w:szCs w:val="21"/>
              </w:rPr>
            </w:pPr>
            <w:r>
              <w:rPr>
                <w:rFonts w:hint="eastAsia" w:ascii="仿宋" w:hAnsi="仿宋" w:eastAsia="仿宋" w:cs="仿宋"/>
                <w:sz w:val="21"/>
                <w:szCs w:val="21"/>
              </w:rPr>
              <w:t>购物管理</w:t>
            </w:r>
          </w:p>
        </w:tc>
        <w:tc>
          <w:tcPr>
            <w:tcW w:w="1016" w:type="pct"/>
            <w:shd w:val="clear" w:color="auto" w:fill="auto"/>
            <w:vAlign w:val="center"/>
          </w:tcPr>
          <w:p w14:paraId="12F4C9DE">
            <w:pPr>
              <w:jc w:val="center"/>
              <w:rPr>
                <w:rFonts w:hint="eastAsia" w:ascii="仿宋" w:hAnsi="仿宋" w:eastAsia="仿宋" w:cs="仿宋"/>
                <w:sz w:val="21"/>
                <w:szCs w:val="21"/>
              </w:rPr>
            </w:pPr>
            <w:r>
              <w:rPr>
                <w:rFonts w:hint="eastAsia" w:ascii="仿宋" w:hAnsi="仿宋" w:eastAsia="仿宋" w:cs="仿宋"/>
                <w:sz w:val="21"/>
                <w:szCs w:val="21"/>
              </w:rPr>
              <w:t>购物车管理</w:t>
            </w:r>
          </w:p>
        </w:tc>
        <w:tc>
          <w:tcPr>
            <w:tcW w:w="2629" w:type="pct"/>
            <w:shd w:val="clear" w:color="auto" w:fill="auto"/>
            <w:vAlign w:val="center"/>
          </w:tcPr>
          <w:p w14:paraId="61050A00">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用户可添加多个商品到购物车，并能根据产品类型一键自动生成不同的订单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购物车可</w:t>
            </w:r>
            <w:r>
              <w:rPr>
                <w:rFonts w:hint="eastAsia" w:ascii="仿宋" w:hAnsi="仿宋" w:eastAsia="仿宋" w:cs="仿宋"/>
                <w:color w:val="auto"/>
                <w:sz w:val="21"/>
                <w:szCs w:val="21"/>
                <w:lang w:val="en-US" w:eastAsia="zh-CN"/>
              </w:rPr>
              <w:t>更换产品规格及修改数量</w:t>
            </w:r>
            <w:r>
              <w:rPr>
                <w:rFonts w:hint="eastAsia" w:ascii="仿宋" w:hAnsi="仿宋" w:eastAsia="仿宋" w:cs="仿宋"/>
                <w:color w:val="auto"/>
                <w:sz w:val="21"/>
                <w:szCs w:val="21"/>
                <w:lang w:eastAsia="zh-CN"/>
              </w:rPr>
              <w:t>。</w:t>
            </w:r>
          </w:p>
        </w:tc>
      </w:tr>
      <w:tr w14:paraId="03F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7E30E697">
            <w:pPr>
              <w:rPr>
                <w:rFonts w:hint="eastAsia" w:ascii="仿宋" w:hAnsi="仿宋" w:eastAsia="仿宋" w:cs="仿宋"/>
                <w:sz w:val="21"/>
                <w:szCs w:val="21"/>
              </w:rPr>
            </w:pPr>
          </w:p>
        </w:tc>
        <w:tc>
          <w:tcPr>
            <w:tcW w:w="670" w:type="pct"/>
            <w:vMerge w:val="continue"/>
            <w:vAlign w:val="center"/>
          </w:tcPr>
          <w:p w14:paraId="5BD54837">
            <w:pPr>
              <w:jc w:val="center"/>
              <w:rPr>
                <w:rFonts w:hint="eastAsia" w:ascii="仿宋" w:hAnsi="仿宋" w:eastAsia="仿宋" w:cs="仿宋"/>
                <w:sz w:val="21"/>
                <w:szCs w:val="21"/>
              </w:rPr>
            </w:pPr>
          </w:p>
        </w:tc>
        <w:tc>
          <w:tcPr>
            <w:tcW w:w="1016" w:type="pct"/>
            <w:shd w:val="clear" w:color="auto" w:fill="auto"/>
            <w:vAlign w:val="center"/>
          </w:tcPr>
          <w:p w14:paraId="7DA455B0">
            <w:pPr>
              <w:jc w:val="center"/>
              <w:rPr>
                <w:rFonts w:hint="eastAsia" w:ascii="仿宋" w:hAnsi="仿宋" w:eastAsia="仿宋" w:cs="仿宋"/>
                <w:sz w:val="21"/>
                <w:szCs w:val="21"/>
              </w:rPr>
            </w:pPr>
            <w:r>
              <w:rPr>
                <w:rFonts w:hint="eastAsia" w:ascii="仿宋" w:hAnsi="仿宋" w:eastAsia="仿宋" w:cs="仿宋"/>
                <w:sz w:val="21"/>
                <w:szCs w:val="21"/>
              </w:rPr>
              <w:t>收藏夹管理</w:t>
            </w:r>
          </w:p>
        </w:tc>
        <w:tc>
          <w:tcPr>
            <w:tcW w:w="2629" w:type="pct"/>
            <w:shd w:val="clear" w:color="auto" w:fill="auto"/>
            <w:vAlign w:val="center"/>
          </w:tcPr>
          <w:p w14:paraId="09DF7A5B">
            <w:pPr>
              <w:rPr>
                <w:rFonts w:hint="eastAsia" w:ascii="仿宋" w:hAnsi="仿宋" w:eastAsia="仿宋" w:cs="仿宋"/>
                <w:color w:val="auto"/>
                <w:sz w:val="21"/>
                <w:szCs w:val="21"/>
              </w:rPr>
            </w:pPr>
            <w:r>
              <w:rPr>
                <w:rFonts w:hint="eastAsia" w:ascii="仿宋" w:hAnsi="仿宋" w:eastAsia="仿宋" w:cs="仿宋"/>
                <w:color w:val="auto"/>
                <w:sz w:val="21"/>
                <w:szCs w:val="21"/>
              </w:rPr>
              <w:t>用户可将喜欢的商品添加到收藏夹中以便随时查看和比较，能自定义常购清单。</w:t>
            </w:r>
          </w:p>
        </w:tc>
      </w:tr>
      <w:tr w14:paraId="1895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1EA51082">
            <w:pPr>
              <w:rPr>
                <w:rFonts w:hint="eastAsia" w:ascii="仿宋" w:hAnsi="仿宋" w:eastAsia="仿宋" w:cs="仿宋"/>
                <w:sz w:val="21"/>
                <w:szCs w:val="21"/>
              </w:rPr>
            </w:pPr>
          </w:p>
        </w:tc>
        <w:tc>
          <w:tcPr>
            <w:tcW w:w="670" w:type="pct"/>
            <w:vMerge w:val="continue"/>
            <w:vAlign w:val="center"/>
          </w:tcPr>
          <w:p w14:paraId="0B157211">
            <w:pPr>
              <w:jc w:val="center"/>
              <w:rPr>
                <w:rFonts w:hint="eastAsia" w:ascii="仿宋" w:hAnsi="仿宋" w:eastAsia="仿宋" w:cs="仿宋"/>
                <w:sz w:val="21"/>
                <w:szCs w:val="21"/>
              </w:rPr>
            </w:pPr>
          </w:p>
        </w:tc>
        <w:tc>
          <w:tcPr>
            <w:tcW w:w="1016" w:type="pct"/>
            <w:shd w:val="clear" w:color="auto" w:fill="auto"/>
            <w:vAlign w:val="center"/>
          </w:tcPr>
          <w:p w14:paraId="7113B61F">
            <w:pPr>
              <w:jc w:val="center"/>
              <w:rPr>
                <w:rFonts w:hint="eastAsia" w:ascii="仿宋" w:hAnsi="仿宋" w:eastAsia="仿宋" w:cs="仿宋"/>
                <w:sz w:val="21"/>
                <w:szCs w:val="21"/>
              </w:rPr>
            </w:pPr>
            <w:r>
              <w:rPr>
                <w:rFonts w:hint="eastAsia" w:ascii="仿宋" w:hAnsi="仿宋" w:eastAsia="仿宋" w:cs="仿宋"/>
                <w:sz w:val="21"/>
                <w:szCs w:val="21"/>
              </w:rPr>
              <w:t>历史记录管理</w:t>
            </w:r>
          </w:p>
        </w:tc>
        <w:tc>
          <w:tcPr>
            <w:tcW w:w="2629" w:type="pct"/>
            <w:shd w:val="clear" w:color="auto" w:fill="auto"/>
            <w:vAlign w:val="center"/>
          </w:tcPr>
          <w:p w14:paraId="27D7BEF5">
            <w:pPr>
              <w:rPr>
                <w:rFonts w:hint="eastAsia" w:ascii="仿宋" w:hAnsi="仿宋" w:eastAsia="仿宋" w:cs="仿宋"/>
                <w:color w:val="auto"/>
                <w:sz w:val="21"/>
                <w:szCs w:val="21"/>
              </w:rPr>
            </w:pPr>
            <w:r>
              <w:rPr>
                <w:rFonts w:hint="eastAsia" w:ascii="仿宋" w:hAnsi="仿宋" w:eastAsia="仿宋" w:cs="仿宋"/>
                <w:color w:val="auto"/>
                <w:sz w:val="21"/>
                <w:szCs w:val="21"/>
              </w:rPr>
              <w:t>追溯一个月内浏览</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用户可找到一个月内所有浏览过的商品列表，可直接对历史记录的商品进行查看</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删除、加入购物车等操作。</w:t>
            </w:r>
          </w:p>
        </w:tc>
      </w:tr>
      <w:tr w14:paraId="087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7210364">
            <w:pPr>
              <w:rPr>
                <w:rFonts w:hint="eastAsia" w:ascii="仿宋" w:hAnsi="仿宋" w:eastAsia="仿宋" w:cs="仿宋"/>
                <w:sz w:val="21"/>
                <w:szCs w:val="21"/>
              </w:rPr>
            </w:pPr>
          </w:p>
        </w:tc>
        <w:tc>
          <w:tcPr>
            <w:tcW w:w="670" w:type="pct"/>
            <w:vMerge w:val="continue"/>
            <w:vAlign w:val="center"/>
          </w:tcPr>
          <w:p w14:paraId="0BB11791">
            <w:pPr>
              <w:jc w:val="center"/>
              <w:rPr>
                <w:rFonts w:hint="eastAsia" w:ascii="仿宋" w:hAnsi="仿宋" w:eastAsia="仿宋" w:cs="仿宋"/>
                <w:sz w:val="21"/>
                <w:szCs w:val="21"/>
              </w:rPr>
            </w:pPr>
          </w:p>
        </w:tc>
        <w:tc>
          <w:tcPr>
            <w:tcW w:w="1016" w:type="pct"/>
            <w:shd w:val="clear" w:color="auto" w:fill="auto"/>
            <w:vAlign w:val="center"/>
          </w:tcPr>
          <w:p w14:paraId="4E7DB726">
            <w:pPr>
              <w:jc w:val="center"/>
              <w:rPr>
                <w:rFonts w:hint="eastAsia" w:ascii="仿宋" w:hAnsi="仿宋" w:eastAsia="仿宋" w:cs="仿宋"/>
                <w:sz w:val="21"/>
                <w:szCs w:val="21"/>
              </w:rPr>
            </w:pPr>
            <w:r>
              <w:rPr>
                <w:rFonts w:hint="eastAsia" w:ascii="仿宋" w:hAnsi="仿宋" w:eastAsia="仿宋" w:cs="仿宋"/>
                <w:sz w:val="21"/>
                <w:szCs w:val="21"/>
              </w:rPr>
              <w:t>地址管理</w:t>
            </w:r>
          </w:p>
        </w:tc>
        <w:tc>
          <w:tcPr>
            <w:tcW w:w="2629" w:type="pct"/>
            <w:shd w:val="clear" w:color="auto" w:fill="auto"/>
            <w:vAlign w:val="center"/>
          </w:tcPr>
          <w:p w14:paraId="0F00DB51">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用于管理填收货等收货信息，</w:t>
            </w: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增删改查功能，支持标签定义</w:t>
            </w:r>
            <w:r>
              <w:rPr>
                <w:rFonts w:hint="eastAsia" w:ascii="仿宋" w:hAnsi="仿宋" w:eastAsia="仿宋" w:cs="仿宋"/>
                <w:color w:val="auto"/>
                <w:sz w:val="21"/>
                <w:szCs w:val="21"/>
                <w:lang w:eastAsia="zh-CN"/>
              </w:rPr>
              <w:t>。</w:t>
            </w:r>
          </w:p>
        </w:tc>
      </w:tr>
      <w:tr w14:paraId="7F7D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36D8B504">
            <w:pPr>
              <w:rPr>
                <w:rFonts w:hint="eastAsia" w:ascii="仿宋" w:hAnsi="仿宋" w:eastAsia="仿宋" w:cs="仿宋"/>
                <w:sz w:val="21"/>
                <w:szCs w:val="21"/>
              </w:rPr>
            </w:pPr>
          </w:p>
        </w:tc>
        <w:tc>
          <w:tcPr>
            <w:tcW w:w="670" w:type="pct"/>
            <w:vMerge w:val="restart"/>
            <w:shd w:val="clear" w:color="auto" w:fill="auto"/>
            <w:vAlign w:val="center"/>
          </w:tcPr>
          <w:p w14:paraId="221213E0">
            <w:pPr>
              <w:jc w:val="center"/>
              <w:rPr>
                <w:rFonts w:hint="eastAsia" w:ascii="仿宋" w:hAnsi="仿宋" w:eastAsia="仿宋" w:cs="仿宋"/>
                <w:sz w:val="21"/>
                <w:szCs w:val="21"/>
              </w:rPr>
            </w:pPr>
            <w:r>
              <w:rPr>
                <w:rFonts w:hint="eastAsia" w:ascii="仿宋" w:hAnsi="仿宋" w:eastAsia="仿宋" w:cs="仿宋"/>
                <w:sz w:val="21"/>
                <w:szCs w:val="21"/>
              </w:rPr>
              <w:t>订单管理</w:t>
            </w:r>
          </w:p>
        </w:tc>
        <w:tc>
          <w:tcPr>
            <w:tcW w:w="1016" w:type="pct"/>
            <w:shd w:val="clear" w:color="auto" w:fill="auto"/>
            <w:vAlign w:val="center"/>
          </w:tcPr>
          <w:p w14:paraId="5B686E4D">
            <w:pPr>
              <w:jc w:val="center"/>
              <w:rPr>
                <w:rFonts w:hint="eastAsia" w:ascii="仿宋" w:hAnsi="仿宋" w:eastAsia="仿宋" w:cs="仿宋"/>
                <w:sz w:val="21"/>
                <w:szCs w:val="21"/>
              </w:rPr>
            </w:pPr>
            <w:r>
              <w:rPr>
                <w:rFonts w:hint="eastAsia" w:ascii="仿宋" w:hAnsi="仿宋" w:eastAsia="仿宋" w:cs="仿宋"/>
                <w:sz w:val="21"/>
                <w:szCs w:val="21"/>
              </w:rPr>
              <w:t>订单管理</w:t>
            </w:r>
          </w:p>
        </w:tc>
        <w:tc>
          <w:tcPr>
            <w:tcW w:w="2629" w:type="pct"/>
            <w:shd w:val="clear" w:color="auto" w:fill="auto"/>
            <w:vAlign w:val="center"/>
          </w:tcPr>
          <w:p w14:paraId="59180B89">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定义订单状态、经费本状态</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追踪订单状态并查看历史记录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管理所有订单，可根据不同筛选条件查找订单</w:t>
            </w:r>
            <w:r>
              <w:rPr>
                <w:rFonts w:hint="eastAsia" w:ascii="仿宋" w:hAnsi="仿宋" w:eastAsia="仿宋" w:cs="仿宋"/>
                <w:color w:val="auto"/>
                <w:sz w:val="21"/>
                <w:szCs w:val="21"/>
                <w:lang w:eastAsia="zh-CN"/>
              </w:rPr>
              <w:t>；</w:t>
            </w:r>
          </w:p>
          <w:p w14:paraId="449F59CF">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定义订单类型，订单详情中对包含不同产品的同类型订单需把产品分栏显示</w:t>
            </w:r>
            <w:r>
              <w:rPr>
                <w:rFonts w:hint="eastAsia" w:ascii="仿宋" w:hAnsi="仿宋" w:eastAsia="仿宋" w:cs="仿宋"/>
                <w:color w:val="auto"/>
                <w:sz w:val="21"/>
                <w:szCs w:val="21"/>
                <w:lang w:eastAsia="zh-CN"/>
              </w:rPr>
              <w:t>；</w:t>
            </w:r>
          </w:p>
          <w:p w14:paraId="5B55414A">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3.具备</w:t>
            </w:r>
            <w:r>
              <w:rPr>
                <w:rFonts w:hint="eastAsia" w:ascii="仿宋" w:hAnsi="仿宋" w:eastAsia="仿宋" w:cs="仿宋"/>
                <w:color w:val="auto"/>
                <w:sz w:val="21"/>
                <w:szCs w:val="21"/>
              </w:rPr>
              <w:t>根据订单状态定义订单中按键功能</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订单标签功能</w:t>
            </w:r>
            <w:r>
              <w:rPr>
                <w:rFonts w:hint="eastAsia" w:ascii="仿宋" w:hAnsi="仿宋" w:eastAsia="仿宋" w:cs="仿宋"/>
                <w:color w:val="auto"/>
                <w:sz w:val="21"/>
                <w:szCs w:val="21"/>
                <w:lang w:eastAsia="zh-CN"/>
              </w:rPr>
              <w:t>；</w:t>
            </w:r>
          </w:p>
          <w:p w14:paraId="7C93069F">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厂家已发货订单能生成发货单（发货单包含条形码，发货单可下载、打印及批量操作）</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可由平台管理方定义是否验货</w:t>
            </w:r>
            <w:r>
              <w:rPr>
                <w:rFonts w:hint="eastAsia" w:ascii="仿宋" w:hAnsi="仿宋" w:eastAsia="仿宋" w:cs="仿宋"/>
                <w:color w:val="auto"/>
                <w:sz w:val="21"/>
                <w:szCs w:val="21"/>
                <w:lang w:eastAsia="zh-CN"/>
              </w:rPr>
              <w:t>；</w:t>
            </w:r>
          </w:p>
          <w:p w14:paraId="2BC0CBF0">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待收货订单可由收货人定义是否自动签收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手动签收需收货人手动输入姓名学号</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自动签收需提前设置收货人姓名学号</w:t>
            </w:r>
            <w:r>
              <w:rPr>
                <w:rFonts w:hint="eastAsia" w:ascii="仿宋" w:hAnsi="仿宋" w:eastAsia="仿宋" w:cs="仿宋"/>
                <w:color w:val="auto"/>
                <w:sz w:val="21"/>
                <w:szCs w:val="21"/>
                <w:lang w:eastAsia="zh-CN"/>
              </w:rPr>
              <w:t>；</w:t>
            </w:r>
          </w:p>
          <w:p w14:paraId="760556CE">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待入库管制品订单可由库管账号利用小程序扫描厂家发货单条形码或通过账号下相应按钮完成入库操作</w:t>
            </w:r>
            <w:r>
              <w:rPr>
                <w:rFonts w:hint="eastAsia" w:ascii="仿宋" w:hAnsi="仿宋" w:eastAsia="仿宋" w:cs="仿宋"/>
                <w:color w:val="auto"/>
                <w:sz w:val="21"/>
                <w:szCs w:val="21"/>
                <w:lang w:eastAsia="zh-CN"/>
              </w:rPr>
              <w:t>；</w:t>
            </w:r>
          </w:p>
          <w:p w14:paraId="3033856C">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待申请领取管制订单需下单账号执行申请领取操作后由库管账号进行出库操作</w:t>
            </w:r>
            <w:r>
              <w:rPr>
                <w:rFonts w:hint="eastAsia" w:ascii="仿宋" w:hAnsi="仿宋" w:eastAsia="仿宋" w:cs="仿宋"/>
                <w:color w:val="auto"/>
                <w:sz w:val="21"/>
                <w:szCs w:val="21"/>
                <w:lang w:eastAsia="zh-CN"/>
              </w:rPr>
              <w:t>；</w:t>
            </w:r>
          </w:p>
          <w:p w14:paraId="07EEF2CE">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已收货订单可生成收货清单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包含订单所有数据及收货人姓名、工学号</w:t>
            </w:r>
            <w:r>
              <w:rPr>
                <w:rFonts w:hint="eastAsia" w:ascii="仿宋" w:hAnsi="仿宋" w:eastAsia="仿宋" w:cs="仿宋"/>
                <w:color w:val="auto"/>
                <w:sz w:val="21"/>
                <w:szCs w:val="21"/>
                <w:lang w:eastAsia="zh-CN"/>
              </w:rPr>
              <w:t>）；</w:t>
            </w:r>
          </w:p>
          <w:p w14:paraId="51806047">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对接财务系统，对单个订单的财务系统状态进行相关操作</w:t>
            </w:r>
            <w:r>
              <w:rPr>
                <w:rFonts w:hint="eastAsia" w:ascii="仿宋" w:hAnsi="仿宋" w:eastAsia="仿宋" w:cs="仿宋"/>
                <w:color w:val="auto"/>
                <w:sz w:val="21"/>
                <w:szCs w:val="21"/>
                <w:lang w:eastAsia="zh-CN"/>
              </w:rPr>
              <w:t>；</w:t>
            </w:r>
          </w:p>
          <w:p w14:paraId="5C7B786C">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支持对订单价格、数量的修改（限定修改要求、需要发起请求）</w:t>
            </w:r>
            <w:r>
              <w:rPr>
                <w:rFonts w:hint="eastAsia" w:ascii="仿宋" w:hAnsi="仿宋" w:eastAsia="仿宋" w:cs="仿宋"/>
                <w:color w:val="auto"/>
                <w:sz w:val="21"/>
                <w:szCs w:val="21"/>
                <w:lang w:eastAsia="zh-CN"/>
              </w:rPr>
              <w:t>。</w:t>
            </w:r>
          </w:p>
        </w:tc>
      </w:tr>
      <w:tr w14:paraId="1508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0356D19">
            <w:pPr>
              <w:rPr>
                <w:rFonts w:hint="eastAsia" w:ascii="仿宋" w:hAnsi="仿宋" w:eastAsia="仿宋" w:cs="仿宋"/>
                <w:sz w:val="21"/>
                <w:szCs w:val="21"/>
              </w:rPr>
            </w:pPr>
          </w:p>
        </w:tc>
        <w:tc>
          <w:tcPr>
            <w:tcW w:w="670" w:type="pct"/>
            <w:vMerge w:val="continue"/>
            <w:vAlign w:val="center"/>
          </w:tcPr>
          <w:p w14:paraId="765114F8">
            <w:pPr>
              <w:jc w:val="center"/>
              <w:rPr>
                <w:rFonts w:hint="eastAsia" w:ascii="仿宋" w:hAnsi="仿宋" w:eastAsia="仿宋" w:cs="仿宋"/>
                <w:sz w:val="21"/>
                <w:szCs w:val="21"/>
              </w:rPr>
            </w:pPr>
          </w:p>
        </w:tc>
        <w:tc>
          <w:tcPr>
            <w:tcW w:w="1016" w:type="pct"/>
            <w:shd w:val="clear" w:color="auto" w:fill="auto"/>
            <w:vAlign w:val="center"/>
          </w:tcPr>
          <w:p w14:paraId="7AF2B107">
            <w:pPr>
              <w:jc w:val="center"/>
              <w:rPr>
                <w:rFonts w:hint="eastAsia" w:ascii="仿宋" w:hAnsi="仿宋" w:eastAsia="仿宋" w:cs="仿宋"/>
                <w:sz w:val="21"/>
                <w:szCs w:val="21"/>
              </w:rPr>
            </w:pPr>
            <w:r>
              <w:rPr>
                <w:rFonts w:hint="eastAsia" w:ascii="仿宋" w:hAnsi="仿宋" w:eastAsia="仿宋" w:cs="仿宋"/>
                <w:sz w:val="21"/>
                <w:szCs w:val="21"/>
              </w:rPr>
              <w:t>订单审核管理</w:t>
            </w:r>
          </w:p>
        </w:tc>
        <w:tc>
          <w:tcPr>
            <w:tcW w:w="2629" w:type="pct"/>
            <w:shd w:val="clear" w:color="auto" w:fill="auto"/>
            <w:vAlign w:val="center"/>
          </w:tcPr>
          <w:p w14:paraId="583772D7">
            <w:pPr>
              <w:rPr>
                <w:rFonts w:hint="eastAsia" w:ascii="仿宋" w:hAnsi="仿宋" w:eastAsia="仿宋" w:cs="仿宋"/>
                <w:b/>
                <w:bCs/>
                <w:color w:val="auto"/>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支持对用户采购特殊化学品进行多级联动审核，包括实验室、学院管理员和学校管理员的多级审核管理</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highlight w:val="none"/>
                <w:lang w:val="en-US" w:eastAsia="zh-CN"/>
              </w:rPr>
              <w:t>（演示内容2）</w:t>
            </w:r>
          </w:p>
          <w:p w14:paraId="6CD79B1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审核界面需提供个人及实验室台账数据。</w:t>
            </w:r>
          </w:p>
        </w:tc>
      </w:tr>
      <w:tr w14:paraId="69A5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70F20D6">
            <w:pPr>
              <w:rPr>
                <w:rFonts w:hint="eastAsia" w:ascii="仿宋" w:hAnsi="仿宋" w:eastAsia="仿宋" w:cs="仿宋"/>
                <w:sz w:val="21"/>
                <w:szCs w:val="21"/>
              </w:rPr>
            </w:pPr>
          </w:p>
        </w:tc>
        <w:tc>
          <w:tcPr>
            <w:tcW w:w="670" w:type="pct"/>
            <w:vMerge w:val="continue"/>
            <w:vAlign w:val="center"/>
          </w:tcPr>
          <w:p w14:paraId="68D20003">
            <w:pPr>
              <w:jc w:val="center"/>
              <w:rPr>
                <w:rFonts w:hint="eastAsia" w:ascii="仿宋" w:hAnsi="仿宋" w:eastAsia="仿宋" w:cs="仿宋"/>
                <w:sz w:val="21"/>
                <w:szCs w:val="21"/>
              </w:rPr>
            </w:pPr>
          </w:p>
        </w:tc>
        <w:tc>
          <w:tcPr>
            <w:tcW w:w="1016" w:type="pct"/>
            <w:shd w:val="clear" w:color="auto" w:fill="auto"/>
            <w:vAlign w:val="center"/>
          </w:tcPr>
          <w:p w14:paraId="374B857D">
            <w:pPr>
              <w:jc w:val="center"/>
              <w:rPr>
                <w:rFonts w:hint="eastAsia" w:ascii="仿宋" w:hAnsi="仿宋" w:eastAsia="仿宋" w:cs="仿宋"/>
                <w:sz w:val="21"/>
                <w:szCs w:val="21"/>
              </w:rPr>
            </w:pPr>
            <w:r>
              <w:rPr>
                <w:rFonts w:hint="eastAsia" w:ascii="仿宋" w:hAnsi="仿宋" w:eastAsia="仿宋" w:cs="仿宋"/>
                <w:sz w:val="21"/>
                <w:szCs w:val="21"/>
              </w:rPr>
              <w:t>订单导出与报告</w:t>
            </w:r>
          </w:p>
        </w:tc>
        <w:tc>
          <w:tcPr>
            <w:tcW w:w="2629" w:type="pct"/>
            <w:shd w:val="clear" w:color="auto" w:fill="auto"/>
            <w:vAlign w:val="center"/>
          </w:tcPr>
          <w:p w14:paraId="2BD8C977">
            <w:pPr>
              <w:rPr>
                <w:rFonts w:hint="eastAsia" w:ascii="仿宋" w:hAnsi="仿宋" w:eastAsia="仿宋" w:cs="仿宋"/>
                <w:color w:val="auto"/>
                <w:sz w:val="21"/>
                <w:szCs w:val="21"/>
              </w:rPr>
            </w:pPr>
            <w:r>
              <w:rPr>
                <w:rFonts w:hint="eastAsia" w:ascii="仿宋" w:hAnsi="仿宋" w:eastAsia="仿宋" w:cs="仿宋"/>
                <w:color w:val="auto"/>
                <w:sz w:val="21"/>
                <w:szCs w:val="21"/>
              </w:rPr>
              <w:t>订单导出和报告模块允许用户将订单数据导出为Excel或其他格式并生成订单报告</w:t>
            </w:r>
          </w:p>
        </w:tc>
      </w:tr>
      <w:tr w14:paraId="1368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3A2784D7">
            <w:pPr>
              <w:rPr>
                <w:rFonts w:hint="eastAsia" w:ascii="仿宋" w:hAnsi="仿宋" w:eastAsia="仿宋" w:cs="仿宋"/>
                <w:sz w:val="21"/>
                <w:szCs w:val="21"/>
              </w:rPr>
            </w:pPr>
          </w:p>
        </w:tc>
        <w:tc>
          <w:tcPr>
            <w:tcW w:w="670" w:type="pct"/>
            <w:vMerge w:val="continue"/>
            <w:vAlign w:val="center"/>
          </w:tcPr>
          <w:p w14:paraId="77E8AFC1">
            <w:pPr>
              <w:jc w:val="center"/>
              <w:rPr>
                <w:rFonts w:hint="eastAsia" w:ascii="仿宋" w:hAnsi="仿宋" w:eastAsia="仿宋" w:cs="仿宋"/>
                <w:sz w:val="21"/>
                <w:szCs w:val="21"/>
              </w:rPr>
            </w:pPr>
          </w:p>
        </w:tc>
        <w:tc>
          <w:tcPr>
            <w:tcW w:w="1016" w:type="pct"/>
            <w:shd w:val="clear" w:color="auto" w:fill="auto"/>
            <w:vAlign w:val="center"/>
          </w:tcPr>
          <w:p w14:paraId="3513789B">
            <w:pPr>
              <w:jc w:val="center"/>
              <w:rPr>
                <w:rFonts w:hint="eastAsia" w:ascii="仿宋" w:hAnsi="仿宋" w:eastAsia="仿宋" w:cs="仿宋"/>
                <w:sz w:val="21"/>
                <w:szCs w:val="21"/>
              </w:rPr>
            </w:pPr>
            <w:r>
              <w:rPr>
                <w:rFonts w:hint="eastAsia" w:ascii="仿宋" w:hAnsi="仿宋" w:eastAsia="仿宋" w:cs="仿宋"/>
                <w:sz w:val="21"/>
                <w:szCs w:val="21"/>
              </w:rPr>
              <w:t>订单冻结经费本</w:t>
            </w:r>
          </w:p>
        </w:tc>
        <w:tc>
          <w:tcPr>
            <w:tcW w:w="2629" w:type="pct"/>
            <w:shd w:val="clear" w:color="auto" w:fill="auto"/>
            <w:vAlign w:val="center"/>
          </w:tcPr>
          <w:p w14:paraId="742B26CF">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可根据产品类型自动分类生成订单，支持多订单合并冻结经费</w:t>
            </w:r>
            <w:r>
              <w:rPr>
                <w:rFonts w:hint="eastAsia" w:ascii="仿宋" w:hAnsi="仿宋" w:eastAsia="仿宋" w:cs="仿宋"/>
                <w:color w:val="auto"/>
                <w:sz w:val="21"/>
                <w:szCs w:val="21"/>
                <w:lang w:eastAsia="zh-CN"/>
              </w:rPr>
              <w:t>；</w:t>
            </w:r>
          </w:p>
          <w:p w14:paraId="34D3B961">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可实现订单指定他人冻结经费功能，能设置常用人清单</w:t>
            </w:r>
            <w:r>
              <w:rPr>
                <w:rFonts w:hint="eastAsia" w:ascii="仿宋" w:hAnsi="仿宋" w:eastAsia="仿宋" w:cs="仿宋"/>
                <w:color w:val="auto"/>
                <w:sz w:val="21"/>
                <w:szCs w:val="21"/>
                <w:lang w:eastAsia="zh-CN"/>
              </w:rPr>
              <w:t>；</w:t>
            </w:r>
          </w:p>
          <w:p w14:paraId="5F236800">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已冻结经费的订单可更换其它经费本冻结</w:t>
            </w:r>
            <w:r>
              <w:rPr>
                <w:rFonts w:hint="eastAsia" w:ascii="仿宋" w:hAnsi="仿宋" w:eastAsia="仿宋" w:cs="仿宋"/>
                <w:color w:val="auto"/>
                <w:sz w:val="21"/>
                <w:szCs w:val="21"/>
                <w:lang w:eastAsia="zh-CN"/>
              </w:rPr>
              <w:t>；</w:t>
            </w:r>
          </w:p>
          <w:p w14:paraId="63E306D6">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未冻结经费本的订单能定义订单自动取消的天数。</w:t>
            </w:r>
          </w:p>
        </w:tc>
      </w:tr>
      <w:tr w14:paraId="4F39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EC59C27">
            <w:pPr>
              <w:rPr>
                <w:rFonts w:hint="eastAsia" w:ascii="仿宋" w:hAnsi="仿宋" w:eastAsia="仿宋" w:cs="仿宋"/>
                <w:sz w:val="21"/>
                <w:szCs w:val="21"/>
              </w:rPr>
            </w:pPr>
          </w:p>
        </w:tc>
        <w:tc>
          <w:tcPr>
            <w:tcW w:w="670" w:type="pct"/>
            <w:vMerge w:val="continue"/>
            <w:vAlign w:val="center"/>
          </w:tcPr>
          <w:p w14:paraId="01822B48">
            <w:pPr>
              <w:jc w:val="center"/>
              <w:rPr>
                <w:rFonts w:hint="eastAsia" w:ascii="仿宋" w:hAnsi="仿宋" w:eastAsia="仿宋" w:cs="仿宋"/>
                <w:sz w:val="21"/>
                <w:szCs w:val="21"/>
              </w:rPr>
            </w:pPr>
          </w:p>
        </w:tc>
        <w:tc>
          <w:tcPr>
            <w:tcW w:w="1016" w:type="pct"/>
            <w:shd w:val="clear" w:color="auto" w:fill="auto"/>
            <w:vAlign w:val="center"/>
          </w:tcPr>
          <w:p w14:paraId="63B667D4">
            <w:pPr>
              <w:jc w:val="center"/>
              <w:rPr>
                <w:rFonts w:hint="eastAsia" w:ascii="仿宋" w:hAnsi="仿宋" w:eastAsia="仿宋" w:cs="仿宋"/>
                <w:sz w:val="21"/>
                <w:szCs w:val="21"/>
              </w:rPr>
            </w:pPr>
            <w:r>
              <w:rPr>
                <w:rFonts w:hint="eastAsia" w:ascii="仿宋" w:hAnsi="仿宋" w:eastAsia="仿宋" w:cs="仿宋"/>
                <w:sz w:val="21"/>
                <w:szCs w:val="21"/>
              </w:rPr>
              <w:t>订单拆分</w:t>
            </w:r>
          </w:p>
        </w:tc>
        <w:tc>
          <w:tcPr>
            <w:tcW w:w="2629" w:type="pct"/>
            <w:shd w:val="clear" w:color="auto" w:fill="auto"/>
            <w:vAlign w:val="center"/>
          </w:tcPr>
          <w:p w14:paraId="40817D61">
            <w:pPr>
              <w:rPr>
                <w:rFonts w:hint="eastAsia" w:ascii="仿宋" w:hAnsi="仿宋" w:eastAsia="仿宋" w:cs="仿宋"/>
                <w:color w:val="auto"/>
                <w:sz w:val="21"/>
                <w:szCs w:val="21"/>
              </w:rPr>
            </w:pPr>
            <w:r>
              <w:rPr>
                <w:rFonts w:hint="eastAsia" w:ascii="仿宋" w:hAnsi="仿宋" w:eastAsia="仿宋" w:cs="仿宋"/>
                <w:color w:val="auto"/>
                <w:sz w:val="21"/>
                <w:szCs w:val="21"/>
              </w:rPr>
              <w:t>当订单部分产品缺货或库存不够时可用拆分订单功能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操作完成后系统把有货、有量的产品自动生成一个新的订单，自动用经费本重新冻结。</w:t>
            </w:r>
          </w:p>
        </w:tc>
      </w:tr>
      <w:tr w14:paraId="1B11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3B5EA163">
            <w:pPr>
              <w:rPr>
                <w:rFonts w:hint="eastAsia" w:ascii="仿宋" w:hAnsi="仿宋" w:eastAsia="仿宋" w:cs="仿宋"/>
                <w:sz w:val="21"/>
                <w:szCs w:val="21"/>
              </w:rPr>
            </w:pPr>
          </w:p>
        </w:tc>
        <w:tc>
          <w:tcPr>
            <w:tcW w:w="670" w:type="pct"/>
            <w:vMerge w:val="continue"/>
            <w:vAlign w:val="center"/>
          </w:tcPr>
          <w:p w14:paraId="4B53B9DF">
            <w:pPr>
              <w:jc w:val="center"/>
              <w:rPr>
                <w:rFonts w:hint="eastAsia" w:ascii="仿宋" w:hAnsi="仿宋" w:eastAsia="仿宋" w:cs="仿宋"/>
                <w:sz w:val="21"/>
                <w:szCs w:val="21"/>
              </w:rPr>
            </w:pPr>
          </w:p>
        </w:tc>
        <w:tc>
          <w:tcPr>
            <w:tcW w:w="1016" w:type="pct"/>
            <w:shd w:val="clear" w:color="auto" w:fill="auto"/>
            <w:vAlign w:val="center"/>
          </w:tcPr>
          <w:p w14:paraId="0A4AD3BD">
            <w:pPr>
              <w:jc w:val="center"/>
              <w:rPr>
                <w:rFonts w:hint="eastAsia" w:ascii="仿宋" w:hAnsi="仿宋" w:eastAsia="仿宋" w:cs="仿宋"/>
                <w:sz w:val="21"/>
                <w:szCs w:val="21"/>
              </w:rPr>
            </w:pPr>
            <w:r>
              <w:rPr>
                <w:rFonts w:hint="eastAsia" w:ascii="仿宋" w:hAnsi="仿宋" w:eastAsia="仿宋" w:cs="仿宋"/>
                <w:sz w:val="21"/>
                <w:szCs w:val="21"/>
              </w:rPr>
              <w:t>订单标签码</w:t>
            </w:r>
          </w:p>
        </w:tc>
        <w:tc>
          <w:tcPr>
            <w:tcW w:w="2629" w:type="pct"/>
            <w:shd w:val="clear" w:color="auto" w:fill="auto"/>
            <w:vAlign w:val="center"/>
          </w:tcPr>
          <w:p w14:paraId="717E5E8D">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订单完成收货后自动生成标签码（可下载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打印及批量操作），包含订单全部信息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实验室综合管理平台可用该标签码实现相应的功能，支持自定义标签码内容修改。</w:t>
            </w:r>
          </w:p>
        </w:tc>
      </w:tr>
      <w:tr w14:paraId="748B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AB2FCFE">
            <w:pPr>
              <w:rPr>
                <w:rFonts w:hint="eastAsia" w:ascii="仿宋" w:hAnsi="仿宋" w:eastAsia="仿宋" w:cs="仿宋"/>
                <w:sz w:val="21"/>
                <w:szCs w:val="21"/>
              </w:rPr>
            </w:pPr>
          </w:p>
        </w:tc>
        <w:tc>
          <w:tcPr>
            <w:tcW w:w="670" w:type="pct"/>
            <w:vMerge w:val="restart"/>
            <w:shd w:val="clear" w:color="auto" w:fill="auto"/>
            <w:vAlign w:val="center"/>
          </w:tcPr>
          <w:p w14:paraId="5C903166">
            <w:pPr>
              <w:jc w:val="center"/>
              <w:rPr>
                <w:rFonts w:hint="eastAsia" w:ascii="仿宋" w:hAnsi="仿宋" w:eastAsia="仿宋" w:cs="仿宋"/>
                <w:sz w:val="21"/>
                <w:szCs w:val="21"/>
              </w:rPr>
            </w:pPr>
            <w:r>
              <w:rPr>
                <w:rFonts w:hint="eastAsia" w:ascii="仿宋" w:hAnsi="仿宋" w:eastAsia="仿宋" w:cs="仿宋"/>
                <w:sz w:val="21"/>
                <w:szCs w:val="21"/>
              </w:rPr>
              <w:t>自购管理</w:t>
            </w:r>
          </w:p>
        </w:tc>
        <w:tc>
          <w:tcPr>
            <w:tcW w:w="1016" w:type="pct"/>
            <w:shd w:val="clear" w:color="auto" w:fill="auto"/>
            <w:vAlign w:val="center"/>
          </w:tcPr>
          <w:p w14:paraId="1B5B7279">
            <w:pPr>
              <w:jc w:val="center"/>
              <w:rPr>
                <w:rFonts w:hint="eastAsia" w:ascii="仿宋" w:hAnsi="仿宋" w:eastAsia="仿宋" w:cs="仿宋"/>
                <w:sz w:val="21"/>
                <w:szCs w:val="21"/>
              </w:rPr>
            </w:pPr>
            <w:r>
              <w:rPr>
                <w:rFonts w:hint="eastAsia" w:ascii="仿宋" w:hAnsi="仿宋" w:eastAsia="仿宋" w:cs="仿宋"/>
                <w:sz w:val="21"/>
                <w:szCs w:val="21"/>
              </w:rPr>
              <w:t>自购订单管理</w:t>
            </w:r>
          </w:p>
        </w:tc>
        <w:tc>
          <w:tcPr>
            <w:tcW w:w="2629" w:type="pct"/>
            <w:shd w:val="clear" w:color="auto" w:fill="auto"/>
            <w:vAlign w:val="center"/>
          </w:tcPr>
          <w:p w14:paraId="28902172">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用户可自定义添加商品生成订单，可批量导入模板</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上传图片、添加备注等</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订单详情需包含流程（审批、驳回等）</w:t>
            </w:r>
            <w:r>
              <w:rPr>
                <w:rFonts w:hint="eastAsia" w:ascii="仿宋" w:hAnsi="仿宋" w:eastAsia="仿宋" w:cs="仿宋"/>
                <w:color w:val="auto"/>
                <w:sz w:val="21"/>
                <w:szCs w:val="21"/>
                <w:lang w:eastAsia="zh-CN"/>
              </w:rPr>
              <w:t>；</w:t>
            </w:r>
          </w:p>
          <w:p w14:paraId="2CB1E309">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自定义订单功能类型，一键生成自购申请单和借款凭证，包含订单全部信息</w:t>
            </w:r>
            <w:r>
              <w:rPr>
                <w:rFonts w:hint="eastAsia" w:ascii="仿宋" w:hAnsi="仿宋" w:eastAsia="仿宋" w:cs="仿宋"/>
                <w:color w:val="auto"/>
                <w:sz w:val="21"/>
                <w:szCs w:val="21"/>
                <w:lang w:eastAsia="zh-CN"/>
              </w:rPr>
              <w:t>；</w:t>
            </w:r>
          </w:p>
          <w:p w14:paraId="038377A3">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3.具有</w:t>
            </w:r>
            <w:r>
              <w:rPr>
                <w:rFonts w:hint="eastAsia" w:ascii="仿宋" w:hAnsi="仿宋" w:eastAsia="仿宋" w:cs="仿宋"/>
                <w:color w:val="auto"/>
                <w:sz w:val="21"/>
                <w:szCs w:val="21"/>
              </w:rPr>
              <w:t>草稿保存和修改功能并能对接财务系统。</w:t>
            </w:r>
          </w:p>
        </w:tc>
      </w:tr>
      <w:tr w14:paraId="14A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FB88EAA">
            <w:pPr>
              <w:rPr>
                <w:rFonts w:hint="eastAsia" w:ascii="仿宋" w:hAnsi="仿宋" w:eastAsia="仿宋" w:cs="仿宋"/>
                <w:sz w:val="21"/>
                <w:szCs w:val="21"/>
              </w:rPr>
            </w:pPr>
          </w:p>
        </w:tc>
        <w:tc>
          <w:tcPr>
            <w:tcW w:w="670" w:type="pct"/>
            <w:vMerge w:val="continue"/>
            <w:shd w:val="clear" w:color="auto" w:fill="auto"/>
            <w:vAlign w:val="center"/>
          </w:tcPr>
          <w:p w14:paraId="5B9305E1">
            <w:pPr>
              <w:jc w:val="center"/>
              <w:rPr>
                <w:rFonts w:hint="eastAsia" w:ascii="仿宋" w:hAnsi="仿宋" w:eastAsia="仿宋" w:cs="仿宋"/>
                <w:sz w:val="21"/>
                <w:szCs w:val="21"/>
              </w:rPr>
            </w:pPr>
          </w:p>
        </w:tc>
        <w:tc>
          <w:tcPr>
            <w:tcW w:w="1016" w:type="pct"/>
            <w:shd w:val="clear" w:color="auto" w:fill="auto"/>
            <w:vAlign w:val="center"/>
          </w:tcPr>
          <w:p w14:paraId="1EAA8D52">
            <w:pPr>
              <w:jc w:val="center"/>
              <w:rPr>
                <w:rFonts w:hint="eastAsia" w:ascii="仿宋" w:hAnsi="仿宋" w:eastAsia="仿宋" w:cs="仿宋"/>
                <w:sz w:val="21"/>
                <w:szCs w:val="21"/>
              </w:rPr>
            </w:pPr>
            <w:r>
              <w:rPr>
                <w:rFonts w:hint="eastAsia" w:ascii="仿宋" w:hAnsi="仿宋" w:eastAsia="仿宋" w:cs="仿宋"/>
                <w:sz w:val="21"/>
                <w:szCs w:val="21"/>
              </w:rPr>
              <w:t>自购订单审核</w:t>
            </w:r>
          </w:p>
        </w:tc>
        <w:tc>
          <w:tcPr>
            <w:tcW w:w="2629" w:type="pct"/>
            <w:shd w:val="clear" w:color="auto" w:fill="auto"/>
            <w:vAlign w:val="center"/>
          </w:tcPr>
          <w:p w14:paraId="26255B59">
            <w:pPr>
              <w:rPr>
                <w:rFonts w:hint="eastAsia" w:ascii="仿宋" w:hAnsi="仿宋" w:eastAsia="仿宋" w:cs="仿宋"/>
                <w:color w:val="auto"/>
                <w:sz w:val="21"/>
                <w:szCs w:val="21"/>
              </w:rPr>
            </w:pPr>
            <w:r>
              <w:rPr>
                <w:rFonts w:hint="eastAsia" w:ascii="仿宋" w:hAnsi="仿宋" w:eastAsia="仿宋" w:cs="仿宋"/>
                <w:color w:val="auto"/>
                <w:sz w:val="21"/>
                <w:szCs w:val="21"/>
              </w:rPr>
              <w:t>支持对用户多级联动审核，每级审核结果可添加备注。</w:t>
            </w:r>
          </w:p>
        </w:tc>
      </w:tr>
      <w:tr w14:paraId="7D7D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EE7AEEE">
            <w:pPr>
              <w:rPr>
                <w:rFonts w:hint="eastAsia" w:ascii="仿宋" w:hAnsi="仿宋" w:eastAsia="仿宋" w:cs="仿宋"/>
                <w:sz w:val="21"/>
                <w:szCs w:val="21"/>
              </w:rPr>
            </w:pPr>
          </w:p>
        </w:tc>
        <w:tc>
          <w:tcPr>
            <w:tcW w:w="670" w:type="pct"/>
            <w:vMerge w:val="restart"/>
            <w:shd w:val="clear" w:color="auto" w:fill="auto"/>
            <w:vAlign w:val="center"/>
          </w:tcPr>
          <w:p w14:paraId="683249BD">
            <w:pPr>
              <w:jc w:val="center"/>
              <w:rPr>
                <w:rFonts w:hint="eastAsia" w:ascii="仿宋" w:hAnsi="仿宋" w:eastAsia="仿宋" w:cs="仿宋"/>
                <w:sz w:val="21"/>
                <w:szCs w:val="21"/>
              </w:rPr>
            </w:pPr>
            <w:r>
              <w:rPr>
                <w:rFonts w:hint="eastAsia" w:ascii="仿宋" w:hAnsi="仿宋" w:eastAsia="仿宋" w:cs="仿宋"/>
                <w:sz w:val="21"/>
                <w:szCs w:val="21"/>
              </w:rPr>
              <w:t>销售管理</w:t>
            </w:r>
          </w:p>
        </w:tc>
        <w:tc>
          <w:tcPr>
            <w:tcW w:w="1016" w:type="pct"/>
            <w:shd w:val="clear" w:color="auto" w:fill="auto"/>
            <w:vAlign w:val="center"/>
          </w:tcPr>
          <w:p w14:paraId="033AC713">
            <w:pPr>
              <w:jc w:val="center"/>
              <w:rPr>
                <w:rFonts w:hint="eastAsia" w:ascii="仿宋" w:hAnsi="仿宋" w:eastAsia="仿宋" w:cs="仿宋"/>
                <w:sz w:val="21"/>
                <w:szCs w:val="21"/>
              </w:rPr>
            </w:pPr>
            <w:r>
              <w:rPr>
                <w:rFonts w:hint="eastAsia" w:ascii="仿宋" w:hAnsi="仿宋" w:eastAsia="仿宋" w:cs="仿宋"/>
                <w:sz w:val="21"/>
                <w:szCs w:val="21"/>
              </w:rPr>
              <w:t>产品销售管理</w:t>
            </w:r>
          </w:p>
        </w:tc>
        <w:tc>
          <w:tcPr>
            <w:tcW w:w="2629" w:type="pct"/>
            <w:shd w:val="clear" w:color="auto" w:fill="auto"/>
            <w:vAlign w:val="center"/>
          </w:tcPr>
          <w:p w14:paraId="43F52D4E">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对产品上下架、删除、调整折扣等功能进行单个或批量操作</w:t>
            </w:r>
            <w:r>
              <w:rPr>
                <w:rFonts w:hint="eastAsia" w:ascii="仿宋" w:hAnsi="仿宋" w:eastAsia="仿宋" w:cs="仿宋"/>
                <w:color w:val="auto"/>
                <w:sz w:val="21"/>
                <w:szCs w:val="21"/>
                <w:lang w:eastAsia="zh-CN"/>
              </w:rPr>
              <w:t>；</w:t>
            </w:r>
          </w:p>
          <w:p w14:paraId="72F5F7D6">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支持产品销售状态、价格</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折扣、销量筛选及排序</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具备</w:t>
            </w:r>
            <w:r>
              <w:rPr>
                <w:rFonts w:hint="eastAsia" w:ascii="仿宋" w:hAnsi="仿宋" w:eastAsia="仿宋" w:cs="仿宋"/>
                <w:color w:val="auto"/>
                <w:sz w:val="21"/>
                <w:szCs w:val="21"/>
              </w:rPr>
              <w:t>产品名称</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货号、供货商、生产商搜索及产品目录导出功能</w:t>
            </w:r>
            <w:r>
              <w:rPr>
                <w:rFonts w:hint="eastAsia" w:ascii="仿宋" w:hAnsi="仿宋" w:eastAsia="仿宋" w:cs="仿宋"/>
                <w:color w:val="auto"/>
                <w:sz w:val="21"/>
                <w:szCs w:val="21"/>
                <w:lang w:eastAsia="zh-CN"/>
              </w:rPr>
              <w:t>；</w:t>
            </w:r>
          </w:p>
          <w:p w14:paraId="42005037">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管理员可定义产品标签，上架产品通过标签定义分类管理。</w:t>
            </w:r>
          </w:p>
        </w:tc>
      </w:tr>
      <w:tr w14:paraId="18D5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79E74BF4">
            <w:pPr>
              <w:rPr>
                <w:rFonts w:hint="eastAsia" w:ascii="仿宋" w:hAnsi="仿宋" w:eastAsia="仿宋" w:cs="仿宋"/>
                <w:sz w:val="21"/>
                <w:szCs w:val="21"/>
              </w:rPr>
            </w:pPr>
          </w:p>
        </w:tc>
        <w:tc>
          <w:tcPr>
            <w:tcW w:w="670" w:type="pct"/>
            <w:vMerge w:val="continue"/>
            <w:vAlign w:val="center"/>
          </w:tcPr>
          <w:p w14:paraId="456C035E">
            <w:pPr>
              <w:jc w:val="center"/>
              <w:rPr>
                <w:rFonts w:hint="eastAsia" w:ascii="仿宋" w:hAnsi="仿宋" w:eastAsia="仿宋" w:cs="仿宋"/>
                <w:sz w:val="21"/>
                <w:szCs w:val="21"/>
              </w:rPr>
            </w:pPr>
          </w:p>
        </w:tc>
        <w:tc>
          <w:tcPr>
            <w:tcW w:w="1016" w:type="pct"/>
            <w:shd w:val="clear" w:color="auto" w:fill="auto"/>
            <w:vAlign w:val="center"/>
          </w:tcPr>
          <w:p w14:paraId="01A12E6E">
            <w:pPr>
              <w:jc w:val="center"/>
              <w:rPr>
                <w:rFonts w:hint="eastAsia" w:ascii="仿宋" w:hAnsi="仿宋" w:eastAsia="仿宋" w:cs="仿宋"/>
                <w:sz w:val="21"/>
                <w:szCs w:val="21"/>
              </w:rPr>
            </w:pPr>
            <w:r>
              <w:rPr>
                <w:rFonts w:hint="eastAsia" w:ascii="仿宋" w:hAnsi="仿宋" w:eastAsia="仿宋" w:cs="仿宋"/>
                <w:sz w:val="21"/>
                <w:szCs w:val="21"/>
              </w:rPr>
              <w:t>产品审核</w:t>
            </w:r>
          </w:p>
        </w:tc>
        <w:tc>
          <w:tcPr>
            <w:tcW w:w="2629" w:type="pct"/>
            <w:shd w:val="clear" w:color="auto" w:fill="auto"/>
            <w:vAlign w:val="center"/>
          </w:tcPr>
          <w:p w14:paraId="599BBBC2">
            <w:pPr>
              <w:rPr>
                <w:rFonts w:hint="eastAsia" w:ascii="仿宋" w:hAnsi="仿宋" w:eastAsia="仿宋" w:cs="仿宋"/>
                <w:color w:val="auto"/>
                <w:sz w:val="21"/>
                <w:szCs w:val="21"/>
              </w:rPr>
            </w:pPr>
            <w:r>
              <w:rPr>
                <w:rFonts w:hint="eastAsia" w:ascii="仿宋" w:hAnsi="仿宋" w:eastAsia="仿宋" w:cs="仿宋"/>
                <w:color w:val="auto"/>
                <w:sz w:val="21"/>
                <w:szCs w:val="21"/>
              </w:rPr>
              <w:t>管理员可设置不同的审核流程和权限，支持搜索和筛选</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支持历史审核时间和历史审核价格显示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同类型产品价格对比显示。</w:t>
            </w:r>
          </w:p>
        </w:tc>
      </w:tr>
      <w:tr w14:paraId="3938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A26FB8B">
            <w:pPr>
              <w:rPr>
                <w:rFonts w:hint="eastAsia" w:ascii="仿宋" w:hAnsi="仿宋" w:eastAsia="仿宋" w:cs="仿宋"/>
                <w:sz w:val="21"/>
                <w:szCs w:val="21"/>
              </w:rPr>
            </w:pPr>
          </w:p>
        </w:tc>
        <w:tc>
          <w:tcPr>
            <w:tcW w:w="670" w:type="pct"/>
            <w:vMerge w:val="continue"/>
            <w:vAlign w:val="center"/>
          </w:tcPr>
          <w:p w14:paraId="422E92D2">
            <w:pPr>
              <w:jc w:val="center"/>
              <w:rPr>
                <w:rFonts w:hint="eastAsia" w:ascii="仿宋" w:hAnsi="仿宋" w:eastAsia="仿宋" w:cs="仿宋"/>
                <w:sz w:val="21"/>
                <w:szCs w:val="21"/>
              </w:rPr>
            </w:pPr>
          </w:p>
        </w:tc>
        <w:tc>
          <w:tcPr>
            <w:tcW w:w="1016" w:type="pct"/>
            <w:shd w:val="clear" w:color="auto" w:fill="auto"/>
            <w:vAlign w:val="center"/>
          </w:tcPr>
          <w:p w14:paraId="396E983B">
            <w:pPr>
              <w:jc w:val="center"/>
              <w:rPr>
                <w:rFonts w:hint="eastAsia" w:ascii="仿宋" w:hAnsi="仿宋" w:eastAsia="仿宋" w:cs="仿宋"/>
                <w:sz w:val="21"/>
                <w:szCs w:val="21"/>
              </w:rPr>
            </w:pPr>
            <w:r>
              <w:rPr>
                <w:rFonts w:hint="eastAsia" w:ascii="仿宋" w:hAnsi="仿宋" w:eastAsia="仿宋" w:cs="仿宋"/>
                <w:sz w:val="21"/>
                <w:szCs w:val="21"/>
              </w:rPr>
              <w:t>产品信息管理</w:t>
            </w:r>
          </w:p>
        </w:tc>
        <w:tc>
          <w:tcPr>
            <w:tcW w:w="2629" w:type="pct"/>
            <w:shd w:val="clear" w:color="auto" w:fill="auto"/>
            <w:vAlign w:val="center"/>
          </w:tcPr>
          <w:p w14:paraId="37E7EB4B">
            <w:pPr>
              <w:rPr>
                <w:rFonts w:hint="eastAsia" w:ascii="仿宋" w:hAnsi="仿宋" w:eastAsia="仿宋" w:cs="仿宋"/>
                <w:color w:val="auto"/>
                <w:sz w:val="21"/>
                <w:szCs w:val="21"/>
              </w:rPr>
            </w:pPr>
            <w:r>
              <w:rPr>
                <w:rFonts w:hint="eastAsia" w:ascii="仿宋" w:hAnsi="仿宋" w:eastAsia="仿宋" w:cs="仿宋"/>
                <w:color w:val="auto"/>
                <w:sz w:val="21"/>
                <w:szCs w:val="21"/>
              </w:rPr>
              <w:t>管理员可通过产品管理模块新增、查看、编辑产品信息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包括产品名称、产品图片、描述、价格、库存、规格、品牌、分类等信息</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支持模板导入。</w:t>
            </w:r>
          </w:p>
        </w:tc>
      </w:tr>
      <w:tr w14:paraId="666A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7CC64315">
            <w:pPr>
              <w:rPr>
                <w:rFonts w:hint="eastAsia" w:ascii="仿宋" w:hAnsi="仿宋" w:eastAsia="仿宋" w:cs="仿宋"/>
                <w:sz w:val="21"/>
                <w:szCs w:val="21"/>
              </w:rPr>
            </w:pPr>
          </w:p>
        </w:tc>
        <w:tc>
          <w:tcPr>
            <w:tcW w:w="670" w:type="pct"/>
            <w:vMerge w:val="continue"/>
            <w:vAlign w:val="center"/>
          </w:tcPr>
          <w:p w14:paraId="4CF69C9F">
            <w:pPr>
              <w:jc w:val="center"/>
              <w:rPr>
                <w:rFonts w:hint="eastAsia" w:ascii="仿宋" w:hAnsi="仿宋" w:eastAsia="仿宋" w:cs="仿宋"/>
                <w:sz w:val="21"/>
                <w:szCs w:val="21"/>
              </w:rPr>
            </w:pPr>
          </w:p>
        </w:tc>
        <w:tc>
          <w:tcPr>
            <w:tcW w:w="1016" w:type="pct"/>
            <w:shd w:val="clear" w:color="auto" w:fill="auto"/>
            <w:vAlign w:val="center"/>
          </w:tcPr>
          <w:p w14:paraId="3969591F">
            <w:pPr>
              <w:jc w:val="center"/>
              <w:rPr>
                <w:rFonts w:hint="eastAsia" w:ascii="仿宋" w:hAnsi="仿宋" w:eastAsia="仿宋" w:cs="仿宋"/>
                <w:sz w:val="21"/>
                <w:szCs w:val="21"/>
              </w:rPr>
            </w:pPr>
            <w:r>
              <w:rPr>
                <w:rFonts w:hint="eastAsia" w:ascii="仿宋" w:hAnsi="仿宋" w:eastAsia="仿宋" w:cs="仿宋"/>
                <w:sz w:val="21"/>
                <w:szCs w:val="21"/>
              </w:rPr>
              <w:t>供货商管理</w:t>
            </w:r>
          </w:p>
        </w:tc>
        <w:tc>
          <w:tcPr>
            <w:tcW w:w="2629" w:type="pct"/>
            <w:shd w:val="clear" w:color="auto" w:fill="auto"/>
            <w:vAlign w:val="center"/>
          </w:tcPr>
          <w:p w14:paraId="3E0EB5AE">
            <w:pPr>
              <w:rPr>
                <w:rFonts w:hint="eastAsia" w:ascii="仿宋" w:hAnsi="仿宋" w:eastAsia="仿宋" w:cs="仿宋"/>
                <w:color w:val="auto"/>
                <w:sz w:val="21"/>
                <w:szCs w:val="21"/>
              </w:rPr>
            </w:pPr>
            <w:r>
              <w:rPr>
                <w:rFonts w:hint="eastAsia" w:ascii="仿宋" w:hAnsi="仿宋" w:eastAsia="仿宋" w:cs="仿宋"/>
                <w:color w:val="auto"/>
                <w:sz w:val="21"/>
                <w:szCs w:val="21"/>
              </w:rPr>
              <w:t>管理平台上的入驻厂商信息，同时对厂家销售化学品类型（管制化学品、危险化学品、普通化学品）进行分类管理。</w:t>
            </w:r>
          </w:p>
        </w:tc>
      </w:tr>
      <w:tr w14:paraId="37F7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02A16EE">
            <w:pPr>
              <w:rPr>
                <w:rFonts w:hint="eastAsia" w:ascii="仿宋" w:hAnsi="仿宋" w:eastAsia="仿宋" w:cs="仿宋"/>
                <w:sz w:val="21"/>
                <w:szCs w:val="21"/>
              </w:rPr>
            </w:pPr>
          </w:p>
        </w:tc>
        <w:tc>
          <w:tcPr>
            <w:tcW w:w="670" w:type="pct"/>
            <w:vMerge w:val="continue"/>
            <w:vAlign w:val="center"/>
          </w:tcPr>
          <w:p w14:paraId="459BDA22">
            <w:pPr>
              <w:jc w:val="center"/>
              <w:rPr>
                <w:rFonts w:hint="eastAsia" w:ascii="仿宋" w:hAnsi="仿宋" w:eastAsia="仿宋" w:cs="仿宋"/>
                <w:sz w:val="21"/>
                <w:szCs w:val="21"/>
              </w:rPr>
            </w:pPr>
          </w:p>
        </w:tc>
        <w:tc>
          <w:tcPr>
            <w:tcW w:w="1016" w:type="pct"/>
            <w:shd w:val="clear" w:color="auto" w:fill="auto"/>
            <w:vAlign w:val="center"/>
          </w:tcPr>
          <w:p w14:paraId="0AC4269D">
            <w:pPr>
              <w:jc w:val="center"/>
              <w:rPr>
                <w:rFonts w:hint="eastAsia" w:ascii="仿宋" w:hAnsi="仿宋" w:eastAsia="仿宋" w:cs="仿宋"/>
                <w:sz w:val="21"/>
                <w:szCs w:val="21"/>
              </w:rPr>
            </w:pPr>
            <w:r>
              <w:rPr>
                <w:rFonts w:hint="eastAsia" w:ascii="仿宋" w:hAnsi="仿宋" w:eastAsia="仿宋" w:cs="仿宋"/>
                <w:sz w:val="21"/>
                <w:szCs w:val="21"/>
              </w:rPr>
              <w:t>售后管理</w:t>
            </w:r>
          </w:p>
        </w:tc>
        <w:tc>
          <w:tcPr>
            <w:tcW w:w="2629" w:type="pct"/>
            <w:shd w:val="clear" w:color="auto" w:fill="auto"/>
            <w:vAlign w:val="center"/>
          </w:tcPr>
          <w:p w14:paraId="30074DD4">
            <w:pPr>
              <w:rPr>
                <w:rFonts w:hint="eastAsia" w:ascii="仿宋" w:hAnsi="仿宋" w:eastAsia="仿宋" w:cs="仿宋"/>
                <w:color w:val="auto"/>
                <w:sz w:val="21"/>
                <w:szCs w:val="21"/>
              </w:rPr>
            </w:pPr>
            <w:r>
              <w:rPr>
                <w:rFonts w:hint="eastAsia" w:ascii="仿宋" w:hAnsi="仿宋" w:eastAsia="仿宋" w:cs="仿宋"/>
                <w:color w:val="auto"/>
                <w:sz w:val="21"/>
                <w:szCs w:val="21"/>
              </w:rPr>
              <w:t>管理投诉、退换货等订单并提供数据统计分析</w:t>
            </w:r>
          </w:p>
        </w:tc>
      </w:tr>
      <w:tr w14:paraId="5A41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1E6364BE">
            <w:pPr>
              <w:rPr>
                <w:rFonts w:hint="eastAsia" w:ascii="仿宋" w:hAnsi="仿宋" w:eastAsia="仿宋" w:cs="仿宋"/>
                <w:sz w:val="21"/>
                <w:szCs w:val="21"/>
              </w:rPr>
            </w:pPr>
          </w:p>
        </w:tc>
        <w:tc>
          <w:tcPr>
            <w:tcW w:w="670" w:type="pct"/>
            <w:vMerge w:val="restart"/>
            <w:shd w:val="clear" w:color="auto" w:fill="auto"/>
            <w:vAlign w:val="center"/>
          </w:tcPr>
          <w:p w14:paraId="7FEDB3A9">
            <w:pPr>
              <w:jc w:val="center"/>
              <w:rPr>
                <w:rFonts w:hint="eastAsia" w:ascii="仿宋" w:hAnsi="仿宋" w:eastAsia="仿宋" w:cs="仿宋"/>
                <w:sz w:val="21"/>
                <w:szCs w:val="21"/>
              </w:rPr>
            </w:pPr>
            <w:r>
              <w:rPr>
                <w:rFonts w:hint="eastAsia" w:ascii="仿宋" w:hAnsi="仿宋" w:eastAsia="仿宋" w:cs="仿宋"/>
                <w:sz w:val="21"/>
                <w:szCs w:val="21"/>
              </w:rPr>
              <w:t>科研项目</w:t>
            </w:r>
          </w:p>
        </w:tc>
        <w:tc>
          <w:tcPr>
            <w:tcW w:w="1016" w:type="pct"/>
            <w:shd w:val="clear" w:color="auto" w:fill="auto"/>
            <w:vAlign w:val="center"/>
          </w:tcPr>
          <w:p w14:paraId="1CAAA52D">
            <w:pPr>
              <w:jc w:val="center"/>
              <w:rPr>
                <w:rFonts w:hint="eastAsia" w:ascii="仿宋" w:hAnsi="仿宋" w:eastAsia="仿宋" w:cs="仿宋"/>
                <w:sz w:val="21"/>
                <w:szCs w:val="21"/>
              </w:rPr>
            </w:pPr>
            <w:r>
              <w:rPr>
                <w:rFonts w:hint="eastAsia" w:ascii="仿宋" w:hAnsi="仿宋" w:eastAsia="仿宋" w:cs="仿宋"/>
                <w:sz w:val="21"/>
                <w:szCs w:val="21"/>
              </w:rPr>
              <w:t>科研项目管理</w:t>
            </w:r>
          </w:p>
        </w:tc>
        <w:tc>
          <w:tcPr>
            <w:tcW w:w="2629" w:type="pct"/>
            <w:shd w:val="clear" w:color="auto" w:fill="auto"/>
            <w:vAlign w:val="center"/>
          </w:tcPr>
          <w:p w14:paraId="70DB914F">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支持用户查看科研项目相关信息，包括项目代码、项目名称、负责人姓名、是否国库项目、项目余额、财务状态等</w:t>
            </w:r>
            <w:r>
              <w:rPr>
                <w:rFonts w:hint="eastAsia" w:ascii="仿宋" w:hAnsi="仿宋" w:eastAsia="仿宋" w:cs="仿宋"/>
                <w:color w:val="auto"/>
                <w:sz w:val="21"/>
                <w:szCs w:val="21"/>
                <w:lang w:eastAsia="zh-CN"/>
              </w:rPr>
              <w:t>；</w:t>
            </w:r>
          </w:p>
          <w:p w14:paraId="6F52C2D0">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用户可定义单一或多个科研项目作为常用科研项目显示在订单冻结经费模块中，非常用项目可定义是否隐藏，能定义科研项目在系统中的截止日期</w:t>
            </w:r>
            <w:r>
              <w:rPr>
                <w:rFonts w:hint="eastAsia" w:ascii="仿宋" w:hAnsi="仿宋" w:eastAsia="仿宋" w:cs="仿宋"/>
                <w:color w:val="auto"/>
                <w:sz w:val="21"/>
                <w:szCs w:val="21"/>
                <w:lang w:eastAsia="zh-CN"/>
              </w:rPr>
              <w:t>；</w:t>
            </w:r>
          </w:p>
          <w:p w14:paraId="173B556F">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支持加密管理，可修改、重置密码。</w:t>
            </w:r>
          </w:p>
        </w:tc>
      </w:tr>
      <w:tr w14:paraId="5512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714CE61">
            <w:pPr>
              <w:rPr>
                <w:rFonts w:hint="eastAsia" w:ascii="仿宋" w:hAnsi="仿宋" w:eastAsia="仿宋" w:cs="仿宋"/>
                <w:sz w:val="21"/>
                <w:szCs w:val="21"/>
              </w:rPr>
            </w:pPr>
          </w:p>
        </w:tc>
        <w:tc>
          <w:tcPr>
            <w:tcW w:w="670" w:type="pct"/>
            <w:vMerge w:val="continue"/>
            <w:vAlign w:val="center"/>
          </w:tcPr>
          <w:p w14:paraId="1367481A">
            <w:pPr>
              <w:jc w:val="center"/>
              <w:rPr>
                <w:rFonts w:hint="eastAsia" w:ascii="仿宋" w:hAnsi="仿宋" w:eastAsia="仿宋" w:cs="仿宋"/>
                <w:sz w:val="21"/>
                <w:szCs w:val="21"/>
              </w:rPr>
            </w:pPr>
          </w:p>
        </w:tc>
        <w:tc>
          <w:tcPr>
            <w:tcW w:w="1016" w:type="pct"/>
            <w:shd w:val="clear" w:color="auto" w:fill="auto"/>
            <w:vAlign w:val="center"/>
          </w:tcPr>
          <w:p w14:paraId="1C6BC202">
            <w:pPr>
              <w:jc w:val="center"/>
              <w:rPr>
                <w:rFonts w:hint="eastAsia" w:ascii="仿宋" w:hAnsi="仿宋" w:eastAsia="仿宋" w:cs="仿宋"/>
                <w:sz w:val="21"/>
                <w:szCs w:val="21"/>
              </w:rPr>
            </w:pPr>
            <w:r>
              <w:rPr>
                <w:rFonts w:hint="eastAsia" w:ascii="仿宋" w:hAnsi="仿宋" w:eastAsia="仿宋" w:cs="仿宋"/>
                <w:sz w:val="21"/>
                <w:szCs w:val="21"/>
              </w:rPr>
              <w:t>科研项目授信</w:t>
            </w:r>
          </w:p>
        </w:tc>
        <w:tc>
          <w:tcPr>
            <w:tcW w:w="2629" w:type="pct"/>
            <w:shd w:val="clear" w:color="auto" w:fill="auto"/>
            <w:vAlign w:val="center"/>
          </w:tcPr>
          <w:p w14:paraId="541D4C84">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★支持用户对常用科研项目授信给自己学生一定额度，允许学生直接操作这笔额度进行采购操作而无需二次审批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通过查找用户、选择用户、授信额度完成授信操作并能查看授信后用户明细，包括项目名称、用户姓名、授权额度、已使用额度、剩余额度、是否开启及使用记录等</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highlight w:val="none"/>
                <w:lang w:val="en-US" w:eastAsia="zh-CN"/>
              </w:rPr>
              <w:t>（演示内容3）</w:t>
            </w:r>
          </w:p>
        </w:tc>
      </w:tr>
      <w:tr w14:paraId="7CD9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4365F6C3">
            <w:pPr>
              <w:rPr>
                <w:rFonts w:hint="eastAsia" w:ascii="仿宋" w:hAnsi="仿宋" w:eastAsia="仿宋" w:cs="仿宋"/>
                <w:sz w:val="21"/>
                <w:szCs w:val="21"/>
              </w:rPr>
            </w:pPr>
          </w:p>
        </w:tc>
        <w:tc>
          <w:tcPr>
            <w:tcW w:w="670" w:type="pct"/>
            <w:vMerge w:val="continue"/>
            <w:vAlign w:val="center"/>
          </w:tcPr>
          <w:p w14:paraId="75E2FDC6">
            <w:pPr>
              <w:jc w:val="center"/>
              <w:rPr>
                <w:rFonts w:hint="eastAsia" w:ascii="仿宋" w:hAnsi="仿宋" w:eastAsia="仿宋" w:cs="仿宋"/>
                <w:sz w:val="21"/>
                <w:szCs w:val="21"/>
              </w:rPr>
            </w:pPr>
          </w:p>
        </w:tc>
        <w:tc>
          <w:tcPr>
            <w:tcW w:w="1016" w:type="pct"/>
            <w:shd w:val="clear" w:color="auto" w:fill="auto"/>
            <w:vAlign w:val="center"/>
          </w:tcPr>
          <w:p w14:paraId="64748F9D">
            <w:pPr>
              <w:jc w:val="center"/>
              <w:rPr>
                <w:rFonts w:hint="eastAsia" w:ascii="仿宋" w:hAnsi="仿宋" w:eastAsia="仿宋" w:cs="仿宋"/>
                <w:sz w:val="21"/>
                <w:szCs w:val="21"/>
              </w:rPr>
            </w:pPr>
            <w:r>
              <w:rPr>
                <w:rFonts w:hint="eastAsia" w:ascii="仿宋" w:hAnsi="仿宋" w:eastAsia="仿宋" w:cs="仿宋"/>
                <w:sz w:val="21"/>
                <w:szCs w:val="21"/>
              </w:rPr>
              <w:t>我的余额</w:t>
            </w:r>
          </w:p>
        </w:tc>
        <w:tc>
          <w:tcPr>
            <w:tcW w:w="2629" w:type="pct"/>
            <w:shd w:val="clear" w:color="auto" w:fill="auto"/>
            <w:vAlign w:val="center"/>
          </w:tcPr>
          <w:p w14:paraId="6C96D371">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支持查看个人被授权余额信息，包括被授权的经费名称、授权额度、剩余额度和已使用额度等</w:t>
            </w:r>
            <w:r>
              <w:rPr>
                <w:rFonts w:hint="eastAsia" w:ascii="仿宋" w:hAnsi="仿宋" w:eastAsia="仿宋" w:cs="仿宋"/>
                <w:color w:val="auto"/>
                <w:sz w:val="21"/>
                <w:szCs w:val="21"/>
                <w:lang w:eastAsia="zh-CN"/>
              </w:rPr>
              <w:t>。</w:t>
            </w:r>
          </w:p>
        </w:tc>
      </w:tr>
      <w:tr w14:paraId="321C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1A2D667">
            <w:pPr>
              <w:rPr>
                <w:rFonts w:hint="eastAsia" w:ascii="仿宋" w:hAnsi="仿宋" w:eastAsia="仿宋" w:cs="仿宋"/>
                <w:sz w:val="21"/>
                <w:szCs w:val="21"/>
              </w:rPr>
            </w:pPr>
          </w:p>
        </w:tc>
        <w:tc>
          <w:tcPr>
            <w:tcW w:w="670" w:type="pct"/>
            <w:vMerge w:val="continue"/>
            <w:vAlign w:val="center"/>
          </w:tcPr>
          <w:p w14:paraId="6BF1B25E">
            <w:pPr>
              <w:jc w:val="center"/>
              <w:rPr>
                <w:rFonts w:hint="eastAsia" w:ascii="仿宋" w:hAnsi="仿宋" w:eastAsia="仿宋" w:cs="仿宋"/>
                <w:sz w:val="21"/>
                <w:szCs w:val="21"/>
              </w:rPr>
            </w:pPr>
          </w:p>
        </w:tc>
        <w:tc>
          <w:tcPr>
            <w:tcW w:w="1016" w:type="pct"/>
            <w:shd w:val="clear" w:color="auto" w:fill="auto"/>
            <w:vAlign w:val="center"/>
          </w:tcPr>
          <w:p w14:paraId="0348AB97">
            <w:pPr>
              <w:jc w:val="center"/>
              <w:rPr>
                <w:rFonts w:hint="eastAsia" w:ascii="仿宋" w:hAnsi="仿宋" w:eastAsia="仿宋" w:cs="仿宋"/>
                <w:sz w:val="21"/>
                <w:szCs w:val="21"/>
              </w:rPr>
            </w:pPr>
            <w:r>
              <w:rPr>
                <w:rFonts w:hint="eastAsia" w:ascii="仿宋" w:hAnsi="仿宋" w:eastAsia="仿宋" w:cs="仿宋"/>
                <w:sz w:val="21"/>
                <w:szCs w:val="21"/>
              </w:rPr>
              <w:t>项目明细</w:t>
            </w:r>
          </w:p>
        </w:tc>
        <w:tc>
          <w:tcPr>
            <w:tcW w:w="2629" w:type="pct"/>
            <w:shd w:val="clear" w:color="auto" w:fill="auto"/>
            <w:vAlign w:val="center"/>
          </w:tcPr>
          <w:p w14:paraId="17A2907A">
            <w:pPr>
              <w:rPr>
                <w:rFonts w:hint="eastAsia" w:ascii="仿宋" w:hAnsi="仿宋" w:eastAsia="仿宋" w:cs="仿宋"/>
                <w:color w:val="auto"/>
                <w:sz w:val="21"/>
                <w:szCs w:val="21"/>
              </w:rPr>
            </w:pPr>
            <w:r>
              <w:rPr>
                <w:rFonts w:hint="eastAsia" w:ascii="仿宋" w:hAnsi="仿宋" w:eastAsia="仿宋" w:cs="仿宋"/>
                <w:color w:val="auto"/>
                <w:sz w:val="21"/>
                <w:szCs w:val="21"/>
              </w:rPr>
              <w:t>支持查看该经费项目的扣款订单明细</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按扣款订单字段进行筛选</w:t>
            </w:r>
          </w:p>
        </w:tc>
      </w:tr>
      <w:tr w14:paraId="18C6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472743EC">
            <w:pPr>
              <w:rPr>
                <w:rFonts w:hint="eastAsia" w:ascii="仿宋" w:hAnsi="仿宋" w:eastAsia="仿宋" w:cs="仿宋"/>
                <w:sz w:val="21"/>
                <w:szCs w:val="21"/>
              </w:rPr>
            </w:pPr>
          </w:p>
        </w:tc>
        <w:tc>
          <w:tcPr>
            <w:tcW w:w="670" w:type="pct"/>
            <w:vMerge w:val="restart"/>
            <w:shd w:val="clear" w:color="auto" w:fill="auto"/>
            <w:vAlign w:val="center"/>
          </w:tcPr>
          <w:p w14:paraId="3D38419C">
            <w:pPr>
              <w:jc w:val="center"/>
              <w:rPr>
                <w:rFonts w:hint="eastAsia" w:ascii="仿宋" w:hAnsi="仿宋" w:eastAsia="仿宋" w:cs="仿宋"/>
                <w:sz w:val="21"/>
                <w:szCs w:val="21"/>
              </w:rPr>
            </w:pPr>
            <w:r>
              <w:rPr>
                <w:rFonts w:hint="eastAsia" w:ascii="仿宋" w:hAnsi="仿宋" w:eastAsia="仿宋" w:cs="仿宋"/>
                <w:sz w:val="21"/>
                <w:szCs w:val="21"/>
              </w:rPr>
              <w:t>实验室台账</w:t>
            </w:r>
          </w:p>
        </w:tc>
        <w:tc>
          <w:tcPr>
            <w:tcW w:w="1016" w:type="pct"/>
            <w:shd w:val="clear" w:color="auto" w:fill="auto"/>
            <w:vAlign w:val="center"/>
          </w:tcPr>
          <w:p w14:paraId="0152F09E">
            <w:pPr>
              <w:jc w:val="center"/>
              <w:rPr>
                <w:rFonts w:hint="eastAsia" w:ascii="仿宋" w:hAnsi="仿宋" w:eastAsia="仿宋" w:cs="仿宋"/>
                <w:sz w:val="21"/>
                <w:szCs w:val="21"/>
              </w:rPr>
            </w:pPr>
            <w:r>
              <w:rPr>
                <w:rFonts w:hint="eastAsia" w:ascii="仿宋" w:hAnsi="仿宋" w:eastAsia="仿宋" w:cs="仿宋"/>
                <w:sz w:val="21"/>
                <w:szCs w:val="21"/>
              </w:rPr>
              <w:t>化学品库存</w:t>
            </w:r>
          </w:p>
        </w:tc>
        <w:tc>
          <w:tcPr>
            <w:tcW w:w="2629" w:type="pct"/>
            <w:shd w:val="clear" w:color="auto" w:fill="auto"/>
            <w:vAlign w:val="center"/>
          </w:tcPr>
          <w:p w14:paraId="1109945B">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★支持按用户归属实验室对化学品采购订单进行归属管理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查看当前实验室库存化学品档案信息，支持动态更新库存化学品存量和用量</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highlight w:val="none"/>
                <w:lang w:val="en-US" w:eastAsia="zh-CN"/>
              </w:rPr>
              <w:t>（演示内容4）</w:t>
            </w:r>
          </w:p>
        </w:tc>
      </w:tr>
      <w:tr w14:paraId="2E33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5BB5BE0">
            <w:pPr>
              <w:rPr>
                <w:rFonts w:hint="eastAsia" w:ascii="仿宋" w:hAnsi="仿宋" w:eastAsia="仿宋" w:cs="仿宋"/>
                <w:sz w:val="21"/>
                <w:szCs w:val="21"/>
              </w:rPr>
            </w:pPr>
          </w:p>
        </w:tc>
        <w:tc>
          <w:tcPr>
            <w:tcW w:w="670" w:type="pct"/>
            <w:vMerge w:val="continue"/>
            <w:vAlign w:val="center"/>
          </w:tcPr>
          <w:p w14:paraId="46257CE9">
            <w:pPr>
              <w:jc w:val="center"/>
              <w:rPr>
                <w:rFonts w:hint="eastAsia" w:ascii="仿宋" w:hAnsi="仿宋" w:eastAsia="仿宋" w:cs="仿宋"/>
                <w:sz w:val="21"/>
                <w:szCs w:val="21"/>
              </w:rPr>
            </w:pPr>
          </w:p>
        </w:tc>
        <w:tc>
          <w:tcPr>
            <w:tcW w:w="1016" w:type="pct"/>
            <w:shd w:val="clear" w:color="auto" w:fill="auto"/>
            <w:vAlign w:val="center"/>
          </w:tcPr>
          <w:p w14:paraId="29DAEF82">
            <w:pPr>
              <w:jc w:val="center"/>
              <w:rPr>
                <w:rFonts w:hint="eastAsia" w:ascii="仿宋" w:hAnsi="仿宋" w:eastAsia="仿宋" w:cs="仿宋"/>
                <w:sz w:val="21"/>
                <w:szCs w:val="21"/>
              </w:rPr>
            </w:pPr>
            <w:r>
              <w:rPr>
                <w:rFonts w:hint="eastAsia" w:ascii="仿宋" w:hAnsi="仿宋" w:eastAsia="仿宋" w:cs="仿宋"/>
                <w:sz w:val="21"/>
                <w:szCs w:val="21"/>
              </w:rPr>
              <w:t>处置信息</w:t>
            </w:r>
          </w:p>
        </w:tc>
        <w:tc>
          <w:tcPr>
            <w:tcW w:w="2629" w:type="pct"/>
            <w:shd w:val="clear" w:color="auto" w:fill="auto"/>
            <w:vAlign w:val="center"/>
          </w:tcPr>
          <w:p w14:paraId="08BFD63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★支持归档查看实验室废弃物处置订单信息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关联废弃物处置订单与化学品采购订单</w:t>
            </w:r>
            <w:r>
              <w:rPr>
                <w:rFonts w:hint="eastAsia" w:ascii="仿宋" w:hAnsi="仿宋" w:eastAsia="仿宋" w:cs="仿宋"/>
                <w:b/>
                <w:bCs/>
                <w:color w:val="auto"/>
                <w:highlight w:val="none"/>
                <w:lang w:val="en-US" w:eastAsia="zh-CN"/>
              </w:rPr>
              <w:t>（演示内容5）</w:t>
            </w:r>
          </w:p>
        </w:tc>
      </w:tr>
      <w:tr w14:paraId="0113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9983050">
            <w:pPr>
              <w:rPr>
                <w:rFonts w:hint="eastAsia" w:ascii="仿宋" w:hAnsi="仿宋" w:eastAsia="仿宋" w:cs="仿宋"/>
                <w:sz w:val="21"/>
                <w:szCs w:val="21"/>
              </w:rPr>
            </w:pPr>
          </w:p>
        </w:tc>
        <w:tc>
          <w:tcPr>
            <w:tcW w:w="670" w:type="pct"/>
            <w:vMerge w:val="restart"/>
            <w:shd w:val="clear" w:color="auto" w:fill="auto"/>
            <w:vAlign w:val="center"/>
          </w:tcPr>
          <w:p w14:paraId="5A524A09">
            <w:pPr>
              <w:jc w:val="center"/>
              <w:rPr>
                <w:rFonts w:hint="eastAsia" w:ascii="仿宋" w:hAnsi="仿宋" w:eastAsia="仿宋" w:cs="仿宋"/>
                <w:sz w:val="21"/>
                <w:szCs w:val="21"/>
              </w:rPr>
            </w:pPr>
            <w:r>
              <w:rPr>
                <w:rFonts w:hint="eastAsia" w:ascii="仿宋" w:hAnsi="仿宋" w:eastAsia="仿宋" w:cs="仿宋"/>
                <w:sz w:val="21"/>
                <w:szCs w:val="21"/>
              </w:rPr>
              <w:t>结算统计</w:t>
            </w:r>
          </w:p>
        </w:tc>
        <w:tc>
          <w:tcPr>
            <w:tcW w:w="1016" w:type="pct"/>
            <w:shd w:val="clear" w:color="auto" w:fill="auto"/>
            <w:vAlign w:val="center"/>
          </w:tcPr>
          <w:p w14:paraId="1805220F">
            <w:pPr>
              <w:jc w:val="center"/>
              <w:rPr>
                <w:rFonts w:hint="eastAsia" w:ascii="仿宋" w:hAnsi="仿宋" w:eastAsia="仿宋" w:cs="仿宋"/>
                <w:sz w:val="21"/>
                <w:szCs w:val="21"/>
              </w:rPr>
            </w:pPr>
            <w:r>
              <w:rPr>
                <w:rFonts w:hint="eastAsia" w:ascii="仿宋" w:hAnsi="仿宋" w:eastAsia="仿宋" w:cs="仿宋"/>
                <w:sz w:val="21"/>
                <w:szCs w:val="21"/>
              </w:rPr>
              <w:t>发票管理</w:t>
            </w:r>
          </w:p>
        </w:tc>
        <w:tc>
          <w:tcPr>
            <w:tcW w:w="2629" w:type="pct"/>
            <w:shd w:val="clear" w:color="auto" w:fill="auto"/>
            <w:vAlign w:val="center"/>
          </w:tcPr>
          <w:p w14:paraId="4257CA2A">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平台上将发票号和订单绑定，支持搜索和筛选</w:t>
            </w:r>
            <w:r>
              <w:rPr>
                <w:rFonts w:hint="eastAsia" w:ascii="仿宋" w:hAnsi="仿宋" w:eastAsia="仿宋" w:cs="仿宋"/>
                <w:sz w:val="21"/>
                <w:szCs w:val="21"/>
                <w:lang w:eastAsia="zh-CN"/>
              </w:rPr>
              <w:t>、</w:t>
            </w:r>
            <w:r>
              <w:rPr>
                <w:rFonts w:hint="eastAsia" w:ascii="仿宋" w:hAnsi="仿宋" w:eastAsia="仿宋" w:cs="仿宋"/>
                <w:sz w:val="21"/>
                <w:szCs w:val="21"/>
              </w:rPr>
              <w:t>导出</w:t>
            </w:r>
            <w:r>
              <w:rPr>
                <w:rFonts w:hint="eastAsia" w:ascii="仿宋" w:hAnsi="仿宋" w:eastAsia="仿宋" w:cs="仿宋"/>
                <w:sz w:val="21"/>
                <w:szCs w:val="21"/>
                <w:lang w:val="en-US" w:eastAsia="zh-CN"/>
              </w:rPr>
              <w:t>及</w:t>
            </w:r>
            <w:r>
              <w:rPr>
                <w:rFonts w:hint="eastAsia" w:ascii="仿宋" w:hAnsi="仿宋" w:eastAsia="仿宋" w:cs="仿宋"/>
                <w:sz w:val="21"/>
                <w:szCs w:val="21"/>
              </w:rPr>
              <w:t>多个已绑定订单的发票号合并，可修改</w:t>
            </w:r>
            <w:r>
              <w:rPr>
                <w:rFonts w:hint="eastAsia" w:ascii="仿宋" w:hAnsi="仿宋" w:eastAsia="仿宋" w:cs="仿宋"/>
                <w:sz w:val="21"/>
                <w:szCs w:val="21"/>
                <w:lang w:eastAsia="zh-CN"/>
              </w:rPr>
              <w:t>、</w:t>
            </w:r>
            <w:r>
              <w:rPr>
                <w:rFonts w:hint="eastAsia" w:ascii="仿宋" w:hAnsi="仿宋" w:eastAsia="仿宋" w:cs="仿宋"/>
                <w:sz w:val="21"/>
                <w:szCs w:val="21"/>
              </w:rPr>
              <w:t>清除发票号</w:t>
            </w:r>
            <w:r>
              <w:rPr>
                <w:rFonts w:hint="eastAsia" w:ascii="仿宋" w:hAnsi="仿宋" w:eastAsia="仿宋" w:cs="仿宋"/>
                <w:sz w:val="21"/>
                <w:szCs w:val="21"/>
                <w:lang w:eastAsia="zh-CN"/>
              </w:rPr>
              <w:t>；</w:t>
            </w:r>
          </w:p>
          <w:p w14:paraId="31654F4A">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一键生成供货清单、收货清单和财务结算单，</w:t>
            </w:r>
            <w:r>
              <w:rPr>
                <w:rFonts w:hint="eastAsia" w:ascii="仿宋" w:hAnsi="仿宋" w:eastAsia="仿宋" w:cs="仿宋"/>
                <w:sz w:val="21"/>
                <w:szCs w:val="21"/>
                <w:lang w:val="en-US" w:eastAsia="zh-CN"/>
              </w:rPr>
              <w:t>具备</w:t>
            </w:r>
            <w:r>
              <w:rPr>
                <w:rFonts w:hint="eastAsia" w:ascii="仿宋" w:hAnsi="仿宋" w:eastAsia="仿宋" w:cs="仿宋"/>
                <w:sz w:val="21"/>
                <w:szCs w:val="21"/>
              </w:rPr>
              <w:t>取消结算及添加备注功能</w:t>
            </w:r>
            <w:r>
              <w:rPr>
                <w:rFonts w:hint="eastAsia" w:ascii="仿宋" w:hAnsi="仿宋" w:eastAsia="仿宋" w:cs="仿宋"/>
                <w:sz w:val="21"/>
                <w:szCs w:val="21"/>
                <w:lang w:eastAsia="zh-CN"/>
              </w:rPr>
              <w:t>；</w:t>
            </w:r>
          </w:p>
          <w:p w14:paraId="438213E2">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通过对接财务系统可查看发票的结算信息，支持结算信息导出。</w:t>
            </w:r>
          </w:p>
        </w:tc>
      </w:tr>
      <w:tr w14:paraId="6A12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B615B56">
            <w:pPr>
              <w:rPr>
                <w:rFonts w:hint="eastAsia" w:ascii="仿宋" w:hAnsi="仿宋" w:eastAsia="仿宋" w:cs="仿宋"/>
                <w:sz w:val="21"/>
                <w:szCs w:val="21"/>
              </w:rPr>
            </w:pPr>
          </w:p>
        </w:tc>
        <w:tc>
          <w:tcPr>
            <w:tcW w:w="670" w:type="pct"/>
            <w:vMerge w:val="continue"/>
            <w:vAlign w:val="center"/>
          </w:tcPr>
          <w:p w14:paraId="57098A40">
            <w:pPr>
              <w:jc w:val="center"/>
              <w:rPr>
                <w:rFonts w:hint="eastAsia" w:ascii="仿宋" w:hAnsi="仿宋" w:eastAsia="仿宋" w:cs="仿宋"/>
                <w:sz w:val="21"/>
                <w:szCs w:val="21"/>
              </w:rPr>
            </w:pPr>
          </w:p>
        </w:tc>
        <w:tc>
          <w:tcPr>
            <w:tcW w:w="1016" w:type="pct"/>
            <w:shd w:val="clear" w:color="auto" w:fill="auto"/>
            <w:vAlign w:val="center"/>
          </w:tcPr>
          <w:p w14:paraId="5B5F1997">
            <w:pPr>
              <w:jc w:val="center"/>
              <w:rPr>
                <w:rFonts w:hint="eastAsia" w:ascii="仿宋" w:hAnsi="仿宋" w:eastAsia="仿宋" w:cs="仿宋"/>
                <w:sz w:val="21"/>
                <w:szCs w:val="21"/>
              </w:rPr>
            </w:pPr>
            <w:r>
              <w:rPr>
                <w:rFonts w:hint="eastAsia" w:ascii="仿宋" w:hAnsi="仿宋" w:eastAsia="仿宋" w:cs="仿宋"/>
                <w:sz w:val="21"/>
                <w:szCs w:val="21"/>
              </w:rPr>
              <w:t>销量统计</w:t>
            </w:r>
          </w:p>
        </w:tc>
        <w:tc>
          <w:tcPr>
            <w:tcW w:w="2629" w:type="pct"/>
            <w:shd w:val="clear" w:color="auto" w:fill="auto"/>
            <w:vAlign w:val="center"/>
          </w:tcPr>
          <w:p w14:paraId="19276799">
            <w:pPr>
              <w:rPr>
                <w:rFonts w:hint="eastAsia" w:ascii="仿宋" w:hAnsi="仿宋" w:eastAsia="仿宋" w:cs="仿宋"/>
                <w:sz w:val="21"/>
                <w:szCs w:val="21"/>
                <w:lang w:eastAsia="zh-CN"/>
              </w:rPr>
            </w:pPr>
            <w:r>
              <w:rPr>
                <w:rFonts w:hint="eastAsia" w:ascii="仿宋" w:hAnsi="仿宋" w:eastAsia="仿宋" w:cs="仿宋"/>
                <w:sz w:val="21"/>
                <w:szCs w:val="21"/>
              </w:rPr>
              <w:t>跟踪和汇总平台上的销售表现，厂商可查看其销售数据，包括全校/校区销售额、不同类别商城的销售量、不同类别商城的上架商品数等关键指标，可搜索和筛选、起始时间并能自定义导出内容为excel文件</w:t>
            </w:r>
            <w:r>
              <w:rPr>
                <w:rFonts w:hint="eastAsia" w:ascii="仿宋" w:hAnsi="仿宋" w:eastAsia="仿宋" w:cs="仿宋"/>
                <w:sz w:val="21"/>
                <w:szCs w:val="21"/>
                <w:lang w:eastAsia="zh-CN"/>
              </w:rPr>
              <w:t>，</w:t>
            </w:r>
            <w:r>
              <w:rPr>
                <w:rFonts w:hint="eastAsia" w:ascii="仿宋" w:hAnsi="仿宋" w:eastAsia="仿宋" w:cs="仿宋"/>
                <w:sz w:val="21"/>
                <w:szCs w:val="21"/>
              </w:rPr>
              <w:t>按时间统计供应商一级用户数</w:t>
            </w:r>
            <w:r>
              <w:rPr>
                <w:rFonts w:hint="eastAsia" w:ascii="仿宋" w:hAnsi="仿宋" w:eastAsia="仿宋" w:cs="仿宋"/>
                <w:sz w:val="21"/>
                <w:szCs w:val="21"/>
                <w:lang w:eastAsia="zh-CN"/>
              </w:rPr>
              <w:t>。</w:t>
            </w:r>
          </w:p>
        </w:tc>
      </w:tr>
      <w:tr w14:paraId="125B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795368F6">
            <w:pPr>
              <w:rPr>
                <w:rFonts w:hint="eastAsia" w:ascii="仿宋" w:hAnsi="仿宋" w:eastAsia="仿宋" w:cs="仿宋"/>
                <w:sz w:val="21"/>
                <w:szCs w:val="21"/>
              </w:rPr>
            </w:pPr>
          </w:p>
        </w:tc>
        <w:tc>
          <w:tcPr>
            <w:tcW w:w="670" w:type="pct"/>
            <w:vMerge w:val="continue"/>
            <w:vAlign w:val="center"/>
          </w:tcPr>
          <w:p w14:paraId="735FBF0E">
            <w:pPr>
              <w:jc w:val="center"/>
              <w:rPr>
                <w:rFonts w:hint="eastAsia" w:ascii="仿宋" w:hAnsi="仿宋" w:eastAsia="仿宋" w:cs="仿宋"/>
                <w:sz w:val="21"/>
                <w:szCs w:val="21"/>
              </w:rPr>
            </w:pPr>
          </w:p>
        </w:tc>
        <w:tc>
          <w:tcPr>
            <w:tcW w:w="1016" w:type="pct"/>
            <w:shd w:val="clear" w:color="auto" w:fill="auto"/>
            <w:vAlign w:val="center"/>
          </w:tcPr>
          <w:p w14:paraId="19151CE3">
            <w:pPr>
              <w:jc w:val="center"/>
              <w:rPr>
                <w:rFonts w:hint="eastAsia" w:ascii="仿宋" w:hAnsi="仿宋" w:eastAsia="仿宋" w:cs="仿宋"/>
                <w:sz w:val="21"/>
                <w:szCs w:val="21"/>
              </w:rPr>
            </w:pPr>
            <w:r>
              <w:rPr>
                <w:rFonts w:hint="eastAsia" w:ascii="仿宋" w:hAnsi="仿宋" w:eastAsia="仿宋" w:cs="仿宋"/>
                <w:sz w:val="21"/>
                <w:szCs w:val="21"/>
              </w:rPr>
              <w:t>采购统计</w:t>
            </w:r>
          </w:p>
        </w:tc>
        <w:tc>
          <w:tcPr>
            <w:tcW w:w="2629" w:type="pct"/>
            <w:shd w:val="clear" w:color="auto" w:fill="auto"/>
            <w:vAlign w:val="center"/>
          </w:tcPr>
          <w:p w14:paraId="51327404">
            <w:pPr>
              <w:rPr>
                <w:rFonts w:hint="eastAsia" w:ascii="仿宋" w:hAnsi="仿宋" w:eastAsia="仿宋" w:cs="仿宋"/>
                <w:sz w:val="21"/>
                <w:szCs w:val="21"/>
              </w:rPr>
            </w:pPr>
            <w:r>
              <w:rPr>
                <w:rFonts w:hint="eastAsia" w:ascii="仿宋" w:hAnsi="仿宋" w:eastAsia="仿宋" w:cs="仿宋"/>
                <w:sz w:val="21"/>
                <w:szCs w:val="21"/>
              </w:rPr>
              <w:t>根据购买商品参数（时间、数量、规格、价格、名称、类型、供货商、购买方、地址、学院、校区等）实现单参数或多参数统计、筛选、导出等</w:t>
            </w:r>
          </w:p>
        </w:tc>
      </w:tr>
      <w:tr w14:paraId="007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551A830D">
            <w:pPr>
              <w:rPr>
                <w:rFonts w:hint="eastAsia" w:ascii="仿宋" w:hAnsi="仿宋" w:eastAsia="仿宋" w:cs="仿宋"/>
                <w:sz w:val="21"/>
                <w:szCs w:val="21"/>
              </w:rPr>
            </w:pPr>
          </w:p>
        </w:tc>
        <w:tc>
          <w:tcPr>
            <w:tcW w:w="670" w:type="pct"/>
            <w:vMerge w:val="continue"/>
            <w:vAlign w:val="center"/>
          </w:tcPr>
          <w:p w14:paraId="401DB2C0">
            <w:pPr>
              <w:jc w:val="center"/>
              <w:rPr>
                <w:rFonts w:hint="eastAsia" w:ascii="仿宋" w:hAnsi="仿宋" w:eastAsia="仿宋" w:cs="仿宋"/>
                <w:sz w:val="21"/>
                <w:szCs w:val="21"/>
              </w:rPr>
            </w:pPr>
          </w:p>
        </w:tc>
        <w:tc>
          <w:tcPr>
            <w:tcW w:w="1016" w:type="pct"/>
            <w:shd w:val="clear" w:color="auto" w:fill="auto"/>
            <w:vAlign w:val="center"/>
          </w:tcPr>
          <w:p w14:paraId="4BDF8BED">
            <w:pPr>
              <w:jc w:val="center"/>
              <w:rPr>
                <w:rFonts w:hint="eastAsia" w:ascii="仿宋" w:hAnsi="仿宋" w:eastAsia="仿宋" w:cs="仿宋"/>
                <w:sz w:val="21"/>
                <w:szCs w:val="21"/>
              </w:rPr>
            </w:pPr>
            <w:r>
              <w:rPr>
                <w:rFonts w:hint="eastAsia" w:ascii="仿宋" w:hAnsi="仿宋" w:eastAsia="仿宋" w:cs="仿宋"/>
                <w:sz w:val="21"/>
                <w:szCs w:val="21"/>
              </w:rPr>
              <w:t>化学品台账统计</w:t>
            </w:r>
          </w:p>
        </w:tc>
        <w:tc>
          <w:tcPr>
            <w:tcW w:w="2629" w:type="pct"/>
            <w:shd w:val="clear" w:color="auto" w:fill="auto"/>
            <w:vAlign w:val="center"/>
          </w:tcPr>
          <w:p w14:paraId="58C19F6B">
            <w:pPr>
              <w:rPr>
                <w:rFonts w:hint="eastAsia" w:ascii="仿宋" w:hAnsi="仿宋" w:eastAsia="仿宋" w:cs="仿宋"/>
                <w:sz w:val="21"/>
                <w:szCs w:val="21"/>
              </w:rPr>
            </w:pPr>
            <w:r>
              <w:rPr>
                <w:rFonts w:hint="eastAsia" w:ascii="仿宋" w:hAnsi="仿宋" w:eastAsia="仿宋" w:cs="仿宋"/>
                <w:sz w:val="21"/>
                <w:szCs w:val="21"/>
              </w:rPr>
              <w:t>跟踪和记录不同类别的化学品采购和存放情况，</w:t>
            </w:r>
            <w:r>
              <w:rPr>
                <w:rFonts w:hint="eastAsia" w:ascii="仿宋" w:hAnsi="仿宋" w:eastAsia="仿宋" w:cs="仿宋"/>
                <w:color w:val="auto"/>
                <w:sz w:val="21"/>
                <w:szCs w:val="21"/>
                <w:highlight w:val="none"/>
              </w:rPr>
              <w:t>可搜索和筛选</w:t>
            </w:r>
            <w:r>
              <w:rPr>
                <w:rFonts w:hint="eastAsia" w:ascii="仿宋" w:hAnsi="仿宋" w:eastAsia="仿宋" w:cs="仿宋"/>
                <w:color w:val="auto"/>
                <w:sz w:val="21"/>
                <w:szCs w:val="21"/>
                <w:highlight w:val="none"/>
                <w:lang w:val="en-US" w:eastAsia="zh-CN"/>
              </w:rPr>
              <w:t>化学品的名称、CAS号、化学品类型、实验室地址、实验室房间号，可选择订单的采购时间区域</w:t>
            </w:r>
            <w:r>
              <w:rPr>
                <w:rFonts w:hint="eastAsia" w:ascii="仿宋" w:hAnsi="仿宋" w:eastAsia="仿宋" w:cs="仿宋"/>
                <w:sz w:val="21"/>
                <w:szCs w:val="21"/>
              </w:rPr>
              <w:t>并能自定义导出内容为excel文件。</w:t>
            </w:r>
          </w:p>
        </w:tc>
      </w:tr>
      <w:tr w14:paraId="6CB3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A7F329C">
            <w:pPr>
              <w:rPr>
                <w:rFonts w:hint="eastAsia" w:ascii="仿宋" w:hAnsi="仿宋" w:eastAsia="仿宋" w:cs="仿宋"/>
                <w:sz w:val="21"/>
                <w:szCs w:val="21"/>
              </w:rPr>
            </w:pPr>
          </w:p>
        </w:tc>
        <w:tc>
          <w:tcPr>
            <w:tcW w:w="670" w:type="pct"/>
            <w:vMerge w:val="restart"/>
            <w:shd w:val="clear" w:color="auto" w:fill="auto"/>
            <w:vAlign w:val="center"/>
          </w:tcPr>
          <w:p w14:paraId="407EEAF1">
            <w:pPr>
              <w:jc w:val="center"/>
              <w:rPr>
                <w:rFonts w:hint="eastAsia" w:ascii="仿宋" w:hAnsi="仿宋" w:eastAsia="仿宋" w:cs="仿宋"/>
                <w:sz w:val="21"/>
                <w:szCs w:val="21"/>
              </w:rPr>
            </w:pPr>
            <w:r>
              <w:rPr>
                <w:rFonts w:hint="eastAsia" w:ascii="仿宋" w:hAnsi="仿宋" w:eastAsia="仿宋" w:cs="仿宋"/>
                <w:sz w:val="21"/>
                <w:szCs w:val="21"/>
              </w:rPr>
              <w:t>系统监控</w:t>
            </w:r>
          </w:p>
        </w:tc>
        <w:tc>
          <w:tcPr>
            <w:tcW w:w="1016" w:type="pct"/>
            <w:shd w:val="clear" w:color="auto" w:fill="auto"/>
            <w:vAlign w:val="center"/>
          </w:tcPr>
          <w:p w14:paraId="7217B4FA">
            <w:pPr>
              <w:jc w:val="center"/>
              <w:rPr>
                <w:rFonts w:hint="eastAsia" w:ascii="仿宋" w:hAnsi="仿宋" w:eastAsia="仿宋" w:cs="仿宋"/>
                <w:sz w:val="21"/>
                <w:szCs w:val="21"/>
              </w:rPr>
            </w:pPr>
            <w:r>
              <w:rPr>
                <w:rFonts w:hint="eastAsia" w:ascii="仿宋" w:hAnsi="仿宋" w:eastAsia="仿宋" w:cs="仿宋"/>
                <w:sz w:val="21"/>
                <w:szCs w:val="21"/>
              </w:rPr>
              <w:t>在线用户监测</w:t>
            </w:r>
          </w:p>
        </w:tc>
        <w:tc>
          <w:tcPr>
            <w:tcW w:w="2629" w:type="pct"/>
            <w:shd w:val="clear" w:color="auto" w:fill="auto"/>
            <w:vAlign w:val="center"/>
          </w:tcPr>
          <w:p w14:paraId="4D04CE72">
            <w:pPr>
              <w:rPr>
                <w:rFonts w:hint="eastAsia" w:ascii="仿宋" w:hAnsi="仿宋" w:eastAsia="仿宋" w:cs="仿宋"/>
                <w:sz w:val="21"/>
                <w:szCs w:val="21"/>
              </w:rPr>
            </w:pPr>
            <w:r>
              <w:rPr>
                <w:rFonts w:hint="eastAsia" w:ascii="仿宋" w:hAnsi="仿宋" w:eastAsia="仿宋" w:cs="仿宋"/>
                <w:sz w:val="21"/>
                <w:szCs w:val="21"/>
              </w:rPr>
              <w:t>对系统内部VIP用户进行重点关注</w:t>
            </w:r>
            <w:r>
              <w:rPr>
                <w:rFonts w:hint="eastAsia" w:ascii="仿宋" w:hAnsi="仿宋" w:eastAsia="仿宋" w:cs="仿宋"/>
                <w:sz w:val="21"/>
                <w:szCs w:val="21"/>
                <w:lang w:eastAsia="zh-CN"/>
              </w:rPr>
              <w:t>，</w:t>
            </w:r>
            <w:r>
              <w:rPr>
                <w:rFonts w:hint="eastAsia" w:ascii="仿宋" w:hAnsi="仿宋" w:eastAsia="仿宋" w:cs="仿宋"/>
                <w:sz w:val="21"/>
                <w:szCs w:val="21"/>
              </w:rPr>
              <w:t>提供用户订单查询标记</w:t>
            </w:r>
            <w:r>
              <w:rPr>
                <w:rFonts w:hint="eastAsia" w:ascii="仿宋" w:hAnsi="仿宋" w:eastAsia="仿宋" w:cs="仿宋"/>
                <w:sz w:val="21"/>
                <w:szCs w:val="21"/>
                <w:lang w:eastAsia="zh-CN"/>
              </w:rPr>
              <w:t>，</w:t>
            </w:r>
            <w:r>
              <w:rPr>
                <w:rFonts w:hint="eastAsia" w:ascii="仿宋" w:hAnsi="仿宋" w:eastAsia="仿宋" w:cs="仿宋"/>
                <w:sz w:val="21"/>
                <w:szCs w:val="21"/>
              </w:rPr>
              <w:t>实现个性化设置检测指标及对超期未领、超期未结算、违规用户等实行账户自动处理。</w:t>
            </w:r>
          </w:p>
        </w:tc>
      </w:tr>
      <w:tr w14:paraId="1D55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70A64AE">
            <w:pPr>
              <w:rPr>
                <w:rFonts w:hint="eastAsia" w:ascii="仿宋" w:hAnsi="仿宋" w:eastAsia="仿宋" w:cs="仿宋"/>
                <w:sz w:val="21"/>
                <w:szCs w:val="21"/>
              </w:rPr>
            </w:pPr>
          </w:p>
        </w:tc>
        <w:tc>
          <w:tcPr>
            <w:tcW w:w="670" w:type="pct"/>
            <w:vMerge w:val="continue"/>
            <w:vAlign w:val="center"/>
          </w:tcPr>
          <w:p w14:paraId="083467E3">
            <w:pPr>
              <w:jc w:val="center"/>
              <w:rPr>
                <w:rFonts w:hint="eastAsia" w:ascii="仿宋" w:hAnsi="仿宋" w:eastAsia="仿宋" w:cs="仿宋"/>
                <w:sz w:val="21"/>
                <w:szCs w:val="21"/>
              </w:rPr>
            </w:pPr>
          </w:p>
        </w:tc>
        <w:tc>
          <w:tcPr>
            <w:tcW w:w="1016" w:type="pct"/>
            <w:shd w:val="clear" w:color="auto" w:fill="auto"/>
            <w:vAlign w:val="center"/>
          </w:tcPr>
          <w:p w14:paraId="70264BB1">
            <w:pPr>
              <w:jc w:val="center"/>
              <w:rPr>
                <w:rFonts w:hint="eastAsia" w:ascii="仿宋" w:hAnsi="仿宋" w:eastAsia="仿宋" w:cs="仿宋"/>
                <w:sz w:val="21"/>
                <w:szCs w:val="21"/>
              </w:rPr>
            </w:pPr>
            <w:r>
              <w:rPr>
                <w:rFonts w:hint="eastAsia" w:ascii="仿宋" w:hAnsi="仿宋" w:eastAsia="仿宋" w:cs="仿宋"/>
                <w:sz w:val="21"/>
                <w:szCs w:val="21"/>
              </w:rPr>
              <w:t>缓存监控</w:t>
            </w:r>
          </w:p>
        </w:tc>
        <w:tc>
          <w:tcPr>
            <w:tcW w:w="2629" w:type="pct"/>
            <w:shd w:val="clear" w:color="auto" w:fill="auto"/>
            <w:vAlign w:val="center"/>
          </w:tcPr>
          <w:p w14:paraId="06C79139">
            <w:pPr>
              <w:rPr>
                <w:rFonts w:hint="eastAsia" w:ascii="仿宋" w:hAnsi="仿宋" w:eastAsia="仿宋" w:cs="仿宋"/>
                <w:sz w:val="21"/>
                <w:szCs w:val="21"/>
                <w:lang w:eastAsia="zh-CN"/>
              </w:rPr>
            </w:pPr>
            <w:r>
              <w:rPr>
                <w:rFonts w:hint="eastAsia" w:ascii="仿宋" w:hAnsi="仿宋" w:eastAsia="仿宋" w:cs="仿宋"/>
                <w:sz w:val="21"/>
                <w:szCs w:val="21"/>
              </w:rPr>
              <w:t>对整个系统运行进行检测，系统异常立即提供警报</w:t>
            </w:r>
            <w:r>
              <w:rPr>
                <w:rFonts w:hint="eastAsia" w:ascii="仿宋" w:hAnsi="仿宋" w:eastAsia="仿宋" w:cs="仿宋"/>
                <w:sz w:val="21"/>
                <w:szCs w:val="21"/>
                <w:lang w:eastAsia="zh-CN"/>
              </w:rPr>
              <w:t>。</w:t>
            </w:r>
          </w:p>
        </w:tc>
      </w:tr>
      <w:tr w14:paraId="1F59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072C801A">
            <w:pPr>
              <w:rPr>
                <w:rFonts w:hint="eastAsia" w:ascii="仿宋" w:hAnsi="仿宋" w:eastAsia="仿宋" w:cs="仿宋"/>
                <w:sz w:val="21"/>
                <w:szCs w:val="21"/>
              </w:rPr>
            </w:pPr>
          </w:p>
        </w:tc>
        <w:tc>
          <w:tcPr>
            <w:tcW w:w="670" w:type="pct"/>
            <w:vMerge w:val="continue"/>
            <w:vAlign w:val="center"/>
          </w:tcPr>
          <w:p w14:paraId="32F3E9FC">
            <w:pPr>
              <w:jc w:val="center"/>
              <w:rPr>
                <w:rFonts w:hint="eastAsia" w:ascii="仿宋" w:hAnsi="仿宋" w:eastAsia="仿宋" w:cs="仿宋"/>
                <w:sz w:val="21"/>
                <w:szCs w:val="21"/>
              </w:rPr>
            </w:pPr>
          </w:p>
        </w:tc>
        <w:tc>
          <w:tcPr>
            <w:tcW w:w="1016" w:type="pct"/>
            <w:shd w:val="clear" w:color="auto" w:fill="auto"/>
            <w:vAlign w:val="center"/>
          </w:tcPr>
          <w:p w14:paraId="7D19BC02">
            <w:pPr>
              <w:jc w:val="center"/>
              <w:rPr>
                <w:rFonts w:hint="eastAsia" w:ascii="仿宋" w:hAnsi="仿宋" w:eastAsia="仿宋" w:cs="仿宋"/>
                <w:sz w:val="21"/>
                <w:szCs w:val="21"/>
              </w:rPr>
            </w:pPr>
            <w:r>
              <w:rPr>
                <w:rFonts w:hint="eastAsia" w:ascii="仿宋" w:hAnsi="仿宋" w:eastAsia="仿宋" w:cs="仿宋"/>
                <w:sz w:val="21"/>
                <w:szCs w:val="21"/>
              </w:rPr>
              <w:t>订单监控</w:t>
            </w:r>
          </w:p>
        </w:tc>
        <w:tc>
          <w:tcPr>
            <w:tcW w:w="2629" w:type="pct"/>
            <w:shd w:val="clear" w:color="auto" w:fill="auto"/>
            <w:vAlign w:val="center"/>
          </w:tcPr>
          <w:p w14:paraId="43090E17">
            <w:pPr>
              <w:rPr>
                <w:rFonts w:hint="eastAsia" w:ascii="仿宋" w:hAnsi="仿宋" w:eastAsia="仿宋" w:cs="仿宋"/>
                <w:sz w:val="21"/>
                <w:szCs w:val="21"/>
              </w:rPr>
            </w:pPr>
            <w:r>
              <w:rPr>
                <w:rFonts w:hint="eastAsia" w:ascii="仿宋" w:hAnsi="仿宋" w:eastAsia="仿宋" w:cs="仿宋"/>
                <w:sz w:val="21"/>
                <w:szCs w:val="21"/>
              </w:rPr>
              <w:t>对超过时间未收货或自动收货的订单监控发短信提醒用户，对含有特殊产品的订单进行监控（包含采购数量、发货时间、入库时间）并发起提醒及相应的流程跳转。</w:t>
            </w:r>
          </w:p>
        </w:tc>
      </w:tr>
      <w:tr w14:paraId="4050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1B555EC6">
            <w:pPr>
              <w:rPr>
                <w:rFonts w:hint="eastAsia" w:ascii="仿宋" w:hAnsi="仿宋" w:eastAsia="仿宋" w:cs="仿宋"/>
                <w:sz w:val="21"/>
                <w:szCs w:val="21"/>
              </w:rPr>
            </w:pPr>
          </w:p>
        </w:tc>
        <w:tc>
          <w:tcPr>
            <w:tcW w:w="670" w:type="pct"/>
            <w:vMerge w:val="restart"/>
            <w:shd w:val="clear" w:color="auto" w:fill="auto"/>
            <w:vAlign w:val="center"/>
          </w:tcPr>
          <w:p w14:paraId="0FD75EEA">
            <w:pPr>
              <w:jc w:val="center"/>
              <w:rPr>
                <w:rFonts w:hint="eastAsia" w:ascii="仿宋" w:hAnsi="仿宋" w:eastAsia="仿宋" w:cs="仿宋"/>
                <w:sz w:val="21"/>
                <w:szCs w:val="21"/>
              </w:rPr>
            </w:pPr>
            <w:r>
              <w:rPr>
                <w:rFonts w:hint="eastAsia" w:ascii="仿宋" w:hAnsi="仿宋" w:eastAsia="仿宋" w:cs="仿宋"/>
                <w:sz w:val="21"/>
                <w:szCs w:val="21"/>
              </w:rPr>
              <w:t>系统管理</w:t>
            </w:r>
          </w:p>
        </w:tc>
        <w:tc>
          <w:tcPr>
            <w:tcW w:w="1016" w:type="pct"/>
            <w:shd w:val="clear" w:color="auto" w:fill="auto"/>
            <w:vAlign w:val="center"/>
          </w:tcPr>
          <w:p w14:paraId="769FE604">
            <w:pPr>
              <w:jc w:val="center"/>
              <w:rPr>
                <w:rFonts w:hint="eastAsia" w:ascii="仿宋" w:hAnsi="仿宋" w:eastAsia="仿宋" w:cs="仿宋"/>
                <w:sz w:val="21"/>
                <w:szCs w:val="21"/>
              </w:rPr>
            </w:pPr>
            <w:r>
              <w:rPr>
                <w:rFonts w:hint="eastAsia" w:ascii="仿宋" w:hAnsi="仿宋" w:eastAsia="仿宋" w:cs="仿宋"/>
                <w:sz w:val="21"/>
                <w:szCs w:val="21"/>
              </w:rPr>
              <w:t>首页管理</w:t>
            </w:r>
          </w:p>
        </w:tc>
        <w:tc>
          <w:tcPr>
            <w:tcW w:w="2629" w:type="pct"/>
            <w:shd w:val="clear" w:color="auto" w:fill="auto"/>
            <w:vAlign w:val="center"/>
          </w:tcPr>
          <w:p w14:paraId="55D9F7DE">
            <w:pPr>
              <w:rPr>
                <w:rFonts w:hint="eastAsia" w:ascii="仿宋" w:hAnsi="仿宋" w:eastAsia="仿宋" w:cs="仿宋"/>
                <w:sz w:val="21"/>
                <w:szCs w:val="21"/>
                <w:lang w:eastAsia="zh-CN"/>
              </w:rPr>
            </w:pPr>
            <w:r>
              <w:rPr>
                <w:rFonts w:hint="eastAsia" w:ascii="仿宋" w:hAnsi="仿宋" w:eastAsia="仿宋" w:cs="仿宋"/>
                <w:sz w:val="21"/>
                <w:szCs w:val="21"/>
              </w:rPr>
              <w:t>管理平台首页内容，配置首页图片、通知公告、二级内容和一级分类等内容</w:t>
            </w:r>
            <w:r>
              <w:rPr>
                <w:rFonts w:hint="eastAsia" w:ascii="仿宋" w:hAnsi="仿宋" w:eastAsia="仿宋" w:cs="仿宋"/>
                <w:sz w:val="21"/>
                <w:szCs w:val="21"/>
                <w:lang w:eastAsia="zh-CN"/>
              </w:rPr>
              <w:t>。</w:t>
            </w:r>
          </w:p>
        </w:tc>
      </w:tr>
      <w:tr w14:paraId="72D3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24E657D3">
            <w:pPr>
              <w:rPr>
                <w:rFonts w:hint="eastAsia" w:ascii="仿宋" w:hAnsi="仿宋" w:eastAsia="仿宋" w:cs="仿宋"/>
                <w:sz w:val="21"/>
                <w:szCs w:val="21"/>
              </w:rPr>
            </w:pPr>
          </w:p>
        </w:tc>
        <w:tc>
          <w:tcPr>
            <w:tcW w:w="670" w:type="pct"/>
            <w:vMerge w:val="continue"/>
            <w:vAlign w:val="center"/>
          </w:tcPr>
          <w:p w14:paraId="4A919E32">
            <w:pPr>
              <w:jc w:val="center"/>
              <w:rPr>
                <w:rFonts w:hint="eastAsia" w:ascii="仿宋" w:hAnsi="仿宋" w:eastAsia="仿宋" w:cs="仿宋"/>
                <w:sz w:val="21"/>
                <w:szCs w:val="21"/>
              </w:rPr>
            </w:pPr>
          </w:p>
        </w:tc>
        <w:tc>
          <w:tcPr>
            <w:tcW w:w="1016" w:type="pct"/>
            <w:shd w:val="clear" w:color="auto" w:fill="auto"/>
            <w:vAlign w:val="center"/>
          </w:tcPr>
          <w:p w14:paraId="3343CAD8">
            <w:pPr>
              <w:jc w:val="center"/>
              <w:rPr>
                <w:rFonts w:hint="eastAsia" w:ascii="仿宋" w:hAnsi="仿宋" w:eastAsia="仿宋" w:cs="仿宋"/>
                <w:sz w:val="21"/>
                <w:szCs w:val="21"/>
              </w:rPr>
            </w:pPr>
            <w:r>
              <w:rPr>
                <w:rFonts w:hint="eastAsia" w:ascii="仿宋" w:hAnsi="仿宋" w:eastAsia="仿宋" w:cs="仿宋"/>
                <w:sz w:val="21"/>
                <w:szCs w:val="21"/>
              </w:rPr>
              <w:t>信息管理</w:t>
            </w:r>
          </w:p>
        </w:tc>
        <w:tc>
          <w:tcPr>
            <w:tcW w:w="2629" w:type="pct"/>
            <w:shd w:val="clear" w:color="auto" w:fill="auto"/>
            <w:vAlign w:val="center"/>
          </w:tcPr>
          <w:p w14:paraId="326EE85B">
            <w:pPr>
              <w:rPr>
                <w:rFonts w:hint="eastAsia" w:ascii="仿宋" w:hAnsi="仿宋" w:eastAsia="仿宋" w:cs="仿宋"/>
                <w:sz w:val="21"/>
                <w:szCs w:val="21"/>
                <w:lang w:eastAsia="zh-CN"/>
              </w:rPr>
            </w:pPr>
            <w:r>
              <w:rPr>
                <w:rFonts w:hint="eastAsia" w:ascii="仿宋" w:hAnsi="仿宋" w:eastAsia="仿宋" w:cs="仿宋"/>
                <w:sz w:val="21"/>
                <w:szCs w:val="21"/>
              </w:rPr>
              <w:t>集中管理账号和学院等信息，管理员可进行新增、修改、删除等操作</w:t>
            </w:r>
            <w:r>
              <w:rPr>
                <w:rFonts w:hint="eastAsia" w:ascii="仿宋" w:hAnsi="仿宋" w:eastAsia="仿宋" w:cs="仿宋"/>
                <w:sz w:val="21"/>
                <w:szCs w:val="21"/>
                <w:lang w:eastAsia="zh-CN"/>
              </w:rPr>
              <w:t>。</w:t>
            </w:r>
          </w:p>
        </w:tc>
      </w:tr>
      <w:tr w14:paraId="0D9E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6282E188">
            <w:pPr>
              <w:rPr>
                <w:rFonts w:hint="eastAsia" w:ascii="仿宋" w:hAnsi="仿宋" w:eastAsia="仿宋" w:cs="仿宋"/>
                <w:sz w:val="21"/>
                <w:szCs w:val="21"/>
              </w:rPr>
            </w:pPr>
          </w:p>
        </w:tc>
        <w:tc>
          <w:tcPr>
            <w:tcW w:w="670" w:type="pct"/>
            <w:vMerge w:val="continue"/>
            <w:vAlign w:val="center"/>
          </w:tcPr>
          <w:p w14:paraId="417131BE">
            <w:pPr>
              <w:jc w:val="center"/>
              <w:rPr>
                <w:rFonts w:hint="eastAsia" w:ascii="仿宋" w:hAnsi="仿宋" w:eastAsia="仿宋" w:cs="仿宋"/>
                <w:sz w:val="21"/>
                <w:szCs w:val="21"/>
              </w:rPr>
            </w:pPr>
          </w:p>
        </w:tc>
        <w:tc>
          <w:tcPr>
            <w:tcW w:w="1016" w:type="pct"/>
            <w:shd w:val="clear" w:color="auto" w:fill="auto"/>
            <w:vAlign w:val="center"/>
          </w:tcPr>
          <w:p w14:paraId="05C62E9F">
            <w:pPr>
              <w:jc w:val="center"/>
              <w:rPr>
                <w:rFonts w:hint="eastAsia" w:ascii="仿宋" w:hAnsi="仿宋" w:eastAsia="仿宋" w:cs="仿宋"/>
                <w:sz w:val="21"/>
                <w:szCs w:val="21"/>
              </w:rPr>
            </w:pPr>
            <w:r>
              <w:rPr>
                <w:rFonts w:hint="eastAsia" w:ascii="仿宋" w:hAnsi="仿宋" w:eastAsia="仿宋" w:cs="仿宋"/>
                <w:sz w:val="21"/>
                <w:szCs w:val="21"/>
              </w:rPr>
              <w:t>权限管理</w:t>
            </w:r>
          </w:p>
        </w:tc>
        <w:tc>
          <w:tcPr>
            <w:tcW w:w="2629" w:type="pct"/>
            <w:shd w:val="clear" w:color="auto" w:fill="auto"/>
            <w:vAlign w:val="center"/>
          </w:tcPr>
          <w:p w14:paraId="4A6FA41F">
            <w:pPr>
              <w:rPr>
                <w:rFonts w:hint="eastAsia" w:ascii="仿宋" w:hAnsi="仿宋" w:eastAsia="仿宋" w:cs="仿宋"/>
                <w:sz w:val="21"/>
                <w:szCs w:val="21"/>
              </w:rPr>
            </w:pPr>
            <w:r>
              <w:rPr>
                <w:rFonts w:hint="eastAsia" w:ascii="仿宋" w:hAnsi="仿宋" w:eastAsia="仿宋" w:cs="仿宋"/>
                <w:sz w:val="21"/>
                <w:szCs w:val="21"/>
              </w:rPr>
              <w:t>管理员可查看和管理用户的平台权限</w:t>
            </w:r>
            <w:r>
              <w:rPr>
                <w:rFonts w:hint="eastAsia" w:ascii="仿宋" w:hAnsi="仿宋" w:eastAsia="仿宋" w:cs="仿宋"/>
                <w:sz w:val="21"/>
                <w:szCs w:val="21"/>
                <w:lang w:eastAsia="zh-CN"/>
              </w:rPr>
              <w:t>，</w:t>
            </w:r>
            <w:r>
              <w:rPr>
                <w:rFonts w:hint="eastAsia" w:ascii="仿宋" w:hAnsi="仿宋" w:eastAsia="仿宋" w:cs="仿宋"/>
                <w:sz w:val="21"/>
                <w:szCs w:val="21"/>
              </w:rPr>
              <w:t>根据采购</w:t>
            </w:r>
            <w:r>
              <w:rPr>
                <w:rFonts w:hint="default" w:ascii="仿宋" w:hAnsi="仿宋" w:eastAsia="仿宋" w:cs="仿宋"/>
                <w:sz w:val="21"/>
                <w:szCs w:val="21"/>
                <w:lang w:val="en-US"/>
              </w:rPr>
              <w:t>方</w:t>
            </w:r>
            <w:r>
              <w:rPr>
                <w:rFonts w:hint="eastAsia" w:ascii="仿宋" w:hAnsi="仿宋" w:eastAsia="仿宋" w:cs="仿宋"/>
                <w:sz w:val="21"/>
                <w:szCs w:val="21"/>
              </w:rPr>
              <w:t>需求，管理员下设多层级、多类型（功能）子管理账户。</w:t>
            </w:r>
          </w:p>
        </w:tc>
      </w:tr>
      <w:tr w14:paraId="358C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4327624E">
            <w:pPr>
              <w:rPr>
                <w:rFonts w:hint="eastAsia" w:ascii="仿宋" w:hAnsi="仿宋" w:eastAsia="仿宋" w:cs="仿宋"/>
                <w:sz w:val="21"/>
                <w:szCs w:val="21"/>
              </w:rPr>
            </w:pPr>
          </w:p>
        </w:tc>
        <w:tc>
          <w:tcPr>
            <w:tcW w:w="670" w:type="pct"/>
            <w:vMerge w:val="continue"/>
            <w:vAlign w:val="center"/>
          </w:tcPr>
          <w:p w14:paraId="503CA58C">
            <w:pPr>
              <w:jc w:val="center"/>
              <w:rPr>
                <w:rFonts w:hint="eastAsia" w:ascii="仿宋" w:hAnsi="仿宋" w:eastAsia="仿宋" w:cs="仿宋"/>
                <w:sz w:val="21"/>
                <w:szCs w:val="21"/>
              </w:rPr>
            </w:pPr>
          </w:p>
        </w:tc>
        <w:tc>
          <w:tcPr>
            <w:tcW w:w="1016" w:type="pct"/>
            <w:shd w:val="clear" w:color="auto" w:fill="auto"/>
            <w:vAlign w:val="center"/>
          </w:tcPr>
          <w:p w14:paraId="44993EAA">
            <w:pPr>
              <w:jc w:val="center"/>
              <w:rPr>
                <w:rFonts w:hint="eastAsia" w:ascii="仿宋" w:hAnsi="仿宋" w:eastAsia="仿宋" w:cs="仿宋"/>
                <w:sz w:val="21"/>
                <w:szCs w:val="21"/>
              </w:rPr>
            </w:pPr>
            <w:r>
              <w:rPr>
                <w:rFonts w:hint="eastAsia" w:ascii="仿宋" w:hAnsi="仿宋" w:eastAsia="仿宋" w:cs="仿宋"/>
                <w:sz w:val="21"/>
                <w:szCs w:val="21"/>
              </w:rPr>
              <w:t>字典管理</w:t>
            </w:r>
          </w:p>
        </w:tc>
        <w:tc>
          <w:tcPr>
            <w:tcW w:w="2629" w:type="pct"/>
            <w:shd w:val="clear" w:color="auto" w:fill="auto"/>
            <w:vAlign w:val="center"/>
          </w:tcPr>
          <w:p w14:paraId="497E335E">
            <w:pPr>
              <w:rPr>
                <w:rFonts w:hint="eastAsia" w:ascii="仿宋" w:hAnsi="仿宋" w:eastAsia="仿宋" w:cs="仿宋"/>
                <w:sz w:val="21"/>
                <w:szCs w:val="21"/>
              </w:rPr>
            </w:pPr>
            <w:r>
              <w:rPr>
                <w:rFonts w:hint="eastAsia" w:ascii="仿宋" w:hAnsi="仿宋" w:eastAsia="仿宋" w:cs="仿宋"/>
                <w:sz w:val="21"/>
                <w:szCs w:val="21"/>
              </w:rPr>
              <w:t>基础商品维护</w:t>
            </w:r>
            <w:r>
              <w:rPr>
                <w:rFonts w:hint="eastAsia" w:ascii="仿宋" w:hAnsi="仿宋" w:eastAsia="仿宋" w:cs="仿宋"/>
                <w:sz w:val="21"/>
                <w:szCs w:val="21"/>
                <w:lang w:eastAsia="zh-CN"/>
              </w:rPr>
              <w:t>、</w:t>
            </w:r>
            <w:r>
              <w:rPr>
                <w:rFonts w:hint="eastAsia" w:ascii="仿宋" w:hAnsi="仿宋" w:eastAsia="仿宋" w:cs="仿宋"/>
                <w:sz w:val="21"/>
                <w:szCs w:val="21"/>
              </w:rPr>
              <w:t>商品基本维护</w:t>
            </w:r>
            <w:r>
              <w:rPr>
                <w:rFonts w:hint="eastAsia" w:ascii="仿宋" w:hAnsi="仿宋" w:eastAsia="仿宋" w:cs="仿宋"/>
                <w:sz w:val="21"/>
                <w:szCs w:val="21"/>
                <w:lang w:eastAsia="zh-CN"/>
              </w:rPr>
              <w:t>、</w:t>
            </w:r>
            <w:r>
              <w:rPr>
                <w:rFonts w:hint="eastAsia" w:ascii="仿宋" w:hAnsi="仿宋" w:eastAsia="仿宋" w:cs="仿宋"/>
                <w:sz w:val="21"/>
                <w:szCs w:val="21"/>
              </w:rPr>
              <w:t>品牌基本维护</w:t>
            </w:r>
            <w:r>
              <w:rPr>
                <w:rFonts w:hint="eastAsia" w:ascii="仿宋" w:hAnsi="仿宋" w:eastAsia="仿宋" w:cs="仿宋"/>
                <w:sz w:val="21"/>
                <w:szCs w:val="21"/>
                <w:lang w:eastAsia="zh-CN"/>
              </w:rPr>
              <w:t>、</w:t>
            </w:r>
            <w:r>
              <w:rPr>
                <w:rFonts w:hint="eastAsia" w:ascii="仿宋" w:hAnsi="仿宋" w:eastAsia="仿宋" w:cs="仿宋"/>
                <w:sz w:val="21"/>
                <w:szCs w:val="21"/>
              </w:rPr>
              <w:t>商品属性基本维护及各种权重设置</w:t>
            </w:r>
          </w:p>
        </w:tc>
      </w:tr>
      <w:tr w14:paraId="12B5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45013AD3">
            <w:pPr>
              <w:rPr>
                <w:rFonts w:hint="eastAsia" w:ascii="仿宋" w:hAnsi="仿宋" w:eastAsia="仿宋" w:cs="仿宋"/>
                <w:sz w:val="21"/>
                <w:szCs w:val="21"/>
              </w:rPr>
            </w:pPr>
          </w:p>
        </w:tc>
        <w:tc>
          <w:tcPr>
            <w:tcW w:w="670" w:type="pct"/>
            <w:vMerge w:val="continue"/>
            <w:vAlign w:val="center"/>
          </w:tcPr>
          <w:p w14:paraId="1DB465FA">
            <w:pPr>
              <w:jc w:val="center"/>
              <w:rPr>
                <w:rFonts w:hint="eastAsia" w:ascii="仿宋" w:hAnsi="仿宋" w:eastAsia="仿宋" w:cs="仿宋"/>
                <w:sz w:val="21"/>
                <w:szCs w:val="21"/>
              </w:rPr>
            </w:pPr>
          </w:p>
        </w:tc>
        <w:tc>
          <w:tcPr>
            <w:tcW w:w="1016" w:type="pct"/>
            <w:shd w:val="clear" w:color="auto" w:fill="auto"/>
            <w:vAlign w:val="center"/>
          </w:tcPr>
          <w:p w14:paraId="763C240C">
            <w:pPr>
              <w:jc w:val="center"/>
              <w:rPr>
                <w:rFonts w:hint="eastAsia" w:ascii="仿宋" w:hAnsi="仿宋" w:eastAsia="仿宋" w:cs="仿宋"/>
                <w:sz w:val="21"/>
                <w:szCs w:val="21"/>
              </w:rPr>
            </w:pPr>
            <w:r>
              <w:rPr>
                <w:rFonts w:hint="eastAsia" w:ascii="仿宋" w:hAnsi="仿宋" w:eastAsia="仿宋" w:cs="仿宋"/>
                <w:sz w:val="21"/>
                <w:szCs w:val="21"/>
              </w:rPr>
              <w:t>控制管理</w:t>
            </w:r>
          </w:p>
        </w:tc>
        <w:tc>
          <w:tcPr>
            <w:tcW w:w="2629" w:type="pct"/>
            <w:shd w:val="clear" w:color="auto" w:fill="auto"/>
            <w:vAlign w:val="center"/>
          </w:tcPr>
          <w:p w14:paraId="1995C954">
            <w:pPr>
              <w:rPr>
                <w:rFonts w:hint="eastAsia" w:ascii="仿宋" w:hAnsi="仿宋" w:eastAsia="仿宋" w:cs="仿宋"/>
                <w:sz w:val="21"/>
                <w:szCs w:val="21"/>
              </w:rPr>
            </w:pPr>
            <w:r>
              <w:rPr>
                <w:rFonts w:hint="eastAsia" w:ascii="仿宋" w:hAnsi="仿宋" w:eastAsia="仿宋" w:cs="仿宋"/>
                <w:sz w:val="21"/>
                <w:szCs w:val="21"/>
              </w:rPr>
              <w:t>自定义系统中自动签收天数、次数及审核开关的控制，自定义订单监控中的产品名、数量、时间等。</w:t>
            </w:r>
          </w:p>
        </w:tc>
      </w:tr>
      <w:tr w14:paraId="173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shd w:val="clear" w:color="auto" w:fill="auto"/>
            <w:vAlign w:val="center"/>
          </w:tcPr>
          <w:p w14:paraId="576E28DA">
            <w:pPr>
              <w:rPr>
                <w:rFonts w:hint="eastAsia" w:ascii="仿宋" w:hAnsi="仿宋" w:eastAsia="仿宋" w:cs="仿宋"/>
                <w:sz w:val="21"/>
                <w:szCs w:val="21"/>
              </w:rPr>
            </w:pPr>
          </w:p>
        </w:tc>
        <w:tc>
          <w:tcPr>
            <w:tcW w:w="670" w:type="pct"/>
            <w:vMerge w:val="continue"/>
            <w:shd w:val="clear" w:color="auto" w:fill="auto"/>
            <w:vAlign w:val="center"/>
          </w:tcPr>
          <w:p w14:paraId="0FDAF34A">
            <w:pPr>
              <w:jc w:val="center"/>
              <w:rPr>
                <w:rFonts w:hint="eastAsia" w:ascii="仿宋" w:hAnsi="仿宋" w:eastAsia="仿宋" w:cs="仿宋"/>
                <w:sz w:val="21"/>
                <w:szCs w:val="21"/>
              </w:rPr>
            </w:pPr>
          </w:p>
        </w:tc>
        <w:tc>
          <w:tcPr>
            <w:tcW w:w="1016" w:type="pct"/>
            <w:shd w:val="clear" w:color="auto" w:fill="auto"/>
            <w:vAlign w:val="center"/>
          </w:tcPr>
          <w:p w14:paraId="49C3B9EC">
            <w:pPr>
              <w:jc w:val="center"/>
              <w:rPr>
                <w:rFonts w:hint="eastAsia" w:ascii="仿宋" w:hAnsi="仿宋" w:eastAsia="仿宋" w:cs="仿宋"/>
                <w:sz w:val="21"/>
                <w:szCs w:val="21"/>
              </w:rPr>
            </w:pPr>
            <w:r>
              <w:rPr>
                <w:rFonts w:hint="eastAsia" w:ascii="仿宋" w:hAnsi="仿宋" w:eastAsia="仿宋" w:cs="仿宋"/>
                <w:sz w:val="21"/>
                <w:szCs w:val="21"/>
              </w:rPr>
              <w:t>消息管理</w:t>
            </w:r>
          </w:p>
        </w:tc>
        <w:tc>
          <w:tcPr>
            <w:tcW w:w="2629" w:type="pct"/>
            <w:shd w:val="clear" w:color="auto" w:fill="auto"/>
            <w:vAlign w:val="center"/>
          </w:tcPr>
          <w:p w14:paraId="509A3CF8">
            <w:pPr>
              <w:rPr>
                <w:rFonts w:hint="eastAsia" w:ascii="仿宋" w:hAnsi="仿宋" w:eastAsia="仿宋" w:cs="仿宋"/>
                <w:sz w:val="21"/>
                <w:szCs w:val="21"/>
              </w:rPr>
            </w:pPr>
            <w:r>
              <w:rPr>
                <w:rFonts w:hint="eastAsia" w:ascii="仿宋" w:hAnsi="仿宋" w:eastAsia="仿宋" w:cs="仿宋"/>
                <w:sz w:val="21"/>
                <w:szCs w:val="21"/>
              </w:rPr>
              <w:t>支持通过工大钉统一消息同道进行消息通知，将订单信息通过工大钉消息发送图文数据给用户</w:t>
            </w:r>
            <w:r>
              <w:rPr>
                <w:rFonts w:hint="eastAsia" w:ascii="仿宋" w:hAnsi="仿宋" w:eastAsia="仿宋" w:cs="仿宋"/>
                <w:sz w:val="21"/>
                <w:szCs w:val="21"/>
                <w:lang w:eastAsia="zh-CN"/>
              </w:rPr>
              <w:t>，</w:t>
            </w:r>
            <w:r>
              <w:rPr>
                <w:rFonts w:hint="eastAsia" w:ascii="仿宋" w:hAnsi="仿宋" w:eastAsia="仿宋" w:cs="仿宋"/>
                <w:sz w:val="21"/>
                <w:szCs w:val="21"/>
              </w:rPr>
              <w:t>实现对收货、订单状态变化等重要消息进行工大钉提示。</w:t>
            </w:r>
          </w:p>
        </w:tc>
      </w:tr>
      <w:tr w14:paraId="12EF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shd w:val="clear" w:color="auto" w:fill="auto"/>
            <w:vAlign w:val="center"/>
          </w:tcPr>
          <w:p w14:paraId="7C0032D9">
            <w:pPr>
              <w:jc w:val="center"/>
              <w:rPr>
                <w:rFonts w:hint="eastAsia" w:ascii="仿宋" w:hAnsi="仿宋" w:eastAsia="仿宋" w:cs="仿宋"/>
                <w:b/>
                <w:bCs/>
                <w:sz w:val="21"/>
                <w:szCs w:val="21"/>
              </w:rPr>
            </w:pPr>
            <w:r>
              <w:rPr>
                <w:rFonts w:hint="eastAsia" w:ascii="仿宋" w:hAnsi="仿宋" w:eastAsia="仿宋" w:cs="仿宋"/>
                <w:b/>
                <w:bCs/>
                <w:sz w:val="21"/>
                <w:szCs w:val="21"/>
              </w:rPr>
              <w:t>实验室采购平台移动端</w:t>
            </w:r>
          </w:p>
        </w:tc>
        <w:tc>
          <w:tcPr>
            <w:tcW w:w="670" w:type="pct"/>
            <w:shd w:val="clear" w:color="auto" w:fill="auto"/>
            <w:vAlign w:val="center"/>
          </w:tcPr>
          <w:p w14:paraId="57369361">
            <w:pPr>
              <w:jc w:val="center"/>
              <w:rPr>
                <w:rFonts w:hint="eastAsia" w:ascii="仿宋" w:hAnsi="仿宋" w:eastAsia="仿宋" w:cs="仿宋"/>
                <w:sz w:val="21"/>
                <w:szCs w:val="21"/>
              </w:rPr>
            </w:pPr>
            <w:r>
              <w:rPr>
                <w:rFonts w:hint="eastAsia" w:ascii="仿宋" w:hAnsi="仿宋" w:eastAsia="仿宋" w:cs="仿宋"/>
                <w:sz w:val="21"/>
                <w:szCs w:val="21"/>
              </w:rPr>
              <w:t>移动端应用</w:t>
            </w:r>
          </w:p>
        </w:tc>
        <w:tc>
          <w:tcPr>
            <w:tcW w:w="1016" w:type="pct"/>
            <w:shd w:val="clear" w:color="auto" w:fill="auto"/>
            <w:vAlign w:val="center"/>
          </w:tcPr>
          <w:p w14:paraId="3294783B">
            <w:pPr>
              <w:jc w:val="center"/>
              <w:rPr>
                <w:rFonts w:hint="eastAsia" w:ascii="仿宋" w:hAnsi="仿宋" w:eastAsia="仿宋" w:cs="仿宋"/>
                <w:sz w:val="21"/>
                <w:szCs w:val="21"/>
              </w:rPr>
            </w:pPr>
            <w:r>
              <w:rPr>
                <w:rFonts w:hint="eastAsia" w:ascii="仿宋" w:hAnsi="仿宋" w:eastAsia="仿宋" w:cs="仿宋"/>
                <w:sz w:val="21"/>
                <w:szCs w:val="21"/>
              </w:rPr>
              <w:t>掌上办公</w:t>
            </w:r>
          </w:p>
        </w:tc>
        <w:tc>
          <w:tcPr>
            <w:tcW w:w="2629" w:type="pct"/>
            <w:shd w:val="clear" w:color="auto" w:fill="auto"/>
            <w:vAlign w:val="center"/>
          </w:tcPr>
          <w:p w14:paraId="0D14EA21">
            <w:pPr>
              <w:rPr>
                <w:rFonts w:hint="eastAsia" w:ascii="仿宋" w:hAnsi="仿宋" w:eastAsia="仿宋" w:cs="仿宋"/>
                <w:sz w:val="21"/>
                <w:szCs w:val="21"/>
              </w:rPr>
            </w:pPr>
            <w:r>
              <w:rPr>
                <w:rFonts w:hint="eastAsia" w:ascii="仿宋" w:hAnsi="仿宋" w:eastAsia="仿宋" w:cs="仿宋"/>
                <w:sz w:val="21"/>
                <w:szCs w:val="21"/>
              </w:rPr>
              <w:t>开发基于H5的移动端应用、保留每类用户PC端主要功能</w:t>
            </w:r>
          </w:p>
        </w:tc>
      </w:tr>
      <w:tr w14:paraId="0B2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restart"/>
            <w:shd w:val="clear" w:color="auto" w:fill="auto"/>
            <w:vAlign w:val="center"/>
          </w:tcPr>
          <w:p w14:paraId="5E61ECDE">
            <w:pPr>
              <w:jc w:val="center"/>
              <w:rPr>
                <w:rFonts w:hint="eastAsia" w:ascii="仿宋" w:hAnsi="仿宋" w:eastAsia="仿宋" w:cs="仿宋"/>
                <w:b/>
                <w:bCs/>
                <w:sz w:val="21"/>
                <w:szCs w:val="21"/>
              </w:rPr>
            </w:pPr>
            <w:r>
              <w:rPr>
                <w:rFonts w:hint="eastAsia" w:ascii="仿宋" w:hAnsi="仿宋" w:eastAsia="仿宋" w:cs="仿宋"/>
                <w:b/>
                <w:bCs/>
                <w:sz w:val="21"/>
                <w:szCs w:val="21"/>
              </w:rPr>
              <w:t>对接服务</w:t>
            </w:r>
          </w:p>
        </w:tc>
        <w:tc>
          <w:tcPr>
            <w:tcW w:w="670" w:type="pct"/>
            <w:shd w:val="clear" w:color="auto" w:fill="auto"/>
            <w:vAlign w:val="center"/>
          </w:tcPr>
          <w:p w14:paraId="33A6AFC5">
            <w:pPr>
              <w:jc w:val="center"/>
              <w:rPr>
                <w:rFonts w:hint="eastAsia" w:ascii="仿宋" w:hAnsi="仿宋" w:eastAsia="仿宋" w:cs="仿宋"/>
                <w:sz w:val="21"/>
                <w:szCs w:val="21"/>
              </w:rPr>
            </w:pPr>
            <w:r>
              <w:rPr>
                <w:rFonts w:hint="eastAsia" w:ascii="仿宋" w:hAnsi="仿宋" w:eastAsia="仿宋" w:cs="仿宋"/>
                <w:sz w:val="21"/>
                <w:szCs w:val="21"/>
              </w:rPr>
              <w:t>内部系统</w:t>
            </w:r>
          </w:p>
        </w:tc>
        <w:tc>
          <w:tcPr>
            <w:tcW w:w="1016" w:type="pct"/>
            <w:shd w:val="clear" w:color="auto" w:fill="auto"/>
            <w:vAlign w:val="center"/>
          </w:tcPr>
          <w:p w14:paraId="331658D5">
            <w:pPr>
              <w:jc w:val="center"/>
              <w:rPr>
                <w:rFonts w:hint="eastAsia" w:ascii="仿宋" w:hAnsi="仿宋" w:eastAsia="仿宋" w:cs="仿宋"/>
                <w:sz w:val="21"/>
                <w:szCs w:val="21"/>
              </w:rPr>
            </w:pPr>
            <w:r>
              <w:rPr>
                <w:rFonts w:hint="eastAsia" w:ascii="仿宋" w:hAnsi="仿宋" w:eastAsia="仿宋" w:cs="仿宋"/>
                <w:sz w:val="21"/>
                <w:szCs w:val="21"/>
              </w:rPr>
              <w:t>校内平台系统对接</w:t>
            </w:r>
          </w:p>
        </w:tc>
        <w:tc>
          <w:tcPr>
            <w:tcW w:w="2629" w:type="pct"/>
            <w:shd w:val="clear" w:color="auto" w:fill="auto"/>
            <w:vAlign w:val="center"/>
          </w:tcPr>
          <w:p w14:paraId="256C2A45">
            <w:pPr>
              <w:rPr>
                <w:rFonts w:hint="eastAsia" w:ascii="仿宋" w:hAnsi="仿宋" w:eastAsia="仿宋" w:cs="仿宋"/>
                <w:sz w:val="21"/>
                <w:szCs w:val="21"/>
              </w:rPr>
            </w:pPr>
            <w:r>
              <w:rPr>
                <w:rFonts w:hint="eastAsia" w:ascii="仿宋" w:hAnsi="仿宋" w:eastAsia="仿宋" w:cs="仿宋"/>
                <w:sz w:val="21"/>
                <w:szCs w:val="21"/>
              </w:rPr>
              <w:t>与</w:t>
            </w:r>
            <w:r>
              <w:rPr>
                <w:rFonts w:hint="eastAsia" w:ascii="仿宋" w:hAnsi="仿宋" w:eastAsia="仿宋" w:cs="仿宋"/>
                <w:color w:val="auto"/>
                <w:highlight w:val="none"/>
                <w:lang w:val="en-US" w:eastAsia="zh-CN"/>
              </w:rPr>
              <w:t>校统一认证、校工大钉、校人脸数据系统、库房管理系统、实验室综合管理平台、废液处理系</w:t>
            </w:r>
            <w:r>
              <w:rPr>
                <w:rFonts w:hint="eastAsia" w:ascii="仿宋" w:hAnsi="仿宋" w:eastAsia="仿宋" w:cs="仿宋"/>
                <w:sz w:val="21"/>
                <w:szCs w:val="21"/>
              </w:rPr>
              <w:t>统等进行联通管理，实现化学品从购置审核、中转分发、使用过程监管、废弃物处置的全生命周期信息化管控。</w:t>
            </w:r>
          </w:p>
        </w:tc>
      </w:tr>
      <w:tr w14:paraId="467E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pct"/>
            <w:vMerge w:val="continue"/>
            <w:vAlign w:val="center"/>
          </w:tcPr>
          <w:p w14:paraId="7A4A0CE4">
            <w:pPr>
              <w:rPr>
                <w:rFonts w:hint="eastAsia" w:ascii="仿宋" w:hAnsi="仿宋" w:eastAsia="仿宋" w:cs="仿宋"/>
                <w:sz w:val="21"/>
                <w:szCs w:val="21"/>
              </w:rPr>
            </w:pPr>
          </w:p>
        </w:tc>
        <w:tc>
          <w:tcPr>
            <w:tcW w:w="670" w:type="pct"/>
            <w:shd w:val="clear" w:color="auto" w:fill="auto"/>
            <w:vAlign w:val="center"/>
          </w:tcPr>
          <w:p w14:paraId="005093AC">
            <w:pPr>
              <w:jc w:val="center"/>
              <w:rPr>
                <w:rFonts w:hint="eastAsia" w:ascii="仿宋" w:hAnsi="仿宋" w:eastAsia="仿宋" w:cs="仿宋"/>
                <w:sz w:val="21"/>
                <w:szCs w:val="21"/>
              </w:rPr>
            </w:pPr>
            <w:r>
              <w:rPr>
                <w:rFonts w:hint="eastAsia" w:ascii="仿宋" w:hAnsi="仿宋" w:eastAsia="仿宋" w:cs="仿宋"/>
                <w:sz w:val="21"/>
                <w:szCs w:val="21"/>
              </w:rPr>
              <w:t>财务系统</w:t>
            </w:r>
          </w:p>
        </w:tc>
        <w:tc>
          <w:tcPr>
            <w:tcW w:w="1016" w:type="pct"/>
            <w:shd w:val="clear" w:color="auto" w:fill="auto"/>
            <w:vAlign w:val="center"/>
          </w:tcPr>
          <w:p w14:paraId="1813A398">
            <w:pPr>
              <w:jc w:val="center"/>
              <w:rPr>
                <w:rFonts w:hint="eastAsia" w:ascii="仿宋" w:hAnsi="仿宋" w:eastAsia="仿宋" w:cs="仿宋"/>
                <w:sz w:val="21"/>
                <w:szCs w:val="21"/>
              </w:rPr>
            </w:pPr>
            <w:r>
              <w:rPr>
                <w:rFonts w:hint="eastAsia" w:ascii="仿宋" w:hAnsi="仿宋" w:eastAsia="仿宋" w:cs="仿宋"/>
                <w:sz w:val="21"/>
                <w:szCs w:val="21"/>
              </w:rPr>
              <w:t>财务对接</w:t>
            </w:r>
          </w:p>
        </w:tc>
        <w:tc>
          <w:tcPr>
            <w:tcW w:w="2629" w:type="pct"/>
            <w:shd w:val="clear" w:color="auto" w:fill="auto"/>
            <w:vAlign w:val="center"/>
          </w:tcPr>
          <w:p w14:paraId="1069531E">
            <w:pPr>
              <w:rPr>
                <w:rFonts w:hint="eastAsia" w:ascii="仿宋" w:hAnsi="仿宋" w:eastAsia="仿宋" w:cs="仿宋"/>
                <w:sz w:val="21"/>
                <w:szCs w:val="21"/>
              </w:rPr>
            </w:pPr>
            <w:r>
              <w:rPr>
                <w:rFonts w:hint="eastAsia" w:ascii="仿宋" w:hAnsi="仿宋" w:eastAsia="仿宋" w:cs="仿宋"/>
                <w:sz w:val="21"/>
                <w:szCs w:val="21"/>
              </w:rPr>
              <w:t>财务系统与平台进行数据同步，确保订单冻结、签收、发票等数据传输到财务系统中</w:t>
            </w:r>
            <w:r>
              <w:rPr>
                <w:rFonts w:hint="eastAsia" w:ascii="仿宋" w:hAnsi="仿宋" w:eastAsia="仿宋" w:cs="仿宋"/>
                <w:sz w:val="21"/>
                <w:szCs w:val="21"/>
                <w:lang w:eastAsia="zh-CN"/>
              </w:rPr>
              <w:t>，</w:t>
            </w:r>
            <w:r>
              <w:rPr>
                <w:rFonts w:hint="eastAsia" w:ascii="仿宋" w:hAnsi="仿宋" w:eastAsia="仿宋" w:cs="仿宋"/>
                <w:sz w:val="21"/>
                <w:szCs w:val="21"/>
              </w:rPr>
              <w:t>可进行经费本的冻结、签收、结算、解冻、更改等操作。</w:t>
            </w:r>
          </w:p>
        </w:tc>
      </w:tr>
    </w:tbl>
    <w:p w14:paraId="6B36101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Cs w:val="21"/>
          <w:lang w:val="en-US" w:eastAsia="zh-CN"/>
        </w:rPr>
      </w:pPr>
    </w:p>
    <w:p w14:paraId="5C4E2D5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3.3 项目团队</w:t>
      </w:r>
    </w:p>
    <w:p w14:paraId="5E49C87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(1)团队人员组织结构合理、专业、分工明确；</w:t>
      </w:r>
    </w:p>
    <w:p w14:paraId="3428AE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(2)项目经理：具有信息系统项目管理师证书（工信或人社部门颁发）；</w:t>
      </w:r>
    </w:p>
    <w:p w14:paraId="2A59265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color w:val="auto"/>
          <w:szCs w:val="21"/>
          <w:highlight w:val="none"/>
          <w:lang w:val="en-US" w:eastAsia="zh-CN"/>
        </w:rPr>
        <w:t>(3)项目团队成员（项目经理除外）：有成员具有系统架构设计师证书（工信或人社部门颁发）。</w:t>
      </w:r>
    </w:p>
    <w:p w14:paraId="7130017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仿宋" w:hAnsi="仿宋" w:eastAsia="仿宋" w:cs="仿宋"/>
          <w:color w:val="auto"/>
          <w:highlight w:val="none"/>
          <w:lang w:val="en-US" w:eastAsia="zh-CN"/>
        </w:rPr>
      </w:pPr>
      <w:r>
        <w:rPr>
          <w:rFonts w:hint="eastAsia" w:ascii="仿宋" w:hAnsi="仿宋" w:eastAsia="仿宋"/>
          <w:b/>
          <w:bCs/>
          <w:color w:val="auto"/>
          <w:szCs w:val="21"/>
          <w:highlight w:val="none"/>
        </w:rPr>
        <w:t>备注：</w:t>
      </w:r>
      <w:r>
        <w:rPr>
          <w:rFonts w:hint="eastAsia" w:ascii="仿宋" w:hAnsi="仿宋" w:eastAsia="仿宋"/>
          <w:b/>
          <w:bCs/>
          <w:color w:val="auto"/>
          <w:szCs w:val="21"/>
          <w:highlight w:val="none"/>
          <w:lang w:val="en-US" w:eastAsia="zh-CN"/>
        </w:rPr>
        <w:t>标★</w:t>
      </w:r>
      <w:r>
        <w:rPr>
          <w:rFonts w:hint="eastAsia" w:ascii="仿宋" w:hAnsi="仿宋" w:eastAsia="仿宋" w:cs="仿宋"/>
          <w:b/>
          <w:bCs/>
          <w:color w:val="auto"/>
          <w:szCs w:val="21"/>
          <w:highlight w:val="none"/>
          <w:lang w:val="en-US" w:eastAsia="zh-CN"/>
        </w:rPr>
        <w:t>内容</w:t>
      </w:r>
      <w:r>
        <w:rPr>
          <w:rFonts w:hint="eastAsia" w:ascii="仿宋" w:hAnsi="仿宋" w:eastAsia="仿宋"/>
          <w:b/>
          <w:bCs/>
          <w:color w:val="auto"/>
          <w:szCs w:val="21"/>
          <w:highlight w:val="none"/>
        </w:rPr>
        <w:t>要求以视频录制形式（录制的视频采用MP4格式且不得进行后期剪辑，演示时长不超过</w:t>
      </w:r>
      <w:r>
        <w:rPr>
          <w:rFonts w:hint="eastAsia" w:ascii="仿宋" w:hAnsi="仿宋" w:eastAsia="仿宋"/>
          <w:b/>
          <w:bCs/>
          <w:color w:val="auto"/>
          <w:szCs w:val="21"/>
          <w:highlight w:val="none"/>
          <w:lang w:val="en-US" w:eastAsia="zh-CN"/>
        </w:rPr>
        <w:t>15</w:t>
      </w:r>
      <w:r>
        <w:rPr>
          <w:rFonts w:hint="eastAsia" w:ascii="仿宋" w:hAnsi="仿宋" w:eastAsia="仿宋"/>
          <w:b/>
          <w:bCs/>
          <w:color w:val="auto"/>
          <w:szCs w:val="21"/>
          <w:highlight w:val="none"/>
        </w:rPr>
        <w:t>分钟）进行演示（U盘形式存储可随备份</w:t>
      </w:r>
      <w:r>
        <w:rPr>
          <w:rFonts w:hint="eastAsia" w:ascii="仿宋" w:hAnsi="仿宋" w:eastAsia="仿宋"/>
          <w:b/>
          <w:bCs/>
          <w:color w:val="auto"/>
          <w:szCs w:val="21"/>
          <w:highlight w:val="none"/>
          <w:lang w:val="en-US" w:eastAsia="zh-CN"/>
        </w:rPr>
        <w:t>投标文件</w:t>
      </w:r>
      <w:r>
        <w:rPr>
          <w:rFonts w:hint="eastAsia" w:ascii="仿宋" w:hAnsi="仿宋" w:eastAsia="仿宋"/>
          <w:b/>
          <w:bCs/>
          <w:color w:val="auto"/>
          <w:szCs w:val="21"/>
          <w:highlight w:val="none"/>
        </w:rPr>
        <w:t>同时递交，逾期送达视同未提供）</w:t>
      </w:r>
    </w:p>
    <w:p w14:paraId="493035C4">
      <w:pPr>
        <w:spacing w:line="288" w:lineRule="auto"/>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C310779">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504"/>
        <w:gridCol w:w="6993"/>
      </w:tblGrid>
      <w:tr w14:paraId="2989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0B21FA1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782" w:type="pct"/>
            <w:vAlign w:val="center"/>
          </w:tcPr>
          <w:p w14:paraId="116663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5" w:type="pct"/>
            <w:vAlign w:val="center"/>
          </w:tcPr>
          <w:p w14:paraId="49914C7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791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03E02A7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782" w:type="pct"/>
            <w:vAlign w:val="center"/>
          </w:tcPr>
          <w:p w14:paraId="0492AF8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5" w:type="pct"/>
            <w:vAlign w:val="center"/>
          </w:tcPr>
          <w:p w14:paraId="79768744">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浙江工业大学高校一站式化学品与材料采购平台开发服务</w:t>
            </w:r>
            <w:r>
              <w:rPr>
                <w:rFonts w:hint="eastAsia" w:ascii="仿宋" w:hAnsi="仿宋" w:eastAsia="仿宋" w:cs="仿宋"/>
                <w:color w:val="auto"/>
                <w:sz w:val="18"/>
                <w:szCs w:val="18"/>
                <w:highlight w:val="none"/>
              </w:rPr>
              <w:t>的招标、评标、定标、验收、合同履约、付款等（法律、法规另有规定的，从其规定）</w:t>
            </w:r>
          </w:p>
        </w:tc>
      </w:tr>
      <w:tr w14:paraId="370F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434A9AA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782" w:type="pct"/>
            <w:vAlign w:val="center"/>
          </w:tcPr>
          <w:p w14:paraId="4B0DDB7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5" w:type="pct"/>
            <w:vAlign w:val="center"/>
          </w:tcPr>
          <w:p w14:paraId="261F9946">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7D0E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520E885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782" w:type="pct"/>
            <w:vAlign w:val="center"/>
          </w:tcPr>
          <w:p w14:paraId="3270E5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5" w:type="pct"/>
            <w:vAlign w:val="center"/>
          </w:tcPr>
          <w:p w14:paraId="43DF8AE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782A42E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37F0CD7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A3FA3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108EC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0A368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5105A1D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D73C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A381F3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0BCABB7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叁仟元</w:t>
                  </w:r>
                  <w:r>
                    <w:rPr>
                      <w:rFonts w:hint="eastAsia" w:ascii="仿宋" w:hAnsi="仿宋" w:eastAsia="仿宋" w:cs="仿宋"/>
                      <w:color w:val="auto"/>
                      <w:sz w:val="18"/>
                      <w:szCs w:val="18"/>
                      <w:highlight w:val="none"/>
                    </w:rPr>
                    <w:t>收取）</w:t>
                  </w:r>
                </w:p>
              </w:tc>
            </w:tr>
          </w:tbl>
          <w:p w14:paraId="30C122A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345C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71A6218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782" w:type="pct"/>
            <w:vAlign w:val="center"/>
          </w:tcPr>
          <w:p w14:paraId="4FDF2CF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5" w:type="pct"/>
            <w:vAlign w:val="center"/>
          </w:tcPr>
          <w:p w14:paraId="235E20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5B19B88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521800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5C27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5DE2554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782" w:type="pct"/>
            <w:vAlign w:val="center"/>
          </w:tcPr>
          <w:p w14:paraId="51B8536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5" w:type="pct"/>
            <w:vAlign w:val="center"/>
          </w:tcPr>
          <w:p w14:paraId="112091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6DC889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3F8687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327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1BF2D9C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782" w:type="pct"/>
            <w:vAlign w:val="center"/>
          </w:tcPr>
          <w:p w14:paraId="25D748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5" w:type="pct"/>
            <w:vAlign w:val="center"/>
          </w:tcPr>
          <w:p w14:paraId="480B11A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02302D5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2.本项目不允许分包，不适宜分包的理由是：保证项目完整性。</w:t>
            </w:r>
          </w:p>
        </w:tc>
      </w:tr>
      <w:tr w14:paraId="639E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4FE86EF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782" w:type="pct"/>
            <w:vAlign w:val="center"/>
          </w:tcPr>
          <w:p w14:paraId="46CBF4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投标文件份数</w:t>
            </w:r>
          </w:p>
        </w:tc>
        <w:tc>
          <w:tcPr>
            <w:tcW w:w="3635" w:type="pct"/>
            <w:vAlign w:val="center"/>
          </w:tcPr>
          <w:p w14:paraId="683EB5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67D4AB1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563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285E14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782" w:type="pct"/>
            <w:vAlign w:val="center"/>
          </w:tcPr>
          <w:p w14:paraId="4A650A1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5" w:type="pct"/>
            <w:vAlign w:val="center"/>
          </w:tcPr>
          <w:p w14:paraId="2FEB620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14:paraId="69C79771">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w:t>
            </w:r>
            <w:r>
              <w:rPr>
                <w:rFonts w:hint="eastAsia" w:ascii="仿宋" w:hAnsi="仿宋" w:eastAsia="仿宋" w:cs="仿宋"/>
                <w:bCs/>
                <w:color w:val="auto"/>
                <w:sz w:val="18"/>
                <w:szCs w:val="18"/>
                <w:highlight w:val="none"/>
                <w:lang w:eastAsia="zh-CN"/>
              </w:rPr>
              <w:t>需求调研、软件开发、软件测试、软件实施、培训、接口（含对接）、测评等项目实施及中标人履行合同项下约定的所有义务所需支出的全部费用；</w:t>
            </w:r>
          </w:p>
          <w:p w14:paraId="7B83F2FB">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0EB25361">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tc>
      </w:tr>
      <w:tr w14:paraId="6338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190946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782" w:type="pct"/>
            <w:vAlign w:val="center"/>
          </w:tcPr>
          <w:p w14:paraId="7516D73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5" w:type="pct"/>
            <w:vAlign w:val="center"/>
          </w:tcPr>
          <w:p w14:paraId="4579D5D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7287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095A47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82" w:type="pct"/>
            <w:vAlign w:val="center"/>
          </w:tcPr>
          <w:p w14:paraId="2FD82A8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35" w:type="pct"/>
            <w:vAlign w:val="center"/>
          </w:tcPr>
          <w:p w14:paraId="37153C1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4E6001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有效的法人或者其他组织的营业执照等证明文件/自然人的身份证明</w:t>
            </w:r>
          </w:p>
          <w:p w14:paraId="18AFA6E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符合参加政府采购活动应当具备的一般条件的承诺函</w:t>
            </w:r>
          </w:p>
          <w:p w14:paraId="3589918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3.落实政府采购政策需满足的资格要求</w:t>
            </w:r>
          </w:p>
          <w:p w14:paraId="2B74239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4.联合协议（若联合体投标）</w:t>
            </w:r>
          </w:p>
        </w:tc>
      </w:tr>
      <w:tr w14:paraId="502E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54EC75F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782" w:type="pct"/>
            <w:vAlign w:val="center"/>
          </w:tcPr>
          <w:p w14:paraId="15B58D1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5" w:type="pct"/>
            <w:vAlign w:val="center"/>
          </w:tcPr>
          <w:p w14:paraId="007BD19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018D8D3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06A959B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1EC3E6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70109E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18623A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38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1929E51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782" w:type="pct"/>
            <w:vAlign w:val="center"/>
          </w:tcPr>
          <w:p w14:paraId="33A998B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35" w:type="pct"/>
            <w:vAlign w:val="center"/>
          </w:tcPr>
          <w:p w14:paraId="7E54995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594B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117827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782" w:type="pct"/>
            <w:vAlign w:val="center"/>
          </w:tcPr>
          <w:p w14:paraId="4965DCD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中标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eastAsia="zh-CN"/>
              </w:rPr>
              <w:t>”</w:t>
            </w:r>
          </w:p>
        </w:tc>
        <w:tc>
          <w:tcPr>
            <w:tcW w:w="3635" w:type="pct"/>
            <w:vAlign w:val="center"/>
          </w:tcPr>
          <w:p w14:paraId="35F6C6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87B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1" w:type="pct"/>
            <w:vAlign w:val="center"/>
          </w:tcPr>
          <w:p w14:paraId="044563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782" w:type="pct"/>
            <w:vAlign w:val="center"/>
          </w:tcPr>
          <w:p w14:paraId="62DE2D0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lang w:eastAsia="zh-CN"/>
              </w:rPr>
              <w:t>”</w:t>
            </w:r>
          </w:p>
        </w:tc>
        <w:tc>
          <w:tcPr>
            <w:tcW w:w="3635" w:type="pct"/>
            <w:vAlign w:val="center"/>
          </w:tcPr>
          <w:p w14:paraId="68F300C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B2473B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6DA15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2AD147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浙江工业大学高校一站式化学品与材料采购平台开发服务</w:t>
      </w:r>
      <w:r>
        <w:rPr>
          <w:rFonts w:hint="eastAsia" w:ascii="仿宋" w:hAnsi="仿宋" w:eastAsia="仿宋" w:cs="仿宋"/>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636617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.“采购人”系指浙江工业大学；</w:t>
      </w:r>
    </w:p>
    <w:p w14:paraId="40087D4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7D11A1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7E587A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412AC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963BDAA">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8A4C3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4344900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EDAF319">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661F88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叁仟元</w:t>
            </w:r>
            <w:r>
              <w:rPr>
                <w:rFonts w:hint="eastAsia" w:ascii="仿宋" w:hAnsi="仿宋" w:eastAsia="仿宋" w:cs="仿宋"/>
                <w:color w:val="auto"/>
                <w:szCs w:val="21"/>
                <w:highlight w:val="none"/>
              </w:rPr>
              <w:t>收取）</w:t>
            </w:r>
          </w:p>
        </w:tc>
      </w:tr>
    </w:tbl>
    <w:p w14:paraId="23724D0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4235801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11E9CE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56EC366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0994D6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2DD3DEC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66CD0D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49235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745E856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2.本项目不允许分包，不适宜分包的理由是：保证项目完整性</w:t>
      </w:r>
      <w:r>
        <w:rPr>
          <w:rFonts w:hint="eastAsia" w:ascii="仿宋" w:hAnsi="仿宋" w:eastAsia="仿宋" w:cs="仿宋"/>
          <w:spacing w:val="-6"/>
          <w:szCs w:val="21"/>
          <w:highlight w:val="none"/>
        </w:rPr>
        <w:t>。</w:t>
      </w:r>
    </w:p>
    <w:p w14:paraId="12F01EF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E92EBA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7D9834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4DCD7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5323A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E556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72182D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4B5FFA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1CB386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FA5457E">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3F0232BC">
      <w:pPr>
        <w:adjustRightInd w:val="0"/>
        <w:snapToGrid w:val="0"/>
        <w:spacing w:line="288" w:lineRule="auto"/>
        <w:ind w:firstLine="396" w:firstLineChars="200"/>
        <w:jc w:val="left"/>
        <w:rPr>
          <w:rFonts w:hint="eastAsia"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rPr>
        <w:t>首台套、“制造精品”、“专精特新”等创新产品按规定享受政府采购支持政策。对省级以上主管部门认定的首台套产品，自纳入《省推广应用指导目录》起3年内参加政府采购活动，视同已具备相应销售业绩，业绩分为满分</w:t>
      </w:r>
      <w:r>
        <w:rPr>
          <w:rFonts w:hint="eastAsia" w:ascii="仿宋" w:hAnsi="仿宋" w:eastAsia="仿宋" w:cs="仿宋"/>
          <w:b w:val="0"/>
          <w:bCs w:val="0"/>
          <w:spacing w:val="-6"/>
          <w:szCs w:val="21"/>
          <w:highlight w:val="none"/>
          <w:lang w:eastAsia="zh-CN"/>
        </w:rPr>
        <w:t>；</w:t>
      </w:r>
      <w:r>
        <w:rPr>
          <w:rFonts w:hint="eastAsia" w:ascii="仿宋" w:hAnsi="仿宋" w:eastAsia="仿宋" w:cs="仿宋"/>
          <w:b w:val="0"/>
          <w:bCs w:val="0"/>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C06F70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w:t>
      </w:r>
      <w:r>
        <w:rPr>
          <w:rFonts w:hint="eastAsia" w:ascii="仿宋" w:hAnsi="仿宋" w:eastAsia="仿宋" w:cs="仿宋"/>
          <w:spacing w:val="-6"/>
          <w:szCs w:val="21"/>
          <w:highlight w:val="none"/>
          <w:lang w:val="en-US" w:eastAsia="zh-CN"/>
        </w:rPr>
        <w:t>招标</w:t>
      </w:r>
      <w:r>
        <w:rPr>
          <w:rFonts w:hint="eastAsia" w:ascii="仿宋" w:hAnsi="仿宋" w:eastAsia="仿宋" w:cs="仿宋"/>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0CF307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994AC2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99DA7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75934562">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9083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4E0357A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714E4C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45040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270333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BD8F3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64133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2D1857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8942A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21A0904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529B88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D1C539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73BB9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0D75C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2BE84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5A501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599B6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D073723">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F134E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F065F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bookmarkStart w:id="42" w:name="_Hlk94018664"/>
      <w:r>
        <w:rPr>
          <w:rFonts w:hint="eastAsia" w:ascii="仿宋" w:hAnsi="仿宋" w:eastAsia="仿宋" w:cs="仿宋"/>
          <w:sz w:val="21"/>
          <w:szCs w:val="21"/>
          <w:highlight w:val="none"/>
          <w:lang w:val="en-US" w:eastAsia="zh-CN"/>
        </w:rPr>
        <w:t>1.报价应按招标文件要求的格式编制、填写报价内容，未按招标文件要求编制、填写的投标文件可能被拒绝；</w:t>
      </w:r>
    </w:p>
    <w:p w14:paraId="7184B2C6">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2.投标报价是履行合同的最终价格，应包括需求调研、软件开发、软件测试、软件实施、培训、接口（含对接）、测评等项目实施及中标人履行合同项下约定的所有义务所需支出的全部费用；</w:t>
      </w:r>
    </w:p>
    <w:p w14:paraId="5126DD79">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▲3.采购人将以合同形式有偿取得服务，不接受投标人给予的赠品、回扣或者与采购无关的其他商品、服务；</w:t>
      </w:r>
    </w:p>
    <w:p w14:paraId="1B7D569C">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lang w:val="en-US" w:eastAsia="zh-CN"/>
        </w:rPr>
        <w:t>4.投标总价不为零，分项报价中部分服务单价为零的，视作已包含在投标总价中。</w:t>
      </w:r>
    </w:p>
    <w:bookmarkEnd w:id="42"/>
    <w:p w14:paraId="578DF0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7E282256">
      <w:pPr>
        <w:pStyle w:val="8"/>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5FD921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7E7655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A858C3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未提供采购需求偏离表</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采购需求偏离表</w:t>
      </w:r>
      <w:r>
        <w:rPr>
          <w:rFonts w:hint="eastAsia" w:ascii="仿宋" w:hAnsi="仿宋" w:eastAsia="仿宋" w:cs="仿宋"/>
          <w:color w:val="auto"/>
          <w:spacing w:val="-6"/>
          <w:szCs w:val="21"/>
          <w:highlight w:val="none"/>
          <w:lang w:val="en-US" w:eastAsia="zh-CN"/>
        </w:rPr>
        <w:t>中响应规格有缺项、漏项</w:t>
      </w:r>
      <w:r>
        <w:rPr>
          <w:rFonts w:hint="eastAsia" w:ascii="仿宋" w:hAnsi="仿宋" w:eastAsia="仿宋" w:cs="仿宋"/>
          <w:color w:val="auto"/>
          <w:spacing w:val="-6"/>
          <w:szCs w:val="21"/>
          <w:highlight w:val="none"/>
        </w:rPr>
        <w:t>的</w:t>
      </w:r>
    </w:p>
    <w:p w14:paraId="757CE96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5.免费维护期</w:t>
      </w:r>
      <w:r>
        <w:rPr>
          <w:rFonts w:hint="eastAsia" w:ascii="仿宋" w:hAnsi="仿宋" w:eastAsia="仿宋" w:cs="仿宋"/>
          <w:color w:val="auto"/>
          <w:spacing w:val="-6"/>
          <w:szCs w:val="21"/>
          <w:highlight w:val="none"/>
        </w:rPr>
        <w:t>不满足招标文件要求的</w:t>
      </w:r>
    </w:p>
    <w:p w14:paraId="08075AF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6.服务响应负偏离达到评分标准中规定数量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575228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93F86F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6EB2624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55CFA92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70CA7C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w:t>
      </w:r>
      <w:r>
        <w:rPr>
          <w:rFonts w:hint="eastAsia" w:ascii="仿宋" w:hAnsi="仿宋" w:eastAsia="仿宋" w:cs="仿宋"/>
          <w:b/>
          <w:bCs/>
          <w:color w:val="auto"/>
          <w:spacing w:val="-6"/>
          <w:szCs w:val="21"/>
          <w:highlight w:val="none"/>
          <w:lang w:eastAsia="zh-CN"/>
        </w:rPr>
        <w:t>服务质量</w:t>
      </w:r>
      <w:r>
        <w:rPr>
          <w:rFonts w:hint="eastAsia" w:ascii="仿宋" w:hAnsi="仿宋" w:eastAsia="仿宋" w:cs="仿宋"/>
          <w:b/>
          <w:bCs/>
          <w:color w:val="auto"/>
          <w:spacing w:val="-6"/>
          <w:szCs w:val="21"/>
          <w:highlight w:val="none"/>
        </w:rPr>
        <w:t>或者不能诚信履约的，应当要求其在评标现场合理的时间内提供书面说明，必要时提交相关证明材料；投标人不能证明其报价合理性的，评标委员会应当将其作为无效投标处理。</w:t>
      </w:r>
    </w:p>
    <w:bookmarkEnd w:id="43"/>
    <w:p w14:paraId="241FD43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950542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3.不同投标人的投标文件的内容存在3处（含）以上错误一致的</w:t>
      </w:r>
    </w:p>
    <w:p w14:paraId="4F4CD2B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D0A894B">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370EB06E">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A4434">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0176D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9EC8923">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78B2944">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233C8A">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FD7B38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743FF0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5E9D9CD">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3386DCA">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C5E932C">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9DE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13834B2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0021D4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1E2197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843917E">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3D702F74">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6077AC93">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C1D4DB0">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5BA420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5BDC49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仿宋" w:hAnsi="仿宋" w:eastAsia="仿宋" w:cs="仿宋"/>
          <w:b/>
          <w:bCs/>
          <w:i w:val="0"/>
          <w:iCs w:val="0"/>
          <w:caps w:val="0"/>
          <w:color w:val="auto"/>
          <w:spacing w:val="-2"/>
          <w:kern w:val="0"/>
          <w:sz w:val="21"/>
          <w:szCs w:val="21"/>
          <w:highlight w:val="none"/>
          <w:shd w:val="clear" w:fill="FFFFFF"/>
          <w:lang w:val="en-US" w:eastAsia="zh-CN" w:bidi="ar"/>
        </w:rPr>
      </w:pPr>
      <w:r>
        <w:rPr>
          <w:rFonts w:hint="eastAsia" w:ascii="仿宋" w:hAnsi="仿宋" w:eastAsia="仿宋" w:cs="仿宋"/>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042ED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（一）投标报价低于全部通过符合性审查投标人投标报价平均值50%的，即投标报价&lt;全部通过符合性审查投标人投标报价平均值×50%；</w:t>
      </w:r>
    </w:p>
    <w:p w14:paraId="30EC5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（二）投标报价低于通过符合性审查且报价次低投标人投标报价50%的，即投标报价&lt;通过符合性审查且报价次低投标人投标报价×50%；</w:t>
      </w:r>
    </w:p>
    <w:p w14:paraId="72057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28ACC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shd w:val="clear" w:fill="FFFFFF"/>
          <w:lang w:val="en-US" w:eastAsia="zh-CN" w:bidi="ar"/>
        </w:rPr>
        <w:t>（四）其他评标委员会认为投标人报价过低，有可能影响服务质量或者不能诚信履约的情形。</w:t>
      </w:r>
    </w:p>
    <w:p w14:paraId="64DD8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88" w:lineRule="auto"/>
        <w:ind w:left="0" w:right="0" w:firstLine="412" w:firstLineChars="200"/>
        <w:jc w:val="both"/>
        <w:textAlignment w:val="auto"/>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评标委员会启动异常低价投标审查后，应当要求相关投标人在评标现场合理的时间内提供书面说明及必要的证明材料，对投标价格作出解释。书面说明、证明材料主要是</w:t>
      </w:r>
      <w:r>
        <w:rPr>
          <w:rFonts w:hint="eastAsia" w:ascii="仿宋" w:hAnsi="仿宋" w:eastAsia="仿宋" w:cs="仿宋"/>
          <w:b/>
          <w:bCs/>
          <w:i w:val="0"/>
          <w:iCs w:val="0"/>
          <w:caps w:val="0"/>
          <w:color w:val="auto"/>
          <w:spacing w:val="-2"/>
          <w:kern w:val="0"/>
          <w:sz w:val="21"/>
          <w:szCs w:val="21"/>
          <w:highlight w:val="none"/>
          <w:u w:val="none"/>
          <w:shd w:val="clear" w:fill="FFFFFF"/>
          <w:lang w:val="en-US" w:eastAsia="zh-CN" w:bidi="ar"/>
        </w:rPr>
        <w:t>项目具体成本测算等与报价合理性相关的说明、材料</w:t>
      </w: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w:t>
      </w:r>
    </w:p>
    <w:p w14:paraId="181554AD">
      <w:pPr>
        <w:keepNext w:val="0"/>
        <w:keepLines w:val="0"/>
        <w:pageBreakBefore w:val="0"/>
        <w:widowControl w:val="0"/>
        <w:kinsoku/>
        <w:wordWrap/>
        <w:overflowPunct/>
        <w:topLinePunct w:val="0"/>
        <w:autoSpaceDE/>
        <w:autoSpaceDN/>
        <w:bidi w:val="0"/>
        <w:adjustRightInd/>
        <w:snapToGrid w:val="0"/>
        <w:spacing w:line="288" w:lineRule="auto"/>
        <w:ind w:firstLine="412" w:firstLineChars="200"/>
        <w:textAlignment w:val="auto"/>
        <w:outlineLvl w:val="9"/>
        <w:rPr>
          <w:rFonts w:hint="eastAsia" w:ascii="仿宋" w:hAnsi="仿宋" w:eastAsia="仿宋" w:cs="仿宋"/>
          <w:b/>
          <w:color w:val="auto"/>
          <w:kern w:val="0"/>
          <w:szCs w:val="21"/>
          <w:highlight w:val="none"/>
          <w:u w:val="none"/>
        </w:rPr>
      </w:pPr>
      <w:r>
        <w:rPr>
          <w:rFonts w:hint="eastAsia" w:ascii="仿宋" w:hAnsi="仿宋" w:eastAsia="仿宋" w:cs="仿宋"/>
          <w:i w:val="0"/>
          <w:iCs w:val="0"/>
          <w:caps w:val="0"/>
          <w:color w:val="auto"/>
          <w:spacing w:val="-2"/>
          <w:kern w:val="0"/>
          <w:sz w:val="21"/>
          <w:szCs w:val="21"/>
          <w:highlight w:val="none"/>
          <w:u w:val="none"/>
          <w:shd w:val="clear" w:fill="FFFFFF"/>
          <w:lang w:val="en-US" w:eastAsia="zh-CN" w:bidi="ar"/>
        </w:rPr>
        <w:t>评标委员会应当结合同类产品在主要电商平台的价格、该行业当地薪资水平等情况，依据专业经验对报价合理性进行判断。如果投标人不提供书面说明、证明材料，或者提供的书面说明、证明材料不能证明其报价合理性的，应当将其作为无效投标处理。审查相关情况应当在评标报告中记录。</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0416B1B">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4AC2308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86D4F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5A4F8B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以电子邮件形式发送至中标人</w:t>
      </w:r>
      <w:r>
        <w:rPr>
          <w:rFonts w:hint="eastAsia" w:ascii="仿宋" w:hAnsi="仿宋" w:eastAsia="仿宋" w:cs="仿宋"/>
          <w:color w:val="auto"/>
          <w:spacing w:val="-6"/>
          <w:szCs w:val="21"/>
          <w:highlight w:val="none"/>
          <w:lang w:eastAsia="zh-CN"/>
        </w:rPr>
        <w:t>获取招标文件</w:t>
      </w:r>
      <w:r>
        <w:rPr>
          <w:rFonts w:hint="eastAsia" w:ascii="仿宋" w:hAnsi="仿宋" w:eastAsia="仿宋" w:cs="仿宋"/>
          <w:color w:val="auto"/>
          <w:spacing w:val="-6"/>
          <w:szCs w:val="21"/>
          <w:highlight w:val="none"/>
          <w:lang w:val="en-US" w:eastAsia="zh-CN"/>
        </w:rPr>
        <w:t>时所留邮箱</w:t>
      </w:r>
      <w:r>
        <w:rPr>
          <w:rFonts w:hint="eastAsia" w:ascii="仿宋" w:hAnsi="仿宋" w:eastAsia="仿宋" w:cs="仿宋"/>
          <w:color w:val="auto"/>
          <w:spacing w:val="-6"/>
          <w:szCs w:val="21"/>
          <w:highlight w:val="none"/>
          <w:lang w:eastAsia="zh-CN"/>
        </w:rPr>
        <w:t>）；</w:t>
      </w:r>
    </w:p>
    <w:p w14:paraId="0C30ED6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31721B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A5ADD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1E83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5A0F6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60835E21">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7EDC11C2">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440A9C7E">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353E9B1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11EC6EA2">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675"/>
        <w:gridCol w:w="7538"/>
      </w:tblGrid>
      <w:tr w14:paraId="0AA3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Align w:val="center"/>
          </w:tcPr>
          <w:p w14:paraId="2CDCE36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51" w:type="pct"/>
            <w:vAlign w:val="center"/>
          </w:tcPr>
          <w:p w14:paraId="150FA31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919" w:type="pct"/>
            <w:vAlign w:val="center"/>
          </w:tcPr>
          <w:p w14:paraId="348E92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6B78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47A4CF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89C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tcBorders>
              <w:top w:val="single" w:color="auto" w:sz="4" w:space="0"/>
              <w:left w:val="single" w:color="auto" w:sz="4" w:space="0"/>
              <w:bottom w:val="single" w:color="auto" w:sz="4" w:space="0"/>
              <w:right w:val="single" w:color="auto" w:sz="4" w:space="0"/>
            </w:tcBorders>
            <w:vAlign w:val="center"/>
          </w:tcPr>
          <w:p w14:paraId="4856829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51" w:type="pct"/>
            <w:tcBorders>
              <w:top w:val="single" w:color="auto" w:sz="4" w:space="0"/>
              <w:left w:val="single" w:color="auto" w:sz="4" w:space="0"/>
              <w:bottom w:val="single" w:color="auto" w:sz="4" w:space="0"/>
              <w:right w:val="single" w:color="auto" w:sz="4" w:space="0"/>
            </w:tcBorders>
            <w:vAlign w:val="center"/>
          </w:tcPr>
          <w:p w14:paraId="57BE607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3919" w:type="pct"/>
            <w:tcBorders>
              <w:top w:val="single" w:color="auto" w:sz="4" w:space="0"/>
              <w:left w:val="single" w:color="auto" w:sz="4" w:space="0"/>
              <w:bottom w:val="single" w:color="auto" w:sz="4" w:space="0"/>
              <w:right w:val="single" w:color="auto" w:sz="4" w:space="0"/>
            </w:tcBorders>
            <w:vAlign w:val="center"/>
          </w:tcPr>
          <w:p w14:paraId="2575D59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461ED5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%*100</w:t>
            </w:r>
          </w:p>
          <w:p w14:paraId="4E7300A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rPr>
              <w:t>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专门面向中小企业采购，不再执行价格评审优惠的扶持政策</w:t>
            </w:r>
            <w:r>
              <w:rPr>
                <w:rFonts w:hint="eastAsia" w:ascii="仿宋" w:hAnsi="仿宋" w:eastAsia="仿宋" w:cs="仿宋"/>
                <w:b/>
                <w:bCs/>
                <w:color w:val="auto"/>
                <w:sz w:val="18"/>
                <w:szCs w:val="18"/>
                <w:highlight w:val="none"/>
                <w:lang w:eastAsia="zh-CN"/>
              </w:rPr>
              <w:t>。</w:t>
            </w:r>
          </w:p>
        </w:tc>
      </w:tr>
      <w:tr w14:paraId="62DE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048872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190F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Align w:val="center"/>
          </w:tcPr>
          <w:p w14:paraId="7F69C05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51" w:type="pct"/>
            <w:vAlign w:val="center"/>
          </w:tcPr>
          <w:p w14:paraId="3669E99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919" w:type="pct"/>
            <w:vAlign w:val="center"/>
          </w:tcPr>
          <w:p w14:paraId="25015AF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2022</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与采购标的同品类（实验室管理或化学品采购等相关软件开发）</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0.5</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lang w:eastAsia="zh-CN"/>
              </w:rPr>
              <w:t>合同</w:t>
            </w:r>
            <w:r>
              <w:rPr>
                <w:rFonts w:hint="eastAsia" w:ascii="仿宋" w:hAnsi="仿宋" w:eastAsia="仿宋" w:cs="仿宋"/>
                <w:b w:val="0"/>
                <w:bCs w:val="0"/>
                <w:color w:val="auto"/>
                <w:sz w:val="21"/>
                <w:szCs w:val="21"/>
                <w:highlight w:val="none"/>
                <w:lang w:val="en-US" w:eastAsia="zh-CN"/>
              </w:rPr>
              <w:t>及对应验收通过材料（需甲方或甲方使用部门盖章）</w:t>
            </w:r>
            <w:r>
              <w:rPr>
                <w:rFonts w:hint="eastAsia" w:ascii="仿宋" w:hAnsi="仿宋" w:eastAsia="仿宋" w:cs="仿宋"/>
                <w:b w:val="0"/>
                <w:bCs w:val="0"/>
                <w:color w:val="auto"/>
                <w:sz w:val="21"/>
                <w:szCs w:val="21"/>
                <w:highlight w:val="none"/>
              </w:rPr>
              <w:t>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或</w:t>
            </w:r>
            <w:r>
              <w:rPr>
                <w:rFonts w:hint="eastAsia" w:ascii="仿宋" w:hAnsi="仿宋" w:eastAsia="仿宋" w:cs="仿宋"/>
                <w:b w:val="0"/>
                <w:bCs w:val="0"/>
                <w:spacing w:val="-6"/>
                <w:szCs w:val="21"/>
                <w:highlight w:val="none"/>
              </w:rPr>
              <w:t>“专精特新”</w:t>
            </w:r>
            <w:r>
              <w:rPr>
                <w:rFonts w:hint="eastAsia" w:ascii="仿宋" w:hAnsi="仿宋" w:eastAsia="仿宋" w:cs="仿宋"/>
                <w:b w:val="0"/>
                <w:bCs w:val="0"/>
                <w:color w:val="auto"/>
                <w:sz w:val="21"/>
                <w:szCs w:val="21"/>
                <w:highlight w:val="none"/>
                <w:lang w:eastAsia="zh-CN"/>
              </w:rPr>
              <w:t>相关证明材料</w:t>
            </w:r>
            <w:r>
              <w:rPr>
                <w:rFonts w:hint="eastAsia" w:ascii="仿宋" w:hAnsi="仿宋" w:eastAsia="仿宋" w:cs="仿宋"/>
                <w:b w:val="0"/>
                <w:bCs w:val="0"/>
                <w:color w:val="auto"/>
                <w:sz w:val="21"/>
                <w:szCs w:val="21"/>
                <w:highlight w:val="none"/>
                <w:lang w:val="en-US" w:eastAsia="zh-CN"/>
              </w:rPr>
              <w:t>为准]</w:t>
            </w:r>
          </w:p>
          <w:p w14:paraId="428B1A3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494E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Align w:val="center"/>
          </w:tcPr>
          <w:p w14:paraId="2C1DC8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服务能力</w:t>
            </w:r>
          </w:p>
        </w:tc>
        <w:tc>
          <w:tcPr>
            <w:tcW w:w="351" w:type="pct"/>
            <w:vAlign w:val="center"/>
          </w:tcPr>
          <w:p w14:paraId="390020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919" w:type="pct"/>
            <w:vAlign w:val="center"/>
          </w:tcPr>
          <w:p w14:paraId="529C53F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投标人信息安全服务</w:t>
            </w:r>
            <w:r>
              <w:rPr>
                <w:rFonts w:hint="eastAsia" w:ascii="仿宋" w:hAnsi="仿宋" w:eastAsia="仿宋" w:cs="仿宋"/>
                <w:b w:val="0"/>
                <w:bCs w:val="0"/>
                <w:color w:val="auto"/>
                <w:sz w:val="21"/>
                <w:szCs w:val="21"/>
                <w:highlight w:val="none"/>
                <w:lang w:val="en-US" w:eastAsia="zh-CN"/>
              </w:rPr>
              <w:t>、信息系统建设和服务、信息技术服务运行维护能力：1分/项能力（以相关证明材料为准，如资质、认证）</w:t>
            </w:r>
          </w:p>
          <w:p w14:paraId="361D715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3A93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FCD2F4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677A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Align w:val="center"/>
          </w:tcPr>
          <w:p w14:paraId="7AA9EF8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服务</w:t>
            </w:r>
            <w:r>
              <w:rPr>
                <w:rFonts w:hint="eastAsia" w:ascii="仿宋" w:hAnsi="仿宋" w:eastAsia="仿宋" w:cs="仿宋"/>
                <w:b/>
                <w:bCs/>
                <w:color w:val="auto"/>
                <w:szCs w:val="21"/>
                <w:highlight w:val="none"/>
              </w:rPr>
              <w:t>响应</w:t>
            </w:r>
          </w:p>
        </w:tc>
        <w:tc>
          <w:tcPr>
            <w:tcW w:w="351" w:type="pct"/>
            <w:vAlign w:val="center"/>
          </w:tcPr>
          <w:p w14:paraId="5F0DF9A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3919" w:type="pct"/>
            <w:vAlign w:val="center"/>
          </w:tcPr>
          <w:p w14:paraId="2EE8F88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w:t>
            </w:r>
            <w:r>
              <w:rPr>
                <w:rFonts w:hint="eastAsia" w:ascii="仿宋" w:hAnsi="仿宋" w:eastAsia="仿宋" w:cs="仿宋"/>
                <w:b w:val="0"/>
                <w:bCs w:val="0"/>
                <w:color w:val="auto"/>
                <w:szCs w:val="21"/>
                <w:highlight w:val="none"/>
                <w:lang w:eastAsia="zh-CN"/>
              </w:rPr>
              <w:t>（标★条款、项目团队除外）</w:t>
            </w:r>
            <w:r>
              <w:rPr>
                <w:rFonts w:hint="eastAsia" w:ascii="仿宋" w:hAnsi="仿宋" w:eastAsia="仿宋" w:cs="仿宋"/>
                <w:b w:val="0"/>
                <w:bCs w:val="0"/>
                <w:color w:val="auto"/>
                <w:szCs w:val="21"/>
                <w:highlight w:val="none"/>
              </w:rPr>
              <w:t>得</w:t>
            </w:r>
            <w:r>
              <w:rPr>
                <w:rFonts w:hint="eastAsia" w:ascii="仿宋" w:hAnsi="仿宋" w:eastAsia="仿宋" w:cs="仿宋"/>
                <w:b w:val="0"/>
                <w:bCs w:val="0"/>
                <w:color w:val="auto"/>
                <w:szCs w:val="21"/>
                <w:highlight w:val="none"/>
                <w:lang w:val="en-US" w:eastAsia="zh-CN"/>
              </w:rPr>
              <w:t>10分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Cs w:val="21"/>
                <w:highlight w:val="none"/>
                <w:lang w:val="en-US" w:eastAsia="zh-CN"/>
              </w:rPr>
              <w:t>分起扣</w:t>
            </w:r>
            <w:r>
              <w:rPr>
                <w:rFonts w:hint="eastAsia" w:ascii="仿宋" w:hAnsi="仿宋" w:eastAsia="仿宋" w:cs="仿宋"/>
                <w:b w:val="0"/>
                <w:bCs w:val="0"/>
                <w:color w:val="auto"/>
                <w:sz w:val="21"/>
                <w:szCs w:val="21"/>
                <w:highlight w:val="none"/>
                <w:lang w:val="en-US" w:eastAsia="zh-CN"/>
              </w:rPr>
              <w:t>），负偏离≥10项（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tc>
      </w:tr>
      <w:tr w14:paraId="4810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restart"/>
            <w:vAlign w:val="center"/>
          </w:tcPr>
          <w:p w14:paraId="1B56AF3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51" w:type="pct"/>
            <w:shd w:val="clear" w:color="auto" w:fill="auto"/>
            <w:vAlign w:val="center"/>
          </w:tcPr>
          <w:p w14:paraId="57422709">
            <w:pPr>
              <w:keepNext w:val="0"/>
              <w:keepLines w:val="0"/>
              <w:pageBreakBefore w:val="0"/>
              <w:widowControl w:val="0"/>
              <w:kinsoku/>
              <w:wordWrap/>
              <w:overflowPunct/>
              <w:topLinePunct w:val="0"/>
              <w:bidi w:val="0"/>
              <w:snapToGrid w:val="0"/>
              <w:jc w:val="center"/>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5</w:t>
            </w:r>
          </w:p>
        </w:tc>
        <w:tc>
          <w:tcPr>
            <w:tcW w:w="3919" w:type="pct"/>
            <w:shd w:val="clear" w:color="auto" w:fill="auto"/>
            <w:vAlign w:val="center"/>
          </w:tcPr>
          <w:p w14:paraId="2519CF34">
            <w:pPr>
              <w:keepNext w:val="0"/>
              <w:keepLines w:val="0"/>
              <w:pageBreakBefore w:val="0"/>
              <w:widowControl w:val="0"/>
              <w:kinsoku/>
              <w:wordWrap/>
              <w:overflowPunct/>
              <w:topLinePunct w:val="0"/>
              <w:bidi w:val="0"/>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b/>
                <w:bCs/>
                <w:szCs w:val="21"/>
              </w:rPr>
              <w:t>[主观分]</w:t>
            </w:r>
            <w:r>
              <w:rPr>
                <w:rFonts w:hint="eastAsia" w:ascii="仿宋" w:hAnsi="仿宋" w:eastAsia="仿宋" w:cs="仿宋"/>
                <w:szCs w:val="21"/>
                <w:lang w:val="en-US" w:eastAsia="zh-CN"/>
              </w:rPr>
              <w:t>项目</w:t>
            </w:r>
            <w:r>
              <w:rPr>
                <w:rFonts w:hint="eastAsia" w:ascii="仿宋" w:hAnsi="仿宋" w:eastAsia="仿宋" w:cs="仿宋"/>
                <w:szCs w:val="21"/>
              </w:rPr>
              <w:t>理解分析（</w:t>
            </w:r>
            <w:r>
              <w:rPr>
                <w:rFonts w:hint="eastAsia" w:ascii="仿宋" w:hAnsi="仿宋" w:eastAsia="仿宋" w:cs="仿宋"/>
                <w:szCs w:val="21"/>
                <w:lang w:val="en-US" w:eastAsia="zh-CN"/>
              </w:rPr>
              <w:t>目标、需求、应用场景</w:t>
            </w:r>
            <w:r>
              <w:rPr>
                <w:rFonts w:hint="eastAsia" w:ascii="仿宋" w:hAnsi="仿宋" w:eastAsia="仿宋" w:cs="仿宋"/>
                <w:szCs w:val="21"/>
              </w:rPr>
              <w:t>等）：专业、</w:t>
            </w:r>
            <w:r>
              <w:rPr>
                <w:rFonts w:hint="eastAsia" w:ascii="仿宋" w:hAnsi="仿宋" w:eastAsia="仿宋" w:cs="仿宋"/>
                <w:szCs w:val="21"/>
                <w:lang w:val="en-US" w:eastAsia="zh-CN"/>
              </w:rPr>
              <w:t>到位、</w:t>
            </w:r>
            <w:r>
              <w:rPr>
                <w:rFonts w:hint="eastAsia" w:ascii="仿宋" w:hAnsi="仿宋" w:eastAsia="仿宋" w:cs="仿宋"/>
                <w:szCs w:val="21"/>
              </w:rPr>
              <w:t>全面、针对采购需求及实际特点</w:t>
            </w:r>
            <w:r>
              <w:rPr>
                <w:rFonts w:hint="eastAsia" w:ascii="仿宋" w:hAnsi="仿宋" w:eastAsia="仿宋" w:cs="仿宋"/>
                <w:b/>
                <w:bCs/>
                <w:szCs w:val="21"/>
              </w:rPr>
              <w:t>（评分范围:</w:t>
            </w:r>
            <w:r>
              <w:rPr>
                <w:rFonts w:hint="eastAsia" w:ascii="仿宋" w:hAnsi="仿宋" w:eastAsia="仿宋" w:cs="仿宋"/>
                <w:b/>
                <w:bCs/>
                <w:szCs w:val="21"/>
                <w:lang w:val="en-US" w:eastAsia="zh-CN"/>
              </w:rPr>
              <w:t>5,4,</w:t>
            </w:r>
            <w:r>
              <w:rPr>
                <w:rFonts w:hint="eastAsia" w:ascii="仿宋" w:hAnsi="仿宋" w:eastAsia="仿宋" w:cs="仿宋"/>
                <w:b/>
                <w:bCs/>
                <w:szCs w:val="21"/>
              </w:rPr>
              <w:t>3,2,1,0）</w:t>
            </w:r>
          </w:p>
        </w:tc>
      </w:tr>
      <w:tr w14:paraId="51CA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2C000DE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1" w:type="pct"/>
            <w:shd w:val="clear" w:color="auto" w:fill="auto"/>
            <w:vAlign w:val="center"/>
          </w:tcPr>
          <w:p w14:paraId="4BAE2CEF">
            <w:pPr>
              <w:keepNext w:val="0"/>
              <w:keepLines w:val="0"/>
              <w:pageBreakBefore w:val="0"/>
              <w:widowControl w:val="0"/>
              <w:kinsoku/>
              <w:wordWrap/>
              <w:overflowPunct/>
              <w:topLinePunct w:val="0"/>
              <w:bidi w:val="0"/>
              <w:snapToGrid w:val="0"/>
              <w:jc w:val="center"/>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5</w:t>
            </w:r>
          </w:p>
        </w:tc>
        <w:tc>
          <w:tcPr>
            <w:tcW w:w="3919" w:type="pct"/>
            <w:shd w:val="clear" w:color="auto" w:fill="auto"/>
            <w:vAlign w:val="center"/>
          </w:tcPr>
          <w:p w14:paraId="30E8C734">
            <w:pPr>
              <w:keepNext w:val="0"/>
              <w:keepLines w:val="0"/>
              <w:pageBreakBefore w:val="0"/>
              <w:widowControl w:val="0"/>
              <w:kinsoku/>
              <w:wordWrap/>
              <w:overflowPunct/>
              <w:topLinePunct w:val="0"/>
              <w:bidi w:val="0"/>
              <w:snapToGrid w:val="0"/>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color w:val="auto"/>
                <w:szCs w:val="21"/>
              </w:rPr>
              <w:t>[主观分]</w:t>
            </w:r>
            <w:r>
              <w:rPr>
                <w:rFonts w:hint="eastAsia" w:ascii="仿宋" w:hAnsi="仿宋" w:eastAsia="仿宋" w:cs="仿宋"/>
                <w:color w:val="auto"/>
                <w:szCs w:val="21"/>
                <w:lang w:val="en-US" w:eastAsia="zh-CN"/>
              </w:rPr>
              <w:t>平台</w:t>
            </w:r>
            <w:r>
              <w:rPr>
                <w:rFonts w:hint="eastAsia" w:ascii="仿宋" w:hAnsi="仿宋" w:eastAsia="仿宋" w:cs="仿宋"/>
                <w:color w:val="auto"/>
                <w:szCs w:val="21"/>
              </w:rPr>
              <w:t>设计方案（总体架构、系统逻辑、数据架构、平台技术、技术路线、标准规范等）：专业、规范、针对采购需求及实际特点</w:t>
            </w:r>
            <w:r>
              <w:rPr>
                <w:rFonts w:hint="eastAsia" w:ascii="仿宋" w:hAnsi="仿宋" w:eastAsia="仿宋" w:cs="仿宋"/>
                <w:b/>
                <w:bCs/>
                <w:szCs w:val="21"/>
              </w:rPr>
              <w:t>（评分范围:</w:t>
            </w:r>
            <w:r>
              <w:rPr>
                <w:rFonts w:hint="eastAsia" w:ascii="仿宋" w:hAnsi="仿宋" w:eastAsia="仿宋" w:cs="仿宋"/>
                <w:b/>
                <w:bCs/>
                <w:szCs w:val="21"/>
                <w:lang w:val="en-US" w:eastAsia="zh-CN"/>
              </w:rPr>
              <w:t>5,4,</w:t>
            </w:r>
            <w:r>
              <w:rPr>
                <w:rFonts w:hint="eastAsia" w:ascii="仿宋" w:hAnsi="仿宋" w:eastAsia="仿宋" w:cs="仿宋"/>
                <w:b/>
                <w:bCs/>
                <w:szCs w:val="21"/>
              </w:rPr>
              <w:t>3,2,1,0）</w:t>
            </w:r>
          </w:p>
        </w:tc>
      </w:tr>
      <w:tr w14:paraId="491C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3B2FFB0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1" w:type="pct"/>
            <w:shd w:val="clear" w:color="auto" w:fill="auto"/>
            <w:vAlign w:val="center"/>
          </w:tcPr>
          <w:p w14:paraId="2CE44B0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36</w:t>
            </w:r>
          </w:p>
        </w:tc>
        <w:tc>
          <w:tcPr>
            <w:tcW w:w="3919" w:type="pct"/>
            <w:shd w:val="clear" w:color="auto" w:fill="auto"/>
            <w:vAlign w:val="center"/>
          </w:tcPr>
          <w:p w14:paraId="5DBD687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lang w:val="en-US" w:eastAsia="zh-CN"/>
              </w:rPr>
            </w:pPr>
            <w:r>
              <w:rPr>
                <w:rFonts w:hint="eastAsia" w:ascii="仿宋" w:hAnsi="仿宋" w:eastAsia="仿宋" w:cs="仿宋"/>
                <w:b/>
                <w:bCs/>
                <w:color w:val="auto"/>
                <w:szCs w:val="21"/>
              </w:rPr>
              <w:t>[主观分]</w:t>
            </w:r>
            <w:r>
              <w:rPr>
                <w:rFonts w:hint="eastAsia" w:ascii="仿宋" w:hAnsi="仿宋" w:eastAsia="仿宋" w:cs="仿宋"/>
                <w:b w:val="0"/>
                <w:bCs w:val="0"/>
                <w:color w:val="auto"/>
                <w:szCs w:val="21"/>
              </w:rPr>
              <w:t>实验室采购平台PC端</w:t>
            </w:r>
            <w:r>
              <w:rPr>
                <w:rFonts w:hint="eastAsia" w:eastAsia="仿宋"/>
                <w:b w:val="0"/>
                <w:bCs w:val="0"/>
                <w:color w:val="auto"/>
                <w:highlight w:val="none"/>
                <w:lang w:val="en-US" w:eastAsia="zh-CN"/>
              </w:rPr>
              <w:t>技术解决方案：专业、全面、详尽、成熟、</w:t>
            </w:r>
            <w:r>
              <w:rPr>
                <w:rFonts w:hint="eastAsia" w:ascii="仿宋" w:hAnsi="仿宋" w:eastAsia="仿宋" w:cs="仿宋"/>
                <w:b w:val="0"/>
                <w:bCs w:val="0"/>
                <w:color w:val="auto"/>
                <w:szCs w:val="21"/>
              </w:rPr>
              <w:t>针对采购需求及实际特点</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有利于项目实施</w:t>
            </w:r>
          </w:p>
          <w:p w14:paraId="2C26F37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数据工作台</w:t>
            </w:r>
            <w:r>
              <w:rPr>
                <w:rFonts w:hint="eastAsia" w:ascii="仿宋" w:hAnsi="仿宋" w:eastAsia="仿宋" w:cs="仿宋"/>
                <w:b/>
                <w:bCs/>
                <w:szCs w:val="21"/>
                <w:lang w:eastAsia="zh-CN"/>
              </w:rPr>
              <w:t>（评分范围:3,2.5,2,1.5,1,0.5,0）</w:t>
            </w:r>
          </w:p>
          <w:p w14:paraId="21FD625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lang w:eastAsia="zh-CN"/>
              </w:rPr>
            </w:pP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个人中心</w:t>
            </w:r>
            <w:r>
              <w:rPr>
                <w:rFonts w:hint="eastAsia" w:ascii="仿宋" w:hAnsi="仿宋" w:eastAsia="仿宋" w:cs="仿宋"/>
                <w:b/>
                <w:bCs/>
                <w:szCs w:val="21"/>
                <w:lang w:eastAsia="zh-CN"/>
              </w:rPr>
              <w:t>（评分范围:3,2.5,2,1.5,1,0.5,0）</w:t>
            </w:r>
          </w:p>
          <w:p w14:paraId="4EE5EE9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平台商城</w:t>
            </w:r>
            <w:r>
              <w:rPr>
                <w:rFonts w:hint="eastAsia" w:ascii="仿宋" w:hAnsi="仿宋" w:eastAsia="仿宋" w:cs="仿宋"/>
                <w:b/>
                <w:bCs/>
                <w:szCs w:val="21"/>
                <w:lang w:eastAsia="zh-CN"/>
              </w:rPr>
              <w:t>（评分范围:3,2.5,2,1.5,1,0.5,0）</w:t>
            </w:r>
          </w:p>
          <w:p w14:paraId="79D4851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购物管理</w:t>
            </w:r>
            <w:r>
              <w:rPr>
                <w:rFonts w:hint="eastAsia" w:ascii="仿宋" w:hAnsi="仿宋" w:eastAsia="仿宋" w:cs="仿宋"/>
                <w:b/>
                <w:bCs/>
                <w:szCs w:val="21"/>
                <w:lang w:eastAsia="zh-CN"/>
              </w:rPr>
              <w:t>（评分范围:3,2.5,2,1.5,1,0.5,0）</w:t>
            </w:r>
          </w:p>
          <w:p w14:paraId="2B3C6FF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5.</w:t>
            </w:r>
            <w:r>
              <w:rPr>
                <w:rFonts w:hint="eastAsia" w:ascii="仿宋" w:hAnsi="仿宋" w:eastAsia="仿宋" w:cs="仿宋"/>
                <w:b w:val="0"/>
                <w:bCs w:val="0"/>
                <w:szCs w:val="21"/>
              </w:rPr>
              <w:t>订单管理</w:t>
            </w:r>
            <w:r>
              <w:rPr>
                <w:rFonts w:hint="eastAsia" w:ascii="仿宋" w:hAnsi="仿宋" w:eastAsia="仿宋" w:cs="仿宋"/>
                <w:b/>
                <w:bCs/>
                <w:szCs w:val="21"/>
                <w:lang w:eastAsia="zh-CN"/>
              </w:rPr>
              <w:t>（评分范围:3,2.5,2,1.5,1,0.5,0）</w:t>
            </w:r>
          </w:p>
          <w:p w14:paraId="0EB915C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6.</w:t>
            </w:r>
            <w:r>
              <w:rPr>
                <w:rFonts w:hint="eastAsia" w:ascii="仿宋" w:hAnsi="仿宋" w:eastAsia="仿宋" w:cs="仿宋"/>
                <w:b w:val="0"/>
                <w:bCs w:val="0"/>
                <w:szCs w:val="21"/>
              </w:rPr>
              <w:t>自购管理</w:t>
            </w:r>
            <w:r>
              <w:rPr>
                <w:rFonts w:hint="eastAsia" w:ascii="仿宋" w:hAnsi="仿宋" w:eastAsia="仿宋" w:cs="仿宋"/>
                <w:b/>
                <w:bCs/>
                <w:szCs w:val="21"/>
                <w:lang w:eastAsia="zh-CN"/>
              </w:rPr>
              <w:t>（评分范围:3,2.5,2,1.5,1,0.5,0）</w:t>
            </w:r>
          </w:p>
          <w:p w14:paraId="2808689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7.</w:t>
            </w:r>
            <w:r>
              <w:rPr>
                <w:rFonts w:hint="eastAsia" w:ascii="仿宋" w:hAnsi="仿宋" w:eastAsia="仿宋" w:cs="仿宋"/>
                <w:b w:val="0"/>
                <w:bCs w:val="0"/>
                <w:szCs w:val="21"/>
              </w:rPr>
              <w:t>销售管理</w:t>
            </w:r>
            <w:r>
              <w:rPr>
                <w:rFonts w:hint="eastAsia" w:ascii="仿宋" w:hAnsi="仿宋" w:eastAsia="仿宋" w:cs="仿宋"/>
                <w:b/>
                <w:bCs/>
                <w:szCs w:val="21"/>
                <w:lang w:eastAsia="zh-CN"/>
              </w:rPr>
              <w:t>（评分范围:3,2.5,2,1.5,1,0.5,0）</w:t>
            </w:r>
          </w:p>
          <w:p w14:paraId="0EAEC85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8.</w:t>
            </w:r>
            <w:r>
              <w:rPr>
                <w:rFonts w:hint="eastAsia" w:ascii="仿宋" w:hAnsi="仿宋" w:eastAsia="仿宋" w:cs="仿宋"/>
                <w:b w:val="0"/>
                <w:bCs w:val="0"/>
                <w:szCs w:val="21"/>
              </w:rPr>
              <w:t>科研项目</w:t>
            </w:r>
            <w:r>
              <w:rPr>
                <w:rFonts w:hint="eastAsia" w:ascii="仿宋" w:hAnsi="仿宋" w:eastAsia="仿宋" w:cs="仿宋"/>
                <w:b/>
                <w:bCs/>
                <w:szCs w:val="21"/>
                <w:lang w:eastAsia="zh-CN"/>
              </w:rPr>
              <w:t>（评分范围:3,2.5,2,1.5,1,0.5,0）</w:t>
            </w:r>
          </w:p>
          <w:p w14:paraId="5298BAF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9.</w:t>
            </w:r>
            <w:r>
              <w:rPr>
                <w:rFonts w:hint="eastAsia" w:ascii="仿宋" w:hAnsi="仿宋" w:eastAsia="仿宋" w:cs="仿宋"/>
                <w:b w:val="0"/>
                <w:bCs w:val="0"/>
                <w:szCs w:val="21"/>
              </w:rPr>
              <w:t>实验室台账</w:t>
            </w:r>
            <w:r>
              <w:rPr>
                <w:rFonts w:hint="eastAsia" w:ascii="仿宋" w:hAnsi="仿宋" w:eastAsia="仿宋" w:cs="仿宋"/>
                <w:b/>
                <w:bCs/>
                <w:szCs w:val="21"/>
                <w:lang w:eastAsia="zh-CN"/>
              </w:rPr>
              <w:t>（评分范围:3,2.5,2,1.5,1,0.5,0）</w:t>
            </w:r>
          </w:p>
          <w:p w14:paraId="59F06C1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10.</w:t>
            </w:r>
            <w:r>
              <w:rPr>
                <w:rFonts w:hint="eastAsia" w:ascii="仿宋" w:hAnsi="仿宋" w:eastAsia="仿宋" w:cs="仿宋"/>
                <w:b w:val="0"/>
                <w:bCs w:val="0"/>
                <w:szCs w:val="21"/>
              </w:rPr>
              <w:t>结算统计</w:t>
            </w:r>
            <w:r>
              <w:rPr>
                <w:rFonts w:hint="eastAsia" w:ascii="仿宋" w:hAnsi="仿宋" w:eastAsia="仿宋" w:cs="仿宋"/>
                <w:b/>
                <w:bCs/>
                <w:szCs w:val="21"/>
                <w:lang w:eastAsia="zh-CN"/>
              </w:rPr>
              <w:t>（评分范围:3,2.5,2,1.5,1,0.5,0）</w:t>
            </w:r>
          </w:p>
          <w:p w14:paraId="3A6F553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系统监控</w:t>
            </w:r>
            <w:r>
              <w:rPr>
                <w:rFonts w:hint="eastAsia" w:ascii="仿宋" w:hAnsi="仿宋" w:eastAsia="仿宋" w:cs="仿宋"/>
                <w:b/>
                <w:bCs/>
                <w:szCs w:val="21"/>
                <w:lang w:eastAsia="zh-CN"/>
              </w:rPr>
              <w:t>（评分范围:3,2.5,2,1.5,1,0.5,0）</w:t>
            </w:r>
          </w:p>
          <w:p w14:paraId="6E42871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系统管理</w:t>
            </w:r>
            <w:r>
              <w:rPr>
                <w:rFonts w:hint="eastAsia" w:ascii="仿宋" w:hAnsi="仿宋" w:eastAsia="仿宋" w:cs="仿宋"/>
                <w:b/>
                <w:bCs/>
                <w:szCs w:val="21"/>
                <w:lang w:eastAsia="zh-CN"/>
              </w:rPr>
              <w:t>（评分范围:3,2.5,2,1.5,1,0.5,0）</w:t>
            </w:r>
          </w:p>
        </w:tc>
      </w:tr>
      <w:tr w14:paraId="0BE7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190D8D9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1" w:type="pct"/>
            <w:shd w:val="clear" w:color="auto" w:fill="auto"/>
            <w:vAlign w:val="center"/>
          </w:tcPr>
          <w:p w14:paraId="048C41B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919" w:type="pct"/>
            <w:shd w:val="clear" w:color="auto" w:fill="auto"/>
            <w:vAlign w:val="center"/>
          </w:tcPr>
          <w:p w14:paraId="6AE3DF3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rPr>
              <w:t>[主观分]</w:t>
            </w:r>
            <w:r>
              <w:rPr>
                <w:rFonts w:hint="eastAsia" w:ascii="仿宋" w:hAnsi="仿宋" w:eastAsia="仿宋" w:cs="仿宋"/>
                <w:b w:val="0"/>
                <w:bCs w:val="0"/>
                <w:color w:val="auto"/>
                <w:szCs w:val="21"/>
              </w:rPr>
              <w:t>实验室采购平台</w:t>
            </w:r>
            <w:r>
              <w:rPr>
                <w:rFonts w:hint="eastAsia" w:ascii="仿宋" w:hAnsi="仿宋" w:eastAsia="仿宋" w:cs="仿宋"/>
                <w:b w:val="0"/>
                <w:bCs w:val="0"/>
                <w:color w:val="auto"/>
                <w:szCs w:val="21"/>
                <w:lang w:val="en-US" w:eastAsia="zh-CN"/>
              </w:rPr>
              <w:t>移动端</w:t>
            </w:r>
            <w:r>
              <w:rPr>
                <w:rFonts w:hint="eastAsia" w:eastAsia="仿宋"/>
                <w:b w:val="0"/>
                <w:bCs w:val="0"/>
                <w:color w:val="auto"/>
                <w:highlight w:val="none"/>
                <w:lang w:val="en-US" w:eastAsia="zh-CN"/>
              </w:rPr>
              <w:t>技术解决方案：专业、全面、详尽、成熟、</w:t>
            </w:r>
            <w:r>
              <w:rPr>
                <w:rFonts w:hint="eastAsia" w:ascii="仿宋" w:hAnsi="仿宋" w:eastAsia="仿宋" w:cs="仿宋"/>
                <w:b w:val="0"/>
                <w:bCs w:val="0"/>
                <w:color w:val="auto"/>
                <w:szCs w:val="21"/>
              </w:rPr>
              <w:t>针对采购需求及实际特点</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有利于项目实施</w:t>
            </w:r>
            <w:r>
              <w:rPr>
                <w:rFonts w:hint="eastAsia" w:ascii="仿宋" w:hAnsi="仿宋" w:eastAsia="仿宋" w:cs="仿宋"/>
                <w:b/>
                <w:bCs/>
                <w:szCs w:val="21"/>
                <w:lang w:eastAsia="zh-CN"/>
              </w:rPr>
              <w:t>（评分范围:3,2.5,2,1.5,1,0.5,0）</w:t>
            </w:r>
          </w:p>
        </w:tc>
      </w:tr>
      <w:tr w14:paraId="016E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555F840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1" w:type="pct"/>
            <w:vAlign w:val="center"/>
          </w:tcPr>
          <w:p w14:paraId="70B919F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w:t>
            </w:r>
          </w:p>
        </w:tc>
        <w:tc>
          <w:tcPr>
            <w:tcW w:w="3919" w:type="pct"/>
            <w:vAlign w:val="center"/>
          </w:tcPr>
          <w:p w14:paraId="5CBEF24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zCs w:val="21"/>
                <w:lang w:val="en-US" w:eastAsia="zh-CN"/>
              </w:rPr>
            </w:pPr>
            <w:r>
              <w:rPr>
                <w:rFonts w:hint="eastAsia" w:ascii="仿宋" w:hAnsi="仿宋" w:eastAsia="仿宋" w:cs="仿宋"/>
                <w:b/>
                <w:bCs/>
                <w:color w:val="auto"/>
                <w:szCs w:val="21"/>
              </w:rPr>
              <w:t>[主观分]</w:t>
            </w:r>
            <w:r>
              <w:rPr>
                <w:rFonts w:hint="eastAsia" w:ascii="仿宋" w:hAnsi="仿宋" w:eastAsia="仿宋" w:cs="仿宋"/>
                <w:b w:val="0"/>
                <w:bCs w:val="0"/>
                <w:sz w:val="21"/>
                <w:szCs w:val="21"/>
              </w:rPr>
              <w:t>对接服务</w:t>
            </w:r>
            <w:r>
              <w:rPr>
                <w:rFonts w:hint="eastAsia" w:eastAsia="仿宋"/>
                <w:b w:val="0"/>
                <w:bCs w:val="0"/>
                <w:color w:val="auto"/>
                <w:highlight w:val="none"/>
                <w:lang w:val="en-US" w:eastAsia="zh-CN"/>
              </w:rPr>
              <w:t>技术解决方案：专业、全面、详尽、成熟、</w:t>
            </w:r>
            <w:r>
              <w:rPr>
                <w:rFonts w:hint="eastAsia" w:ascii="仿宋" w:hAnsi="仿宋" w:eastAsia="仿宋" w:cs="仿宋"/>
                <w:b w:val="0"/>
                <w:bCs w:val="0"/>
                <w:color w:val="auto"/>
                <w:szCs w:val="21"/>
              </w:rPr>
              <w:t>针对采购需求及实际特点</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有利于项目实施</w:t>
            </w:r>
          </w:p>
          <w:p w14:paraId="7CC4CF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内部系统</w:t>
            </w:r>
            <w:r>
              <w:rPr>
                <w:rFonts w:hint="eastAsia" w:ascii="仿宋" w:hAnsi="仿宋" w:eastAsia="仿宋" w:cs="仿宋"/>
                <w:b/>
                <w:bCs/>
                <w:szCs w:val="21"/>
                <w:lang w:eastAsia="zh-CN"/>
              </w:rPr>
              <w:t>（评分范围:3,2.5,2,1.5,1,0.5,0）</w:t>
            </w:r>
          </w:p>
          <w:p w14:paraId="736017C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lang w:eastAsia="zh-CN"/>
              </w:rPr>
            </w:pP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财务系统</w:t>
            </w:r>
            <w:r>
              <w:rPr>
                <w:rFonts w:hint="eastAsia" w:ascii="仿宋" w:hAnsi="仿宋" w:eastAsia="仿宋" w:cs="仿宋"/>
                <w:b/>
                <w:bCs/>
                <w:szCs w:val="21"/>
                <w:lang w:eastAsia="zh-CN"/>
              </w:rPr>
              <w:t>（评分范围:3,2.5,2,1.5,1,0.5,0）</w:t>
            </w:r>
          </w:p>
        </w:tc>
      </w:tr>
      <w:tr w14:paraId="2449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Align w:val="center"/>
          </w:tcPr>
          <w:p w14:paraId="7B9CFD0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51" w:type="pct"/>
            <w:vAlign w:val="center"/>
          </w:tcPr>
          <w:p w14:paraId="72480DC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12F1463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Cs w:val="21"/>
                <w:highlight w:val="none"/>
              </w:rPr>
              <w:t>培训目标、培训内容（一般使用人员功能操作培训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管理员维护操作培训</w:t>
            </w:r>
            <w:r>
              <w:rPr>
                <w:rFonts w:hint="eastAsia" w:ascii="仿宋" w:hAnsi="仿宋" w:eastAsia="仿宋" w:cs="仿宋"/>
                <w:color w:val="auto"/>
                <w:szCs w:val="21"/>
                <w:highlight w:val="none"/>
                <w:lang w:val="en-US" w:eastAsia="zh-CN"/>
              </w:rPr>
              <w:t>等</w:t>
            </w:r>
            <w:r>
              <w:rPr>
                <w:rFonts w:hint="eastAsia" w:ascii="仿宋" w:hAnsi="仿宋" w:eastAsia="仿宋" w:cs="仿宋"/>
                <w:color w:val="auto"/>
                <w:szCs w:val="21"/>
                <w:highlight w:val="none"/>
              </w:rPr>
              <w:t>）、培训时间与地点、培训方式、培训师资、培训后跟进（效果跟踪、复训计划、技术支持等）等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科学、</w:t>
            </w:r>
            <w:r>
              <w:rPr>
                <w:rFonts w:hint="eastAsia" w:ascii="仿宋" w:hAnsi="仿宋" w:eastAsia="仿宋" w:cs="仿宋"/>
                <w:color w:val="auto"/>
                <w:sz w:val="21"/>
                <w:szCs w:val="21"/>
                <w:highlight w:val="none"/>
                <w:lang w:eastAsia="zh-CN"/>
              </w:rPr>
              <w:t>全面且内容要素齐全</w:t>
            </w:r>
            <w:r>
              <w:rPr>
                <w:rFonts w:hint="eastAsia" w:ascii="仿宋" w:hAnsi="仿宋" w:eastAsia="仿宋" w:cs="仿宋"/>
                <w:color w:val="auto"/>
                <w:sz w:val="21"/>
                <w:szCs w:val="21"/>
                <w:highlight w:val="none"/>
              </w:rPr>
              <w:t>、</w:t>
            </w:r>
            <w:r>
              <w:rPr>
                <w:rFonts w:hint="eastAsia" w:ascii="仿宋" w:hAnsi="仿宋" w:eastAsia="仿宋" w:cs="仿宋"/>
                <w:szCs w:val="21"/>
              </w:rPr>
              <w:t>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有利于系统</w:t>
            </w:r>
            <w:r>
              <w:rPr>
                <w:rFonts w:hint="eastAsia" w:ascii="仿宋" w:hAnsi="仿宋" w:eastAsia="仿宋" w:cs="仿宋"/>
                <w:b w:val="0"/>
                <w:bCs w:val="0"/>
                <w:color w:val="auto"/>
                <w:szCs w:val="21"/>
                <w:highlight w:val="none"/>
                <w:lang w:val="en-US" w:eastAsia="zh-CN"/>
              </w:rPr>
              <w:t>日常运行</w:t>
            </w:r>
            <w:r>
              <w:rPr>
                <w:rFonts w:hint="eastAsia" w:ascii="仿宋" w:hAnsi="仿宋" w:eastAsia="仿宋" w:cs="仿宋"/>
                <w:b/>
                <w:bCs/>
                <w:color w:val="auto"/>
                <w:sz w:val="21"/>
                <w:szCs w:val="21"/>
                <w:highlight w:val="none"/>
                <w:lang w:val="en-US" w:eastAsia="zh-CN"/>
              </w:rPr>
              <w:t>（评分范围:2,1.5,1,0.5,0）</w:t>
            </w:r>
          </w:p>
        </w:tc>
      </w:tr>
      <w:tr w14:paraId="320B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restart"/>
            <w:vAlign w:val="center"/>
          </w:tcPr>
          <w:p w14:paraId="1269703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51" w:type="pct"/>
            <w:vAlign w:val="center"/>
          </w:tcPr>
          <w:p w14:paraId="41A5C5F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5AB2F15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rPr>
              <w:t>售后服务方案</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szCs w:val="21"/>
              </w:rPr>
              <w:t>免费维护期内服务内容[定期走访或远程维护时间区间、周期和详细规划（方式、人员、维护内容）、重大事项及时响应（不同响应级别人员、时间、内容）、服务请求方式（即时和非即时）、服务请求流程]、免费维护期外服务内容[定期走访或远程维护收费服务时间区间、周期和详细规划（方式、人员、维护内容）、重大事项及时响应（不同响应级别人员、时间、内容）]、运行服务档案、用户投诉受理</w:t>
            </w:r>
            <w:r>
              <w:rPr>
                <w:rFonts w:hint="eastAsia" w:ascii="仿宋" w:hAnsi="仿宋" w:eastAsia="仿宋" w:cs="仿宋"/>
                <w:szCs w:val="21"/>
                <w:lang w:val="en-US" w:eastAsia="zh-CN"/>
              </w:rPr>
              <w:t>等}</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完善、</w:t>
            </w:r>
            <w:r>
              <w:rPr>
                <w:rFonts w:hint="eastAsia" w:ascii="仿宋" w:hAnsi="仿宋" w:eastAsia="仿宋" w:cs="仿宋"/>
                <w:color w:val="auto"/>
                <w:sz w:val="21"/>
                <w:szCs w:val="21"/>
                <w:highlight w:val="none"/>
                <w:lang w:eastAsia="zh-CN"/>
              </w:rPr>
              <w:t>全面且内容要素齐全</w:t>
            </w:r>
            <w:r>
              <w:rPr>
                <w:rFonts w:hint="eastAsia" w:ascii="仿宋" w:hAnsi="仿宋" w:eastAsia="仿宋" w:cs="仿宋"/>
                <w:color w:val="auto"/>
                <w:sz w:val="21"/>
                <w:szCs w:val="21"/>
                <w:highlight w:val="none"/>
              </w:rPr>
              <w:t>、</w:t>
            </w:r>
            <w:r>
              <w:rPr>
                <w:rFonts w:hint="eastAsia" w:ascii="仿宋" w:hAnsi="仿宋" w:eastAsia="仿宋" w:cs="仿宋"/>
                <w:szCs w:val="21"/>
              </w:rPr>
              <w:t>针对采购需求及实际特点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有利于系统</w:t>
            </w:r>
            <w:r>
              <w:rPr>
                <w:rFonts w:hint="eastAsia" w:ascii="仿宋" w:hAnsi="仿宋" w:eastAsia="仿宋" w:cs="仿宋"/>
                <w:b w:val="0"/>
                <w:bCs w:val="0"/>
                <w:color w:val="auto"/>
                <w:szCs w:val="21"/>
                <w:highlight w:val="none"/>
                <w:lang w:val="en-US" w:eastAsia="zh-CN"/>
              </w:rPr>
              <w:t>日常运行</w:t>
            </w:r>
            <w:r>
              <w:rPr>
                <w:rFonts w:hint="eastAsia" w:ascii="仿宋" w:hAnsi="仿宋" w:eastAsia="仿宋" w:cs="仿宋"/>
                <w:b/>
                <w:bCs/>
                <w:color w:val="auto"/>
                <w:sz w:val="21"/>
                <w:szCs w:val="21"/>
                <w:highlight w:val="none"/>
                <w:lang w:val="en-US" w:eastAsia="zh-CN"/>
              </w:rPr>
              <w:t>（评分范围:2,1.5,1,0.5,0）</w:t>
            </w:r>
          </w:p>
        </w:tc>
      </w:tr>
      <w:tr w14:paraId="1548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57B7AC7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1" w:type="pct"/>
            <w:vAlign w:val="center"/>
          </w:tcPr>
          <w:p w14:paraId="4E6944B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919" w:type="pct"/>
            <w:vAlign w:val="center"/>
          </w:tcPr>
          <w:p w14:paraId="7F3C419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bCs/>
                <w:lang w:val="en-US" w:eastAsia="zh-CN" w:bidi="ar"/>
              </w:rPr>
              <w:t>免费维护期满</w:t>
            </w:r>
            <w:r>
              <w:rPr>
                <w:rFonts w:hint="eastAsia" w:ascii="仿宋" w:hAnsi="仿宋" w:eastAsia="仿宋"/>
                <w:bCs/>
                <w:lang w:bidi="ar"/>
              </w:rPr>
              <w:t>后年运维服务费占中标金额</w:t>
            </w:r>
            <w:r>
              <w:rPr>
                <w:rFonts w:hint="eastAsia" w:ascii="仿宋" w:hAnsi="仿宋" w:eastAsia="仿宋"/>
                <w:bCs/>
                <w:lang w:val="en-US" w:eastAsia="zh-CN" w:bidi="ar"/>
              </w:rPr>
              <w:t>比例</w:t>
            </w:r>
            <w:r>
              <w:rPr>
                <w:rFonts w:hint="eastAsia" w:ascii="仿宋" w:hAnsi="仿宋" w:eastAsia="仿宋"/>
                <w:bCs/>
                <w:lang w:eastAsia="zh-CN" w:bidi="ar"/>
              </w:rPr>
              <w:t>：＜3%得3分、</w:t>
            </w:r>
            <w:r>
              <w:rPr>
                <w:rFonts w:hint="eastAsia" w:ascii="仿宋" w:hAnsi="仿宋" w:eastAsia="仿宋"/>
                <w:bCs/>
                <w:lang w:val="en-US" w:eastAsia="zh-CN" w:bidi="ar"/>
              </w:rPr>
              <w:t>[3,5]%得2分、(5,8]%得1分</w:t>
            </w:r>
          </w:p>
        </w:tc>
      </w:tr>
      <w:tr w14:paraId="2F88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restart"/>
            <w:vAlign w:val="center"/>
          </w:tcPr>
          <w:p w14:paraId="24E7948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项目团队</w:t>
            </w:r>
          </w:p>
        </w:tc>
        <w:tc>
          <w:tcPr>
            <w:tcW w:w="351" w:type="pct"/>
            <w:vAlign w:val="center"/>
          </w:tcPr>
          <w:p w14:paraId="703C5A01">
            <w:pPr>
              <w:keepNext w:val="0"/>
              <w:keepLines w:val="0"/>
              <w:pageBreakBefore w:val="0"/>
              <w:widowControl w:val="0"/>
              <w:kinsoku/>
              <w:wordWrap w:val="0"/>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03143173">
            <w:pPr>
              <w:keepNext w:val="0"/>
              <w:keepLines w:val="0"/>
              <w:pageBreakBefore w:val="0"/>
              <w:widowControl w:val="0"/>
              <w:kinsoku/>
              <w:wordWrap w:val="0"/>
              <w:overflowPunct/>
              <w:topLinePunct w:val="0"/>
              <w:autoSpaceDE/>
              <w:autoSpaceDN/>
              <w:bidi w:val="0"/>
              <w:adjustRightInd/>
              <w:snapToGrid w:val="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szCs w:val="21"/>
                <w:lang w:val="en-US" w:eastAsia="zh-CN"/>
              </w:rPr>
              <w:t>团队人员组织结构：合理、专业、分工明确、有利于项目实施</w:t>
            </w:r>
            <w:r>
              <w:rPr>
                <w:rFonts w:hint="eastAsia" w:ascii="仿宋" w:hAnsi="仿宋" w:eastAsia="仿宋" w:cs="仿宋"/>
                <w:b/>
                <w:bCs/>
                <w:color w:val="auto"/>
                <w:sz w:val="21"/>
                <w:szCs w:val="21"/>
                <w:highlight w:val="none"/>
                <w:lang w:val="en-US" w:eastAsia="zh-CN"/>
              </w:rPr>
              <w:t>（评分范围:2,1.5,1,0.5,0）</w:t>
            </w:r>
          </w:p>
        </w:tc>
      </w:tr>
      <w:tr w14:paraId="0308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4C3D37B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1" w:type="pct"/>
            <w:vAlign w:val="center"/>
          </w:tcPr>
          <w:p w14:paraId="2F74A14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630C4C1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szCs w:val="21"/>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bCs/>
                <w:szCs w:val="21"/>
                <w:lang w:val="en-US" w:eastAsia="zh-CN"/>
              </w:rPr>
              <w:t>项目团队相关证书[以证书或网站查询截图（显示查询网址）及投标人为其缴纳社保证明（2025年1月至投标文件提交截止时间前任意一月）为准]</w:t>
            </w:r>
          </w:p>
          <w:p w14:paraId="0030543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1.项目经理具有信息系统项目管理师证书（工信或人社部门颁发）：1分</w:t>
            </w:r>
          </w:p>
          <w:p w14:paraId="401675D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szCs w:val="21"/>
                <w:lang w:val="en-US" w:eastAsia="zh-CN"/>
              </w:rPr>
              <w:t>2.项目团队成员（项目经理除外）具有系统架构设计师证书（工信或人社部门颁发）（最高1分）：1分/人</w:t>
            </w:r>
          </w:p>
        </w:tc>
      </w:tr>
      <w:tr w14:paraId="6E5F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restart"/>
            <w:vAlign w:val="center"/>
          </w:tcPr>
          <w:p w14:paraId="6761C82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演示</w:t>
            </w:r>
          </w:p>
        </w:tc>
        <w:tc>
          <w:tcPr>
            <w:tcW w:w="351" w:type="pct"/>
            <w:vAlign w:val="center"/>
          </w:tcPr>
          <w:p w14:paraId="689E091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7F0EF3A3">
            <w:pPr>
              <w:keepNext w:val="0"/>
              <w:keepLines w:val="0"/>
              <w:pageBreakBefore w:val="0"/>
              <w:widowControl w:val="0"/>
              <w:kinsoku/>
              <w:wordWrap/>
              <w:overflowPunct/>
              <w:topLinePunct w:val="0"/>
              <w:bidi w:val="0"/>
              <w:snapToGrid w:val="0"/>
              <w:textAlignment w:val="auto"/>
              <w:rPr>
                <w:rFonts w:hint="eastAsia" w:ascii="仿宋" w:hAnsi="仿宋" w:eastAsia="仿宋" w:cs="仿宋"/>
                <w:szCs w:val="21"/>
                <w:lang w:val="en-US" w:eastAsia="zh-CN"/>
              </w:rPr>
            </w:pPr>
            <w:r>
              <w:rPr>
                <w:rFonts w:hint="eastAsia" w:ascii="仿宋" w:hAnsi="仿宋" w:eastAsia="仿宋" w:cs="仿宋"/>
                <w:b/>
                <w:bCs/>
                <w:szCs w:val="21"/>
              </w:rPr>
              <w:t>[主观分]</w:t>
            </w:r>
            <w:r>
              <w:rPr>
                <w:rFonts w:hint="eastAsia" w:ascii="仿宋" w:hAnsi="仿宋" w:eastAsia="仿宋" w:cs="仿宋"/>
                <w:szCs w:val="21"/>
              </w:rPr>
              <w:t>演示内容1：专业、全面、针对</w:t>
            </w:r>
            <w:r>
              <w:rPr>
                <w:rFonts w:hint="eastAsia" w:ascii="仿宋" w:hAnsi="仿宋" w:eastAsia="仿宋" w:cs="仿宋"/>
                <w:szCs w:val="21"/>
                <w:lang w:eastAsia="zh-CN"/>
              </w:rPr>
              <w:t>采购需求</w:t>
            </w:r>
            <w:r>
              <w:rPr>
                <w:rFonts w:hint="eastAsia" w:ascii="仿宋" w:hAnsi="仿宋" w:eastAsia="仿宋" w:cs="仿宋"/>
                <w:szCs w:val="21"/>
              </w:rPr>
              <w:t>及实际特点、功能需求</w:t>
            </w:r>
            <w:r>
              <w:rPr>
                <w:rFonts w:hint="eastAsia" w:ascii="仿宋" w:hAnsi="仿宋" w:eastAsia="仿宋" w:cs="仿宋"/>
                <w:szCs w:val="21"/>
                <w:lang w:val="en-US" w:eastAsia="zh-CN"/>
              </w:rPr>
              <w:t>符合程度</w:t>
            </w:r>
            <w:r>
              <w:rPr>
                <w:rFonts w:hint="eastAsia" w:ascii="仿宋" w:hAnsi="仿宋" w:eastAsia="仿宋" w:cs="仿宋"/>
                <w:b/>
                <w:bCs/>
                <w:szCs w:val="21"/>
              </w:rPr>
              <w:t>（</w:t>
            </w:r>
            <w:r>
              <w:rPr>
                <w:rFonts w:hint="eastAsia" w:ascii="仿宋" w:hAnsi="仿宋" w:eastAsia="仿宋" w:cs="仿宋"/>
                <w:b/>
                <w:bCs/>
                <w:szCs w:val="21"/>
                <w:lang w:eastAsia="zh-CN"/>
              </w:rPr>
              <w:t>评分范围:2,1.5,1,0.5,0</w:t>
            </w:r>
            <w:r>
              <w:rPr>
                <w:rFonts w:hint="eastAsia" w:ascii="仿宋" w:hAnsi="仿宋" w:eastAsia="仿宋" w:cs="仿宋"/>
                <w:b/>
                <w:bCs/>
                <w:szCs w:val="21"/>
              </w:rPr>
              <w:t>，未提供演示或功能需求不符合得0分）</w:t>
            </w:r>
          </w:p>
        </w:tc>
      </w:tr>
      <w:tr w14:paraId="308B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09359B0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1" w:type="pct"/>
            <w:vAlign w:val="center"/>
          </w:tcPr>
          <w:p w14:paraId="32646DA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5850A51A">
            <w:pPr>
              <w:keepNext w:val="0"/>
              <w:keepLines w:val="0"/>
              <w:pageBreakBefore w:val="0"/>
              <w:widowControl w:val="0"/>
              <w:kinsoku/>
              <w:wordWrap/>
              <w:overflowPunct/>
              <w:topLinePunct w:val="0"/>
              <w:bidi w:val="0"/>
              <w:snapToGrid w:val="0"/>
              <w:textAlignment w:val="auto"/>
              <w:rPr>
                <w:rFonts w:hint="eastAsia"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演示内容</w:t>
            </w:r>
            <w:r>
              <w:rPr>
                <w:rFonts w:hint="eastAsia" w:ascii="仿宋" w:hAnsi="仿宋" w:eastAsia="仿宋" w:cs="仿宋"/>
                <w:szCs w:val="21"/>
                <w:lang w:val="en-US" w:eastAsia="zh-CN"/>
              </w:rPr>
              <w:t>2</w:t>
            </w:r>
            <w:r>
              <w:rPr>
                <w:rFonts w:hint="eastAsia" w:ascii="仿宋" w:hAnsi="仿宋" w:eastAsia="仿宋" w:cs="仿宋"/>
                <w:szCs w:val="21"/>
              </w:rPr>
              <w:t>：专业、全面、针对</w:t>
            </w:r>
            <w:r>
              <w:rPr>
                <w:rFonts w:hint="eastAsia" w:ascii="仿宋" w:hAnsi="仿宋" w:eastAsia="仿宋" w:cs="仿宋"/>
                <w:szCs w:val="21"/>
                <w:lang w:eastAsia="zh-CN"/>
              </w:rPr>
              <w:t>采购需求</w:t>
            </w:r>
            <w:r>
              <w:rPr>
                <w:rFonts w:hint="eastAsia" w:ascii="仿宋" w:hAnsi="仿宋" w:eastAsia="仿宋" w:cs="仿宋"/>
                <w:szCs w:val="21"/>
              </w:rPr>
              <w:t>及实际特点、功能需求</w:t>
            </w:r>
            <w:r>
              <w:rPr>
                <w:rFonts w:hint="eastAsia" w:ascii="仿宋" w:hAnsi="仿宋" w:eastAsia="仿宋" w:cs="仿宋"/>
                <w:szCs w:val="21"/>
                <w:lang w:val="en-US" w:eastAsia="zh-CN"/>
              </w:rPr>
              <w:t>符合程度</w:t>
            </w:r>
            <w:r>
              <w:rPr>
                <w:rFonts w:hint="eastAsia" w:ascii="仿宋" w:hAnsi="仿宋" w:eastAsia="仿宋" w:cs="仿宋"/>
                <w:b/>
                <w:bCs/>
                <w:szCs w:val="21"/>
              </w:rPr>
              <w:t>（</w:t>
            </w:r>
            <w:r>
              <w:rPr>
                <w:rFonts w:hint="eastAsia" w:ascii="仿宋" w:hAnsi="仿宋" w:eastAsia="仿宋" w:cs="仿宋"/>
                <w:b/>
                <w:bCs/>
                <w:szCs w:val="21"/>
                <w:lang w:eastAsia="zh-CN"/>
              </w:rPr>
              <w:t>评分范围:2,1.5,1,0.5,0</w:t>
            </w:r>
            <w:r>
              <w:rPr>
                <w:rFonts w:hint="eastAsia" w:ascii="仿宋" w:hAnsi="仿宋" w:eastAsia="仿宋" w:cs="仿宋"/>
                <w:b/>
                <w:bCs/>
                <w:szCs w:val="21"/>
              </w:rPr>
              <w:t>，未提供演示或功能需求不符合得0分）</w:t>
            </w:r>
          </w:p>
        </w:tc>
      </w:tr>
      <w:tr w14:paraId="0C19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0A4DD22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1" w:type="pct"/>
            <w:vAlign w:val="center"/>
          </w:tcPr>
          <w:p w14:paraId="003F462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419D3144">
            <w:pPr>
              <w:keepNext w:val="0"/>
              <w:keepLines w:val="0"/>
              <w:pageBreakBefore w:val="0"/>
              <w:widowControl w:val="0"/>
              <w:kinsoku/>
              <w:wordWrap/>
              <w:overflowPunct/>
              <w:topLinePunct w:val="0"/>
              <w:bidi w:val="0"/>
              <w:snapToGrid w:val="0"/>
              <w:textAlignment w:val="auto"/>
              <w:rPr>
                <w:rFonts w:hint="eastAsia"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演示内容</w:t>
            </w:r>
            <w:r>
              <w:rPr>
                <w:rFonts w:hint="eastAsia" w:ascii="仿宋" w:hAnsi="仿宋" w:eastAsia="仿宋" w:cs="仿宋"/>
                <w:szCs w:val="21"/>
                <w:lang w:val="en-US" w:eastAsia="zh-CN"/>
              </w:rPr>
              <w:t>3</w:t>
            </w:r>
            <w:r>
              <w:rPr>
                <w:rFonts w:hint="eastAsia" w:ascii="仿宋" w:hAnsi="仿宋" w:eastAsia="仿宋" w:cs="仿宋"/>
                <w:szCs w:val="21"/>
              </w:rPr>
              <w:t>：专业、全面、针对</w:t>
            </w:r>
            <w:r>
              <w:rPr>
                <w:rFonts w:hint="eastAsia" w:ascii="仿宋" w:hAnsi="仿宋" w:eastAsia="仿宋" w:cs="仿宋"/>
                <w:szCs w:val="21"/>
                <w:lang w:eastAsia="zh-CN"/>
              </w:rPr>
              <w:t>采购需求</w:t>
            </w:r>
            <w:r>
              <w:rPr>
                <w:rFonts w:hint="eastAsia" w:ascii="仿宋" w:hAnsi="仿宋" w:eastAsia="仿宋" w:cs="仿宋"/>
                <w:szCs w:val="21"/>
              </w:rPr>
              <w:t>及实际特点、功能需求</w:t>
            </w:r>
            <w:r>
              <w:rPr>
                <w:rFonts w:hint="eastAsia" w:ascii="仿宋" w:hAnsi="仿宋" w:eastAsia="仿宋" w:cs="仿宋"/>
                <w:szCs w:val="21"/>
                <w:lang w:val="en-US" w:eastAsia="zh-CN"/>
              </w:rPr>
              <w:t>符合程度</w:t>
            </w:r>
            <w:r>
              <w:rPr>
                <w:rFonts w:hint="eastAsia" w:ascii="仿宋" w:hAnsi="仿宋" w:eastAsia="仿宋" w:cs="仿宋"/>
                <w:b/>
                <w:bCs/>
                <w:szCs w:val="21"/>
              </w:rPr>
              <w:t>（</w:t>
            </w:r>
            <w:r>
              <w:rPr>
                <w:rFonts w:hint="eastAsia" w:ascii="仿宋" w:hAnsi="仿宋" w:eastAsia="仿宋" w:cs="仿宋"/>
                <w:b/>
                <w:bCs/>
                <w:szCs w:val="21"/>
                <w:lang w:eastAsia="zh-CN"/>
              </w:rPr>
              <w:t>评分范围:2,1.5,1,0.5,0</w:t>
            </w:r>
            <w:r>
              <w:rPr>
                <w:rFonts w:hint="eastAsia" w:ascii="仿宋" w:hAnsi="仿宋" w:eastAsia="仿宋" w:cs="仿宋"/>
                <w:b/>
                <w:bCs/>
                <w:szCs w:val="21"/>
              </w:rPr>
              <w:t>，未提供演示或功能需求不符合得0分）</w:t>
            </w:r>
          </w:p>
        </w:tc>
      </w:tr>
      <w:tr w14:paraId="1BD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pct"/>
            <w:vMerge w:val="continue"/>
            <w:vAlign w:val="center"/>
          </w:tcPr>
          <w:p w14:paraId="577E54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1" w:type="pct"/>
            <w:vAlign w:val="center"/>
          </w:tcPr>
          <w:p w14:paraId="5F2A7B1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029DD9AE">
            <w:pPr>
              <w:keepNext w:val="0"/>
              <w:keepLines w:val="0"/>
              <w:pageBreakBefore w:val="0"/>
              <w:widowControl w:val="0"/>
              <w:kinsoku/>
              <w:wordWrap/>
              <w:overflowPunct/>
              <w:topLinePunct w:val="0"/>
              <w:bidi w:val="0"/>
              <w:snapToGrid w:val="0"/>
              <w:textAlignment w:val="auto"/>
              <w:rPr>
                <w:rFonts w:hint="eastAsia"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演示内容</w:t>
            </w:r>
            <w:r>
              <w:rPr>
                <w:rFonts w:hint="eastAsia" w:ascii="仿宋" w:hAnsi="仿宋" w:eastAsia="仿宋" w:cs="仿宋"/>
                <w:szCs w:val="21"/>
                <w:lang w:val="en-US" w:eastAsia="zh-CN"/>
              </w:rPr>
              <w:t>4</w:t>
            </w:r>
            <w:r>
              <w:rPr>
                <w:rFonts w:hint="eastAsia" w:ascii="仿宋" w:hAnsi="仿宋" w:eastAsia="仿宋" w:cs="仿宋"/>
                <w:szCs w:val="21"/>
              </w:rPr>
              <w:t>：专业、全面、针对</w:t>
            </w:r>
            <w:r>
              <w:rPr>
                <w:rFonts w:hint="eastAsia" w:ascii="仿宋" w:hAnsi="仿宋" w:eastAsia="仿宋" w:cs="仿宋"/>
                <w:szCs w:val="21"/>
                <w:lang w:eastAsia="zh-CN"/>
              </w:rPr>
              <w:t>采购需求</w:t>
            </w:r>
            <w:r>
              <w:rPr>
                <w:rFonts w:hint="eastAsia" w:ascii="仿宋" w:hAnsi="仿宋" w:eastAsia="仿宋" w:cs="仿宋"/>
                <w:szCs w:val="21"/>
              </w:rPr>
              <w:t>及实际特点、功能需求</w:t>
            </w:r>
            <w:r>
              <w:rPr>
                <w:rFonts w:hint="eastAsia" w:ascii="仿宋" w:hAnsi="仿宋" w:eastAsia="仿宋" w:cs="仿宋"/>
                <w:szCs w:val="21"/>
                <w:lang w:val="en-US" w:eastAsia="zh-CN"/>
              </w:rPr>
              <w:t>符合程度</w:t>
            </w:r>
            <w:r>
              <w:rPr>
                <w:rFonts w:hint="eastAsia" w:ascii="仿宋" w:hAnsi="仿宋" w:eastAsia="仿宋" w:cs="仿宋"/>
                <w:b/>
                <w:bCs/>
                <w:szCs w:val="21"/>
              </w:rPr>
              <w:t>（</w:t>
            </w:r>
            <w:r>
              <w:rPr>
                <w:rFonts w:hint="eastAsia" w:ascii="仿宋" w:hAnsi="仿宋" w:eastAsia="仿宋" w:cs="仿宋"/>
                <w:b/>
                <w:bCs/>
                <w:szCs w:val="21"/>
                <w:lang w:eastAsia="zh-CN"/>
              </w:rPr>
              <w:t>评分范围:2,1.5,1,0.5,0</w:t>
            </w:r>
            <w:r>
              <w:rPr>
                <w:rFonts w:hint="eastAsia" w:ascii="仿宋" w:hAnsi="仿宋" w:eastAsia="仿宋" w:cs="仿宋"/>
                <w:b/>
                <w:bCs/>
                <w:szCs w:val="21"/>
              </w:rPr>
              <w:t>，未提供演示或功能需求不符合得0分）</w:t>
            </w:r>
          </w:p>
        </w:tc>
      </w:tr>
      <w:tr w14:paraId="02D9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0" w:author="冥灵有叶" w:date="2025-06-18T18:40:17Z"/>
        </w:trPr>
        <w:tc>
          <w:tcPr>
            <w:tcW w:w="729" w:type="pct"/>
            <w:vMerge w:val="continue"/>
            <w:vAlign w:val="center"/>
          </w:tcPr>
          <w:p w14:paraId="2B47483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1" w:type="pct"/>
            <w:vAlign w:val="center"/>
          </w:tcPr>
          <w:p w14:paraId="287E3A5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919" w:type="pct"/>
            <w:vAlign w:val="center"/>
          </w:tcPr>
          <w:p w14:paraId="67B00110">
            <w:pPr>
              <w:keepNext w:val="0"/>
              <w:keepLines w:val="0"/>
              <w:pageBreakBefore w:val="0"/>
              <w:widowControl w:val="0"/>
              <w:kinsoku/>
              <w:wordWrap/>
              <w:overflowPunct/>
              <w:topLinePunct w:val="0"/>
              <w:bidi w:val="0"/>
              <w:snapToGrid w:val="0"/>
              <w:textAlignment w:val="auto"/>
              <w:rPr>
                <w:rFonts w:hint="eastAsia"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演示内容</w:t>
            </w:r>
            <w:r>
              <w:rPr>
                <w:rFonts w:hint="eastAsia" w:ascii="仿宋" w:hAnsi="仿宋" w:eastAsia="仿宋" w:cs="仿宋"/>
                <w:szCs w:val="21"/>
                <w:lang w:val="en-US" w:eastAsia="zh-CN"/>
              </w:rPr>
              <w:t>5</w:t>
            </w:r>
            <w:r>
              <w:rPr>
                <w:rFonts w:hint="eastAsia" w:ascii="仿宋" w:hAnsi="仿宋" w:eastAsia="仿宋" w:cs="仿宋"/>
                <w:szCs w:val="21"/>
              </w:rPr>
              <w:t>：专业、全面、针对</w:t>
            </w:r>
            <w:r>
              <w:rPr>
                <w:rFonts w:hint="eastAsia" w:ascii="仿宋" w:hAnsi="仿宋" w:eastAsia="仿宋" w:cs="仿宋"/>
                <w:szCs w:val="21"/>
                <w:lang w:eastAsia="zh-CN"/>
              </w:rPr>
              <w:t>采购需求</w:t>
            </w:r>
            <w:r>
              <w:rPr>
                <w:rFonts w:hint="eastAsia" w:ascii="仿宋" w:hAnsi="仿宋" w:eastAsia="仿宋" w:cs="仿宋"/>
                <w:szCs w:val="21"/>
              </w:rPr>
              <w:t>及实际特点、功能需求</w:t>
            </w:r>
            <w:r>
              <w:rPr>
                <w:rFonts w:hint="eastAsia" w:ascii="仿宋" w:hAnsi="仿宋" w:eastAsia="仿宋" w:cs="仿宋"/>
                <w:szCs w:val="21"/>
                <w:lang w:val="en-US" w:eastAsia="zh-CN"/>
              </w:rPr>
              <w:t>符合程度</w:t>
            </w:r>
            <w:r>
              <w:rPr>
                <w:rFonts w:hint="eastAsia" w:ascii="仿宋" w:hAnsi="仿宋" w:eastAsia="仿宋" w:cs="仿宋"/>
                <w:b/>
                <w:bCs/>
                <w:szCs w:val="21"/>
              </w:rPr>
              <w:t>（</w:t>
            </w:r>
            <w:r>
              <w:rPr>
                <w:rFonts w:hint="eastAsia" w:ascii="仿宋" w:hAnsi="仿宋" w:eastAsia="仿宋" w:cs="仿宋"/>
                <w:b/>
                <w:bCs/>
                <w:szCs w:val="21"/>
                <w:lang w:eastAsia="zh-CN"/>
              </w:rPr>
              <w:t>评分范围:2,1.5,1,0.5,0</w:t>
            </w:r>
            <w:r>
              <w:rPr>
                <w:rFonts w:hint="eastAsia" w:ascii="仿宋" w:hAnsi="仿宋" w:eastAsia="仿宋" w:cs="仿宋"/>
                <w:b/>
                <w:bCs/>
                <w:szCs w:val="21"/>
              </w:rPr>
              <w:t>，未提供演示或功能需求不符合得0分）</w:t>
            </w:r>
          </w:p>
        </w:tc>
      </w:tr>
    </w:tbl>
    <w:p w14:paraId="7A138FA0">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771F0C6F">
      <w:pPr>
        <w:spacing w:line="288" w:lineRule="auto"/>
        <w:ind w:left="0" w:leftChars="0" w:right="0" w:rightChars="0" w:firstLine="0" w:firstLineChars="0"/>
        <w:jc w:val="center"/>
        <w:outlineLvl w:val="1"/>
        <w:rPr>
          <w:rFonts w:hint="eastAsia" w:ascii="仿宋" w:hAnsi="仿宋" w:eastAsia="仿宋" w:cs="仿宋"/>
          <w:color w:val="auto"/>
          <w:spacing w:val="-6"/>
          <w:sz w:val="24"/>
          <w:highlight w:val="none"/>
          <w:lang w:eastAsia="zh-CN"/>
        </w:rPr>
      </w:pPr>
      <w:r>
        <w:rPr>
          <w:rFonts w:hint="eastAsia" w:ascii="仿宋" w:hAnsi="仿宋" w:eastAsia="仿宋" w:cs="仿宋"/>
          <w:b/>
          <w:color w:val="auto"/>
          <w:spacing w:val="-6"/>
          <w:sz w:val="24"/>
          <w:highlight w:val="none"/>
        </w:rPr>
        <w:t>浙江工业大学采购合同</w:t>
      </w:r>
    </w:p>
    <w:p w14:paraId="61EC1B32">
      <w:pPr>
        <w:spacing w:line="288" w:lineRule="auto"/>
        <w:ind w:left="0" w:leftChars="0" w:right="0" w:rightChars="0" w:firstLine="0" w:firstLineChars="0"/>
        <w:jc w:val="center"/>
        <w:rPr>
          <w:rFonts w:ascii="仿宋" w:hAnsi="仿宋" w:eastAsia="仿宋" w:cs="仿宋"/>
          <w:color w:val="auto"/>
          <w:spacing w:val="-6"/>
          <w:szCs w:val="21"/>
          <w:highlight w:val="none"/>
        </w:rPr>
      </w:pPr>
      <w:r>
        <w:rPr>
          <w:rFonts w:hint="eastAsia" w:ascii="仿宋" w:hAnsi="仿宋" w:eastAsia="仿宋" w:cs="仿宋"/>
          <w:spacing w:val="-6"/>
          <w:sz w:val="18"/>
          <w:szCs w:val="18"/>
          <w:highlight w:val="none"/>
        </w:rPr>
        <w:t>（本合同为合同样稿，最终稿由甲乙丙三方协商后确定，合同实质性内容不得更改；签订合同时删除此行）</w:t>
      </w:r>
    </w:p>
    <w:p w14:paraId="642DDE96">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QSZBH250032ZFGK</w:t>
      </w:r>
    </w:p>
    <w:p w14:paraId="4ED68DF8">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eastAsia="zh-CN"/>
        </w:rPr>
        <w:t>[2025]33774号</w:t>
      </w:r>
    </w:p>
    <w:p w14:paraId="2726A4FB">
      <w:pPr>
        <w:keepNext w:val="0"/>
        <w:keepLines w:val="0"/>
        <w:pageBreakBefore w:val="0"/>
        <w:widowControl w:val="0"/>
        <w:kinsoku/>
        <w:wordWrap/>
        <w:overflowPunct/>
        <w:topLinePunct w:val="0"/>
        <w:autoSpaceDE/>
        <w:autoSpaceDN/>
        <w:bidi w:val="0"/>
        <w:adjustRightInd/>
        <w:snapToGrid/>
        <w:spacing w:line="288" w:lineRule="auto"/>
        <w:ind w:firstLine="5880" w:firstLineChars="28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w:t>
      </w:r>
      <w:r>
        <w:rPr>
          <w:rFonts w:hint="eastAsia" w:ascii="仿宋" w:hAnsi="仿宋" w:eastAsia="仿宋" w:cs="仿宋"/>
          <w:color w:val="auto"/>
          <w:szCs w:val="21"/>
          <w:highlight w:val="none"/>
          <w:lang w:eastAsia="zh-CN"/>
        </w:rPr>
        <w:t>ZJGDZC（W）-202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-QS0</w:t>
      </w:r>
      <w:r>
        <w:rPr>
          <w:rFonts w:hint="eastAsia" w:ascii="仿宋" w:hAnsi="仿宋" w:eastAsia="仿宋" w:cs="仿宋"/>
          <w:color w:val="auto"/>
          <w:szCs w:val="21"/>
          <w:highlight w:val="none"/>
          <w:lang w:val="en-US" w:eastAsia="zh-CN"/>
        </w:rPr>
        <w:t>19</w:t>
      </w:r>
    </w:p>
    <w:p w14:paraId="62BAF92A">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浙江工业大学高校一站式化学品与材料采购平台开发服务</w:t>
      </w:r>
    </w:p>
    <w:p w14:paraId="45955206">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甲方（采购方）：浙江工业大学</w:t>
      </w:r>
    </w:p>
    <w:p w14:paraId="0A6EB186">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乙方（供应方）：</w:t>
      </w:r>
    </w:p>
    <w:p w14:paraId="56D5249D">
      <w:pP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丙方（使用方）：</w:t>
      </w:r>
    </w:p>
    <w:p w14:paraId="1B5660DF">
      <w:pPr>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pacing w:val="-6"/>
          <w:sz w:val="21"/>
          <w:szCs w:val="21"/>
          <w:highlight w:val="none"/>
        </w:rPr>
        <w:t>采购代理机构（鉴证方）：浙江求是招标代理有限公司</w:t>
      </w:r>
    </w:p>
    <w:p w14:paraId="7611595C">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丙三</w:t>
      </w:r>
      <w:r>
        <w:rPr>
          <w:rFonts w:hint="eastAsia" w:ascii="仿宋" w:hAnsi="仿宋" w:eastAsia="仿宋" w:cs="仿宋"/>
          <w:color w:val="auto"/>
          <w:sz w:val="21"/>
          <w:szCs w:val="21"/>
          <w:highlight w:val="none"/>
        </w:rPr>
        <w:t>方依据《中华人民共和国</w:t>
      </w:r>
      <w:r>
        <w:rPr>
          <w:rFonts w:hint="eastAsia" w:ascii="仿宋" w:hAnsi="仿宋" w:eastAsia="仿宋" w:cs="仿宋"/>
          <w:color w:val="auto"/>
          <w:sz w:val="21"/>
          <w:szCs w:val="21"/>
          <w:highlight w:val="none"/>
          <w:lang w:val="en-US" w:eastAsia="zh-CN"/>
        </w:rPr>
        <w:t>民法典</w:t>
      </w:r>
      <w:r>
        <w:rPr>
          <w:rFonts w:hint="eastAsia" w:ascii="仿宋" w:hAnsi="仿宋" w:eastAsia="仿宋" w:cs="仿宋"/>
          <w:color w:val="auto"/>
          <w:sz w:val="21"/>
          <w:szCs w:val="21"/>
          <w:highlight w:val="none"/>
        </w:rPr>
        <w:t>》和浙江求是招标代理有限公司</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6"/>
          <w:sz w:val="21"/>
          <w:highlight w:val="none"/>
        </w:rPr>
        <w:t>项目编号：</w:t>
      </w:r>
      <w:r>
        <w:rPr>
          <w:rFonts w:hint="eastAsia" w:ascii="仿宋" w:hAnsi="仿宋" w:eastAsia="仿宋" w:cs="仿宋"/>
          <w:bCs/>
          <w:color w:val="auto"/>
          <w:spacing w:val="-6"/>
          <w:sz w:val="21"/>
          <w:highlight w:val="none"/>
          <w:lang w:eastAsia="zh-CN"/>
        </w:rPr>
        <w:t>QSZBH250032ZFGK]</w:t>
      </w:r>
      <w:r>
        <w:rPr>
          <w:rFonts w:hint="eastAsia" w:ascii="仿宋" w:hAnsi="仿宋" w:eastAsia="仿宋" w:cs="仿宋"/>
          <w:bCs/>
          <w:color w:val="auto"/>
          <w:spacing w:val="-6"/>
          <w:sz w:val="21"/>
          <w:highlight w:val="none"/>
          <w:lang w:val="en-US" w:eastAsia="zh-CN"/>
        </w:rPr>
        <w:t>公开招标</w:t>
      </w:r>
      <w:r>
        <w:rPr>
          <w:rFonts w:hint="eastAsia" w:ascii="仿宋" w:hAnsi="仿宋" w:eastAsia="仿宋" w:cs="仿宋"/>
          <w:color w:val="auto"/>
          <w:sz w:val="21"/>
          <w:szCs w:val="21"/>
          <w:highlight w:val="none"/>
        </w:rPr>
        <w:t>的结果，就</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委托乙方进行</w:t>
      </w:r>
      <w:r>
        <w:rPr>
          <w:rFonts w:hint="eastAsia" w:ascii="仿宋" w:hAnsi="仿宋" w:eastAsia="仿宋" w:cs="仿宋"/>
          <w:color w:val="auto"/>
          <w:sz w:val="21"/>
          <w:szCs w:val="21"/>
          <w:highlight w:val="none"/>
          <w:lang w:eastAsia="zh-CN"/>
        </w:rPr>
        <w:t>《高校一站式化学品与材料采购平台》</w:t>
      </w:r>
      <w:r>
        <w:rPr>
          <w:rFonts w:hint="eastAsia" w:ascii="仿宋" w:hAnsi="仿宋" w:eastAsia="仿宋" w:cs="仿宋"/>
          <w:color w:val="auto"/>
          <w:sz w:val="21"/>
          <w:szCs w:val="21"/>
          <w:highlight w:val="none"/>
        </w:rPr>
        <w:t>的设计、开发和实施而签订本合同。</w:t>
      </w:r>
    </w:p>
    <w:p w14:paraId="50A216BA">
      <w:pPr>
        <w:tabs>
          <w:tab w:val="left" w:pos="7797"/>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与履行本合同有关的、经甲方审核同意的项目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中标通知书</w:t>
      </w:r>
      <w:r>
        <w:rPr>
          <w:rFonts w:hint="eastAsia" w:ascii="仿宋" w:hAnsi="仿宋" w:eastAsia="仿宋" w:cs="仿宋"/>
          <w:color w:val="auto"/>
          <w:sz w:val="21"/>
          <w:szCs w:val="21"/>
          <w:highlight w:val="none"/>
        </w:rPr>
        <w:t>、需求分析报告、实施方案、技术与支持服务方案、技术培训方案、测试及验收方案等，都是本合同的组成部分。上述文件与本合同有冲突的，以本合同为准，上述除本合同以外的文件之间如有内容不相符之处，以甲方认可的为准。</w:t>
      </w:r>
    </w:p>
    <w:p w14:paraId="49FD59BB">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一、合同标的</w:t>
      </w:r>
    </w:p>
    <w:p w14:paraId="7A090CB3">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提供下列第</w:t>
      </w:r>
      <w:r>
        <w:rPr>
          <w:rFonts w:hint="eastAsia" w:ascii="仿宋" w:hAnsi="仿宋" w:eastAsia="仿宋" w:cs="仿宋"/>
          <w:color w:val="auto"/>
          <w:sz w:val="21"/>
          <w:szCs w:val="21"/>
          <w:highlight w:val="none"/>
          <w:u w:val="single"/>
        </w:rPr>
        <w:t>[Ⅰ]、[Ⅱ]、[Ⅲ]、[Ⅳ]</w:t>
      </w:r>
      <w:r>
        <w:rPr>
          <w:rFonts w:hint="eastAsia" w:ascii="仿宋" w:hAnsi="仿宋" w:eastAsia="仿宋" w:cs="仿宋"/>
          <w:color w:val="auto"/>
          <w:sz w:val="21"/>
          <w:szCs w:val="21"/>
          <w:highlight w:val="none"/>
        </w:rPr>
        <w:t>项软件开发和技术支持服务：</w:t>
      </w:r>
    </w:p>
    <w:p w14:paraId="40385AD6">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[I]</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按照《浙江工业大学</w:t>
      </w:r>
      <w:r>
        <w:rPr>
          <w:rFonts w:hint="eastAsia" w:ascii="仿宋" w:hAnsi="仿宋" w:eastAsia="仿宋" w:cs="仿宋"/>
          <w:color w:val="auto"/>
          <w:sz w:val="21"/>
          <w:szCs w:val="21"/>
          <w:highlight w:val="none"/>
          <w:lang w:eastAsia="zh-CN"/>
        </w:rPr>
        <w:t>高校一站式化学品与材料采购平台开发服务</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要求，完成项目的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。主要内容包括：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6513FE21">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[Ⅱ]</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乙方向</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提供项目开发实施情况和相关的完整技术资料，包括在本项目中形成的开发文档、测试文档等相关档案材料。</w:t>
      </w:r>
    </w:p>
    <w:p w14:paraId="5FA284DD">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[Ⅲ]</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结合项目开发与实施，乙方为</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相关人员提供免费技术培训。</w:t>
      </w:r>
    </w:p>
    <w:p w14:paraId="186B0926">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[IV]</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乙方提供系统验收后为期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年的免费维护技术支持。</w:t>
      </w:r>
    </w:p>
    <w:p w14:paraId="40398803">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具体内容和要求详见项目编号为</w:t>
      </w:r>
      <w:r>
        <w:rPr>
          <w:rFonts w:hint="eastAsia" w:ascii="仿宋" w:hAnsi="仿宋" w:eastAsia="仿宋" w:cs="仿宋"/>
          <w:bCs/>
          <w:color w:val="auto"/>
          <w:sz w:val="21"/>
          <w:szCs w:val="21"/>
          <w:highlight w:val="none"/>
          <w:lang w:eastAsia="zh-CN"/>
        </w:rPr>
        <w:t>QSZBH250032ZFGK</w:t>
      </w:r>
      <w:r>
        <w:rPr>
          <w:rFonts w:hint="eastAsia" w:ascii="仿宋" w:hAnsi="仿宋" w:eastAsia="仿宋" w:cs="仿宋"/>
          <w:color w:val="auto"/>
          <w:sz w:val="21"/>
          <w:szCs w:val="21"/>
          <w:highlight w:val="none"/>
        </w:rPr>
        <w:t>的《浙江工业大学</w:t>
      </w:r>
      <w:r>
        <w:rPr>
          <w:rFonts w:hint="eastAsia" w:ascii="仿宋" w:hAnsi="仿宋" w:eastAsia="仿宋" w:cs="仿宋"/>
          <w:color w:val="auto"/>
          <w:sz w:val="21"/>
          <w:szCs w:val="21"/>
          <w:highlight w:val="none"/>
          <w:lang w:eastAsia="zh-CN"/>
        </w:rPr>
        <w:t>高校一站式化学品与材料采购平台开发服务</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，以及在项目启动后由乙方负责编制、经</w:t>
      </w:r>
      <w:r>
        <w:rPr>
          <w:rFonts w:hint="eastAsia" w:ascii="仿宋" w:hAnsi="仿宋" w:eastAsia="仿宋" w:cs="仿宋"/>
          <w:color w:val="auto"/>
          <w:sz w:val="21"/>
          <w:szCs w:val="21"/>
          <w:highlight w:val="none"/>
          <w:lang w:val="en-US" w:eastAsia="zh-CN"/>
        </w:rPr>
        <w:t>丙方</w:t>
      </w:r>
      <w:r>
        <w:rPr>
          <w:rFonts w:hint="eastAsia" w:ascii="仿宋" w:hAnsi="仿宋" w:eastAsia="仿宋" w:cs="仿宋"/>
          <w:color w:val="auto"/>
          <w:sz w:val="21"/>
          <w:szCs w:val="21"/>
          <w:highlight w:val="none"/>
        </w:rPr>
        <w:t>确认的软件需求说明书和系统详细设计说明书。</w:t>
      </w:r>
    </w:p>
    <w:p w14:paraId="66B3A821">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二、开发服务费用、报酬及支付方式、履约保证金</w:t>
      </w:r>
    </w:p>
    <w:p w14:paraId="246CFEEB">
      <w:pPr>
        <w:spacing w:line="288"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1.开发费用及报酬</w:t>
      </w:r>
    </w:p>
    <w:p w14:paraId="3658D1C4">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本项目软件开发服务报酬共计人民币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rPr>
        <w:t>，甲方按照</w:t>
      </w:r>
      <w:r>
        <w:rPr>
          <w:rFonts w:hint="eastAsia" w:ascii="仿宋" w:hAnsi="仿宋" w:eastAsia="仿宋" w:cs="仿宋"/>
          <w:color w:val="auto"/>
          <w:sz w:val="21"/>
          <w:szCs w:val="21"/>
          <w:highlight w:val="none"/>
          <w:lang w:val="en-US" w:eastAsia="zh-CN"/>
        </w:rPr>
        <w:t>分期付款</w:t>
      </w:r>
      <w:r>
        <w:rPr>
          <w:rFonts w:hint="eastAsia" w:ascii="仿宋" w:hAnsi="仿宋" w:eastAsia="仿宋" w:cs="仿宋"/>
          <w:color w:val="auto"/>
          <w:sz w:val="21"/>
          <w:szCs w:val="21"/>
          <w:highlight w:val="none"/>
        </w:rPr>
        <w:t>方式向乙方支付相关款项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因</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迟延</w:t>
      </w:r>
      <w:r>
        <w:rPr>
          <w:rFonts w:hint="eastAsia" w:ascii="仿宋" w:hAnsi="仿宋" w:eastAsia="仿宋" w:cs="仿宋"/>
          <w:color w:val="auto"/>
          <w:sz w:val="21"/>
          <w:szCs w:val="21"/>
          <w:highlight w:val="none"/>
          <w:lang w:val="en-US" w:eastAsia="zh-CN"/>
        </w:rPr>
        <w:t>交付</w:t>
      </w:r>
      <w:r>
        <w:rPr>
          <w:rFonts w:hint="eastAsia" w:ascii="仿宋" w:hAnsi="仿宋" w:eastAsia="仿宋" w:cs="仿宋"/>
          <w:color w:val="auto"/>
          <w:sz w:val="21"/>
          <w:szCs w:val="21"/>
          <w:highlight w:val="none"/>
        </w:rPr>
        <w:t>以及不符合财政资金支付时间要求等原因造成不能及时付款的，</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不承担责任。</w:t>
      </w:r>
    </w:p>
    <w:p w14:paraId="0559D58F">
      <w:pPr>
        <w:spacing w:line="288"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2.付款方式</w:t>
      </w:r>
    </w:p>
    <w:p w14:paraId="40AE185D">
      <w:pPr>
        <w:spacing w:line="288" w:lineRule="auto"/>
        <w:ind w:firstLine="420" w:firstLineChars="200"/>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具体支付方式如下：合同生效以及</w:t>
      </w:r>
      <w:r>
        <w:rPr>
          <w:rFonts w:hint="eastAsia" w:ascii="仿宋" w:hAnsi="仿宋" w:eastAsia="仿宋" w:cs="仿宋"/>
          <w:color w:val="auto"/>
          <w:sz w:val="21"/>
          <w:szCs w:val="21"/>
          <w:highlight w:val="none"/>
          <w:lang w:eastAsia="zh-CN"/>
        </w:rPr>
        <w:t>具备实施条件后7个工作日内，</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支付合同</w:t>
      </w:r>
      <w:r>
        <w:rPr>
          <w:rFonts w:hint="eastAsia" w:ascii="仿宋" w:hAnsi="仿宋" w:eastAsia="仿宋" w:cs="仿宋"/>
          <w:color w:val="auto"/>
          <w:sz w:val="21"/>
          <w:szCs w:val="21"/>
          <w:highlight w:val="none"/>
          <w:lang w:val="en-US" w:eastAsia="zh-CN"/>
        </w:rPr>
        <w:t>总价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作为预付款</w:t>
      </w:r>
      <w:r>
        <w:rPr>
          <w:rFonts w:hint="eastAsia" w:ascii="仿宋" w:hAnsi="仿宋" w:eastAsia="仿宋" w:cs="仿宋"/>
          <w:color w:val="auto"/>
          <w:sz w:val="21"/>
          <w:szCs w:val="21"/>
          <w:highlight w:val="none"/>
        </w:rPr>
        <w:t>，即人民币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）；项目实施完成并经校级验收合格且收到</w:t>
      </w:r>
      <w:r>
        <w:rPr>
          <w:rFonts w:hint="eastAsia" w:ascii="仿宋" w:hAnsi="仿宋" w:eastAsia="仿宋" w:cs="仿宋"/>
          <w:color w:val="auto"/>
          <w:sz w:val="21"/>
          <w:szCs w:val="21"/>
          <w:highlight w:val="none"/>
          <w:u w:val="none"/>
          <w:lang w:val="en-US" w:eastAsia="zh-CN"/>
        </w:rPr>
        <w:t>乙方</w:t>
      </w:r>
      <w:r>
        <w:rPr>
          <w:rFonts w:hint="eastAsia" w:ascii="仿宋" w:hAnsi="仿宋" w:eastAsia="仿宋" w:cs="仿宋"/>
          <w:color w:val="auto"/>
          <w:sz w:val="21"/>
          <w:szCs w:val="21"/>
          <w:highlight w:val="none"/>
          <w:u w:val="none"/>
          <w:lang w:eastAsia="zh-CN"/>
        </w:rPr>
        <w:t>开具的增值税专用发票后</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lang w:eastAsia="zh-CN"/>
        </w:rPr>
        <w:t>7个工作日内</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支付剩余合同价款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即人民币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大写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p>
    <w:p w14:paraId="79CFB6BE">
      <w:pPr>
        <w:spacing w:line="288" w:lineRule="auto"/>
        <w:ind w:firstLine="361" w:firstLineChars="20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乙方</w:t>
      </w:r>
      <w:r>
        <w:rPr>
          <w:rFonts w:hint="eastAsia" w:ascii="仿宋" w:hAnsi="仿宋" w:eastAsia="仿宋" w:cs="仿宋"/>
          <w:b/>
          <w:bCs/>
          <w:sz w:val="18"/>
          <w:szCs w:val="18"/>
          <w:highlight w:val="none"/>
        </w:rPr>
        <w:t>明确表示无需预付款或主动要求降低预付款比例的，</w:t>
      </w:r>
      <w:r>
        <w:rPr>
          <w:rFonts w:hint="eastAsia" w:ascii="仿宋" w:hAnsi="仿宋" w:eastAsia="仿宋" w:cs="仿宋"/>
          <w:b/>
          <w:bCs/>
          <w:sz w:val="18"/>
          <w:szCs w:val="18"/>
          <w:highlight w:val="none"/>
          <w:lang w:eastAsia="zh-CN"/>
        </w:rPr>
        <w:t>可降低预付款比例；如联合体投标则由</w:t>
      </w:r>
      <w:r>
        <w:rPr>
          <w:rFonts w:hint="eastAsia" w:ascii="仿宋" w:hAnsi="仿宋" w:eastAsia="仿宋" w:cs="仿宋"/>
          <w:b/>
          <w:bCs/>
          <w:sz w:val="18"/>
          <w:szCs w:val="18"/>
          <w:highlight w:val="none"/>
          <w:lang w:val="en-US" w:eastAsia="zh-CN"/>
        </w:rPr>
        <w:t>甲方</w:t>
      </w:r>
      <w:r>
        <w:rPr>
          <w:rFonts w:hint="eastAsia" w:ascii="仿宋" w:hAnsi="仿宋" w:eastAsia="仿宋" w:cs="仿宋"/>
          <w:b/>
          <w:bCs/>
          <w:sz w:val="18"/>
          <w:szCs w:val="18"/>
          <w:highlight w:val="none"/>
          <w:lang w:eastAsia="zh-CN"/>
        </w:rPr>
        <w:t>支付给联合体牵头人，联合体成员与联合体牵头人的付款方式以双方约定的为准，与</w:t>
      </w:r>
      <w:r>
        <w:rPr>
          <w:rFonts w:hint="eastAsia" w:ascii="仿宋" w:hAnsi="仿宋" w:eastAsia="仿宋" w:cs="仿宋"/>
          <w:b/>
          <w:bCs/>
          <w:sz w:val="18"/>
          <w:szCs w:val="18"/>
          <w:highlight w:val="none"/>
          <w:lang w:val="en-US" w:eastAsia="zh-CN"/>
        </w:rPr>
        <w:t>甲方</w:t>
      </w:r>
      <w:r>
        <w:rPr>
          <w:rFonts w:hint="eastAsia" w:ascii="仿宋" w:hAnsi="仿宋" w:eastAsia="仿宋" w:cs="仿宋"/>
          <w:b/>
          <w:bCs/>
          <w:sz w:val="18"/>
          <w:szCs w:val="18"/>
          <w:highlight w:val="none"/>
          <w:lang w:eastAsia="zh-CN"/>
        </w:rPr>
        <w:t>无涉。</w:t>
      </w:r>
    </w:p>
    <w:p w14:paraId="23989793">
      <w:pPr>
        <w:spacing w:line="288"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3.履约保证金</w:t>
      </w:r>
    </w:p>
    <w:p w14:paraId="2F70AF44">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比例：</w:t>
      </w:r>
      <w:r>
        <w:rPr>
          <w:rFonts w:hint="eastAsia" w:ascii="仿宋" w:hAnsi="仿宋" w:eastAsia="仿宋" w:cs="仿宋"/>
          <w:color w:val="auto"/>
          <w:sz w:val="21"/>
          <w:szCs w:val="21"/>
          <w:highlight w:val="none"/>
          <w:lang w:eastAsia="zh-CN"/>
        </w:rPr>
        <w:t>合同金额的</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p>
    <w:p w14:paraId="2C466EAC">
      <w:pPr>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提交方式：支票、汇票、本票或者金融机构、担保机构出具的保函等非现金形式</w:t>
      </w:r>
      <w:r>
        <w:rPr>
          <w:rFonts w:hint="eastAsia" w:ascii="仿宋" w:hAnsi="仿宋" w:eastAsia="仿宋" w:cs="仿宋"/>
          <w:color w:val="auto"/>
          <w:sz w:val="21"/>
          <w:szCs w:val="21"/>
          <w:highlight w:val="none"/>
          <w:lang w:eastAsia="zh-CN"/>
        </w:rPr>
        <w:t>；</w:t>
      </w:r>
    </w:p>
    <w:p w14:paraId="012AD425">
      <w:pPr>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3 </w:t>
      </w:r>
      <w:r>
        <w:rPr>
          <w:rFonts w:hint="eastAsia" w:ascii="仿宋" w:hAnsi="仿宋" w:eastAsia="仿宋" w:cs="仿宋"/>
          <w:color w:val="auto"/>
          <w:sz w:val="21"/>
          <w:szCs w:val="21"/>
          <w:highlight w:val="none"/>
        </w:rPr>
        <w:t>提交时间：收到</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发出的签订合同要约后7天内</w:t>
      </w:r>
      <w:r>
        <w:rPr>
          <w:rFonts w:hint="eastAsia" w:ascii="仿宋" w:hAnsi="仿宋" w:eastAsia="仿宋" w:cs="仿宋"/>
          <w:color w:val="auto"/>
          <w:sz w:val="21"/>
          <w:szCs w:val="21"/>
          <w:highlight w:val="none"/>
          <w:lang w:eastAsia="zh-CN"/>
        </w:rPr>
        <w:t>；</w:t>
      </w:r>
    </w:p>
    <w:p w14:paraId="491E1168">
      <w:pPr>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退还时间及条件：合同履约期间无违约情形的，</w:t>
      </w:r>
      <w:r>
        <w:rPr>
          <w:rFonts w:hint="eastAsia" w:ascii="仿宋" w:hAnsi="仿宋" w:eastAsia="仿宋" w:cs="仿宋"/>
          <w:color w:val="auto"/>
          <w:sz w:val="21"/>
          <w:szCs w:val="21"/>
          <w:highlight w:val="none"/>
          <w:lang w:eastAsia="zh-CN"/>
        </w:rPr>
        <w:t>项目经</w:t>
      </w:r>
      <w:r>
        <w:rPr>
          <w:rFonts w:hint="eastAsia" w:ascii="仿宋" w:hAnsi="仿宋" w:eastAsia="仿宋" w:cs="仿宋"/>
          <w:color w:val="auto"/>
          <w:sz w:val="21"/>
          <w:szCs w:val="21"/>
          <w:highlight w:val="none"/>
          <w:lang w:val="en-US" w:eastAsia="zh-CN"/>
        </w:rPr>
        <w:t>校级</w:t>
      </w:r>
      <w:r>
        <w:rPr>
          <w:rFonts w:hint="eastAsia" w:ascii="仿宋" w:hAnsi="仿宋" w:eastAsia="仿宋" w:cs="仿宋"/>
          <w:color w:val="auto"/>
          <w:sz w:val="21"/>
          <w:szCs w:val="21"/>
          <w:highlight w:val="none"/>
          <w:lang w:eastAsia="zh-CN"/>
        </w:rPr>
        <w:t>验收合格</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财务部门及时无息退还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如</w:t>
      </w:r>
      <w:r>
        <w:rPr>
          <w:rFonts w:hint="eastAsia" w:ascii="仿宋" w:hAnsi="仿宋" w:eastAsia="仿宋" w:cs="仿宋"/>
          <w:color w:val="auto"/>
          <w:highlight w:val="none"/>
          <w:lang w:val="en-US" w:eastAsia="zh-CN"/>
        </w:rPr>
        <w:t>校级</w:t>
      </w:r>
      <w:r>
        <w:rPr>
          <w:rFonts w:hint="eastAsia" w:ascii="仿宋" w:hAnsi="仿宋" w:eastAsia="仿宋" w:cs="仿宋"/>
          <w:color w:val="auto"/>
          <w:highlight w:val="none"/>
          <w:lang w:eastAsia="zh-CN"/>
        </w:rPr>
        <w:t>验收未通过，履约保证金不予退还。</w:t>
      </w:r>
    </w:p>
    <w:p w14:paraId="2829D6A4">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三、期限、地点和方式</w:t>
      </w:r>
    </w:p>
    <w:p w14:paraId="0A312B1E">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实施地点：</w:t>
      </w:r>
      <w:r>
        <w:rPr>
          <w:rFonts w:hint="eastAsia" w:ascii="仿宋" w:hAnsi="仿宋" w:eastAsia="仿宋" w:cs="仿宋"/>
          <w:color w:val="auto"/>
          <w:sz w:val="21"/>
          <w:szCs w:val="21"/>
          <w:highlight w:val="none"/>
          <w:lang w:val="en-US" w:eastAsia="zh-CN"/>
        </w:rPr>
        <w:t>丙方指定地点</w:t>
      </w:r>
      <w:r>
        <w:rPr>
          <w:rFonts w:hint="eastAsia" w:ascii="仿宋" w:hAnsi="仿宋" w:eastAsia="仿宋" w:cs="仿宋"/>
          <w:color w:val="auto"/>
          <w:sz w:val="21"/>
          <w:szCs w:val="21"/>
          <w:highlight w:val="none"/>
          <w:lang w:eastAsia="zh-CN"/>
        </w:rPr>
        <w:t>；</w:t>
      </w:r>
    </w:p>
    <w:p w14:paraId="3DA35ECB">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实施方式：乙方组织充足的专门人员，在</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指定的项目负责人的统一领导下集中研发，乙方工作时应遵守相关规章制度</w:t>
      </w:r>
      <w:r>
        <w:rPr>
          <w:rFonts w:hint="eastAsia" w:ascii="仿宋" w:hAnsi="仿宋" w:eastAsia="仿宋" w:cs="仿宋"/>
          <w:color w:val="auto"/>
          <w:sz w:val="21"/>
          <w:szCs w:val="21"/>
          <w:highlight w:val="none"/>
          <w:lang w:eastAsia="zh-CN"/>
        </w:rPr>
        <w:t>；</w:t>
      </w:r>
    </w:p>
    <w:p w14:paraId="1288C243">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项目实施期限：</w:t>
      </w:r>
    </w:p>
    <w:p w14:paraId="012488B9">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3.1 </w:t>
      </w:r>
      <w:r>
        <w:rPr>
          <w:rFonts w:hint="eastAsia" w:ascii="仿宋" w:hAnsi="仿宋" w:eastAsia="仿宋" w:cs="仿宋"/>
          <w:color w:val="auto"/>
          <w:sz w:val="21"/>
          <w:szCs w:val="21"/>
          <w:highlight w:val="none"/>
        </w:rPr>
        <w:t>合同签订后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天内，完成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p>
    <w:p w14:paraId="6D8A1E2F">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3.2 </w:t>
      </w:r>
      <w:r>
        <w:rPr>
          <w:rFonts w:hint="eastAsia" w:ascii="仿宋" w:hAnsi="仿宋" w:eastAsia="仿宋" w:cs="仿宋"/>
          <w:color w:val="auto"/>
          <w:sz w:val="21"/>
          <w:szCs w:val="21"/>
          <w:highlight w:val="none"/>
        </w:rPr>
        <w:t>合同签订后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天内，提交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给</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确认</w:t>
      </w:r>
      <w:r>
        <w:rPr>
          <w:rFonts w:hint="eastAsia" w:ascii="仿宋" w:hAnsi="仿宋" w:eastAsia="仿宋" w:cs="仿宋"/>
          <w:color w:val="auto"/>
          <w:sz w:val="21"/>
          <w:szCs w:val="21"/>
          <w:highlight w:val="none"/>
          <w:lang w:eastAsia="zh-CN"/>
        </w:rPr>
        <w:t>；</w:t>
      </w:r>
    </w:p>
    <w:p w14:paraId="12083B46">
      <w:pPr>
        <w:tabs>
          <w:tab w:val="left" w:pos="1200"/>
        </w:tabs>
        <w:spacing w:line="288" w:lineRule="auto"/>
        <w:ind w:firstLine="420" w:firstLineChars="200"/>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lang w:val="en-US" w:eastAsia="zh-CN"/>
        </w:rPr>
        <w:t xml:space="preserve">3.3 </w:t>
      </w:r>
      <w:r>
        <w:rPr>
          <w:rFonts w:hint="eastAsia" w:ascii="仿宋" w:hAnsi="仿宋" w:eastAsia="仿宋" w:cs="仿宋"/>
          <w:color w:val="auto"/>
          <w:sz w:val="21"/>
          <w:szCs w:val="21"/>
          <w:highlight w:val="none"/>
        </w:rPr>
        <w:t>合同签订后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天内，完成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lang w:eastAsia="zh-CN"/>
        </w:rPr>
        <w:t>；</w:t>
      </w:r>
    </w:p>
    <w:p w14:paraId="4D99F982">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3.4 </w:t>
      </w:r>
      <w:r>
        <w:rPr>
          <w:rFonts w:hint="eastAsia" w:ascii="仿宋" w:hAnsi="仿宋" w:eastAsia="仿宋" w:cs="仿宋"/>
          <w:color w:val="auto"/>
          <w:sz w:val="21"/>
          <w:szCs w:val="21"/>
          <w:highlight w:val="none"/>
        </w:rPr>
        <w:t>系统投入试运行，试运行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个月后提请项目初验</w:t>
      </w:r>
      <w:r>
        <w:rPr>
          <w:rFonts w:hint="eastAsia" w:ascii="仿宋" w:hAnsi="仿宋" w:eastAsia="仿宋" w:cs="仿宋"/>
          <w:color w:val="auto"/>
          <w:sz w:val="21"/>
          <w:szCs w:val="21"/>
          <w:highlight w:val="none"/>
          <w:lang w:eastAsia="zh-CN"/>
        </w:rPr>
        <w:t>；</w:t>
      </w:r>
    </w:p>
    <w:p w14:paraId="2FA58776">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3.5 </w:t>
      </w:r>
      <w:r>
        <w:rPr>
          <w:rFonts w:hint="eastAsia" w:ascii="仿宋" w:hAnsi="仿宋" w:eastAsia="仿宋" w:cs="仿宋"/>
          <w:color w:val="auto"/>
          <w:sz w:val="21"/>
          <w:szCs w:val="21"/>
          <w:highlight w:val="none"/>
        </w:rPr>
        <w:t>初验通过</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个月后进行系统终验。</w:t>
      </w:r>
    </w:p>
    <w:p w14:paraId="2C1E3912">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项目免费维护期限：</w:t>
      </w:r>
      <w:r>
        <w:rPr>
          <w:rFonts w:hint="eastAsia" w:ascii="仿宋" w:hAnsi="仿宋" w:eastAsia="仿宋" w:cs="仿宋"/>
          <w:color w:val="auto"/>
          <w:sz w:val="21"/>
          <w:szCs w:val="21"/>
          <w:highlight w:val="none"/>
          <w:lang w:eastAsia="zh-CN"/>
        </w:rPr>
        <w:t>从项目终验通过之日起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eastAsia="zh-CN"/>
        </w:rPr>
        <w:t>；</w:t>
      </w:r>
    </w:p>
    <w:p w14:paraId="3C5C3216">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合同签订</w:t>
      </w:r>
      <w:r>
        <w:rPr>
          <w:rFonts w:hint="eastAsia" w:ascii="仿宋" w:hAnsi="仿宋" w:eastAsia="仿宋" w:cs="仿宋"/>
          <w:color w:val="auto"/>
          <w:sz w:val="21"/>
          <w:szCs w:val="21"/>
          <w:highlight w:val="none"/>
          <w:lang w:val="en-US" w:eastAsia="zh-CN"/>
        </w:rPr>
        <w:t>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天</w:t>
      </w:r>
      <w:r>
        <w:rPr>
          <w:rFonts w:hint="eastAsia" w:ascii="仿宋" w:hAnsi="仿宋" w:eastAsia="仿宋" w:cs="仿宋"/>
          <w:color w:val="auto"/>
          <w:sz w:val="21"/>
          <w:szCs w:val="21"/>
          <w:highlight w:val="none"/>
        </w:rPr>
        <w:t>内，乙方提交《项目进度安排》，安排应包括项目总体计划和各阶段安排、各项分解任务的进度计划、各项任务的资源配置和完成标志。《项目进度安排》中时间进度应符合项目</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的要求，《项目进度安排》应通过</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确认。以后项目进度按照《项目进度安排》的规定执行。</w:t>
      </w:r>
    </w:p>
    <w:p w14:paraId="29A2CD7A">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四、协作和工作约定</w:t>
      </w:r>
    </w:p>
    <w:p w14:paraId="0B578BD4">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的权利和义务</w:t>
      </w:r>
    </w:p>
    <w:p w14:paraId="7779DEAA">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 xml:space="preserve">1 </w:t>
      </w:r>
      <w:r>
        <w:rPr>
          <w:rFonts w:hint="eastAsia" w:ascii="仿宋" w:hAnsi="仿宋" w:eastAsia="仿宋" w:cs="仿宋"/>
          <w:color w:val="auto"/>
          <w:sz w:val="21"/>
          <w:szCs w:val="21"/>
          <w:highlight w:val="none"/>
          <w:lang w:eastAsia="zh-CN"/>
        </w:rPr>
        <w:t>合同签订</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应书面指定项目负责人，项目负责人应被授权在履行本合同的所有事务中代表</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w:t>
      </w:r>
    </w:p>
    <w:p w14:paraId="19FFCD52">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负责协调安排乙方与</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内部有关部门以及其他单位的工作关系，配合乙方工作；</w:t>
      </w:r>
    </w:p>
    <w:p w14:paraId="4E706DD5">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向乙方提供必要的业务需求；</w:t>
      </w:r>
    </w:p>
    <w:p w14:paraId="32F65228">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协调第三方业务系统提供商配合乙方完成第三方业务系统接入；</w:t>
      </w:r>
    </w:p>
    <w:p w14:paraId="14B504BB">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根据本合同相关条款按时向乙方支付合同款项；</w:t>
      </w:r>
    </w:p>
    <w:p w14:paraId="3E602467">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向乙方提供实施本项目所必须的应由</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提供的信息及资料，及时对乙方实施本项目的提问等进行答复、确认；</w:t>
      </w:r>
    </w:p>
    <w:p w14:paraId="10D36BF8">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负责按时做好工作结果的确认和验收工作，对不需评审的工作结果，</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应在收到乙方提交文档后一周内给予答复或确认，对需要评审的工作结果，应在三周内组织评审，否则视为</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己确认；</w:t>
      </w:r>
    </w:p>
    <w:p w14:paraId="36B4DE37">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有授予监理方在监理工作职责范围内执行工作的权利。</w:t>
      </w:r>
    </w:p>
    <w:p w14:paraId="60B1914B">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乙方的权利和义务</w:t>
      </w:r>
    </w:p>
    <w:p w14:paraId="5AC1DF30">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合同签订</w:t>
      </w:r>
      <w:r>
        <w:rPr>
          <w:rFonts w:hint="eastAsia" w:ascii="仿宋" w:hAnsi="仿宋" w:eastAsia="仿宋" w:cs="仿宋"/>
          <w:color w:val="auto"/>
          <w:sz w:val="21"/>
          <w:szCs w:val="21"/>
          <w:highlight w:val="none"/>
        </w:rPr>
        <w:t>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天内，乙方应书面指定项目负责人，项目负责人应被授权在履行本合同的所有事务中代表乙方；</w:t>
      </w:r>
    </w:p>
    <w:p w14:paraId="7D280D52">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向</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提供合同及其附件所规定的所有服务内容；</w:t>
      </w:r>
    </w:p>
    <w:p w14:paraId="1579E623">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在验收时，负责对合同规定的由乙方完成的所有图纸、文件、资料、记录等技术文档进行整理、归档，其中纸质材料一式两份移交给</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，并同时提供电子版材料；</w:t>
      </w:r>
    </w:p>
    <w:p w14:paraId="51CC47F4">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在整个系统建设过程中，应采用适合本项目建设的项目实施管理方法和工具，用以指导和管理项目建设；</w:t>
      </w:r>
    </w:p>
    <w:p w14:paraId="57C17323">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转让和分包：未经甲方事先书面同意，乙方不得向第三方部分转让或全部转让其应履行的合同义务；</w:t>
      </w:r>
    </w:p>
    <w:p w14:paraId="0E31B1C8">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乙方应按要求接受项目监理方管理，包括在开发设计过程各节点的监理；</w:t>
      </w:r>
    </w:p>
    <w:p w14:paraId="7A2EF663">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和本项目的监理方在项目实施期间将全程参与和监督乙方的开发服务工作，乙方有义务向</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及监理方及时提供项目开发的进度报告、相关的程序代码和技术资料；</w:t>
      </w:r>
    </w:p>
    <w:p w14:paraId="3D69B4AB">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乙方须向</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项目负责人汇报每天的进展，每周向</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提交项目进展报告及周工作计划；</w:t>
      </w:r>
    </w:p>
    <w:p w14:paraId="78F1A725">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9</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乙方须遵守</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现场工作制度和管理制度，有义务配合</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做好项目管理工作；</w:t>
      </w:r>
    </w:p>
    <w:p w14:paraId="37A1B787">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乙方有义务保证实施团队成员的稳定性，乙方因人员调动客观上造成</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工作进度或质量损害的，乙方须承担相应责任。</w:t>
      </w:r>
    </w:p>
    <w:p w14:paraId="15826738">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五、风险责任的承担</w:t>
      </w:r>
    </w:p>
    <w:p w14:paraId="3E8F4B88">
      <w:pPr>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在履行本合同的过程中，确因在现有水平和条件下难以克服的技术困难，导致研究开发部分或全部失败所造成的损失，风险责任由乙方承担。因方案设计错误、需求调研和分析不充分、或因出现无法克服的技术困难，导致设计开发失败或部分失败的，由此造成的风险损失均由乙方负担。</w:t>
      </w:r>
    </w:p>
    <w:p w14:paraId="2541D6CC">
      <w:pPr>
        <w:tabs>
          <w:tab w:val="left" w:pos="552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本项目风险责任确认的方式：由甲乙双方协商确认。</w:t>
      </w:r>
    </w:p>
    <w:p w14:paraId="7BD70A7F">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六、成果及知识产权的归属，保密责任及限制竞争</w:t>
      </w:r>
    </w:p>
    <w:p w14:paraId="69E30BE8">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本项目的成果（包括计算机软件、技术诀窍、秘密信息、技术资料和文件等）由甲方独享，共性技术</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双方共享，如需推广运营</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双方再进行协商。未经同意，乙方不得擅自扩散或提供给第三方使用。</w:t>
      </w:r>
    </w:p>
    <w:p w14:paraId="2EF9D17F">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乙方对在项目建设期间所获得的甲方的情报和资料有保密义务，并对系统中涉及甲方业务的关键数据保守机密，泄漏秘密应承担相应责任。本保密责任条款不论本合同是否变更、解除、终止，本条款均有效。</w:t>
      </w:r>
    </w:p>
    <w:p w14:paraId="6D746B92">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七、关于项目验收</w:t>
      </w:r>
    </w:p>
    <w:p w14:paraId="2282458E">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本项目以本合同第一条合同标的，以</w:t>
      </w:r>
      <w:r>
        <w:rPr>
          <w:rFonts w:hint="eastAsia" w:ascii="仿宋" w:hAnsi="仿宋" w:eastAsia="仿宋" w:cs="仿宋"/>
          <w:color w:val="auto"/>
          <w:sz w:val="21"/>
          <w:szCs w:val="21"/>
          <w:highlight w:val="none"/>
          <w:lang w:val="en-US" w:eastAsia="zh-CN"/>
        </w:rPr>
        <w:t>丙</w:t>
      </w:r>
      <w:r>
        <w:rPr>
          <w:rFonts w:hint="eastAsia" w:ascii="仿宋" w:hAnsi="仿宋" w:eastAsia="仿宋" w:cs="仿宋"/>
          <w:color w:val="auto"/>
          <w:sz w:val="21"/>
          <w:szCs w:val="21"/>
          <w:highlight w:val="none"/>
        </w:rPr>
        <w:t>乙双方签字确认的</w:t>
      </w:r>
      <w:r>
        <w:rPr>
          <w:rFonts w:hint="eastAsia" w:ascii="仿宋" w:hAnsi="仿宋" w:eastAsia="仿宋" w:cs="仿宋"/>
          <w:color w:val="auto"/>
          <w:sz w:val="21"/>
          <w:szCs w:val="21"/>
          <w:highlight w:val="none"/>
          <w:lang w:eastAsia="zh-CN"/>
        </w:rPr>
        <w:t>《高校一站式化学品与材料采购平台》</w:t>
      </w:r>
      <w:r>
        <w:rPr>
          <w:rFonts w:hint="eastAsia" w:ascii="仿宋" w:hAnsi="仿宋" w:eastAsia="仿宋" w:cs="仿宋"/>
          <w:color w:val="auto"/>
          <w:sz w:val="21"/>
          <w:szCs w:val="21"/>
          <w:highlight w:val="none"/>
        </w:rPr>
        <w:t>需求说明书，以及经甲乙双方确认之书面变更说明所列工作内容作为验收依据。</w:t>
      </w:r>
    </w:p>
    <w:p w14:paraId="19E9B9FB">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乙方须以书面形式提交系统验收申请并提交所需的系统设计、开发、测试文档；</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负责对验收工作协调、发起、评定，并签署相应的验收报告。验收分为初期验收和最终验收两个阶段，如果系统在运行期间发现功能及性能与合同规定内容不符，</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有权推迟系统验收时间。</w:t>
      </w:r>
    </w:p>
    <w:p w14:paraId="4F2D55C9">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验收：系统运行</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个月后，乙方提请验收。</w:t>
      </w:r>
    </w:p>
    <w:p w14:paraId="13464F49">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八、后续服务</w:t>
      </w:r>
    </w:p>
    <w:p w14:paraId="3299FA9D">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软件免费维护期为项目完成验收后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年，免费维护服务内容包括</w:t>
      </w:r>
      <w:r>
        <w:rPr>
          <w:rFonts w:hint="eastAsia" w:ascii="仿宋" w:hAnsi="仿宋" w:eastAsia="仿宋" w:cs="仿宋"/>
          <w:color w:val="auto"/>
          <w:sz w:val="21"/>
          <w:szCs w:val="21"/>
          <w:highlight w:val="none"/>
          <w:lang w:val="en-US" w:eastAsia="zh-CN"/>
        </w:rPr>
        <w:t>但不仅限于</w:t>
      </w:r>
      <w:r>
        <w:rPr>
          <w:rFonts w:hint="eastAsia" w:ascii="仿宋" w:hAnsi="仿宋" w:eastAsia="仿宋" w:cs="仿宋"/>
          <w:color w:val="auto"/>
          <w:sz w:val="21"/>
          <w:szCs w:val="21"/>
          <w:highlight w:val="none"/>
        </w:rPr>
        <w:t>：系统维护、应急维护、完善修改、软件迁移、系统更新等。</w:t>
      </w:r>
    </w:p>
    <w:p w14:paraId="5E6C1B69">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其他服务按乙方</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服务承诺进行。</w:t>
      </w:r>
    </w:p>
    <w:p w14:paraId="490E7A3A">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免费维护期结束后的有偿维护由</w:t>
      </w:r>
      <w:r>
        <w:rPr>
          <w:rFonts w:hint="eastAsia" w:ascii="仿宋" w:hAnsi="仿宋" w:eastAsia="仿宋" w:cs="仿宋"/>
          <w:color w:val="auto"/>
          <w:sz w:val="21"/>
          <w:szCs w:val="21"/>
          <w:highlight w:val="none"/>
          <w:lang w:val="en-US" w:eastAsia="zh-CN"/>
        </w:rPr>
        <w:t>丙乙</w:t>
      </w:r>
      <w:r>
        <w:rPr>
          <w:rFonts w:hint="eastAsia" w:ascii="仿宋" w:hAnsi="仿宋" w:eastAsia="仿宋" w:cs="仿宋"/>
          <w:color w:val="auto"/>
          <w:sz w:val="21"/>
          <w:szCs w:val="21"/>
          <w:highlight w:val="none"/>
        </w:rPr>
        <w:t>双方另行商定。</w:t>
      </w:r>
    </w:p>
    <w:p w14:paraId="164AC288">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九、违约金或者损失赔偿金额的计算方法</w:t>
      </w:r>
    </w:p>
    <w:p w14:paraId="60D3A42D">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1.如因乙方原因造成的延误工期或达不到项目规定的技术指标，乙方应当承担违约责任。承担方式和违约金额如下：超期30天内，每天扣实际合同金额的0.5‰，累计超期30天，甲方有权终止执行合同。</w:t>
      </w:r>
    </w:p>
    <w:p w14:paraId="390DDD83">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2.甲方未按合同按时支付给乙方应付金额，应按每逾期一天支付逾期付款金额0.5‰的比例向乙方支付滞纳金</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甲方向乙方支付滞纳金后，本合同并不当然解除。</w:t>
      </w:r>
    </w:p>
    <w:p w14:paraId="7A22B3B9">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一经签订合同，非经对方同意或不可抗力或对方严重违约触发本合同其他条款规定的终止合同的条件，不得终止合同，任何一方违约，必须按合同金额的30%支付违约金，同时赔偿非违约方因此而受到的合理损失。</w:t>
      </w:r>
    </w:p>
    <w:p w14:paraId="78893504">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十、争议的解决方法</w:t>
      </w:r>
    </w:p>
    <w:p w14:paraId="2D8D4EF9">
      <w:pPr>
        <w:tabs>
          <w:tab w:val="left" w:pos="1200"/>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在合同履行过程中发生争议，</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双方应当协商解决，</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双方不愿协商、调解解决或者协商、调解不成的，</w:t>
      </w:r>
      <w:r>
        <w:rPr>
          <w:rFonts w:hint="eastAsia" w:ascii="仿宋" w:hAnsi="仿宋" w:eastAsia="仿宋" w:cs="仿宋"/>
          <w:color w:val="auto"/>
          <w:spacing w:val="-6"/>
          <w:sz w:val="21"/>
          <w:szCs w:val="21"/>
          <w:highlight w:val="none"/>
        </w:rPr>
        <w:t>任何一方有权向杭州市仲裁委员会申请仲裁解决</w:t>
      </w:r>
      <w:r>
        <w:rPr>
          <w:rFonts w:hint="eastAsia" w:ascii="仿宋" w:hAnsi="仿宋" w:eastAsia="仿宋" w:cs="仿宋"/>
          <w:color w:val="auto"/>
          <w:sz w:val="21"/>
          <w:szCs w:val="21"/>
          <w:highlight w:val="none"/>
        </w:rPr>
        <w:t>。</w:t>
      </w:r>
    </w:p>
    <w:p w14:paraId="3247EDC3">
      <w:pPr>
        <w:tabs>
          <w:tab w:val="left" w:pos="1200"/>
        </w:tabs>
        <w:spacing w:line="288"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2.在仲裁期间，除正在进行仲裁的部分外，本合同其他部分应继续执行。</w:t>
      </w:r>
    </w:p>
    <w:p w14:paraId="0A8E8CF8">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十一、其他约定</w:t>
      </w:r>
    </w:p>
    <w:p w14:paraId="5CA4A41F">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1.合同经四方法定代表人或授权代表签字并加盖单位公章后生效。</w:t>
      </w:r>
    </w:p>
    <w:p w14:paraId="216C95D5">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6B5CD1D4">
      <w:pPr>
        <w:tabs>
          <w:tab w:val="left" w:pos="1200"/>
          <w:tab w:val="left" w:pos="5505"/>
        </w:tabs>
        <w:spacing w:line="288" w:lineRule="auto"/>
        <w:ind w:firstLine="420" w:firstLineChars="200"/>
        <w:rPr>
          <w:rFonts w:hint="eastAsia" w:ascii="仿宋" w:hAnsi="仿宋" w:eastAsia="仿宋" w:cs="仿宋"/>
          <w:b/>
          <w:bCs w:val="0"/>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.本合同正本一式柒份，具有同等法律效力，甲乙丙三方各执贰份，采购代理机构执壹份</w:t>
      </w:r>
      <w:r>
        <w:rPr>
          <w:rFonts w:hint="eastAsia" w:ascii="仿宋" w:hAnsi="仿宋" w:eastAsia="仿宋" w:cs="仿宋"/>
          <w:b/>
          <w:bCs w:val="0"/>
          <w:color w:val="auto"/>
          <w:sz w:val="21"/>
          <w:szCs w:val="21"/>
          <w:highlight w:val="none"/>
        </w:rPr>
        <w:t>。</w:t>
      </w:r>
    </w:p>
    <w:p w14:paraId="5D9C0EAA">
      <w:pPr>
        <w:tabs>
          <w:tab w:val="left" w:pos="1200"/>
          <w:tab w:val="left" w:pos="5505"/>
        </w:tabs>
        <w:spacing w:line="288"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.与本合同有关的</w:t>
      </w:r>
      <w:r>
        <w:rPr>
          <w:rFonts w:hint="eastAsia" w:ascii="仿宋" w:hAnsi="仿宋" w:eastAsia="仿宋" w:cs="仿宋"/>
          <w:b/>
          <w:color w:val="auto"/>
          <w:sz w:val="21"/>
          <w:szCs w:val="21"/>
          <w:highlight w:val="none"/>
          <w:lang w:eastAsia="zh-CN"/>
        </w:rPr>
        <w:t>招标文件</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eastAsia="zh-CN"/>
        </w:rPr>
        <w:t>投标文件</w:t>
      </w:r>
      <w:r>
        <w:rPr>
          <w:rFonts w:hint="eastAsia" w:ascii="仿宋" w:hAnsi="仿宋" w:eastAsia="仿宋" w:cs="仿宋"/>
          <w:b/>
          <w:color w:val="auto"/>
          <w:sz w:val="21"/>
          <w:szCs w:val="21"/>
          <w:highlight w:val="none"/>
        </w:rPr>
        <w:t>等均作为本合同的组成部分</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rPr>
        <w:t>同本合同具有同等法律效果。</w:t>
      </w:r>
    </w:p>
    <w:p w14:paraId="7A28073C">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.本合同任何一方给另一方的通知，都应以书面形式发送，而另一方应以书面形式确认并发送到对方明确的地址。</w:t>
      </w:r>
    </w:p>
    <w:p w14:paraId="0FC1EA36">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.不可抗力：如果</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双方中任何一方由于战争、火灾、水灾、台风和地震以及其它经</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双方同意属于不可抗力的事故，致使合同履行受阻时，履行合同的期限应予延长，延长的期限应相当于事故所影响的时间。</w:t>
      </w:r>
    </w:p>
    <w:p w14:paraId="70CC212C">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.受事故影响的一方应在不可抗力的事故发生后尽快以书面形式通知另一方，并在事故发生后14天内，将有关部门出具的证明文件送给另一方。如果不可抗力影响时间延续120天以上的，</w:t>
      </w:r>
      <w:r>
        <w:rPr>
          <w:rFonts w:hint="eastAsia" w:ascii="仿宋" w:hAnsi="仿宋" w:eastAsia="仿宋" w:cs="仿宋"/>
          <w:color w:val="auto"/>
          <w:sz w:val="21"/>
          <w:szCs w:val="21"/>
          <w:highlight w:val="none"/>
          <w:lang w:val="en-US" w:eastAsia="zh-CN"/>
        </w:rPr>
        <w:t>甲乙</w:t>
      </w:r>
      <w:r>
        <w:rPr>
          <w:rFonts w:hint="eastAsia" w:ascii="仿宋" w:hAnsi="仿宋" w:eastAsia="仿宋" w:cs="仿宋"/>
          <w:color w:val="auto"/>
          <w:sz w:val="21"/>
          <w:szCs w:val="21"/>
          <w:highlight w:val="none"/>
        </w:rPr>
        <w:t>双方应通过友好协商在合理的时间内达成进一步履行合同的协议，任何一方也有权解除合同。</w:t>
      </w:r>
    </w:p>
    <w:p w14:paraId="34007379">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.项目实施过程及验收阶段，乙方需提交以下文档供</w:t>
      </w:r>
      <w:r>
        <w:rPr>
          <w:rFonts w:hint="eastAsia" w:ascii="仿宋" w:hAnsi="仿宋" w:eastAsia="仿宋" w:cs="仿宋"/>
          <w:color w:val="auto"/>
          <w:sz w:val="21"/>
          <w:szCs w:val="21"/>
          <w:highlight w:val="none"/>
          <w:lang w:eastAsia="zh-CN"/>
        </w:rPr>
        <w:t>丙方</w:t>
      </w:r>
      <w:r>
        <w:rPr>
          <w:rFonts w:hint="eastAsia" w:ascii="仿宋" w:hAnsi="仿宋" w:eastAsia="仿宋" w:cs="仿宋"/>
          <w:color w:val="auto"/>
          <w:sz w:val="21"/>
          <w:szCs w:val="21"/>
          <w:highlight w:val="none"/>
        </w:rPr>
        <w:t>确认，并保证所提交文档和程序代码的完整性、正确性和一致性：</w:t>
      </w:r>
    </w:p>
    <w:p w14:paraId="161EE1A7">
      <w:pPr>
        <w:keepNext w:val="0"/>
        <w:keepLines w:val="0"/>
        <w:pageBreakBefore w:val="0"/>
        <w:widowControl w:val="0"/>
        <w:tabs>
          <w:tab w:val="left" w:pos="1200"/>
          <w:tab w:val="left" w:pos="5190"/>
          <w:tab w:val="left" w:pos="550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需求调研分析报告</w:t>
      </w:r>
    </w:p>
    <w:p w14:paraId="39131C52">
      <w:pPr>
        <w:keepNext w:val="0"/>
        <w:keepLines w:val="0"/>
        <w:pageBreakBefore w:val="0"/>
        <w:widowControl w:val="0"/>
        <w:tabs>
          <w:tab w:val="left" w:pos="1200"/>
          <w:tab w:val="left" w:pos="5190"/>
          <w:tab w:val="left" w:pos="550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软件需求说明书</w:t>
      </w:r>
    </w:p>
    <w:p w14:paraId="64C2FB15">
      <w:pPr>
        <w:keepNext w:val="0"/>
        <w:keepLines w:val="0"/>
        <w:pageBreakBefore w:val="0"/>
        <w:widowControl w:val="0"/>
        <w:tabs>
          <w:tab w:val="left" w:pos="1200"/>
          <w:tab w:val="left" w:pos="5190"/>
          <w:tab w:val="left" w:pos="550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系统设计文档(包括概要设计、详细设计、数据库设计)</w:t>
      </w:r>
    </w:p>
    <w:p w14:paraId="752008A8">
      <w:pPr>
        <w:keepNext w:val="0"/>
        <w:keepLines w:val="0"/>
        <w:pageBreakBefore w:val="0"/>
        <w:widowControl w:val="0"/>
        <w:tabs>
          <w:tab w:val="left" w:pos="1200"/>
          <w:tab w:val="left" w:pos="5190"/>
          <w:tab w:val="left" w:pos="550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测试报告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包括测试环境、功能点、性能、测试案例等</w:t>
      </w:r>
      <w:r>
        <w:rPr>
          <w:rFonts w:hint="eastAsia" w:ascii="仿宋" w:hAnsi="仿宋" w:eastAsia="仿宋" w:cs="仿宋"/>
          <w:color w:val="auto"/>
          <w:sz w:val="21"/>
          <w:szCs w:val="21"/>
          <w:highlight w:val="none"/>
          <w:lang w:eastAsia="zh-CN"/>
        </w:rPr>
        <w:t>）</w:t>
      </w:r>
    </w:p>
    <w:p w14:paraId="420D2E06">
      <w:pPr>
        <w:keepNext w:val="0"/>
        <w:keepLines w:val="0"/>
        <w:pageBreakBefore w:val="0"/>
        <w:widowControl w:val="0"/>
        <w:tabs>
          <w:tab w:val="left" w:pos="1200"/>
          <w:tab w:val="left" w:pos="5190"/>
          <w:tab w:val="left" w:pos="550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系统部署文挡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包括软硬件清单、部署方案</w:t>
      </w:r>
      <w:r>
        <w:rPr>
          <w:rFonts w:hint="eastAsia" w:ascii="仿宋" w:hAnsi="仿宋" w:eastAsia="仿宋" w:cs="仿宋"/>
          <w:color w:val="auto"/>
          <w:sz w:val="21"/>
          <w:szCs w:val="21"/>
          <w:highlight w:val="none"/>
          <w:lang w:eastAsia="zh-CN"/>
        </w:rPr>
        <w:t>）</w:t>
      </w:r>
    </w:p>
    <w:p w14:paraId="753F211B">
      <w:pPr>
        <w:keepNext w:val="0"/>
        <w:keepLines w:val="0"/>
        <w:pageBreakBefore w:val="0"/>
        <w:widowControl w:val="0"/>
        <w:tabs>
          <w:tab w:val="left" w:pos="1200"/>
          <w:tab w:val="left" w:pos="5190"/>
          <w:tab w:val="left" w:pos="550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软件程序</w:t>
      </w:r>
      <w:r>
        <w:rPr>
          <w:rFonts w:hint="eastAsia" w:ascii="仿宋" w:hAnsi="仿宋" w:eastAsia="仿宋" w:cs="仿宋"/>
          <w:color w:val="auto"/>
          <w:sz w:val="21"/>
          <w:szCs w:val="21"/>
          <w:highlight w:val="none"/>
        </w:rPr>
        <w:t>及实施阶段在内的所有技术资料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如bug修复列表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源代码循符合软件开发规范，代码具有可重用性和易读性、便于维护、交流和协作</w:t>
      </w:r>
      <w:r>
        <w:rPr>
          <w:rFonts w:hint="eastAsia" w:ascii="仿宋" w:hAnsi="仿宋" w:eastAsia="仿宋" w:cs="仿宋"/>
          <w:color w:val="auto"/>
          <w:sz w:val="21"/>
          <w:szCs w:val="21"/>
          <w:highlight w:val="none"/>
          <w:lang w:eastAsia="zh-CN"/>
        </w:rPr>
        <w:t>）</w:t>
      </w:r>
    </w:p>
    <w:p w14:paraId="0B8D6FDB">
      <w:pPr>
        <w:keepNext w:val="0"/>
        <w:keepLines w:val="0"/>
        <w:pageBreakBefore w:val="0"/>
        <w:widowControl w:val="0"/>
        <w:tabs>
          <w:tab w:val="left" w:pos="1200"/>
          <w:tab w:val="left" w:pos="5190"/>
          <w:tab w:val="left" w:pos="550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用户操作手册</w:t>
      </w:r>
    </w:p>
    <w:p w14:paraId="202D9143">
      <w:pPr>
        <w:keepNext w:val="0"/>
        <w:keepLines w:val="0"/>
        <w:pageBreakBefore w:val="0"/>
        <w:widowControl w:val="0"/>
        <w:tabs>
          <w:tab w:val="left" w:pos="1200"/>
          <w:tab w:val="left" w:pos="193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管理员维护手册</w:t>
      </w:r>
    </w:p>
    <w:p w14:paraId="34CD48D2">
      <w:pPr>
        <w:keepNext w:val="0"/>
        <w:keepLines w:val="0"/>
        <w:pageBreakBefore w:val="0"/>
        <w:widowControl w:val="0"/>
        <w:tabs>
          <w:tab w:val="left" w:pos="1200"/>
          <w:tab w:val="left" w:pos="193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培训手册和培训资料</w:t>
      </w:r>
    </w:p>
    <w:p w14:paraId="099B2A56">
      <w:pPr>
        <w:keepNext w:val="0"/>
        <w:keepLines w:val="0"/>
        <w:pageBreakBefore w:val="0"/>
        <w:widowControl w:val="0"/>
        <w:tabs>
          <w:tab w:val="left" w:pos="1200"/>
          <w:tab w:val="left" w:pos="193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甲方用户报告</w:t>
      </w:r>
    </w:p>
    <w:p w14:paraId="02865920">
      <w:pPr>
        <w:keepNext w:val="0"/>
        <w:keepLines w:val="0"/>
        <w:pageBreakBefore w:val="0"/>
        <w:widowControl w:val="0"/>
        <w:tabs>
          <w:tab w:val="left" w:pos="1200"/>
          <w:tab w:val="left" w:pos="1935"/>
          <w:tab w:val="left" w:pos="6795"/>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乙方的验收申请报告</w:t>
      </w:r>
    </w:p>
    <w:p w14:paraId="31EC9DB4">
      <w:pPr>
        <w:tabs>
          <w:tab w:val="left" w:pos="1200"/>
          <w:tab w:val="left" w:pos="5505"/>
        </w:tabs>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.本合同未尽事宜，甲乙丙三方协商一致可以另行签订补充协议解决，或者遵照《中华人民共和国民法典》有关条文执行。</w:t>
      </w:r>
    </w:p>
    <w:p w14:paraId="3FE59359">
      <w:pPr>
        <w:spacing w:line="288" w:lineRule="auto"/>
        <w:ind w:firstLine="422" w:firstLineChars="200"/>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十二、注意条款</w:t>
      </w:r>
    </w:p>
    <w:p w14:paraId="2C09505E">
      <w:pPr>
        <w:keepNext w:val="0"/>
        <w:keepLines w:val="0"/>
        <w:pageBreakBefore w:val="0"/>
        <w:widowControl w:val="0"/>
        <w:kinsoku/>
        <w:wordWrap/>
        <w:overflowPunct/>
        <w:topLinePunct w:val="0"/>
        <w:autoSpaceDE/>
        <w:autoSpaceDN/>
        <w:bidi w:val="0"/>
        <w:adjustRightInd/>
        <w:spacing w:line="288"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甲方提请乙方注意：甲方已就本合同条款及其规定的乙方的权利、义务和责任做出说明，并已按乙方要求对有关问题做出明确的解释，请乙方全面、准确地理解。</w:t>
      </w:r>
    </w:p>
    <w:p w14:paraId="01FD65D7">
      <w:pPr>
        <w:keepNext w:val="0"/>
        <w:keepLines w:val="0"/>
        <w:pageBreakBefore w:val="0"/>
        <w:widowControl w:val="0"/>
        <w:kinsoku/>
        <w:wordWrap/>
        <w:overflowPunct/>
        <w:topLinePunct w:val="0"/>
        <w:autoSpaceDE/>
        <w:autoSpaceDN/>
        <w:bidi w:val="0"/>
        <w:adjustRightInd/>
        <w:spacing w:line="288" w:lineRule="auto"/>
        <w:ind w:left="0" w:leftChars="0" w:right="0" w:rightChars="0" w:firstLine="0" w:firstLineChars="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下无正文</w:t>
      </w:r>
    </w:p>
    <w:tbl>
      <w:tblPr>
        <w:tblStyle w:val="24"/>
        <w:tblW w:w="9628" w:type="dxa"/>
        <w:jc w:val="center"/>
        <w:tblLayout w:type="fixed"/>
        <w:tblCellMar>
          <w:top w:w="0" w:type="dxa"/>
          <w:left w:w="108" w:type="dxa"/>
          <w:bottom w:w="0" w:type="dxa"/>
          <w:right w:w="108" w:type="dxa"/>
        </w:tblCellMar>
      </w:tblPr>
      <w:tblGrid>
        <w:gridCol w:w="4814"/>
        <w:gridCol w:w="19"/>
        <w:gridCol w:w="4795"/>
      </w:tblGrid>
      <w:tr w14:paraId="1D536EBB">
        <w:tblPrEx>
          <w:tblCellMar>
            <w:top w:w="0" w:type="dxa"/>
            <w:left w:w="108" w:type="dxa"/>
            <w:bottom w:w="0" w:type="dxa"/>
            <w:right w:w="108" w:type="dxa"/>
          </w:tblCellMar>
        </w:tblPrEx>
        <w:trPr>
          <w:trHeight w:val="340" w:hRule="atLeast"/>
          <w:jc w:val="center"/>
        </w:trPr>
        <w:tc>
          <w:tcPr>
            <w:tcW w:w="4814" w:type="dxa"/>
            <w:vAlign w:val="center"/>
          </w:tcPr>
          <w:p w14:paraId="450A12DD">
            <w:pPr>
              <w:rPr>
                <w:rFonts w:ascii="仿宋" w:hAnsi="仿宋" w:eastAsia="仿宋" w:cs="仿宋"/>
                <w:b/>
                <w:bCs/>
                <w:color w:val="auto"/>
                <w:szCs w:val="21"/>
              </w:rPr>
            </w:pPr>
            <w:r>
              <w:rPr>
                <w:rFonts w:hint="eastAsia" w:ascii="仿宋" w:hAnsi="仿宋" w:eastAsia="仿宋" w:cs="仿宋"/>
                <w:b/>
                <w:bCs/>
                <w:color w:val="auto"/>
                <w:szCs w:val="21"/>
              </w:rPr>
              <w:t>甲方（盖章）：</w:t>
            </w:r>
          </w:p>
        </w:tc>
        <w:tc>
          <w:tcPr>
            <w:tcW w:w="4814" w:type="dxa"/>
            <w:gridSpan w:val="2"/>
            <w:vAlign w:val="center"/>
          </w:tcPr>
          <w:p w14:paraId="649126CE">
            <w:pPr>
              <w:rPr>
                <w:rFonts w:ascii="仿宋" w:hAnsi="仿宋" w:eastAsia="仿宋" w:cs="仿宋"/>
                <w:b/>
                <w:bCs/>
                <w:color w:val="auto"/>
                <w:szCs w:val="21"/>
              </w:rPr>
            </w:pPr>
            <w:r>
              <w:rPr>
                <w:rFonts w:hint="eastAsia" w:ascii="仿宋" w:hAnsi="仿宋" w:eastAsia="仿宋" w:cs="仿宋"/>
                <w:b/>
                <w:bCs/>
                <w:color w:val="auto"/>
                <w:szCs w:val="21"/>
              </w:rPr>
              <w:t>乙方（盖章）：</w:t>
            </w:r>
          </w:p>
        </w:tc>
      </w:tr>
      <w:tr w14:paraId="3627AD47">
        <w:tblPrEx>
          <w:tblCellMar>
            <w:top w:w="0" w:type="dxa"/>
            <w:left w:w="108" w:type="dxa"/>
            <w:bottom w:w="0" w:type="dxa"/>
            <w:right w:w="108" w:type="dxa"/>
          </w:tblCellMar>
        </w:tblPrEx>
        <w:trPr>
          <w:trHeight w:val="340" w:hRule="atLeast"/>
          <w:jc w:val="center"/>
        </w:trPr>
        <w:tc>
          <w:tcPr>
            <w:tcW w:w="4814" w:type="dxa"/>
            <w:vAlign w:val="center"/>
          </w:tcPr>
          <w:p w14:paraId="7987D46C">
            <w:pPr>
              <w:rPr>
                <w:rFonts w:ascii="仿宋" w:hAnsi="仿宋" w:eastAsia="仿宋" w:cs="仿宋"/>
                <w:color w:val="auto"/>
                <w:szCs w:val="21"/>
              </w:rPr>
            </w:pPr>
            <w:r>
              <w:rPr>
                <w:rFonts w:hint="eastAsia" w:ascii="仿宋" w:hAnsi="仿宋" w:eastAsia="仿宋" w:cs="仿宋"/>
                <w:color w:val="auto"/>
                <w:szCs w:val="21"/>
              </w:rPr>
              <w:t>法定代表人或受委托人：</w:t>
            </w:r>
          </w:p>
          <w:p w14:paraId="7FEF11C5">
            <w:pPr>
              <w:rPr>
                <w:rFonts w:ascii="仿宋" w:hAnsi="仿宋" w:eastAsia="仿宋" w:cs="仿宋"/>
                <w:color w:val="auto"/>
                <w:szCs w:val="21"/>
              </w:rPr>
            </w:pPr>
            <w:r>
              <w:rPr>
                <w:rFonts w:hint="eastAsia" w:ascii="仿宋" w:hAnsi="仿宋" w:eastAsia="仿宋" w:cs="仿宋"/>
                <w:color w:val="auto"/>
                <w:szCs w:val="21"/>
              </w:rPr>
              <w:t>（签字）</w:t>
            </w:r>
          </w:p>
        </w:tc>
        <w:tc>
          <w:tcPr>
            <w:tcW w:w="4814" w:type="dxa"/>
            <w:gridSpan w:val="2"/>
            <w:vAlign w:val="center"/>
          </w:tcPr>
          <w:p w14:paraId="68AD189A">
            <w:pPr>
              <w:rPr>
                <w:rFonts w:ascii="仿宋" w:hAnsi="仿宋" w:eastAsia="仿宋" w:cs="仿宋"/>
                <w:color w:val="auto"/>
                <w:szCs w:val="21"/>
              </w:rPr>
            </w:pPr>
            <w:r>
              <w:rPr>
                <w:rFonts w:hint="eastAsia" w:ascii="仿宋" w:hAnsi="仿宋" w:eastAsia="仿宋" w:cs="仿宋"/>
                <w:color w:val="auto"/>
                <w:szCs w:val="21"/>
              </w:rPr>
              <w:t>法定代表人或受委托人：</w:t>
            </w:r>
          </w:p>
          <w:p w14:paraId="18B12741">
            <w:pPr>
              <w:rPr>
                <w:rFonts w:ascii="仿宋" w:hAnsi="仿宋" w:eastAsia="仿宋" w:cs="仿宋"/>
                <w:color w:val="auto"/>
                <w:szCs w:val="21"/>
              </w:rPr>
            </w:pPr>
            <w:r>
              <w:rPr>
                <w:rFonts w:hint="eastAsia" w:ascii="仿宋" w:hAnsi="仿宋" w:eastAsia="仿宋" w:cs="仿宋"/>
                <w:color w:val="auto"/>
                <w:szCs w:val="21"/>
              </w:rPr>
              <w:t>（签字）</w:t>
            </w:r>
          </w:p>
        </w:tc>
      </w:tr>
      <w:tr w14:paraId="7D87DF75">
        <w:tblPrEx>
          <w:tblCellMar>
            <w:top w:w="0" w:type="dxa"/>
            <w:left w:w="108" w:type="dxa"/>
            <w:bottom w:w="0" w:type="dxa"/>
            <w:right w:w="108" w:type="dxa"/>
          </w:tblCellMar>
        </w:tblPrEx>
        <w:trPr>
          <w:trHeight w:val="340" w:hRule="atLeast"/>
          <w:jc w:val="center"/>
        </w:trPr>
        <w:tc>
          <w:tcPr>
            <w:tcW w:w="4814" w:type="dxa"/>
            <w:vAlign w:val="center"/>
          </w:tcPr>
          <w:p w14:paraId="19A2A9C4">
            <w:pPr>
              <w:rPr>
                <w:rFonts w:ascii="仿宋" w:hAnsi="仿宋" w:eastAsia="仿宋" w:cs="仿宋"/>
                <w:color w:val="auto"/>
                <w:szCs w:val="21"/>
              </w:rPr>
            </w:pPr>
            <w:r>
              <w:rPr>
                <w:rFonts w:hint="eastAsia" w:ascii="仿宋" w:hAnsi="仿宋" w:eastAsia="仿宋" w:cs="仿宋"/>
                <w:color w:val="auto"/>
                <w:szCs w:val="21"/>
              </w:rPr>
              <w:t>地址：</w:t>
            </w:r>
          </w:p>
        </w:tc>
        <w:tc>
          <w:tcPr>
            <w:tcW w:w="4814" w:type="dxa"/>
            <w:gridSpan w:val="2"/>
            <w:vAlign w:val="center"/>
          </w:tcPr>
          <w:p w14:paraId="2EEF64E0">
            <w:pPr>
              <w:rPr>
                <w:rFonts w:ascii="仿宋" w:hAnsi="仿宋" w:eastAsia="仿宋" w:cs="仿宋"/>
                <w:color w:val="auto"/>
                <w:szCs w:val="21"/>
              </w:rPr>
            </w:pPr>
            <w:r>
              <w:rPr>
                <w:rFonts w:hint="eastAsia" w:ascii="仿宋" w:hAnsi="仿宋" w:eastAsia="仿宋" w:cs="仿宋"/>
                <w:color w:val="auto"/>
                <w:szCs w:val="21"/>
              </w:rPr>
              <w:t>地址：</w:t>
            </w:r>
          </w:p>
        </w:tc>
      </w:tr>
      <w:tr w14:paraId="253E482A">
        <w:tblPrEx>
          <w:tblCellMar>
            <w:top w:w="0" w:type="dxa"/>
            <w:left w:w="108" w:type="dxa"/>
            <w:bottom w:w="0" w:type="dxa"/>
            <w:right w:w="108" w:type="dxa"/>
          </w:tblCellMar>
        </w:tblPrEx>
        <w:trPr>
          <w:trHeight w:val="340" w:hRule="atLeast"/>
          <w:jc w:val="center"/>
        </w:trPr>
        <w:tc>
          <w:tcPr>
            <w:tcW w:w="4814" w:type="dxa"/>
            <w:vAlign w:val="center"/>
          </w:tcPr>
          <w:p w14:paraId="040FD123">
            <w:pPr>
              <w:rPr>
                <w:rFonts w:ascii="仿宋" w:hAnsi="仿宋" w:eastAsia="仿宋" w:cs="仿宋"/>
                <w:color w:val="auto"/>
                <w:szCs w:val="21"/>
              </w:rPr>
            </w:pPr>
            <w:r>
              <w:rPr>
                <w:rFonts w:hint="eastAsia" w:ascii="仿宋" w:hAnsi="仿宋" w:eastAsia="仿宋" w:cs="仿宋"/>
                <w:color w:val="auto"/>
                <w:szCs w:val="21"/>
              </w:rPr>
              <w:t>邮编：</w:t>
            </w:r>
          </w:p>
        </w:tc>
        <w:tc>
          <w:tcPr>
            <w:tcW w:w="4814" w:type="dxa"/>
            <w:gridSpan w:val="2"/>
            <w:vAlign w:val="center"/>
          </w:tcPr>
          <w:p w14:paraId="141F5ACA">
            <w:pPr>
              <w:rPr>
                <w:rFonts w:ascii="仿宋" w:hAnsi="仿宋" w:eastAsia="仿宋" w:cs="仿宋"/>
                <w:color w:val="auto"/>
                <w:szCs w:val="21"/>
              </w:rPr>
            </w:pPr>
            <w:r>
              <w:rPr>
                <w:rFonts w:hint="eastAsia" w:ascii="仿宋" w:hAnsi="仿宋" w:eastAsia="仿宋" w:cs="仿宋"/>
                <w:color w:val="auto"/>
                <w:szCs w:val="21"/>
              </w:rPr>
              <w:t>邮编：</w:t>
            </w:r>
          </w:p>
        </w:tc>
      </w:tr>
      <w:tr w14:paraId="021F02C2">
        <w:tblPrEx>
          <w:tblCellMar>
            <w:top w:w="0" w:type="dxa"/>
            <w:left w:w="108" w:type="dxa"/>
            <w:bottom w:w="0" w:type="dxa"/>
            <w:right w:w="108" w:type="dxa"/>
          </w:tblCellMar>
        </w:tblPrEx>
        <w:trPr>
          <w:trHeight w:val="340" w:hRule="atLeast"/>
          <w:jc w:val="center"/>
        </w:trPr>
        <w:tc>
          <w:tcPr>
            <w:tcW w:w="4814" w:type="dxa"/>
            <w:vAlign w:val="center"/>
          </w:tcPr>
          <w:p w14:paraId="79D3D7BE">
            <w:pPr>
              <w:rPr>
                <w:rFonts w:ascii="仿宋" w:hAnsi="仿宋" w:eastAsia="仿宋" w:cs="仿宋"/>
                <w:color w:val="auto"/>
                <w:szCs w:val="21"/>
              </w:rPr>
            </w:pPr>
            <w:r>
              <w:rPr>
                <w:rFonts w:hint="eastAsia" w:ascii="仿宋" w:hAnsi="仿宋" w:eastAsia="仿宋" w:cs="仿宋"/>
                <w:color w:val="auto"/>
                <w:szCs w:val="21"/>
              </w:rPr>
              <w:t>电话：</w:t>
            </w:r>
          </w:p>
        </w:tc>
        <w:tc>
          <w:tcPr>
            <w:tcW w:w="4814" w:type="dxa"/>
            <w:gridSpan w:val="2"/>
            <w:vAlign w:val="center"/>
          </w:tcPr>
          <w:p w14:paraId="477F588B">
            <w:pPr>
              <w:rPr>
                <w:rFonts w:ascii="仿宋" w:hAnsi="仿宋" w:eastAsia="仿宋" w:cs="仿宋"/>
                <w:color w:val="auto"/>
                <w:szCs w:val="21"/>
              </w:rPr>
            </w:pPr>
            <w:r>
              <w:rPr>
                <w:rFonts w:hint="eastAsia" w:ascii="仿宋" w:hAnsi="仿宋" w:eastAsia="仿宋" w:cs="仿宋"/>
                <w:color w:val="auto"/>
                <w:szCs w:val="21"/>
              </w:rPr>
              <w:t>电话：</w:t>
            </w:r>
          </w:p>
        </w:tc>
      </w:tr>
      <w:tr w14:paraId="52C82D34">
        <w:tblPrEx>
          <w:tblCellMar>
            <w:top w:w="0" w:type="dxa"/>
            <w:left w:w="108" w:type="dxa"/>
            <w:bottom w:w="0" w:type="dxa"/>
            <w:right w:w="108" w:type="dxa"/>
          </w:tblCellMar>
        </w:tblPrEx>
        <w:trPr>
          <w:trHeight w:val="340" w:hRule="atLeast"/>
          <w:jc w:val="center"/>
        </w:trPr>
        <w:tc>
          <w:tcPr>
            <w:tcW w:w="4814" w:type="dxa"/>
            <w:vAlign w:val="center"/>
          </w:tcPr>
          <w:p w14:paraId="1F86A372">
            <w:pPr>
              <w:rPr>
                <w:rFonts w:ascii="仿宋" w:hAnsi="仿宋" w:eastAsia="仿宋" w:cs="仿宋"/>
                <w:color w:val="auto"/>
                <w:szCs w:val="21"/>
              </w:rPr>
            </w:pPr>
            <w:r>
              <w:rPr>
                <w:rFonts w:hint="eastAsia" w:ascii="仿宋" w:hAnsi="仿宋" w:eastAsia="仿宋" w:cs="仿宋"/>
                <w:color w:val="auto"/>
                <w:szCs w:val="21"/>
              </w:rPr>
              <w:t>传真：</w:t>
            </w:r>
          </w:p>
        </w:tc>
        <w:tc>
          <w:tcPr>
            <w:tcW w:w="4814" w:type="dxa"/>
            <w:gridSpan w:val="2"/>
            <w:vAlign w:val="center"/>
          </w:tcPr>
          <w:p w14:paraId="1C3CB927">
            <w:pPr>
              <w:rPr>
                <w:rFonts w:ascii="仿宋" w:hAnsi="仿宋" w:eastAsia="仿宋" w:cs="仿宋"/>
                <w:color w:val="auto"/>
                <w:szCs w:val="21"/>
              </w:rPr>
            </w:pPr>
            <w:r>
              <w:rPr>
                <w:rFonts w:hint="eastAsia" w:ascii="仿宋" w:hAnsi="仿宋" w:eastAsia="仿宋" w:cs="仿宋"/>
                <w:color w:val="auto"/>
                <w:szCs w:val="21"/>
              </w:rPr>
              <w:t>传真：</w:t>
            </w:r>
          </w:p>
        </w:tc>
      </w:tr>
      <w:tr w14:paraId="2E5D0098">
        <w:tblPrEx>
          <w:tblCellMar>
            <w:top w:w="0" w:type="dxa"/>
            <w:left w:w="108" w:type="dxa"/>
            <w:bottom w:w="0" w:type="dxa"/>
            <w:right w:w="108" w:type="dxa"/>
          </w:tblCellMar>
        </w:tblPrEx>
        <w:trPr>
          <w:trHeight w:val="340" w:hRule="atLeast"/>
          <w:jc w:val="center"/>
        </w:trPr>
        <w:tc>
          <w:tcPr>
            <w:tcW w:w="4814" w:type="dxa"/>
            <w:vAlign w:val="center"/>
          </w:tcPr>
          <w:p w14:paraId="6F777360">
            <w:pPr>
              <w:rPr>
                <w:rFonts w:ascii="仿宋" w:hAnsi="仿宋" w:eastAsia="仿宋" w:cs="仿宋"/>
                <w:color w:val="auto"/>
                <w:szCs w:val="21"/>
              </w:rPr>
            </w:pPr>
            <w:r>
              <w:rPr>
                <w:rFonts w:hint="eastAsia" w:ascii="仿宋" w:hAnsi="仿宋" w:eastAsia="仿宋" w:cs="仿宋"/>
                <w:color w:val="auto"/>
                <w:szCs w:val="21"/>
              </w:rPr>
              <w:t>开户银行：农业银行杭州朝晖支行</w:t>
            </w:r>
          </w:p>
        </w:tc>
        <w:tc>
          <w:tcPr>
            <w:tcW w:w="4814" w:type="dxa"/>
            <w:gridSpan w:val="2"/>
            <w:vAlign w:val="center"/>
          </w:tcPr>
          <w:p w14:paraId="3CD0F56E">
            <w:pPr>
              <w:rPr>
                <w:rFonts w:ascii="仿宋" w:hAnsi="仿宋" w:eastAsia="仿宋" w:cs="仿宋"/>
                <w:color w:val="auto"/>
                <w:szCs w:val="21"/>
              </w:rPr>
            </w:pPr>
            <w:r>
              <w:rPr>
                <w:rFonts w:hint="eastAsia" w:ascii="仿宋" w:hAnsi="仿宋" w:eastAsia="仿宋" w:cs="仿宋"/>
                <w:color w:val="auto"/>
                <w:szCs w:val="21"/>
              </w:rPr>
              <w:t>开户银行：</w:t>
            </w:r>
          </w:p>
        </w:tc>
      </w:tr>
      <w:tr w14:paraId="2425ECBD">
        <w:tblPrEx>
          <w:tblCellMar>
            <w:top w:w="0" w:type="dxa"/>
            <w:left w:w="108" w:type="dxa"/>
            <w:bottom w:w="0" w:type="dxa"/>
            <w:right w:w="108" w:type="dxa"/>
          </w:tblCellMar>
        </w:tblPrEx>
        <w:trPr>
          <w:trHeight w:val="340" w:hRule="atLeast"/>
          <w:jc w:val="center"/>
        </w:trPr>
        <w:tc>
          <w:tcPr>
            <w:tcW w:w="4814" w:type="dxa"/>
            <w:vAlign w:val="center"/>
          </w:tcPr>
          <w:p w14:paraId="16A5575F">
            <w:pPr>
              <w:rPr>
                <w:rFonts w:ascii="仿宋" w:hAnsi="仿宋" w:eastAsia="仿宋" w:cs="仿宋"/>
                <w:color w:val="auto"/>
                <w:szCs w:val="21"/>
              </w:rPr>
            </w:pPr>
            <w:r>
              <w:rPr>
                <w:rFonts w:hint="eastAsia" w:ascii="仿宋" w:hAnsi="仿宋" w:eastAsia="仿宋" w:cs="仿宋"/>
                <w:color w:val="auto"/>
                <w:szCs w:val="21"/>
                <w:lang w:val="en-US" w:eastAsia="zh-CN"/>
              </w:rPr>
              <w:t>账</w:t>
            </w:r>
            <w:r>
              <w:rPr>
                <w:rFonts w:hint="eastAsia" w:ascii="仿宋" w:hAnsi="仿宋" w:eastAsia="仿宋" w:cs="仿宋"/>
                <w:color w:val="auto"/>
                <w:szCs w:val="21"/>
              </w:rPr>
              <w:t>号：19015601040001412</w:t>
            </w:r>
          </w:p>
        </w:tc>
        <w:tc>
          <w:tcPr>
            <w:tcW w:w="4814" w:type="dxa"/>
            <w:gridSpan w:val="2"/>
            <w:vAlign w:val="center"/>
          </w:tcPr>
          <w:p w14:paraId="78D6D3FD">
            <w:pPr>
              <w:rPr>
                <w:rFonts w:ascii="仿宋" w:hAnsi="仿宋" w:eastAsia="仿宋" w:cs="仿宋"/>
                <w:color w:val="auto"/>
                <w:szCs w:val="21"/>
              </w:rPr>
            </w:pPr>
            <w:r>
              <w:rPr>
                <w:rFonts w:hint="eastAsia" w:ascii="仿宋" w:hAnsi="仿宋" w:eastAsia="仿宋" w:cs="仿宋"/>
                <w:color w:val="auto"/>
                <w:szCs w:val="21"/>
                <w:lang w:val="en-US" w:eastAsia="zh-CN"/>
              </w:rPr>
              <w:t>账</w:t>
            </w:r>
            <w:r>
              <w:rPr>
                <w:rFonts w:hint="eastAsia" w:ascii="仿宋" w:hAnsi="仿宋" w:eastAsia="仿宋" w:cs="仿宋"/>
                <w:color w:val="auto"/>
                <w:szCs w:val="21"/>
              </w:rPr>
              <w:t>号：</w:t>
            </w:r>
          </w:p>
        </w:tc>
      </w:tr>
      <w:tr w14:paraId="665ABBAD">
        <w:tblPrEx>
          <w:tblCellMar>
            <w:top w:w="0" w:type="dxa"/>
            <w:left w:w="108" w:type="dxa"/>
            <w:bottom w:w="0" w:type="dxa"/>
            <w:right w:w="108" w:type="dxa"/>
          </w:tblCellMar>
        </w:tblPrEx>
        <w:trPr>
          <w:trHeight w:val="340" w:hRule="atLeast"/>
          <w:jc w:val="center"/>
        </w:trPr>
        <w:tc>
          <w:tcPr>
            <w:tcW w:w="9628" w:type="dxa"/>
            <w:gridSpan w:val="3"/>
            <w:vAlign w:val="center"/>
          </w:tcPr>
          <w:p w14:paraId="64761C49">
            <w:pPr>
              <w:rPr>
                <w:rFonts w:ascii="仿宋" w:hAnsi="仿宋" w:eastAsia="仿宋" w:cs="仿宋"/>
                <w:color w:val="auto"/>
                <w:szCs w:val="21"/>
              </w:rPr>
            </w:pPr>
          </w:p>
        </w:tc>
      </w:tr>
      <w:tr w14:paraId="09D16BB6">
        <w:tblPrEx>
          <w:tblCellMar>
            <w:top w:w="0" w:type="dxa"/>
            <w:left w:w="108" w:type="dxa"/>
            <w:bottom w:w="0" w:type="dxa"/>
            <w:right w:w="108" w:type="dxa"/>
          </w:tblCellMar>
        </w:tblPrEx>
        <w:trPr>
          <w:trHeight w:val="340" w:hRule="atLeast"/>
          <w:jc w:val="center"/>
        </w:trPr>
        <w:tc>
          <w:tcPr>
            <w:tcW w:w="4833" w:type="dxa"/>
            <w:gridSpan w:val="2"/>
            <w:vAlign w:val="center"/>
          </w:tcPr>
          <w:p w14:paraId="271B5F21">
            <w:pPr>
              <w:rPr>
                <w:rFonts w:ascii="仿宋" w:hAnsi="仿宋" w:eastAsia="仿宋" w:cs="仿宋"/>
                <w:b/>
                <w:bCs/>
                <w:color w:val="auto"/>
                <w:szCs w:val="21"/>
              </w:rPr>
            </w:pPr>
            <w:r>
              <w:rPr>
                <w:rFonts w:hint="eastAsia" w:ascii="仿宋" w:hAnsi="仿宋" w:eastAsia="仿宋" w:cs="仿宋"/>
                <w:b/>
                <w:bCs/>
                <w:color w:val="auto"/>
                <w:szCs w:val="21"/>
              </w:rPr>
              <w:t>丙方（盖章）：</w:t>
            </w:r>
          </w:p>
        </w:tc>
        <w:tc>
          <w:tcPr>
            <w:tcW w:w="4795" w:type="dxa"/>
            <w:vAlign w:val="center"/>
          </w:tcPr>
          <w:p w14:paraId="52966FB5">
            <w:pPr>
              <w:rPr>
                <w:rFonts w:ascii="仿宋" w:hAnsi="仿宋" w:eastAsia="仿宋" w:cs="仿宋"/>
                <w:b/>
                <w:bCs/>
                <w:color w:val="auto"/>
                <w:szCs w:val="21"/>
              </w:rPr>
            </w:pPr>
            <w:r>
              <w:rPr>
                <w:rFonts w:hint="eastAsia" w:ascii="仿宋" w:hAnsi="仿宋" w:eastAsia="仿宋" w:cs="仿宋"/>
                <w:b/>
                <w:bCs/>
                <w:color w:val="auto"/>
                <w:szCs w:val="21"/>
              </w:rPr>
              <w:t>鉴证方（盖章）：浙江求是招标代理有限公司</w:t>
            </w:r>
          </w:p>
        </w:tc>
      </w:tr>
      <w:tr w14:paraId="2BD24E5C">
        <w:tblPrEx>
          <w:tblCellMar>
            <w:top w:w="0" w:type="dxa"/>
            <w:left w:w="108" w:type="dxa"/>
            <w:bottom w:w="0" w:type="dxa"/>
            <w:right w:w="108" w:type="dxa"/>
          </w:tblCellMar>
        </w:tblPrEx>
        <w:trPr>
          <w:trHeight w:val="340" w:hRule="atLeast"/>
          <w:jc w:val="center"/>
        </w:trPr>
        <w:tc>
          <w:tcPr>
            <w:tcW w:w="4833" w:type="dxa"/>
            <w:gridSpan w:val="2"/>
            <w:vAlign w:val="center"/>
          </w:tcPr>
          <w:p w14:paraId="3104F01B">
            <w:pPr>
              <w:rPr>
                <w:rFonts w:ascii="仿宋" w:hAnsi="仿宋" w:eastAsia="仿宋" w:cs="仿宋"/>
                <w:color w:val="auto"/>
                <w:szCs w:val="21"/>
              </w:rPr>
            </w:pPr>
            <w:r>
              <w:rPr>
                <w:rFonts w:hint="eastAsia" w:ascii="仿宋" w:hAnsi="仿宋" w:eastAsia="仿宋" w:cs="仿宋"/>
                <w:color w:val="auto"/>
                <w:szCs w:val="21"/>
                <w:lang w:val="en-US" w:eastAsia="zh-CN"/>
              </w:rPr>
              <w:t>负责</w:t>
            </w:r>
            <w:r>
              <w:rPr>
                <w:rFonts w:hint="eastAsia" w:ascii="仿宋" w:hAnsi="仿宋" w:eastAsia="仿宋" w:cs="仿宋"/>
                <w:color w:val="auto"/>
                <w:szCs w:val="21"/>
              </w:rPr>
              <w:t>人：</w:t>
            </w:r>
          </w:p>
          <w:p w14:paraId="33206821">
            <w:pPr>
              <w:rPr>
                <w:rFonts w:ascii="仿宋" w:hAnsi="仿宋" w:eastAsia="仿宋" w:cs="仿宋"/>
                <w:color w:val="auto"/>
                <w:szCs w:val="21"/>
              </w:rPr>
            </w:pPr>
            <w:r>
              <w:rPr>
                <w:rFonts w:hint="eastAsia" w:ascii="仿宋" w:hAnsi="仿宋" w:eastAsia="仿宋" w:cs="仿宋"/>
                <w:color w:val="auto"/>
                <w:szCs w:val="21"/>
              </w:rPr>
              <w:t>（签字）</w:t>
            </w:r>
          </w:p>
        </w:tc>
        <w:tc>
          <w:tcPr>
            <w:tcW w:w="4795" w:type="dxa"/>
            <w:vAlign w:val="center"/>
          </w:tcPr>
          <w:p w14:paraId="425B7ED1">
            <w:pPr>
              <w:rPr>
                <w:rFonts w:ascii="仿宋" w:hAnsi="仿宋" w:eastAsia="仿宋" w:cs="仿宋"/>
                <w:color w:val="auto"/>
                <w:szCs w:val="21"/>
              </w:rPr>
            </w:pPr>
            <w:r>
              <w:rPr>
                <w:rFonts w:hint="eastAsia" w:ascii="仿宋" w:hAnsi="仿宋" w:eastAsia="仿宋" w:cs="仿宋"/>
                <w:color w:val="auto"/>
                <w:szCs w:val="21"/>
              </w:rPr>
              <w:t>法定代表人或受委托人：</w:t>
            </w:r>
          </w:p>
          <w:p w14:paraId="393A02E5">
            <w:pPr>
              <w:rPr>
                <w:rFonts w:ascii="仿宋" w:hAnsi="仿宋" w:eastAsia="仿宋" w:cs="仿宋"/>
                <w:color w:val="auto"/>
                <w:szCs w:val="21"/>
              </w:rPr>
            </w:pPr>
            <w:r>
              <w:rPr>
                <w:rFonts w:hint="eastAsia" w:ascii="仿宋" w:hAnsi="仿宋" w:eastAsia="仿宋" w:cs="仿宋"/>
                <w:color w:val="auto"/>
                <w:szCs w:val="21"/>
              </w:rPr>
              <w:t>（签字）</w:t>
            </w:r>
          </w:p>
        </w:tc>
      </w:tr>
      <w:tr w14:paraId="11D0FD71">
        <w:tblPrEx>
          <w:tblCellMar>
            <w:top w:w="0" w:type="dxa"/>
            <w:left w:w="108" w:type="dxa"/>
            <w:bottom w:w="0" w:type="dxa"/>
            <w:right w:w="108" w:type="dxa"/>
          </w:tblCellMar>
        </w:tblPrEx>
        <w:trPr>
          <w:trHeight w:val="340" w:hRule="atLeast"/>
          <w:jc w:val="center"/>
        </w:trPr>
        <w:tc>
          <w:tcPr>
            <w:tcW w:w="4833" w:type="dxa"/>
            <w:gridSpan w:val="2"/>
            <w:vAlign w:val="center"/>
          </w:tcPr>
          <w:p w14:paraId="09D5578F">
            <w:pPr>
              <w:rPr>
                <w:rFonts w:ascii="仿宋" w:hAnsi="仿宋" w:eastAsia="仿宋" w:cs="仿宋"/>
                <w:color w:val="auto"/>
                <w:szCs w:val="21"/>
              </w:rPr>
            </w:pPr>
            <w:r>
              <w:rPr>
                <w:rFonts w:hint="eastAsia" w:ascii="仿宋" w:hAnsi="仿宋" w:eastAsia="仿宋" w:cs="仿宋"/>
                <w:color w:val="auto"/>
                <w:szCs w:val="21"/>
              </w:rPr>
              <w:t>地址：</w:t>
            </w:r>
          </w:p>
        </w:tc>
        <w:tc>
          <w:tcPr>
            <w:tcW w:w="4795" w:type="dxa"/>
            <w:vAlign w:val="center"/>
          </w:tcPr>
          <w:p w14:paraId="4019A291">
            <w:pPr>
              <w:rPr>
                <w:rFonts w:hint="eastAsia" w:ascii="仿宋" w:hAnsi="仿宋" w:eastAsia="仿宋" w:cs="仿宋"/>
                <w:color w:val="auto"/>
                <w:szCs w:val="21"/>
              </w:rPr>
            </w:pPr>
            <w:r>
              <w:rPr>
                <w:rFonts w:hint="eastAsia" w:ascii="仿宋" w:hAnsi="仿宋" w:eastAsia="仿宋" w:cs="仿宋"/>
                <w:color w:val="auto"/>
                <w:szCs w:val="21"/>
              </w:rPr>
              <w:t>地址：杭州市西湖区玉古路173号中田大厦21楼</w:t>
            </w:r>
          </w:p>
        </w:tc>
      </w:tr>
      <w:tr w14:paraId="169A841A">
        <w:tblPrEx>
          <w:tblCellMar>
            <w:top w:w="0" w:type="dxa"/>
            <w:left w:w="108" w:type="dxa"/>
            <w:bottom w:w="0" w:type="dxa"/>
            <w:right w:w="108" w:type="dxa"/>
          </w:tblCellMar>
        </w:tblPrEx>
        <w:trPr>
          <w:trHeight w:val="340" w:hRule="atLeast"/>
          <w:jc w:val="center"/>
        </w:trPr>
        <w:tc>
          <w:tcPr>
            <w:tcW w:w="4833" w:type="dxa"/>
            <w:gridSpan w:val="2"/>
            <w:vAlign w:val="center"/>
          </w:tcPr>
          <w:p w14:paraId="24AE437D">
            <w:pPr>
              <w:rPr>
                <w:rFonts w:ascii="仿宋" w:hAnsi="仿宋" w:eastAsia="仿宋" w:cs="仿宋"/>
                <w:color w:val="auto"/>
                <w:szCs w:val="21"/>
              </w:rPr>
            </w:pPr>
          </w:p>
        </w:tc>
        <w:tc>
          <w:tcPr>
            <w:tcW w:w="4795" w:type="dxa"/>
            <w:vAlign w:val="center"/>
          </w:tcPr>
          <w:p w14:paraId="2EAA0429">
            <w:pPr>
              <w:rPr>
                <w:rFonts w:ascii="仿宋" w:hAnsi="仿宋" w:eastAsia="仿宋" w:cs="仿宋"/>
                <w:color w:val="auto"/>
                <w:szCs w:val="21"/>
              </w:rPr>
            </w:pPr>
            <w:r>
              <w:rPr>
                <w:rFonts w:hint="eastAsia" w:ascii="仿宋" w:hAnsi="仿宋" w:eastAsia="仿宋" w:cs="仿宋"/>
                <w:color w:val="auto"/>
                <w:szCs w:val="21"/>
              </w:rPr>
              <w:t>电话：0571-87679349</w:t>
            </w:r>
          </w:p>
        </w:tc>
      </w:tr>
      <w:tr w14:paraId="6F0727D9">
        <w:tblPrEx>
          <w:tblCellMar>
            <w:top w:w="0" w:type="dxa"/>
            <w:left w:w="108" w:type="dxa"/>
            <w:bottom w:w="0" w:type="dxa"/>
            <w:right w:w="108" w:type="dxa"/>
          </w:tblCellMar>
        </w:tblPrEx>
        <w:trPr>
          <w:trHeight w:val="340" w:hRule="atLeast"/>
          <w:jc w:val="center"/>
        </w:trPr>
        <w:tc>
          <w:tcPr>
            <w:tcW w:w="4833" w:type="dxa"/>
            <w:gridSpan w:val="2"/>
            <w:vAlign w:val="center"/>
          </w:tcPr>
          <w:p w14:paraId="58A60D5E">
            <w:pPr>
              <w:rPr>
                <w:rFonts w:ascii="仿宋" w:hAnsi="仿宋" w:eastAsia="仿宋" w:cs="仿宋"/>
                <w:color w:val="auto"/>
                <w:szCs w:val="21"/>
              </w:rPr>
            </w:pPr>
            <w:r>
              <w:rPr>
                <w:rFonts w:hint="eastAsia" w:ascii="仿宋" w:hAnsi="仿宋" w:eastAsia="仿宋" w:cs="仿宋"/>
                <w:color w:val="auto"/>
                <w:szCs w:val="21"/>
              </w:rPr>
              <w:t>签约地点：浙江工业大学朝晖校区</w:t>
            </w:r>
          </w:p>
        </w:tc>
        <w:tc>
          <w:tcPr>
            <w:tcW w:w="4795" w:type="dxa"/>
            <w:vAlign w:val="center"/>
          </w:tcPr>
          <w:p w14:paraId="5886A5A8">
            <w:pPr>
              <w:rPr>
                <w:rFonts w:ascii="仿宋" w:hAnsi="仿宋" w:eastAsia="仿宋" w:cs="仿宋"/>
                <w:color w:val="auto"/>
                <w:szCs w:val="21"/>
              </w:rPr>
            </w:pPr>
            <w:r>
              <w:rPr>
                <w:rFonts w:hint="eastAsia" w:ascii="仿宋" w:hAnsi="仿宋" w:eastAsia="仿宋" w:cs="仿宋"/>
                <w:color w:val="auto"/>
                <w:szCs w:val="21"/>
              </w:rPr>
              <w:t>签订时间：     年   月   日</w:t>
            </w:r>
          </w:p>
        </w:tc>
      </w:tr>
    </w:tbl>
    <w:p w14:paraId="271B9328">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8270B7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4D26915">
      <w:pPr>
        <w:adjustRightInd w:val="0"/>
        <w:snapToGrid w:val="0"/>
        <w:spacing w:line="360" w:lineRule="auto"/>
        <w:rPr>
          <w:rFonts w:ascii="仿宋" w:hAnsi="仿宋" w:eastAsia="仿宋" w:cs="仿宋"/>
          <w:b/>
          <w:bCs/>
          <w:color w:val="auto"/>
          <w:spacing w:val="-6"/>
          <w:sz w:val="24"/>
          <w:szCs w:val="24"/>
          <w:highlight w:val="none"/>
        </w:rPr>
      </w:pPr>
    </w:p>
    <w:p w14:paraId="6B71A5E3">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6C59CC11">
      <w:pPr>
        <w:adjustRightInd w:val="0"/>
        <w:snapToGrid w:val="0"/>
        <w:spacing w:line="360" w:lineRule="auto"/>
        <w:rPr>
          <w:rFonts w:ascii="仿宋" w:hAnsi="仿宋" w:eastAsia="仿宋" w:cs="仿宋"/>
          <w:b/>
          <w:bCs/>
          <w:color w:val="auto"/>
          <w:spacing w:val="-6"/>
          <w:sz w:val="24"/>
          <w:szCs w:val="24"/>
          <w:highlight w:val="none"/>
        </w:rPr>
      </w:pPr>
    </w:p>
    <w:p w14:paraId="06B48C76">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一、</w:t>
      </w:r>
      <w:r>
        <w:rPr>
          <w:rFonts w:hint="eastAsia" w:ascii="仿宋" w:hAnsi="仿宋" w:eastAsia="仿宋" w:cs="仿宋"/>
          <w:b/>
          <w:bCs/>
          <w:color w:val="auto"/>
          <w:spacing w:val="-6"/>
          <w:szCs w:val="21"/>
          <w:highlight w:val="none"/>
        </w:rPr>
        <w:t>资格文件（单独上传）</w:t>
      </w:r>
    </w:p>
    <w:p w14:paraId="2F42B813">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30BB59A3">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1.</w:t>
      </w:r>
      <w:r>
        <w:rPr>
          <w:rFonts w:hint="eastAsia" w:ascii="仿宋" w:hAnsi="仿宋" w:eastAsia="仿宋" w:cs="仿宋"/>
          <w:b/>
          <w:color w:val="auto"/>
          <w:spacing w:val="-6"/>
          <w:szCs w:val="21"/>
          <w:highlight w:val="none"/>
        </w:rPr>
        <w:t>有效的法人或者其他组织的营业执照等证明文件/自然人的身份证明</w:t>
      </w:r>
    </w:p>
    <w:p w14:paraId="33939135">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2.</w:t>
      </w:r>
      <w:r>
        <w:rPr>
          <w:rFonts w:hint="eastAsia" w:ascii="仿宋" w:hAnsi="仿宋" w:eastAsia="仿宋" w:cs="仿宋"/>
          <w:b/>
          <w:color w:val="auto"/>
          <w:spacing w:val="-6"/>
          <w:szCs w:val="21"/>
          <w:highlight w:val="none"/>
        </w:rPr>
        <w:t>符合参加政府采购活动应当具备的一般条件的承诺函</w:t>
      </w:r>
    </w:p>
    <w:p w14:paraId="06D97994">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3.落实政府采购政策需满足的资格要求</w:t>
      </w:r>
    </w:p>
    <w:p w14:paraId="605AE849">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4.联合协议（若联合体投标）</w:t>
      </w:r>
    </w:p>
    <w:p w14:paraId="7763E27E">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3ADC821C">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rPr>
        <w:t>商务和</w:t>
      </w:r>
      <w:r>
        <w:rPr>
          <w:rFonts w:hint="eastAsia" w:ascii="仿宋" w:hAnsi="仿宋" w:eastAsia="仿宋" w:cs="仿宋"/>
          <w:b/>
          <w:bCs/>
          <w:color w:val="auto"/>
          <w:spacing w:val="-6"/>
          <w:szCs w:val="21"/>
          <w:highlight w:val="none"/>
        </w:rPr>
        <w:t>技术文件（单独上传）</w:t>
      </w:r>
    </w:p>
    <w:p w14:paraId="758215E1">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投标函</w:t>
      </w:r>
    </w:p>
    <w:p w14:paraId="6E469500">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366BD90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left"/>
        <w:textAlignment w:val="auto"/>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4C5B73C9">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采购需求偏离表</w:t>
      </w:r>
    </w:p>
    <w:p w14:paraId="05604E96">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投标人同类合同实施情况一览表</w:t>
      </w:r>
    </w:p>
    <w:p w14:paraId="7C6EF6BB">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5.商务分评审其他相关证明材料</w:t>
      </w:r>
    </w:p>
    <w:p w14:paraId="52BD9096">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技术方案</w:t>
      </w:r>
    </w:p>
    <w:p w14:paraId="57D15C68">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培训计划</w:t>
      </w:r>
    </w:p>
    <w:p w14:paraId="2F0213FA">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售后服务方案</w:t>
      </w:r>
    </w:p>
    <w:p w14:paraId="2F18E9B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9.项目团队人员一览表</w:t>
      </w:r>
    </w:p>
    <w:p w14:paraId="38A8FF4F">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报价文件</w:t>
      </w:r>
      <w:r>
        <w:rPr>
          <w:rFonts w:hint="eastAsia" w:ascii="仿宋" w:hAnsi="仿宋" w:eastAsia="仿宋" w:cs="仿宋"/>
          <w:b/>
          <w:bCs/>
          <w:color w:val="auto"/>
          <w:spacing w:val="-6"/>
          <w:szCs w:val="21"/>
          <w:highlight w:val="none"/>
        </w:rPr>
        <w:t>（单独上传）</w:t>
      </w:r>
    </w:p>
    <w:p w14:paraId="60EC418C">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开标一览表</w:t>
      </w:r>
    </w:p>
    <w:p w14:paraId="49C7615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BFC1EB">
      <w:pPr>
        <w:adjustRightInd w:val="0"/>
        <w:snapToGrid w:val="0"/>
        <w:spacing w:line="288" w:lineRule="auto"/>
        <w:jc w:val="center"/>
        <w:rPr>
          <w:rFonts w:ascii="仿宋" w:hAnsi="仿宋" w:eastAsia="仿宋" w:cs="仿宋"/>
          <w:b/>
          <w:bCs/>
          <w:color w:val="auto"/>
          <w:sz w:val="84"/>
          <w:szCs w:val="84"/>
          <w:highlight w:val="none"/>
        </w:rPr>
      </w:pPr>
    </w:p>
    <w:p w14:paraId="6F900EF4">
      <w:pPr>
        <w:adjustRightInd w:val="0"/>
        <w:snapToGrid w:val="0"/>
        <w:spacing w:line="288" w:lineRule="auto"/>
        <w:jc w:val="center"/>
        <w:rPr>
          <w:rFonts w:ascii="仿宋" w:hAnsi="仿宋" w:eastAsia="仿宋" w:cs="仿宋"/>
          <w:b/>
          <w:bCs/>
          <w:color w:val="auto"/>
          <w:sz w:val="84"/>
          <w:szCs w:val="84"/>
          <w:highlight w:val="none"/>
        </w:rPr>
      </w:pPr>
    </w:p>
    <w:p w14:paraId="6AA9ABD6">
      <w:pPr>
        <w:adjustRightInd w:val="0"/>
        <w:snapToGrid w:val="0"/>
        <w:spacing w:line="288" w:lineRule="auto"/>
        <w:jc w:val="center"/>
        <w:rPr>
          <w:rFonts w:ascii="仿宋" w:hAnsi="仿宋" w:eastAsia="仿宋" w:cs="仿宋"/>
          <w:b/>
          <w:bCs/>
          <w:color w:val="auto"/>
          <w:sz w:val="84"/>
          <w:szCs w:val="84"/>
          <w:highlight w:val="none"/>
        </w:rPr>
      </w:pPr>
    </w:p>
    <w:p w14:paraId="3C1BB3CD">
      <w:pPr>
        <w:adjustRightInd w:val="0"/>
        <w:snapToGrid w:val="0"/>
        <w:spacing w:line="288" w:lineRule="auto"/>
        <w:jc w:val="center"/>
        <w:rPr>
          <w:rFonts w:ascii="仿宋" w:hAnsi="仿宋" w:eastAsia="仿宋" w:cs="仿宋"/>
          <w:b/>
          <w:bCs/>
          <w:color w:val="auto"/>
          <w:sz w:val="84"/>
          <w:szCs w:val="84"/>
          <w:highlight w:val="none"/>
        </w:rPr>
      </w:pPr>
    </w:p>
    <w:p w14:paraId="5129312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46A65ED0">
      <w:pPr>
        <w:adjustRightInd w:val="0"/>
        <w:snapToGrid w:val="0"/>
        <w:spacing w:line="288" w:lineRule="auto"/>
        <w:jc w:val="center"/>
        <w:rPr>
          <w:rFonts w:ascii="仿宋" w:hAnsi="仿宋" w:eastAsia="仿宋" w:cs="仿宋"/>
          <w:b/>
          <w:bCs/>
          <w:color w:val="auto"/>
          <w:sz w:val="84"/>
          <w:szCs w:val="84"/>
          <w:highlight w:val="none"/>
        </w:rPr>
      </w:pPr>
    </w:p>
    <w:p w14:paraId="6D2F8515">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0417FC4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A5BDFB">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30D5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07E5CF6D">
      <w:pPr>
        <w:adjustRightInd w:val="0"/>
        <w:snapToGrid w:val="0"/>
        <w:spacing w:line="360" w:lineRule="auto"/>
        <w:rPr>
          <w:rFonts w:ascii="仿宋" w:hAnsi="仿宋" w:eastAsia="仿宋" w:cs="仿宋"/>
          <w:color w:val="auto"/>
          <w:szCs w:val="21"/>
          <w:highlight w:val="none"/>
        </w:rPr>
      </w:pPr>
    </w:p>
    <w:p w14:paraId="036FE371">
      <w:pPr>
        <w:adjustRightInd w:val="0"/>
        <w:snapToGrid w:val="0"/>
        <w:spacing w:line="360" w:lineRule="auto"/>
        <w:rPr>
          <w:rFonts w:ascii="仿宋" w:hAnsi="仿宋" w:eastAsia="仿宋" w:cs="仿宋"/>
          <w:color w:val="auto"/>
          <w:szCs w:val="21"/>
          <w:highlight w:val="none"/>
        </w:rPr>
      </w:pPr>
    </w:p>
    <w:p w14:paraId="1C850E0C">
      <w:pPr>
        <w:adjustRightInd w:val="0"/>
        <w:snapToGrid w:val="0"/>
        <w:spacing w:line="360" w:lineRule="auto"/>
        <w:rPr>
          <w:rFonts w:ascii="仿宋" w:hAnsi="仿宋" w:eastAsia="仿宋" w:cs="仿宋"/>
          <w:b/>
          <w:bCs/>
          <w:color w:val="auto"/>
          <w:szCs w:val="21"/>
          <w:highlight w:val="none"/>
        </w:rPr>
      </w:pPr>
    </w:p>
    <w:p w14:paraId="683D25F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CCF8B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45AE52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7BD324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719D30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CC5DFB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95EC7ED">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2CA0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9422ED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14:paraId="41DA27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浙江工业大学高校一站式化学品与材料采购平台开发服务</w:t>
      </w:r>
      <w:r>
        <w:rPr>
          <w:rFonts w:hint="eastAsia" w:ascii="仿宋" w:hAnsi="仿宋" w:eastAsia="仿宋" w:cs="仿宋"/>
          <w:color w:val="auto"/>
          <w:spacing w:val="-6"/>
          <w:szCs w:val="21"/>
          <w:highlight w:val="none"/>
        </w:rPr>
        <w:t>的采购活动并承诺如下：</w:t>
      </w:r>
    </w:p>
    <w:p w14:paraId="77DB25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285C0B0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0B1B0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48D498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C29A798">
      <w:pPr>
        <w:adjustRightInd w:val="0"/>
        <w:snapToGrid w:val="0"/>
        <w:spacing w:line="360" w:lineRule="auto"/>
        <w:rPr>
          <w:rFonts w:ascii="仿宋" w:hAnsi="仿宋" w:eastAsia="仿宋" w:cs="仿宋"/>
          <w:color w:val="auto"/>
          <w:szCs w:val="21"/>
          <w:highlight w:val="none"/>
        </w:rPr>
      </w:pPr>
    </w:p>
    <w:p w14:paraId="13C37B34">
      <w:pPr>
        <w:adjustRightInd w:val="0"/>
        <w:snapToGrid w:val="0"/>
        <w:spacing w:line="360" w:lineRule="auto"/>
        <w:rPr>
          <w:rFonts w:ascii="仿宋" w:hAnsi="仿宋" w:eastAsia="仿宋" w:cs="仿宋"/>
          <w:b/>
          <w:bCs/>
          <w:color w:val="auto"/>
          <w:spacing w:val="-6"/>
          <w:szCs w:val="21"/>
          <w:highlight w:val="none"/>
        </w:rPr>
      </w:pPr>
    </w:p>
    <w:p w14:paraId="6E6D6214">
      <w:pPr>
        <w:adjustRightInd w:val="0"/>
        <w:snapToGrid w:val="0"/>
        <w:spacing w:line="360" w:lineRule="auto"/>
        <w:rPr>
          <w:rFonts w:ascii="仿宋" w:hAnsi="仿宋" w:eastAsia="仿宋" w:cs="仿宋"/>
          <w:b/>
          <w:bCs/>
          <w:color w:val="auto"/>
          <w:spacing w:val="-6"/>
          <w:szCs w:val="21"/>
          <w:highlight w:val="none"/>
        </w:rPr>
      </w:pPr>
    </w:p>
    <w:p w14:paraId="776092C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3A9E6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296AF0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8532476">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14:paraId="4653E88E">
      <w:pPr>
        <w:spacing w:line="360" w:lineRule="auto"/>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0963B61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高校一站式化学品与材料采购平台开发服务</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活动，服务全部由符合政策要求的中小企业承接。相关企业（含联合体中的中小企业）的具体情况如下：</w:t>
      </w:r>
    </w:p>
    <w:p w14:paraId="3DF32D37">
      <w:pPr>
        <w:adjustRightInd w:val="0"/>
        <w:snapToGrid w:val="0"/>
        <w:spacing w:line="360" w:lineRule="auto"/>
        <w:ind w:firstLine="420" w:firstLineChars="200"/>
        <w:rPr>
          <w:rFonts w:hint="eastAsia" w:ascii="仿宋" w:hAnsi="仿宋" w:eastAsia="仿宋" w:cs="仿宋"/>
          <w:b/>
          <w:bCs/>
          <w:iCs/>
          <w:szCs w:val="21"/>
          <w:highlight w:val="none"/>
          <w:lang w:eastAsia="zh-CN"/>
        </w:rPr>
      </w:pPr>
      <w:r>
        <w:rPr>
          <w:rFonts w:hint="eastAsia" w:ascii="仿宋" w:hAnsi="仿宋" w:eastAsia="仿宋" w:cs="仿宋"/>
          <w:szCs w:val="21"/>
          <w:highlight w:val="none"/>
          <w:lang w:eastAsia="zh-CN"/>
        </w:rPr>
        <w:t>高校一站式化学品与材料采购平台开发服务</w:t>
      </w:r>
      <w:r>
        <w:rPr>
          <w:rFonts w:hint="eastAsia" w:ascii="仿宋" w:hAnsi="仿宋" w:eastAsia="仿宋" w:cs="仿宋"/>
          <w:szCs w:val="21"/>
          <w:highlight w:val="none"/>
        </w:rPr>
        <w:t>，属于软件和信息技术服务业；承接企业为</w:t>
      </w:r>
      <w:r>
        <w:rPr>
          <w:rFonts w:hint="eastAsia" w:ascii="仿宋" w:hAnsi="仿宋" w:eastAsia="仿宋" w:cs="仿宋"/>
          <w:b w:val="0"/>
          <w:bCs w:val="0"/>
          <w:szCs w:val="21"/>
          <w:highlight w:val="none"/>
          <w:u w:val="single"/>
          <w:lang w:val="en-US" w:eastAsia="zh-CN"/>
        </w:rPr>
        <w:t>___________________</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49BEDBCE">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4FEDAD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C7D4894">
      <w:pPr>
        <w:adjustRightInd w:val="0"/>
        <w:snapToGrid w:val="0"/>
        <w:spacing w:line="360" w:lineRule="auto"/>
        <w:ind w:firstLine="420" w:firstLineChars="200"/>
        <w:rPr>
          <w:rFonts w:ascii="仿宋" w:hAnsi="仿宋" w:eastAsia="仿宋" w:cs="仿宋"/>
          <w:color w:val="auto"/>
          <w:szCs w:val="21"/>
          <w:highlight w:val="none"/>
        </w:rPr>
      </w:pPr>
    </w:p>
    <w:p w14:paraId="34CE0AC5">
      <w:pPr>
        <w:adjustRightInd w:val="0"/>
        <w:snapToGrid w:val="0"/>
        <w:spacing w:line="360" w:lineRule="auto"/>
        <w:ind w:firstLine="420" w:firstLineChars="200"/>
        <w:rPr>
          <w:rFonts w:ascii="仿宋" w:hAnsi="仿宋" w:eastAsia="仿宋" w:cs="仿宋"/>
          <w:color w:val="auto"/>
          <w:szCs w:val="21"/>
          <w:highlight w:val="none"/>
        </w:rPr>
      </w:pPr>
    </w:p>
    <w:p w14:paraId="5F5D4705">
      <w:pPr>
        <w:adjustRightInd w:val="0"/>
        <w:snapToGrid w:val="0"/>
        <w:spacing w:line="360" w:lineRule="auto"/>
        <w:ind w:firstLine="420" w:firstLineChars="200"/>
        <w:rPr>
          <w:rFonts w:ascii="仿宋" w:hAnsi="仿宋" w:eastAsia="仿宋" w:cs="仿宋"/>
          <w:color w:val="auto"/>
          <w:szCs w:val="21"/>
          <w:highlight w:val="none"/>
        </w:rPr>
      </w:pPr>
    </w:p>
    <w:p w14:paraId="7FADCD4F">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587AEF7E">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2FEB4281">
      <w:pPr>
        <w:adjustRightInd w:val="0"/>
        <w:snapToGrid w:val="0"/>
        <w:spacing w:line="360" w:lineRule="auto"/>
        <w:ind w:firstLine="420" w:firstLineChars="200"/>
        <w:rPr>
          <w:rFonts w:ascii="仿宋" w:hAnsi="仿宋" w:eastAsia="仿宋" w:cs="仿宋"/>
          <w:color w:val="auto"/>
          <w:szCs w:val="21"/>
          <w:highlight w:val="none"/>
        </w:rPr>
      </w:pPr>
    </w:p>
    <w:p w14:paraId="453FAA5C">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2BADBD71">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57A687C2">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46EB661C">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3.承接企业，服务由中小企业承接，即提供服务的人员为中小企业依照《中华人民共和国劳动合同法》订立劳动合同的从业人员；</w:t>
      </w:r>
    </w:p>
    <w:p w14:paraId="0B208BE6">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6DD3E11F">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056C01C9">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2022B6B2">
      <w:pPr>
        <w:spacing w:line="360" w:lineRule="auto"/>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24F9B156">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26A9004D">
      <w:pPr>
        <w:adjustRightInd w:val="0"/>
        <w:snapToGrid w:val="0"/>
        <w:spacing w:line="360" w:lineRule="auto"/>
        <w:rPr>
          <w:rFonts w:ascii="仿宋" w:hAnsi="仿宋" w:eastAsia="仿宋" w:cs="仿宋"/>
          <w:color w:val="auto"/>
          <w:szCs w:val="21"/>
          <w:highlight w:val="none"/>
        </w:rPr>
      </w:pPr>
    </w:p>
    <w:p w14:paraId="0ACAC361">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0FF7715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57928DD">
      <w:pPr>
        <w:spacing w:line="360" w:lineRule="auto"/>
        <w:jc w:val="center"/>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376A52FA">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0C982B14">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浙江工业大学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高校一站式化学品与材料采购平台开发服务</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活动由本单位提供服务。</w:t>
      </w:r>
    </w:p>
    <w:p w14:paraId="3CDA1024">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063687B8">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53A979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26B9447">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2836B5B3">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417D9F6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026F3C82">
      <w:pPr>
        <w:adjustRightInd w:val="0"/>
        <w:snapToGrid w:val="0"/>
        <w:spacing w:line="360" w:lineRule="auto"/>
        <w:ind w:firstLine="420" w:firstLineChars="200"/>
        <w:rPr>
          <w:rFonts w:ascii="仿宋" w:hAnsi="仿宋" w:eastAsia="仿宋" w:cs="仿宋"/>
          <w:color w:val="auto"/>
          <w:szCs w:val="21"/>
          <w:highlight w:val="none"/>
        </w:rPr>
      </w:pPr>
    </w:p>
    <w:p w14:paraId="56A71276">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A57807E">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2DE23ACC">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400548B7">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73423880">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84AF203">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5D780A66">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7FCD625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618D2E2">
      <w:pPr>
        <w:pStyle w:val="22"/>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58D68383">
      <w:pPr>
        <w:pStyle w:val="22"/>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61EF8845">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10D81D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137939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227B79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70CD0B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0B804B8E">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27B13F08">
      <w:pPr>
        <w:adjustRightInd w:val="0"/>
        <w:snapToGrid w:val="0"/>
        <w:spacing w:line="288" w:lineRule="auto"/>
        <w:jc w:val="center"/>
        <w:rPr>
          <w:rFonts w:ascii="仿宋" w:hAnsi="仿宋" w:eastAsia="仿宋" w:cs="仿宋"/>
          <w:b/>
          <w:bCs/>
          <w:color w:val="auto"/>
          <w:sz w:val="84"/>
          <w:szCs w:val="84"/>
          <w:highlight w:val="none"/>
        </w:rPr>
      </w:pPr>
    </w:p>
    <w:p w14:paraId="50A18D59">
      <w:pPr>
        <w:adjustRightInd w:val="0"/>
        <w:snapToGrid w:val="0"/>
        <w:spacing w:line="288" w:lineRule="auto"/>
        <w:jc w:val="center"/>
        <w:rPr>
          <w:rFonts w:ascii="仿宋" w:hAnsi="仿宋" w:eastAsia="仿宋" w:cs="仿宋"/>
          <w:b/>
          <w:bCs/>
          <w:color w:val="auto"/>
          <w:sz w:val="84"/>
          <w:szCs w:val="84"/>
          <w:highlight w:val="none"/>
        </w:rPr>
      </w:pPr>
    </w:p>
    <w:p w14:paraId="43232E35">
      <w:pPr>
        <w:adjustRightInd w:val="0"/>
        <w:snapToGrid w:val="0"/>
        <w:spacing w:line="288" w:lineRule="auto"/>
        <w:jc w:val="center"/>
        <w:rPr>
          <w:rFonts w:ascii="仿宋" w:hAnsi="仿宋" w:eastAsia="仿宋" w:cs="仿宋"/>
          <w:b/>
          <w:bCs/>
          <w:color w:val="auto"/>
          <w:sz w:val="84"/>
          <w:szCs w:val="84"/>
          <w:highlight w:val="none"/>
        </w:rPr>
      </w:pPr>
    </w:p>
    <w:p w14:paraId="3CF0A129">
      <w:pPr>
        <w:adjustRightInd w:val="0"/>
        <w:snapToGrid w:val="0"/>
        <w:spacing w:line="288" w:lineRule="auto"/>
        <w:jc w:val="center"/>
        <w:rPr>
          <w:rFonts w:ascii="仿宋" w:hAnsi="仿宋" w:eastAsia="仿宋" w:cs="仿宋"/>
          <w:b/>
          <w:bCs/>
          <w:color w:val="auto"/>
          <w:sz w:val="84"/>
          <w:szCs w:val="84"/>
          <w:highlight w:val="none"/>
        </w:rPr>
      </w:pPr>
    </w:p>
    <w:p w14:paraId="7C0C781C">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144CD2F">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C22658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致：浙江工业大学、浙江求是招标代理有限公司</w:t>
      </w:r>
    </w:p>
    <w:p w14:paraId="308C01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浙江工业大学高校一站式化学品与材料采购平台开发服务</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QSZBH250032ZFGK]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D89E95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9667B3">
            <w:pPr>
              <w:jc w:val="center"/>
              <w:rPr>
                <w:rFonts w:ascii="仿宋" w:hAnsi="仿宋" w:eastAsia="仿宋" w:cs="仿宋"/>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1EAF61AF">
            <w:pPr>
              <w:jc w:val="center"/>
              <w:rPr>
                <w:rFonts w:ascii="仿宋" w:hAnsi="仿宋" w:eastAsia="仿宋" w:cs="仿宋"/>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4C41B97F">
            <w:pPr>
              <w:jc w:val="center"/>
              <w:rPr>
                <w:rFonts w:ascii="仿宋" w:hAnsi="仿宋" w:eastAsia="仿宋" w:cs="仿宋"/>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1C28249">
            <w:pPr>
              <w:jc w:val="center"/>
              <w:rPr>
                <w:rFonts w:ascii="仿宋" w:hAnsi="仿宋" w:eastAsia="仿宋" w:cs="仿宋"/>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C3F8CC2">
            <w:pPr>
              <w:jc w:val="center"/>
              <w:rPr>
                <w:rFonts w:ascii="仿宋" w:hAnsi="仿宋" w:eastAsia="仿宋" w:cs="仿宋"/>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E783983">
            <w:pPr>
              <w:jc w:val="center"/>
              <w:rPr>
                <w:rFonts w:ascii="仿宋" w:hAnsi="仿宋" w:eastAsia="仿宋" w:cs="仿宋"/>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1D1EE9BF">
            <w:pPr>
              <w:jc w:val="center"/>
              <w:rPr>
                <w:rFonts w:ascii="仿宋" w:hAnsi="仿宋" w:eastAsia="仿宋" w:cs="仿宋"/>
                <w:color w:val="auto"/>
                <w:szCs w:val="21"/>
                <w:highlight w:val="none"/>
              </w:rPr>
            </w:pPr>
          </w:p>
        </w:tc>
      </w:tr>
    </w:tbl>
    <w:p w14:paraId="78BE5762">
      <w:pPr>
        <w:adjustRightInd w:val="0"/>
        <w:snapToGrid w:val="0"/>
        <w:spacing w:line="360" w:lineRule="auto"/>
        <w:rPr>
          <w:rFonts w:ascii="仿宋" w:hAnsi="仿宋" w:eastAsia="仿宋" w:cs="仿宋"/>
          <w:color w:val="auto"/>
          <w:spacing w:val="-6"/>
          <w:szCs w:val="21"/>
          <w:highlight w:val="none"/>
        </w:rPr>
      </w:pPr>
    </w:p>
    <w:p w14:paraId="69EFDC21">
      <w:pPr>
        <w:adjustRightInd w:val="0"/>
        <w:snapToGrid w:val="0"/>
        <w:spacing w:line="360" w:lineRule="auto"/>
        <w:rPr>
          <w:rFonts w:ascii="仿宋" w:hAnsi="仿宋" w:eastAsia="仿宋" w:cs="仿宋"/>
          <w:color w:val="auto"/>
          <w:spacing w:val="-6"/>
          <w:szCs w:val="21"/>
          <w:highlight w:val="none"/>
        </w:rPr>
      </w:pPr>
    </w:p>
    <w:p w14:paraId="3A4923D5">
      <w:pPr>
        <w:adjustRightInd w:val="0"/>
        <w:snapToGrid w:val="0"/>
        <w:spacing w:line="360" w:lineRule="auto"/>
        <w:rPr>
          <w:rFonts w:ascii="仿宋" w:hAnsi="仿宋" w:eastAsia="仿宋" w:cs="仿宋"/>
          <w:b/>
          <w:bCs/>
          <w:color w:val="auto"/>
          <w:spacing w:val="-6"/>
          <w:szCs w:val="21"/>
          <w:highlight w:val="none"/>
        </w:rPr>
      </w:pPr>
    </w:p>
    <w:p w14:paraId="0ECAF1D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C58C30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548586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D7AF80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11AC6D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浙江工业大学</w:t>
      </w:r>
      <w:r>
        <w:rPr>
          <w:rFonts w:hint="eastAsia" w:ascii="仿宋" w:hAnsi="仿宋" w:eastAsia="仿宋" w:cs="仿宋"/>
          <w:b/>
          <w:color w:val="auto"/>
          <w:spacing w:val="-6"/>
          <w:szCs w:val="21"/>
          <w:highlight w:val="none"/>
        </w:rPr>
        <w:t>、浙江求是招标代理有限公司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浙江工业大学高校一站式化学品与材料采购平台开发服务</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QSZBH250032ZFGK]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6879FA">
      <w:pPr>
        <w:adjustRightInd w:val="0"/>
        <w:snapToGrid w:val="0"/>
        <w:spacing w:line="360" w:lineRule="auto"/>
        <w:rPr>
          <w:rFonts w:ascii="仿宋" w:hAnsi="仿宋" w:eastAsia="仿宋" w:cs="仿宋"/>
          <w:color w:val="auto"/>
          <w:szCs w:val="21"/>
          <w:highlight w:val="none"/>
        </w:rPr>
      </w:pPr>
    </w:p>
    <w:p w14:paraId="1364594F">
      <w:pPr>
        <w:adjustRightInd w:val="0"/>
        <w:snapToGrid w:val="0"/>
        <w:spacing w:line="360" w:lineRule="auto"/>
        <w:rPr>
          <w:rFonts w:ascii="仿宋" w:hAnsi="仿宋" w:eastAsia="仿宋" w:cs="仿宋"/>
          <w:b/>
          <w:bCs/>
          <w:color w:val="auto"/>
          <w:spacing w:val="-6"/>
          <w:szCs w:val="21"/>
          <w:highlight w:val="none"/>
        </w:rPr>
      </w:pPr>
    </w:p>
    <w:p w14:paraId="2F4B8E0E">
      <w:pPr>
        <w:adjustRightInd w:val="0"/>
        <w:snapToGrid w:val="0"/>
        <w:spacing w:line="360" w:lineRule="auto"/>
        <w:rPr>
          <w:rFonts w:ascii="仿宋" w:hAnsi="仿宋" w:eastAsia="仿宋" w:cs="仿宋"/>
          <w:b/>
          <w:bCs/>
          <w:color w:val="auto"/>
          <w:spacing w:val="-6"/>
          <w:szCs w:val="21"/>
          <w:highlight w:val="none"/>
        </w:rPr>
      </w:pPr>
    </w:p>
    <w:p w14:paraId="2C47A7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7A0D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390F7A8">
      <w:pPr>
        <w:ind w:left="0" w:leftChars="0" w:right="0" w:rightChars="0" w:firstLine="0" w:firstLineChars="0"/>
        <w:jc w:val="both"/>
        <w:rPr>
          <w:rFonts w:hint="eastAsia" w:ascii="仿宋" w:hAnsi="仿宋" w:eastAsia="仿宋" w:cs="仿宋"/>
          <w:b/>
          <w:bCs/>
          <w:color w:val="auto"/>
          <w:sz w:val="24"/>
          <w:szCs w:val="24"/>
          <w:highlight w:val="none"/>
        </w:rPr>
      </w:pPr>
    </w:p>
    <w:p w14:paraId="3C49D9D0">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C887F3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A5BB80B">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9905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E48B929">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14:paraId="0E40A71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浙江工业大学高校一站式化学品与材料采购平台开发服务</w:t>
      </w:r>
    </w:p>
    <w:p w14:paraId="771FD8F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QSZBH250032ZFGK</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5"/>
        <w:gridCol w:w="3118"/>
        <w:gridCol w:w="2946"/>
        <w:gridCol w:w="2958"/>
      </w:tblGrid>
      <w:tr w14:paraId="627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3B819EE">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619" w:type="pct"/>
            <w:vAlign w:val="center"/>
          </w:tcPr>
          <w:p w14:paraId="6C09C07E">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招标文件要求</w:t>
            </w:r>
          </w:p>
        </w:tc>
        <w:tc>
          <w:tcPr>
            <w:tcW w:w="1530" w:type="pct"/>
            <w:vAlign w:val="center"/>
          </w:tcPr>
          <w:p w14:paraId="5A72D74B">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响应规格</w:t>
            </w:r>
          </w:p>
        </w:tc>
        <w:tc>
          <w:tcPr>
            <w:tcW w:w="1534" w:type="pct"/>
            <w:vAlign w:val="center"/>
          </w:tcPr>
          <w:p w14:paraId="46F312B7">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是否偏离（提供说明）</w:t>
            </w:r>
          </w:p>
        </w:tc>
      </w:tr>
      <w:tr w14:paraId="20B9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590853D8">
            <w:pPr>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rPr>
              <w:t>采购资金的支付方式、时间、条件（具体条款详见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211B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0FE268A">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2C6D15E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支付方式</w:t>
            </w:r>
          </w:p>
        </w:tc>
        <w:tc>
          <w:tcPr>
            <w:tcW w:w="1530" w:type="pct"/>
            <w:vAlign w:val="center"/>
          </w:tcPr>
          <w:p w14:paraId="5BB8CCD8">
            <w:pPr>
              <w:jc w:val="center"/>
              <w:rPr>
                <w:rFonts w:ascii="仿宋" w:hAnsi="仿宋" w:eastAsia="仿宋" w:cs="仿宋"/>
                <w:color w:val="auto"/>
                <w:sz w:val="18"/>
                <w:szCs w:val="18"/>
                <w:highlight w:val="none"/>
              </w:rPr>
            </w:pPr>
          </w:p>
        </w:tc>
        <w:tc>
          <w:tcPr>
            <w:tcW w:w="1534" w:type="pct"/>
            <w:vAlign w:val="center"/>
          </w:tcPr>
          <w:p w14:paraId="59954923">
            <w:pPr>
              <w:jc w:val="center"/>
              <w:rPr>
                <w:rFonts w:ascii="仿宋" w:hAnsi="仿宋" w:eastAsia="仿宋" w:cs="仿宋"/>
                <w:color w:val="auto"/>
                <w:sz w:val="18"/>
                <w:szCs w:val="18"/>
                <w:highlight w:val="none"/>
              </w:rPr>
            </w:pPr>
          </w:p>
        </w:tc>
      </w:tr>
      <w:tr w14:paraId="1D4A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40FCE89">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1A75EA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▲支付时间及条件</w:t>
            </w:r>
          </w:p>
        </w:tc>
        <w:tc>
          <w:tcPr>
            <w:tcW w:w="1530" w:type="pct"/>
            <w:vAlign w:val="center"/>
          </w:tcPr>
          <w:p w14:paraId="38853AF7">
            <w:pPr>
              <w:jc w:val="center"/>
              <w:rPr>
                <w:rFonts w:ascii="仿宋" w:hAnsi="仿宋" w:eastAsia="仿宋" w:cs="仿宋"/>
                <w:color w:val="auto"/>
                <w:sz w:val="18"/>
                <w:szCs w:val="18"/>
                <w:highlight w:val="none"/>
              </w:rPr>
            </w:pPr>
          </w:p>
        </w:tc>
        <w:tc>
          <w:tcPr>
            <w:tcW w:w="1534" w:type="pct"/>
            <w:vAlign w:val="center"/>
          </w:tcPr>
          <w:p w14:paraId="71ACFF89">
            <w:pPr>
              <w:jc w:val="center"/>
              <w:rPr>
                <w:rFonts w:ascii="仿宋" w:hAnsi="仿宋" w:eastAsia="仿宋" w:cs="仿宋"/>
                <w:color w:val="auto"/>
                <w:sz w:val="18"/>
                <w:szCs w:val="18"/>
                <w:highlight w:val="none"/>
              </w:rPr>
            </w:pPr>
          </w:p>
        </w:tc>
      </w:tr>
      <w:tr w14:paraId="4746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0ABD0EE4">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0A9A133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▲履约保证金</w:t>
            </w:r>
          </w:p>
        </w:tc>
        <w:tc>
          <w:tcPr>
            <w:tcW w:w="1530" w:type="pct"/>
            <w:vAlign w:val="center"/>
          </w:tcPr>
          <w:p w14:paraId="14AF9BB4">
            <w:pPr>
              <w:jc w:val="center"/>
              <w:rPr>
                <w:rFonts w:ascii="仿宋" w:hAnsi="仿宋" w:eastAsia="仿宋" w:cs="仿宋"/>
                <w:color w:val="auto"/>
                <w:sz w:val="18"/>
                <w:szCs w:val="18"/>
                <w:highlight w:val="none"/>
              </w:rPr>
            </w:pPr>
          </w:p>
        </w:tc>
        <w:tc>
          <w:tcPr>
            <w:tcW w:w="1534" w:type="pct"/>
            <w:vAlign w:val="center"/>
          </w:tcPr>
          <w:p w14:paraId="1D08B590">
            <w:pPr>
              <w:jc w:val="center"/>
              <w:rPr>
                <w:rFonts w:ascii="仿宋" w:hAnsi="仿宋" w:eastAsia="仿宋" w:cs="仿宋"/>
                <w:color w:val="auto"/>
                <w:sz w:val="18"/>
                <w:szCs w:val="18"/>
                <w:highlight w:val="none"/>
              </w:rPr>
            </w:pPr>
          </w:p>
        </w:tc>
      </w:tr>
      <w:tr w14:paraId="6F40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603C51D1">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服务要求（具体条款详见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7E1D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A157DAB">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386B45C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交付时间</w:t>
            </w:r>
          </w:p>
        </w:tc>
        <w:tc>
          <w:tcPr>
            <w:tcW w:w="1530" w:type="pct"/>
            <w:vAlign w:val="center"/>
          </w:tcPr>
          <w:p w14:paraId="5F8227D2">
            <w:pPr>
              <w:jc w:val="center"/>
              <w:rPr>
                <w:rFonts w:ascii="仿宋" w:hAnsi="仿宋" w:eastAsia="仿宋" w:cs="仿宋"/>
                <w:color w:val="auto"/>
                <w:sz w:val="18"/>
                <w:szCs w:val="18"/>
                <w:highlight w:val="none"/>
              </w:rPr>
            </w:pPr>
          </w:p>
        </w:tc>
        <w:tc>
          <w:tcPr>
            <w:tcW w:w="1534" w:type="pct"/>
            <w:vAlign w:val="center"/>
          </w:tcPr>
          <w:p w14:paraId="7008D4EA">
            <w:pPr>
              <w:jc w:val="center"/>
              <w:rPr>
                <w:rFonts w:ascii="仿宋" w:hAnsi="仿宋" w:eastAsia="仿宋" w:cs="仿宋"/>
                <w:color w:val="auto"/>
                <w:sz w:val="18"/>
                <w:szCs w:val="18"/>
                <w:highlight w:val="none"/>
              </w:rPr>
            </w:pPr>
          </w:p>
        </w:tc>
      </w:tr>
      <w:tr w14:paraId="1180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2CECCED">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594671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交付地点</w:t>
            </w:r>
          </w:p>
        </w:tc>
        <w:tc>
          <w:tcPr>
            <w:tcW w:w="1530" w:type="pct"/>
            <w:vAlign w:val="center"/>
          </w:tcPr>
          <w:p w14:paraId="79919652">
            <w:pPr>
              <w:jc w:val="center"/>
              <w:rPr>
                <w:rFonts w:ascii="仿宋" w:hAnsi="仿宋" w:eastAsia="仿宋" w:cs="仿宋"/>
                <w:color w:val="auto"/>
                <w:sz w:val="18"/>
                <w:szCs w:val="18"/>
                <w:highlight w:val="none"/>
              </w:rPr>
            </w:pPr>
          </w:p>
        </w:tc>
        <w:tc>
          <w:tcPr>
            <w:tcW w:w="1534" w:type="pct"/>
            <w:vAlign w:val="center"/>
          </w:tcPr>
          <w:p w14:paraId="12F6E9E9">
            <w:pPr>
              <w:jc w:val="center"/>
              <w:rPr>
                <w:rFonts w:ascii="仿宋" w:hAnsi="仿宋" w:eastAsia="仿宋" w:cs="仿宋"/>
                <w:color w:val="auto"/>
                <w:sz w:val="18"/>
                <w:szCs w:val="18"/>
                <w:highlight w:val="none"/>
              </w:rPr>
            </w:pPr>
          </w:p>
        </w:tc>
      </w:tr>
      <w:tr w14:paraId="5B7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B91BF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705875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lang w:eastAsia="zh-CN"/>
              </w:rPr>
              <w:t>免费维护期</w:t>
            </w:r>
          </w:p>
        </w:tc>
        <w:tc>
          <w:tcPr>
            <w:tcW w:w="1530" w:type="pct"/>
            <w:vAlign w:val="center"/>
          </w:tcPr>
          <w:p w14:paraId="20E15113">
            <w:pPr>
              <w:jc w:val="center"/>
              <w:rPr>
                <w:rFonts w:ascii="仿宋" w:hAnsi="仿宋" w:eastAsia="仿宋" w:cs="仿宋"/>
                <w:color w:val="auto"/>
                <w:sz w:val="18"/>
                <w:szCs w:val="18"/>
                <w:highlight w:val="none"/>
              </w:rPr>
            </w:pPr>
          </w:p>
        </w:tc>
        <w:tc>
          <w:tcPr>
            <w:tcW w:w="1534" w:type="pct"/>
            <w:vAlign w:val="center"/>
          </w:tcPr>
          <w:p w14:paraId="017A51DA">
            <w:pPr>
              <w:jc w:val="center"/>
              <w:rPr>
                <w:rFonts w:ascii="仿宋" w:hAnsi="仿宋" w:eastAsia="仿宋" w:cs="仿宋"/>
                <w:color w:val="auto"/>
                <w:sz w:val="18"/>
                <w:szCs w:val="18"/>
                <w:highlight w:val="none"/>
              </w:rPr>
            </w:pPr>
          </w:p>
        </w:tc>
      </w:tr>
      <w:tr w14:paraId="3CC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7276B7">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619" w:type="pct"/>
            <w:shd w:val="clear" w:color="auto" w:fill="auto"/>
            <w:vAlign w:val="center"/>
          </w:tcPr>
          <w:p w14:paraId="4B7F56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服务标准、期限、效率</w:t>
            </w:r>
          </w:p>
        </w:tc>
        <w:tc>
          <w:tcPr>
            <w:tcW w:w="1530" w:type="pct"/>
            <w:vAlign w:val="center"/>
          </w:tcPr>
          <w:p w14:paraId="59B39DAD">
            <w:pPr>
              <w:jc w:val="center"/>
              <w:rPr>
                <w:rFonts w:ascii="仿宋" w:hAnsi="仿宋" w:eastAsia="仿宋" w:cs="仿宋"/>
                <w:color w:val="auto"/>
                <w:sz w:val="18"/>
                <w:szCs w:val="18"/>
                <w:highlight w:val="none"/>
              </w:rPr>
            </w:pPr>
          </w:p>
        </w:tc>
        <w:tc>
          <w:tcPr>
            <w:tcW w:w="1534" w:type="pct"/>
            <w:vAlign w:val="center"/>
          </w:tcPr>
          <w:p w14:paraId="0FEEBB9E">
            <w:pPr>
              <w:jc w:val="center"/>
              <w:rPr>
                <w:rFonts w:ascii="仿宋" w:hAnsi="仿宋" w:eastAsia="仿宋" w:cs="仿宋"/>
                <w:color w:val="auto"/>
                <w:sz w:val="18"/>
                <w:szCs w:val="18"/>
                <w:highlight w:val="none"/>
              </w:rPr>
            </w:pPr>
          </w:p>
        </w:tc>
      </w:tr>
      <w:tr w14:paraId="1C2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906C846">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619" w:type="pct"/>
            <w:shd w:val="clear" w:color="auto" w:fill="auto"/>
            <w:vAlign w:val="center"/>
          </w:tcPr>
          <w:p w14:paraId="76DD1D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其他技术、服务要求</w:t>
            </w:r>
          </w:p>
        </w:tc>
        <w:tc>
          <w:tcPr>
            <w:tcW w:w="1530" w:type="pct"/>
            <w:vAlign w:val="center"/>
          </w:tcPr>
          <w:p w14:paraId="21BA9446">
            <w:pPr>
              <w:jc w:val="center"/>
              <w:rPr>
                <w:rFonts w:ascii="仿宋" w:hAnsi="仿宋" w:eastAsia="仿宋" w:cs="仿宋"/>
                <w:color w:val="auto"/>
                <w:sz w:val="18"/>
                <w:szCs w:val="18"/>
                <w:highlight w:val="none"/>
              </w:rPr>
            </w:pPr>
          </w:p>
        </w:tc>
        <w:tc>
          <w:tcPr>
            <w:tcW w:w="1534" w:type="pct"/>
            <w:vAlign w:val="center"/>
          </w:tcPr>
          <w:p w14:paraId="186488A4">
            <w:pPr>
              <w:jc w:val="center"/>
              <w:rPr>
                <w:rFonts w:ascii="仿宋" w:hAnsi="仿宋" w:eastAsia="仿宋" w:cs="仿宋"/>
                <w:color w:val="auto"/>
                <w:sz w:val="18"/>
                <w:szCs w:val="18"/>
                <w:highlight w:val="none"/>
              </w:rPr>
            </w:pPr>
          </w:p>
        </w:tc>
      </w:tr>
      <w:tr w14:paraId="6D1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07A8EABC">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619" w:type="pct"/>
            <w:shd w:val="clear" w:color="auto" w:fill="auto"/>
            <w:vAlign w:val="center"/>
          </w:tcPr>
          <w:p w14:paraId="60A7CAF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验收标准</w:t>
            </w:r>
          </w:p>
        </w:tc>
        <w:tc>
          <w:tcPr>
            <w:tcW w:w="1530" w:type="pct"/>
            <w:vAlign w:val="center"/>
          </w:tcPr>
          <w:p w14:paraId="391554BF">
            <w:pPr>
              <w:jc w:val="center"/>
              <w:rPr>
                <w:rFonts w:ascii="仿宋" w:hAnsi="仿宋" w:eastAsia="仿宋" w:cs="仿宋"/>
                <w:color w:val="auto"/>
                <w:sz w:val="18"/>
                <w:szCs w:val="18"/>
                <w:highlight w:val="none"/>
              </w:rPr>
            </w:pPr>
          </w:p>
        </w:tc>
        <w:tc>
          <w:tcPr>
            <w:tcW w:w="1534" w:type="pct"/>
            <w:vAlign w:val="center"/>
          </w:tcPr>
          <w:p w14:paraId="7663E57C">
            <w:pPr>
              <w:jc w:val="center"/>
              <w:rPr>
                <w:rFonts w:ascii="仿宋" w:hAnsi="仿宋" w:eastAsia="仿宋" w:cs="仿宋"/>
                <w:color w:val="auto"/>
                <w:sz w:val="18"/>
                <w:szCs w:val="18"/>
                <w:highlight w:val="none"/>
              </w:rPr>
            </w:pPr>
          </w:p>
        </w:tc>
      </w:tr>
      <w:tr w14:paraId="3341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17F548E">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619" w:type="pct"/>
            <w:shd w:val="clear" w:color="auto" w:fill="auto"/>
            <w:vAlign w:val="center"/>
          </w:tcPr>
          <w:p w14:paraId="22D408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其他</w:t>
            </w:r>
          </w:p>
        </w:tc>
        <w:tc>
          <w:tcPr>
            <w:tcW w:w="1530" w:type="pct"/>
            <w:vAlign w:val="center"/>
          </w:tcPr>
          <w:p w14:paraId="43D17A0F">
            <w:pPr>
              <w:jc w:val="center"/>
              <w:rPr>
                <w:rFonts w:ascii="仿宋" w:hAnsi="仿宋" w:eastAsia="仿宋" w:cs="仿宋"/>
                <w:color w:val="auto"/>
                <w:sz w:val="18"/>
                <w:szCs w:val="18"/>
                <w:highlight w:val="none"/>
              </w:rPr>
            </w:pPr>
          </w:p>
        </w:tc>
        <w:tc>
          <w:tcPr>
            <w:tcW w:w="1534" w:type="pct"/>
            <w:vAlign w:val="center"/>
          </w:tcPr>
          <w:p w14:paraId="1D43A8C2">
            <w:pPr>
              <w:jc w:val="center"/>
              <w:rPr>
                <w:rFonts w:ascii="仿宋" w:hAnsi="仿宋" w:eastAsia="仿宋" w:cs="仿宋"/>
                <w:color w:val="auto"/>
                <w:sz w:val="18"/>
                <w:szCs w:val="18"/>
                <w:highlight w:val="none"/>
              </w:rPr>
            </w:pPr>
          </w:p>
        </w:tc>
      </w:tr>
      <w:tr w14:paraId="7830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1384B116">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技术要求（具体条款详见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52C9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1FD85F9B">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vAlign w:val="center"/>
          </w:tcPr>
          <w:p w14:paraId="268B27B5">
            <w:pPr>
              <w:jc w:val="both"/>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需执行的国家相关标准、行业标准、地方标准或者其他标准、规范</w:t>
            </w:r>
          </w:p>
        </w:tc>
        <w:tc>
          <w:tcPr>
            <w:tcW w:w="1530" w:type="pct"/>
            <w:vAlign w:val="center"/>
          </w:tcPr>
          <w:p w14:paraId="7078958A">
            <w:pPr>
              <w:jc w:val="center"/>
              <w:rPr>
                <w:rFonts w:ascii="仿宋" w:hAnsi="仿宋" w:eastAsia="仿宋" w:cs="仿宋"/>
                <w:color w:val="auto"/>
                <w:sz w:val="18"/>
                <w:szCs w:val="18"/>
                <w:highlight w:val="none"/>
              </w:rPr>
            </w:pPr>
          </w:p>
        </w:tc>
        <w:tc>
          <w:tcPr>
            <w:tcW w:w="1534" w:type="pct"/>
            <w:vAlign w:val="center"/>
          </w:tcPr>
          <w:p w14:paraId="7088FF14">
            <w:pPr>
              <w:jc w:val="center"/>
              <w:rPr>
                <w:rFonts w:ascii="仿宋" w:hAnsi="仿宋" w:eastAsia="仿宋" w:cs="仿宋"/>
                <w:color w:val="auto"/>
                <w:sz w:val="18"/>
                <w:szCs w:val="18"/>
                <w:highlight w:val="none"/>
              </w:rPr>
            </w:pPr>
          </w:p>
        </w:tc>
      </w:tr>
      <w:tr w14:paraId="6DAA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9578D71">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vAlign w:val="center"/>
          </w:tcPr>
          <w:p w14:paraId="175EBDCA">
            <w:pPr>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需实现的功能或者目标</w:t>
            </w:r>
          </w:p>
        </w:tc>
        <w:tc>
          <w:tcPr>
            <w:tcW w:w="1530" w:type="pct"/>
            <w:vAlign w:val="center"/>
          </w:tcPr>
          <w:p w14:paraId="73458BBD">
            <w:pPr>
              <w:jc w:val="center"/>
              <w:rPr>
                <w:rFonts w:ascii="仿宋" w:hAnsi="仿宋" w:eastAsia="仿宋" w:cs="仿宋"/>
                <w:color w:val="auto"/>
                <w:sz w:val="18"/>
                <w:szCs w:val="18"/>
                <w:highlight w:val="none"/>
              </w:rPr>
            </w:pPr>
          </w:p>
        </w:tc>
        <w:tc>
          <w:tcPr>
            <w:tcW w:w="1534" w:type="pct"/>
            <w:vAlign w:val="center"/>
          </w:tcPr>
          <w:p w14:paraId="5E0F2BFF">
            <w:pPr>
              <w:jc w:val="center"/>
              <w:rPr>
                <w:rFonts w:ascii="仿宋" w:hAnsi="仿宋" w:eastAsia="仿宋" w:cs="仿宋"/>
                <w:color w:val="auto"/>
                <w:sz w:val="18"/>
                <w:szCs w:val="18"/>
                <w:highlight w:val="none"/>
              </w:rPr>
            </w:pPr>
          </w:p>
        </w:tc>
      </w:tr>
      <w:tr w14:paraId="211F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131F6F4B">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619" w:type="pct"/>
            <w:vAlign w:val="center"/>
          </w:tcPr>
          <w:p w14:paraId="39A15F6A">
            <w:pPr>
              <w:jc w:val="both"/>
              <w:rPr>
                <w:rFonts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需满足的质量、安全、技术规格、物理特性等要求</w:t>
            </w:r>
          </w:p>
        </w:tc>
        <w:tc>
          <w:tcPr>
            <w:tcW w:w="1530" w:type="pct"/>
            <w:vAlign w:val="center"/>
          </w:tcPr>
          <w:p w14:paraId="190E2653">
            <w:pPr>
              <w:jc w:val="center"/>
              <w:rPr>
                <w:rFonts w:ascii="仿宋" w:hAnsi="仿宋" w:eastAsia="仿宋" w:cs="仿宋"/>
                <w:color w:val="auto"/>
                <w:sz w:val="18"/>
                <w:szCs w:val="18"/>
                <w:highlight w:val="none"/>
              </w:rPr>
            </w:pPr>
          </w:p>
        </w:tc>
        <w:tc>
          <w:tcPr>
            <w:tcW w:w="1534" w:type="pct"/>
            <w:vAlign w:val="center"/>
          </w:tcPr>
          <w:p w14:paraId="5B2CD5BF">
            <w:pPr>
              <w:jc w:val="center"/>
              <w:rPr>
                <w:rFonts w:ascii="仿宋" w:hAnsi="仿宋" w:eastAsia="仿宋" w:cs="仿宋"/>
                <w:color w:val="auto"/>
                <w:sz w:val="18"/>
                <w:szCs w:val="18"/>
                <w:highlight w:val="none"/>
              </w:rPr>
            </w:pPr>
          </w:p>
        </w:tc>
      </w:tr>
      <w:tr w14:paraId="3BF9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5AE31790">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合同条款（具体条款详见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第五章</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6D00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 w:type="pct"/>
            <w:vAlign w:val="center"/>
          </w:tcPr>
          <w:p w14:paraId="01479A7C">
            <w:pPr>
              <w:jc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w:t>
            </w:r>
          </w:p>
        </w:tc>
        <w:tc>
          <w:tcPr>
            <w:tcW w:w="1632" w:type="pct"/>
            <w:gridSpan w:val="2"/>
            <w:vAlign w:val="center"/>
          </w:tcPr>
          <w:p w14:paraId="3F97E1A5">
            <w:pPr>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val="en-US" w:eastAsia="zh-CN"/>
              </w:rPr>
              <w:t>中所有内容</w:t>
            </w:r>
          </w:p>
        </w:tc>
        <w:tc>
          <w:tcPr>
            <w:tcW w:w="1530" w:type="pct"/>
            <w:vAlign w:val="center"/>
          </w:tcPr>
          <w:p w14:paraId="5AF5B017">
            <w:pPr>
              <w:jc w:val="center"/>
              <w:rPr>
                <w:rFonts w:ascii="仿宋" w:hAnsi="仿宋" w:eastAsia="仿宋" w:cs="仿宋"/>
                <w:color w:val="auto"/>
                <w:sz w:val="18"/>
                <w:szCs w:val="18"/>
                <w:highlight w:val="none"/>
              </w:rPr>
            </w:pPr>
          </w:p>
        </w:tc>
        <w:tc>
          <w:tcPr>
            <w:tcW w:w="1534" w:type="pct"/>
            <w:vAlign w:val="center"/>
          </w:tcPr>
          <w:p w14:paraId="128619E9">
            <w:pPr>
              <w:jc w:val="center"/>
              <w:rPr>
                <w:rFonts w:ascii="仿宋" w:hAnsi="仿宋" w:eastAsia="仿宋" w:cs="仿宋"/>
                <w:color w:val="auto"/>
                <w:sz w:val="18"/>
                <w:szCs w:val="18"/>
                <w:highlight w:val="none"/>
              </w:rPr>
            </w:pPr>
          </w:p>
        </w:tc>
      </w:tr>
    </w:tbl>
    <w:p w14:paraId="79393483">
      <w:pPr>
        <w:adjustRightInd w:val="0"/>
        <w:snapToGrid w:val="0"/>
        <w:spacing w:line="360" w:lineRule="auto"/>
        <w:rPr>
          <w:rFonts w:ascii="仿宋" w:hAnsi="仿宋" w:eastAsia="仿宋" w:cs="仿宋"/>
          <w:color w:val="auto"/>
          <w:szCs w:val="21"/>
          <w:highlight w:val="none"/>
        </w:rPr>
      </w:pPr>
    </w:p>
    <w:p w14:paraId="1F63B93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814265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D22C76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608D896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837745A">
      <w:pPr>
        <w:adjustRightInd w:val="0"/>
        <w:snapToGrid w:val="0"/>
        <w:spacing w:line="360" w:lineRule="auto"/>
        <w:rPr>
          <w:rFonts w:ascii="仿宋" w:hAnsi="仿宋" w:eastAsia="仿宋" w:cs="仿宋"/>
          <w:color w:val="auto"/>
          <w:szCs w:val="21"/>
          <w:highlight w:val="none"/>
        </w:rPr>
      </w:pPr>
    </w:p>
    <w:p w14:paraId="7CD856CC">
      <w:pPr>
        <w:adjustRightInd w:val="0"/>
        <w:snapToGrid w:val="0"/>
        <w:spacing w:line="360" w:lineRule="auto"/>
        <w:rPr>
          <w:rFonts w:ascii="仿宋" w:hAnsi="仿宋" w:eastAsia="仿宋" w:cs="仿宋"/>
          <w:color w:val="auto"/>
          <w:szCs w:val="21"/>
          <w:highlight w:val="none"/>
        </w:rPr>
      </w:pPr>
    </w:p>
    <w:p w14:paraId="63B3C051">
      <w:pPr>
        <w:adjustRightInd w:val="0"/>
        <w:snapToGrid w:val="0"/>
        <w:spacing w:line="360" w:lineRule="auto"/>
        <w:rPr>
          <w:rFonts w:ascii="仿宋" w:hAnsi="仿宋" w:eastAsia="仿宋" w:cs="仿宋"/>
          <w:color w:val="auto"/>
          <w:szCs w:val="21"/>
          <w:highlight w:val="none"/>
        </w:rPr>
      </w:pPr>
    </w:p>
    <w:p w14:paraId="5AF4770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CFB9DD">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B8A262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729E2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BECEA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65B22E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ascii="仿宋" w:hAnsi="仿宋" w:eastAsia="仿宋" w:cs="仿宋"/>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ascii="仿宋" w:hAnsi="仿宋" w:eastAsia="仿宋" w:cs="仿宋"/>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ascii="仿宋" w:hAnsi="仿宋" w:eastAsia="仿宋" w:cs="仿宋"/>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ascii="仿宋" w:hAnsi="仿宋" w:eastAsia="仿宋" w:cs="仿宋"/>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ascii="仿宋" w:hAnsi="仿宋" w:eastAsia="仿宋" w:cs="仿宋"/>
                <w:b/>
                <w:bCs/>
                <w:color w:val="auto"/>
                <w:szCs w:val="21"/>
                <w:highlight w:val="none"/>
              </w:rPr>
            </w:pPr>
          </w:p>
        </w:tc>
      </w:tr>
    </w:tbl>
    <w:p w14:paraId="5F882742">
      <w:pPr>
        <w:pStyle w:val="20"/>
        <w:spacing w:line="360" w:lineRule="auto"/>
        <w:ind w:left="420" w:hanging="420"/>
        <w:rPr>
          <w:rFonts w:ascii="仿宋" w:hAnsi="仿宋" w:eastAsia="仿宋" w:cs="仿宋"/>
          <w:color w:val="auto"/>
          <w:sz w:val="21"/>
          <w:szCs w:val="21"/>
          <w:highlight w:val="none"/>
        </w:rPr>
      </w:pPr>
    </w:p>
    <w:p w14:paraId="2934C2C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5AFC5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w:t>
      </w:r>
      <w:r>
        <w:rPr>
          <w:rFonts w:hint="eastAsia" w:ascii="仿宋" w:hAnsi="仿宋" w:eastAsia="仿宋" w:cs="仿宋"/>
          <w:b/>
          <w:color w:val="auto"/>
          <w:spacing w:val="-6"/>
          <w:sz w:val="18"/>
          <w:szCs w:val="18"/>
          <w:highlight w:val="none"/>
          <w:lang w:eastAsia="zh-CN"/>
        </w:rPr>
        <w:t>合同</w:t>
      </w:r>
      <w:r>
        <w:rPr>
          <w:rFonts w:hint="eastAsia" w:ascii="仿宋" w:hAnsi="仿宋" w:eastAsia="仿宋" w:cs="仿宋"/>
          <w:b/>
          <w:color w:val="auto"/>
          <w:spacing w:val="-6"/>
          <w:sz w:val="18"/>
          <w:szCs w:val="18"/>
          <w:highlight w:val="none"/>
          <w:lang w:val="en-US" w:eastAsia="zh-CN"/>
        </w:rPr>
        <w:t>及</w:t>
      </w:r>
      <w:r>
        <w:rPr>
          <w:rFonts w:hint="eastAsia" w:ascii="仿宋" w:hAnsi="仿宋" w:eastAsia="仿宋" w:cs="仿宋"/>
          <w:b/>
          <w:color w:val="auto"/>
          <w:spacing w:val="-6"/>
          <w:sz w:val="18"/>
          <w:szCs w:val="18"/>
          <w:highlight w:val="none"/>
          <w:lang w:eastAsia="zh-CN"/>
        </w:rPr>
        <w:t>对应验收通过材料（需甲方或甲方使用部门盖章）或省级以上主管部门认定的首台套产品相关证明材料或“制造精品”相关证明材料或“专精特新”相关证明材料</w:t>
      </w:r>
      <w:r>
        <w:rPr>
          <w:rFonts w:hint="eastAsia" w:ascii="仿宋" w:hAnsi="仿宋" w:eastAsia="仿宋" w:cs="仿宋"/>
          <w:b/>
          <w:color w:val="auto"/>
          <w:spacing w:val="-6"/>
          <w:sz w:val="18"/>
          <w:szCs w:val="18"/>
          <w:highlight w:val="none"/>
        </w:rPr>
        <w:t>；</w:t>
      </w:r>
    </w:p>
    <w:p w14:paraId="1B6926E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ascii="仿宋" w:hAnsi="仿宋" w:eastAsia="仿宋" w:cs="仿宋"/>
          <w:color w:val="auto"/>
          <w:szCs w:val="21"/>
          <w:highlight w:val="none"/>
        </w:rPr>
      </w:pPr>
    </w:p>
    <w:p w14:paraId="15658758">
      <w:pPr>
        <w:adjustRightInd w:val="0"/>
        <w:snapToGrid w:val="0"/>
        <w:spacing w:line="360" w:lineRule="auto"/>
        <w:rPr>
          <w:rFonts w:ascii="仿宋" w:hAnsi="仿宋" w:eastAsia="仿宋" w:cs="仿宋"/>
          <w:color w:val="auto"/>
          <w:szCs w:val="21"/>
          <w:highlight w:val="none"/>
        </w:rPr>
      </w:pPr>
    </w:p>
    <w:p w14:paraId="0E98B774">
      <w:pPr>
        <w:adjustRightInd w:val="0"/>
        <w:snapToGrid w:val="0"/>
        <w:spacing w:line="360" w:lineRule="auto"/>
        <w:rPr>
          <w:rFonts w:ascii="仿宋" w:hAnsi="仿宋" w:eastAsia="仿宋" w:cs="仿宋"/>
          <w:b/>
          <w:bCs/>
          <w:color w:val="auto"/>
          <w:spacing w:val="-6"/>
          <w:szCs w:val="21"/>
          <w:highlight w:val="none"/>
        </w:rPr>
      </w:pPr>
    </w:p>
    <w:p w14:paraId="587C152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7EEA4B">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CCD35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7AE8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商务分评审其他相关证明材料</w:t>
      </w:r>
    </w:p>
    <w:p w14:paraId="2552E4B0">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说明：投标人信息安全服务、信息系统建设和服务、信息技术服务运行维护能力相关证明材料（如资质、认证）</w:t>
      </w:r>
    </w:p>
    <w:p w14:paraId="0C0F9BD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2E0705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75CF7E5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项目理解分析（目标、需求、应用场景等）</w:t>
      </w:r>
    </w:p>
    <w:p w14:paraId="2C14467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2.平台设计方案（总体架构、系统逻辑、数据架构、平台技术、技术路线、标准规范等）</w:t>
      </w:r>
    </w:p>
    <w:p w14:paraId="538D201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3.实验室采购平台PC端技术解决方案</w:t>
      </w:r>
    </w:p>
    <w:p w14:paraId="379397BD">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数据工作台</w:t>
      </w:r>
    </w:p>
    <w:p w14:paraId="29415FB5">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个人中心</w:t>
      </w:r>
    </w:p>
    <w:p w14:paraId="36891004">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平台商城</w:t>
      </w:r>
    </w:p>
    <w:p w14:paraId="499CA43A">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3.4 购物管理</w:t>
      </w:r>
    </w:p>
    <w:p w14:paraId="254479DE">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3.5 订单管理</w:t>
      </w:r>
    </w:p>
    <w:p w14:paraId="35D94619">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3.6 自购管理</w:t>
      </w:r>
    </w:p>
    <w:p w14:paraId="5F683E3D">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3.7 销售管理</w:t>
      </w:r>
    </w:p>
    <w:p w14:paraId="276548D1">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3.8 科研项目</w:t>
      </w:r>
    </w:p>
    <w:p w14:paraId="3383E8C3">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3.9 实验室台账</w:t>
      </w:r>
    </w:p>
    <w:p w14:paraId="405CD74C">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3.10 结算统计</w:t>
      </w:r>
    </w:p>
    <w:p w14:paraId="6F8E5EB3">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3.11 系统监控</w:t>
      </w:r>
    </w:p>
    <w:p w14:paraId="6C7DC5EF">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3.12 系统管理</w:t>
      </w:r>
    </w:p>
    <w:p w14:paraId="49215D2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4.实验室采购平台移动端技术解决方案</w:t>
      </w:r>
    </w:p>
    <w:p w14:paraId="694F331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5.对接服务技术解决方案</w:t>
      </w:r>
    </w:p>
    <w:p w14:paraId="6530291E">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5.1 内部系统</w:t>
      </w:r>
    </w:p>
    <w:p w14:paraId="144E887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5.2 财务系统</w:t>
      </w:r>
    </w:p>
    <w:p w14:paraId="445C4AC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249D33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24"/>
          <w:highlight w:val="none"/>
        </w:rPr>
      </w:pPr>
    </w:p>
    <w:p w14:paraId="3184E1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7279DD3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目标、培训内容（一般使用人员功能操作培训、管理员维护操作培训等）、培训时间与地点、培训方式、培训师资、培训后跟进（效果跟踪、复训计划、技术支持等）等。</w:t>
      </w:r>
    </w:p>
    <w:p w14:paraId="3D0D09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4513DA7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2E2595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4AAD5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r>
        <w:rPr>
          <w:rFonts w:hint="eastAsia" w:ascii="仿宋" w:hAnsi="仿宋" w:eastAsia="仿宋" w:cs="仿宋"/>
          <w:b/>
          <w:color w:val="auto"/>
          <w:spacing w:val="-6"/>
          <w:sz w:val="18"/>
          <w:szCs w:val="18"/>
          <w:highlight w:val="none"/>
          <w:lang w:eastAsia="zh-CN"/>
        </w:rPr>
        <w:t>：</w:t>
      </w:r>
    </w:p>
    <w:p w14:paraId="6A6FC3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eastAsia="zh-CN"/>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免费维护期内服务内容[定期走访或远程维护时间区间、周期和详细规划（方式、人员、维护内容）、重大事项及时响应（不同响应级别人员、时间、内容）、服务请求方式（即时和非即时）、服务请求流程]、免费维护期外服务内容[定期走访或远程维护收费服务时间区间、周期和详细规划（方式、人员、维护内容）、重大事项及时响应（不同响应级别人员、时间、内容）]、运行服务档案、用户投诉受理等</w:t>
      </w:r>
      <w:r>
        <w:rPr>
          <w:rFonts w:hint="eastAsia" w:ascii="仿宋" w:hAnsi="仿宋" w:eastAsia="仿宋" w:cs="仿宋"/>
          <w:b/>
          <w:color w:val="auto"/>
          <w:spacing w:val="-6"/>
          <w:sz w:val="18"/>
          <w:szCs w:val="18"/>
          <w:highlight w:val="none"/>
          <w:lang w:eastAsia="zh-CN"/>
        </w:rPr>
        <w:t>；</w:t>
      </w:r>
    </w:p>
    <w:p w14:paraId="14D9B79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2.免费维护期满后年运维服务费占中标金额比例。</w:t>
      </w:r>
    </w:p>
    <w:p w14:paraId="184E7E1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A2C9C41">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lang w:val="en-US" w:eastAsia="zh-CN"/>
        </w:rPr>
        <w:t>项目团队</w:t>
      </w:r>
      <w:r>
        <w:rPr>
          <w:rFonts w:hint="eastAsia" w:ascii="仿宋" w:hAnsi="仿宋" w:eastAsia="仿宋" w:cs="仿宋"/>
          <w:b/>
          <w:bCs/>
          <w:iCs/>
          <w:color w:val="auto"/>
          <w:spacing w:val="-6"/>
          <w:sz w:val="24"/>
          <w:highlight w:val="none"/>
        </w:rPr>
        <w:t>人员一览表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1749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20F8269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51045CA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6B2565D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596F8E8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6DAE90C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18B12C3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5EFC7DA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65AC35C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7DC7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7251478">
            <w:pPr>
              <w:jc w:val="center"/>
              <w:rPr>
                <w:rFonts w:ascii="仿宋" w:hAnsi="仿宋" w:eastAsia="仿宋" w:cs="仿宋"/>
                <w:color w:val="auto"/>
                <w:szCs w:val="21"/>
                <w:highlight w:val="none"/>
              </w:rPr>
            </w:pPr>
          </w:p>
        </w:tc>
        <w:tc>
          <w:tcPr>
            <w:tcW w:w="1023" w:type="dxa"/>
            <w:vAlign w:val="center"/>
          </w:tcPr>
          <w:p w14:paraId="6AED68BD">
            <w:pPr>
              <w:jc w:val="center"/>
              <w:rPr>
                <w:rFonts w:ascii="仿宋" w:hAnsi="仿宋" w:eastAsia="仿宋" w:cs="仿宋"/>
                <w:color w:val="auto"/>
                <w:szCs w:val="21"/>
                <w:highlight w:val="none"/>
              </w:rPr>
            </w:pPr>
          </w:p>
        </w:tc>
        <w:tc>
          <w:tcPr>
            <w:tcW w:w="1991" w:type="dxa"/>
            <w:vAlign w:val="center"/>
          </w:tcPr>
          <w:p w14:paraId="53BD7A3A">
            <w:pPr>
              <w:jc w:val="center"/>
              <w:rPr>
                <w:rFonts w:ascii="仿宋" w:hAnsi="仿宋" w:eastAsia="仿宋" w:cs="仿宋"/>
                <w:color w:val="auto"/>
                <w:szCs w:val="21"/>
                <w:highlight w:val="none"/>
              </w:rPr>
            </w:pPr>
          </w:p>
        </w:tc>
        <w:tc>
          <w:tcPr>
            <w:tcW w:w="872" w:type="dxa"/>
            <w:vAlign w:val="center"/>
          </w:tcPr>
          <w:p w14:paraId="38F94160">
            <w:pPr>
              <w:jc w:val="center"/>
              <w:rPr>
                <w:rFonts w:ascii="仿宋" w:hAnsi="仿宋" w:eastAsia="仿宋" w:cs="仿宋"/>
                <w:color w:val="auto"/>
                <w:szCs w:val="21"/>
                <w:highlight w:val="none"/>
              </w:rPr>
            </w:pPr>
          </w:p>
        </w:tc>
        <w:tc>
          <w:tcPr>
            <w:tcW w:w="873" w:type="dxa"/>
            <w:vAlign w:val="center"/>
          </w:tcPr>
          <w:p w14:paraId="6EADE6C3">
            <w:pPr>
              <w:jc w:val="center"/>
              <w:rPr>
                <w:rFonts w:ascii="仿宋" w:hAnsi="仿宋" w:eastAsia="仿宋" w:cs="仿宋"/>
                <w:color w:val="auto"/>
                <w:szCs w:val="21"/>
                <w:highlight w:val="none"/>
              </w:rPr>
            </w:pPr>
          </w:p>
        </w:tc>
        <w:tc>
          <w:tcPr>
            <w:tcW w:w="1186" w:type="dxa"/>
            <w:vAlign w:val="center"/>
          </w:tcPr>
          <w:p w14:paraId="756794B0">
            <w:pPr>
              <w:jc w:val="center"/>
              <w:rPr>
                <w:rFonts w:ascii="仿宋" w:hAnsi="仿宋" w:eastAsia="仿宋" w:cs="仿宋"/>
                <w:color w:val="auto"/>
                <w:szCs w:val="21"/>
                <w:highlight w:val="none"/>
              </w:rPr>
            </w:pPr>
          </w:p>
        </w:tc>
        <w:tc>
          <w:tcPr>
            <w:tcW w:w="819" w:type="dxa"/>
            <w:vAlign w:val="center"/>
          </w:tcPr>
          <w:p w14:paraId="53293115">
            <w:pPr>
              <w:jc w:val="center"/>
              <w:rPr>
                <w:rFonts w:ascii="仿宋" w:hAnsi="仿宋" w:eastAsia="仿宋" w:cs="仿宋"/>
                <w:color w:val="auto"/>
                <w:szCs w:val="21"/>
                <w:highlight w:val="none"/>
              </w:rPr>
            </w:pPr>
          </w:p>
        </w:tc>
        <w:tc>
          <w:tcPr>
            <w:tcW w:w="2160" w:type="dxa"/>
            <w:vAlign w:val="center"/>
          </w:tcPr>
          <w:p w14:paraId="4E756B67">
            <w:pPr>
              <w:jc w:val="center"/>
              <w:rPr>
                <w:rFonts w:ascii="仿宋" w:hAnsi="仿宋" w:eastAsia="仿宋" w:cs="仿宋"/>
                <w:color w:val="auto"/>
                <w:szCs w:val="21"/>
                <w:highlight w:val="none"/>
              </w:rPr>
            </w:pPr>
          </w:p>
        </w:tc>
      </w:tr>
      <w:tr w14:paraId="0225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1180993">
            <w:pPr>
              <w:jc w:val="center"/>
              <w:rPr>
                <w:rFonts w:ascii="仿宋" w:hAnsi="仿宋" w:eastAsia="仿宋" w:cs="仿宋"/>
                <w:color w:val="auto"/>
                <w:szCs w:val="21"/>
                <w:highlight w:val="none"/>
              </w:rPr>
            </w:pPr>
          </w:p>
        </w:tc>
        <w:tc>
          <w:tcPr>
            <w:tcW w:w="1023" w:type="dxa"/>
            <w:vAlign w:val="center"/>
          </w:tcPr>
          <w:p w14:paraId="62F23AD6">
            <w:pPr>
              <w:jc w:val="center"/>
              <w:rPr>
                <w:rFonts w:ascii="仿宋" w:hAnsi="仿宋" w:eastAsia="仿宋" w:cs="仿宋"/>
                <w:color w:val="auto"/>
                <w:szCs w:val="21"/>
                <w:highlight w:val="none"/>
              </w:rPr>
            </w:pPr>
          </w:p>
        </w:tc>
        <w:tc>
          <w:tcPr>
            <w:tcW w:w="1991" w:type="dxa"/>
            <w:vAlign w:val="center"/>
          </w:tcPr>
          <w:p w14:paraId="48756E49">
            <w:pPr>
              <w:jc w:val="center"/>
              <w:rPr>
                <w:rFonts w:ascii="仿宋" w:hAnsi="仿宋" w:eastAsia="仿宋" w:cs="仿宋"/>
                <w:color w:val="auto"/>
                <w:szCs w:val="21"/>
                <w:highlight w:val="none"/>
              </w:rPr>
            </w:pPr>
          </w:p>
        </w:tc>
        <w:tc>
          <w:tcPr>
            <w:tcW w:w="872" w:type="dxa"/>
            <w:vAlign w:val="center"/>
          </w:tcPr>
          <w:p w14:paraId="47C51E6C">
            <w:pPr>
              <w:jc w:val="center"/>
              <w:rPr>
                <w:rFonts w:ascii="仿宋" w:hAnsi="仿宋" w:eastAsia="仿宋" w:cs="仿宋"/>
                <w:color w:val="auto"/>
                <w:szCs w:val="21"/>
                <w:highlight w:val="none"/>
              </w:rPr>
            </w:pPr>
          </w:p>
        </w:tc>
        <w:tc>
          <w:tcPr>
            <w:tcW w:w="873" w:type="dxa"/>
            <w:vAlign w:val="center"/>
          </w:tcPr>
          <w:p w14:paraId="7D4FE588">
            <w:pPr>
              <w:jc w:val="center"/>
              <w:rPr>
                <w:rFonts w:ascii="仿宋" w:hAnsi="仿宋" w:eastAsia="仿宋" w:cs="仿宋"/>
                <w:color w:val="auto"/>
                <w:szCs w:val="21"/>
                <w:highlight w:val="none"/>
              </w:rPr>
            </w:pPr>
          </w:p>
        </w:tc>
        <w:tc>
          <w:tcPr>
            <w:tcW w:w="1186" w:type="dxa"/>
            <w:vAlign w:val="center"/>
          </w:tcPr>
          <w:p w14:paraId="0493C3C9">
            <w:pPr>
              <w:jc w:val="center"/>
              <w:rPr>
                <w:rFonts w:ascii="仿宋" w:hAnsi="仿宋" w:eastAsia="仿宋" w:cs="仿宋"/>
                <w:color w:val="auto"/>
                <w:szCs w:val="21"/>
                <w:highlight w:val="none"/>
              </w:rPr>
            </w:pPr>
          </w:p>
        </w:tc>
        <w:tc>
          <w:tcPr>
            <w:tcW w:w="819" w:type="dxa"/>
            <w:vAlign w:val="center"/>
          </w:tcPr>
          <w:p w14:paraId="1423D1EC">
            <w:pPr>
              <w:jc w:val="center"/>
              <w:rPr>
                <w:rFonts w:ascii="仿宋" w:hAnsi="仿宋" w:eastAsia="仿宋" w:cs="仿宋"/>
                <w:color w:val="auto"/>
                <w:szCs w:val="21"/>
                <w:highlight w:val="none"/>
              </w:rPr>
            </w:pPr>
          </w:p>
        </w:tc>
        <w:tc>
          <w:tcPr>
            <w:tcW w:w="2160" w:type="dxa"/>
            <w:vAlign w:val="center"/>
          </w:tcPr>
          <w:p w14:paraId="525E28F9">
            <w:pPr>
              <w:jc w:val="center"/>
              <w:rPr>
                <w:rFonts w:ascii="仿宋" w:hAnsi="仿宋" w:eastAsia="仿宋" w:cs="仿宋"/>
                <w:color w:val="auto"/>
                <w:szCs w:val="21"/>
                <w:highlight w:val="none"/>
              </w:rPr>
            </w:pPr>
          </w:p>
        </w:tc>
      </w:tr>
      <w:tr w14:paraId="313E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B4A44A4">
            <w:pPr>
              <w:jc w:val="center"/>
              <w:rPr>
                <w:rFonts w:ascii="仿宋" w:hAnsi="仿宋" w:eastAsia="仿宋" w:cs="仿宋"/>
                <w:color w:val="auto"/>
                <w:szCs w:val="21"/>
                <w:highlight w:val="none"/>
              </w:rPr>
            </w:pPr>
          </w:p>
        </w:tc>
        <w:tc>
          <w:tcPr>
            <w:tcW w:w="1023" w:type="dxa"/>
            <w:vAlign w:val="center"/>
          </w:tcPr>
          <w:p w14:paraId="71D8829A">
            <w:pPr>
              <w:jc w:val="center"/>
              <w:rPr>
                <w:rFonts w:ascii="仿宋" w:hAnsi="仿宋" w:eastAsia="仿宋" w:cs="仿宋"/>
                <w:color w:val="auto"/>
                <w:szCs w:val="21"/>
                <w:highlight w:val="none"/>
              </w:rPr>
            </w:pPr>
          </w:p>
        </w:tc>
        <w:tc>
          <w:tcPr>
            <w:tcW w:w="1991" w:type="dxa"/>
            <w:vAlign w:val="center"/>
          </w:tcPr>
          <w:p w14:paraId="2396F3A5">
            <w:pPr>
              <w:jc w:val="center"/>
              <w:rPr>
                <w:rFonts w:ascii="仿宋" w:hAnsi="仿宋" w:eastAsia="仿宋" w:cs="仿宋"/>
                <w:color w:val="auto"/>
                <w:szCs w:val="21"/>
                <w:highlight w:val="none"/>
              </w:rPr>
            </w:pPr>
          </w:p>
        </w:tc>
        <w:tc>
          <w:tcPr>
            <w:tcW w:w="872" w:type="dxa"/>
            <w:vAlign w:val="center"/>
          </w:tcPr>
          <w:p w14:paraId="248E348A">
            <w:pPr>
              <w:jc w:val="center"/>
              <w:rPr>
                <w:rFonts w:ascii="仿宋" w:hAnsi="仿宋" w:eastAsia="仿宋" w:cs="仿宋"/>
                <w:color w:val="auto"/>
                <w:szCs w:val="21"/>
                <w:highlight w:val="none"/>
              </w:rPr>
            </w:pPr>
          </w:p>
        </w:tc>
        <w:tc>
          <w:tcPr>
            <w:tcW w:w="873" w:type="dxa"/>
            <w:vAlign w:val="center"/>
          </w:tcPr>
          <w:p w14:paraId="25FA9F9F">
            <w:pPr>
              <w:jc w:val="center"/>
              <w:rPr>
                <w:rFonts w:ascii="仿宋" w:hAnsi="仿宋" w:eastAsia="仿宋" w:cs="仿宋"/>
                <w:color w:val="auto"/>
                <w:szCs w:val="21"/>
                <w:highlight w:val="none"/>
              </w:rPr>
            </w:pPr>
          </w:p>
        </w:tc>
        <w:tc>
          <w:tcPr>
            <w:tcW w:w="1186" w:type="dxa"/>
            <w:vAlign w:val="center"/>
          </w:tcPr>
          <w:p w14:paraId="7E4BD558">
            <w:pPr>
              <w:jc w:val="center"/>
              <w:rPr>
                <w:rFonts w:ascii="仿宋" w:hAnsi="仿宋" w:eastAsia="仿宋" w:cs="仿宋"/>
                <w:color w:val="auto"/>
                <w:szCs w:val="21"/>
                <w:highlight w:val="none"/>
              </w:rPr>
            </w:pPr>
          </w:p>
        </w:tc>
        <w:tc>
          <w:tcPr>
            <w:tcW w:w="819" w:type="dxa"/>
            <w:vAlign w:val="center"/>
          </w:tcPr>
          <w:p w14:paraId="0F26E5F6">
            <w:pPr>
              <w:jc w:val="center"/>
              <w:rPr>
                <w:rFonts w:ascii="仿宋" w:hAnsi="仿宋" w:eastAsia="仿宋" w:cs="仿宋"/>
                <w:color w:val="auto"/>
                <w:szCs w:val="21"/>
                <w:highlight w:val="none"/>
              </w:rPr>
            </w:pPr>
          </w:p>
        </w:tc>
        <w:tc>
          <w:tcPr>
            <w:tcW w:w="2160" w:type="dxa"/>
            <w:vAlign w:val="center"/>
          </w:tcPr>
          <w:p w14:paraId="6781EF0D">
            <w:pPr>
              <w:jc w:val="center"/>
              <w:rPr>
                <w:rFonts w:ascii="仿宋" w:hAnsi="仿宋" w:eastAsia="仿宋" w:cs="仿宋"/>
                <w:color w:val="auto"/>
                <w:szCs w:val="21"/>
                <w:highlight w:val="none"/>
              </w:rPr>
            </w:pPr>
          </w:p>
        </w:tc>
      </w:tr>
      <w:tr w14:paraId="4C65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EFF82B2">
            <w:pPr>
              <w:jc w:val="center"/>
              <w:rPr>
                <w:rFonts w:ascii="仿宋" w:hAnsi="仿宋" w:eastAsia="仿宋" w:cs="仿宋"/>
                <w:color w:val="auto"/>
                <w:szCs w:val="21"/>
                <w:highlight w:val="none"/>
              </w:rPr>
            </w:pPr>
          </w:p>
        </w:tc>
        <w:tc>
          <w:tcPr>
            <w:tcW w:w="1023" w:type="dxa"/>
            <w:vAlign w:val="center"/>
          </w:tcPr>
          <w:p w14:paraId="58D9061D">
            <w:pPr>
              <w:jc w:val="center"/>
              <w:rPr>
                <w:rFonts w:ascii="仿宋" w:hAnsi="仿宋" w:eastAsia="仿宋" w:cs="仿宋"/>
                <w:color w:val="auto"/>
                <w:szCs w:val="21"/>
                <w:highlight w:val="none"/>
              </w:rPr>
            </w:pPr>
          </w:p>
        </w:tc>
        <w:tc>
          <w:tcPr>
            <w:tcW w:w="1991" w:type="dxa"/>
            <w:vAlign w:val="center"/>
          </w:tcPr>
          <w:p w14:paraId="3389618B">
            <w:pPr>
              <w:jc w:val="center"/>
              <w:rPr>
                <w:rFonts w:ascii="仿宋" w:hAnsi="仿宋" w:eastAsia="仿宋" w:cs="仿宋"/>
                <w:color w:val="auto"/>
                <w:szCs w:val="21"/>
                <w:highlight w:val="none"/>
              </w:rPr>
            </w:pPr>
          </w:p>
        </w:tc>
        <w:tc>
          <w:tcPr>
            <w:tcW w:w="872" w:type="dxa"/>
            <w:vAlign w:val="center"/>
          </w:tcPr>
          <w:p w14:paraId="255E061F">
            <w:pPr>
              <w:jc w:val="center"/>
              <w:rPr>
                <w:rFonts w:ascii="仿宋" w:hAnsi="仿宋" w:eastAsia="仿宋" w:cs="仿宋"/>
                <w:color w:val="auto"/>
                <w:szCs w:val="21"/>
                <w:highlight w:val="none"/>
              </w:rPr>
            </w:pPr>
          </w:p>
        </w:tc>
        <w:tc>
          <w:tcPr>
            <w:tcW w:w="873" w:type="dxa"/>
            <w:vAlign w:val="center"/>
          </w:tcPr>
          <w:p w14:paraId="6DC6BB33">
            <w:pPr>
              <w:jc w:val="center"/>
              <w:rPr>
                <w:rFonts w:ascii="仿宋" w:hAnsi="仿宋" w:eastAsia="仿宋" w:cs="仿宋"/>
                <w:color w:val="auto"/>
                <w:szCs w:val="21"/>
                <w:highlight w:val="none"/>
              </w:rPr>
            </w:pPr>
          </w:p>
        </w:tc>
        <w:tc>
          <w:tcPr>
            <w:tcW w:w="1186" w:type="dxa"/>
            <w:vAlign w:val="center"/>
          </w:tcPr>
          <w:p w14:paraId="0E54C6F6">
            <w:pPr>
              <w:jc w:val="center"/>
              <w:rPr>
                <w:rFonts w:ascii="仿宋" w:hAnsi="仿宋" w:eastAsia="仿宋" w:cs="仿宋"/>
                <w:color w:val="auto"/>
                <w:szCs w:val="21"/>
                <w:highlight w:val="none"/>
              </w:rPr>
            </w:pPr>
          </w:p>
        </w:tc>
        <w:tc>
          <w:tcPr>
            <w:tcW w:w="819" w:type="dxa"/>
            <w:vAlign w:val="center"/>
          </w:tcPr>
          <w:p w14:paraId="0DBAA8C9">
            <w:pPr>
              <w:jc w:val="center"/>
              <w:rPr>
                <w:rFonts w:ascii="仿宋" w:hAnsi="仿宋" w:eastAsia="仿宋" w:cs="仿宋"/>
                <w:color w:val="auto"/>
                <w:szCs w:val="21"/>
                <w:highlight w:val="none"/>
              </w:rPr>
            </w:pPr>
          </w:p>
        </w:tc>
        <w:tc>
          <w:tcPr>
            <w:tcW w:w="2160" w:type="dxa"/>
            <w:vAlign w:val="center"/>
          </w:tcPr>
          <w:p w14:paraId="0B0EB68D">
            <w:pPr>
              <w:jc w:val="center"/>
              <w:rPr>
                <w:rFonts w:ascii="仿宋" w:hAnsi="仿宋" w:eastAsia="仿宋" w:cs="仿宋"/>
                <w:color w:val="auto"/>
                <w:szCs w:val="21"/>
                <w:highlight w:val="none"/>
              </w:rPr>
            </w:pPr>
          </w:p>
        </w:tc>
      </w:tr>
      <w:tr w14:paraId="7314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458903E">
            <w:pPr>
              <w:jc w:val="center"/>
              <w:rPr>
                <w:rFonts w:ascii="仿宋" w:hAnsi="仿宋" w:eastAsia="仿宋" w:cs="仿宋"/>
                <w:color w:val="auto"/>
                <w:szCs w:val="21"/>
                <w:highlight w:val="none"/>
              </w:rPr>
            </w:pPr>
          </w:p>
        </w:tc>
        <w:tc>
          <w:tcPr>
            <w:tcW w:w="1023" w:type="dxa"/>
            <w:vAlign w:val="center"/>
          </w:tcPr>
          <w:p w14:paraId="2C148381">
            <w:pPr>
              <w:jc w:val="center"/>
              <w:rPr>
                <w:rFonts w:ascii="仿宋" w:hAnsi="仿宋" w:eastAsia="仿宋" w:cs="仿宋"/>
                <w:color w:val="auto"/>
                <w:szCs w:val="21"/>
                <w:highlight w:val="none"/>
              </w:rPr>
            </w:pPr>
          </w:p>
        </w:tc>
        <w:tc>
          <w:tcPr>
            <w:tcW w:w="1991" w:type="dxa"/>
            <w:vAlign w:val="center"/>
          </w:tcPr>
          <w:p w14:paraId="26C4AD3D">
            <w:pPr>
              <w:jc w:val="center"/>
              <w:rPr>
                <w:rFonts w:ascii="仿宋" w:hAnsi="仿宋" w:eastAsia="仿宋" w:cs="仿宋"/>
                <w:color w:val="auto"/>
                <w:szCs w:val="21"/>
                <w:highlight w:val="none"/>
              </w:rPr>
            </w:pPr>
          </w:p>
        </w:tc>
        <w:tc>
          <w:tcPr>
            <w:tcW w:w="872" w:type="dxa"/>
            <w:vAlign w:val="center"/>
          </w:tcPr>
          <w:p w14:paraId="14D21A41">
            <w:pPr>
              <w:jc w:val="center"/>
              <w:rPr>
                <w:rFonts w:ascii="仿宋" w:hAnsi="仿宋" w:eastAsia="仿宋" w:cs="仿宋"/>
                <w:color w:val="auto"/>
                <w:szCs w:val="21"/>
                <w:highlight w:val="none"/>
              </w:rPr>
            </w:pPr>
          </w:p>
        </w:tc>
        <w:tc>
          <w:tcPr>
            <w:tcW w:w="873" w:type="dxa"/>
            <w:vAlign w:val="center"/>
          </w:tcPr>
          <w:p w14:paraId="67227D89">
            <w:pPr>
              <w:jc w:val="center"/>
              <w:rPr>
                <w:rFonts w:ascii="仿宋" w:hAnsi="仿宋" w:eastAsia="仿宋" w:cs="仿宋"/>
                <w:color w:val="auto"/>
                <w:szCs w:val="21"/>
                <w:highlight w:val="none"/>
              </w:rPr>
            </w:pPr>
          </w:p>
        </w:tc>
        <w:tc>
          <w:tcPr>
            <w:tcW w:w="1186" w:type="dxa"/>
            <w:vAlign w:val="center"/>
          </w:tcPr>
          <w:p w14:paraId="0982CADA">
            <w:pPr>
              <w:jc w:val="center"/>
              <w:rPr>
                <w:rFonts w:ascii="仿宋" w:hAnsi="仿宋" w:eastAsia="仿宋" w:cs="仿宋"/>
                <w:color w:val="auto"/>
                <w:szCs w:val="21"/>
                <w:highlight w:val="none"/>
              </w:rPr>
            </w:pPr>
          </w:p>
        </w:tc>
        <w:tc>
          <w:tcPr>
            <w:tcW w:w="819" w:type="dxa"/>
            <w:vAlign w:val="center"/>
          </w:tcPr>
          <w:p w14:paraId="1FA51D99">
            <w:pPr>
              <w:jc w:val="center"/>
              <w:rPr>
                <w:rFonts w:ascii="仿宋" w:hAnsi="仿宋" w:eastAsia="仿宋" w:cs="仿宋"/>
                <w:color w:val="auto"/>
                <w:szCs w:val="21"/>
                <w:highlight w:val="none"/>
              </w:rPr>
            </w:pPr>
          </w:p>
        </w:tc>
        <w:tc>
          <w:tcPr>
            <w:tcW w:w="2160" w:type="dxa"/>
            <w:vAlign w:val="center"/>
          </w:tcPr>
          <w:p w14:paraId="6FFAAE0A">
            <w:pPr>
              <w:jc w:val="center"/>
              <w:rPr>
                <w:rFonts w:ascii="仿宋" w:hAnsi="仿宋" w:eastAsia="仿宋" w:cs="仿宋"/>
                <w:color w:val="auto"/>
                <w:szCs w:val="21"/>
                <w:highlight w:val="none"/>
              </w:rPr>
            </w:pPr>
          </w:p>
        </w:tc>
      </w:tr>
      <w:tr w14:paraId="0827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ECAE79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03433876">
            <w:pPr>
              <w:jc w:val="center"/>
              <w:rPr>
                <w:rFonts w:ascii="仿宋" w:hAnsi="仿宋" w:eastAsia="仿宋" w:cs="仿宋"/>
                <w:color w:val="auto"/>
                <w:szCs w:val="21"/>
                <w:highlight w:val="none"/>
              </w:rPr>
            </w:pPr>
          </w:p>
        </w:tc>
        <w:tc>
          <w:tcPr>
            <w:tcW w:w="1991" w:type="dxa"/>
            <w:vAlign w:val="center"/>
          </w:tcPr>
          <w:p w14:paraId="0838474C">
            <w:pPr>
              <w:jc w:val="center"/>
              <w:rPr>
                <w:rFonts w:ascii="仿宋" w:hAnsi="仿宋" w:eastAsia="仿宋" w:cs="仿宋"/>
                <w:color w:val="auto"/>
                <w:szCs w:val="21"/>
                <w:highlight w:val="none"/>
              </w:rPr>
            </w:pPr>
          </w:p>
        </w:tc>
        <w:tc>
          <w:tcPr>
            <w:tcW w:w="872" w:type="dxa"/>
            <w:vAlign w:val="center"/>
          </w:tcPr>
          <w:p w14:paraId="3764B3C8">
            <w:pPr>
              <w:jc w:val="center"/>
              <w:rPr>
                <w:rFonts w:ascii="仿宋" w:hAnsi="仿宋" w:eastAsia="仿宋" w:cs="仿宋"/>
                <w:color w:val="auto"/>
                <w:szCs w:val="21"/>
                <w:highlight w:val="none"/>
              </w:rPr>
            </w:pPr>
          </w:p>
        </w:tc>
        <w:tc>
          <w:tcPr>
            <w:tcW w:w="873" w:type="dxa"/>
            <w:vAlign w:val="center"/>
          </w:tcPr>
          <w:p w14:paraId="25484B7F">
            <w:pPr>
              <w:jc w:val="center"/>
              <w:rPr>
                <w:rFonts w:ascii="仿宋" w:hAnsi="仿宋" w:eastAsia="仿宋" w:cs="仿宋"/>
                <w:color w:val="auto"/>
                <w:szCs w:val="21"/>
                <w:highlight w:val="none"/>
              </w:rPr>
            </w:pPr>
          </w:p>
        </w:tc>
        <w:tc>
          <w:tcPr>
            <w:tcW w:w="1186" w:type="dxa"/>
            <w:vAlign w:val="center"/>
          </w:tcPr>
          <w:p w14:paraId="52B265F9">
            <w:pPr>
              <w:jc w:val="center"/>
              <w:rPr>
                <w:rFonts w:ascii="仿宋" w:hAnsi="仿宋" w:eastAsia="仿宋" w:cs="仿宋"/>
                <w:color w:val="auto"/>
                <w:szCs w:val="21"/>
                <w:highlight w:val="none"/>
              </w:rPr>
            </w:pPr>
          </w:p>
        </w:tc>
        <w:tc>
          <w:tcPr>
            <w:tcW w:w="819" w:type="dxa"/>
            <w:vAlign w:val="center"/>
          </w:tcPr>
          <w:p w14:paraId="3586FA0C">
            <w:pPr>
              <w:jc w:val="center"/>
              <w:rPr>
                <w:rFonts w:ascii="仿宋" w:hAnsi="仿宋" w:eastAsia="仿宋" w:cs="仿宋"/>
                <w:color w:val="auto"/>
                <w:szCs w:val="21"/>
                <w:highlight w:val="none"/>
              </w:rPr>
            </w:pPr>
          </w:p>
        </w:tc>
        <w:tc>
          <w:tcPr>
            <w:tcW w:w="2160" w:type="dxa"/>
            <w:vAlign w:val="center"/>
          </w:tcPr>
          <w:p w14:paraId="37EA8971">
            <w:pPr>
              <w:jc w:val="center"/>
              <w:rPr>
                <w:rFonts w:ascii="仿宋" w:hAnsi="仿宋" w:eastAsia="仿宋" w:cs="仿宋"/>
                <w:color w:val="auto"/>
                <w:szCs w:val="21"/>
                <w:highlight w:val="none"/>
              </w:rPr>
            </w:pPr>
          </w:p>
        </w:tc>
      </w:tr>
    </w:tbl>
    <w:p w14:paraId="49F195F2">
      <w:pPr>
        <w:pStyle w:val="112"/>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ascii="仿宋" w:hAnsi="仿宋" w:eastAsia="仿宋" w:cs="仿宋"/>
          <w:color w:val="auto"/>
          <w:spacing w:val="-6"/>
          <w:sz w:val="18"/>
          <w:szCs w:val="18"/>
          <w:highlight w:val="none"/>
        </w:rPr>
      </w:pPr>
    </w:p>
    <w:p w14:paraId="4A913DAD">
      <w:pPr>
        <w:pStyle w:val="112"/>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highlight w:val="none"/>
        </w:rPr>
      </w:pPr>
      <w:r>
        <w:rPr>
          <w:rFonts w:hint="eastAsia" w:ascii="仿宋" w:hAnsi="仿宋" w:eastAsia="仿宋" w:cs="仿宋"/>
          <w:color w:val="auto"/>
          <w:spacing w:val="-6"/>
          <w:sz w:val="18"/>
          <w:szCs w:val="18"/>
          <w:highlight w:val="none"/>
        </w:rPr>
        <w:t>注：评分标准中相关证明材料随表格一并提供</w:t>
      </w:r>
    </w:p>
    <w:p w14:paraId="655ABA64">
      <w:pPr>
        <w:rPr>
          <w:highlight w:val="none"/>
        </w:rPr>
      </w:pPr>
      <w:r>
        <w:rPr>
          <w:rFonts w:hint="eastAsia"/>
          <w:highlight w:val="none"/>
        </w:rPr>
        <w:br w:type="page"/>
      </w:r>
    </w:p>
    <w:p w14:paraId="36DFCD36">
      <w:pPr>
        <w:adjustRightInd w:val="0"/>
        <w:snapToGrid w:val="0"/>
        <w:spacing w:line="288" w:lineRule="auto"/>
        <w:jc w:val="center"/>
        <w:rPr>
          <w:rFonts w:ascii="仿宋" w:hAnsi="仿宋" w:eastAsia="仿宋" w:cs="仿宋"/>
          <w:b/>
          <w:bCs/>
          <w:color w:val="auto"/>
          <w:sz w:val="84"/>
          <w:szCs w:val="84"/>
          <w:highlight w:val="none"/>
        </w:rPr>
      </w:pPr>
    </w:p>
    <w:p w14:paraId="62757467">
      <w:pPr>
        <w:adjustRightInd w:val="0"/>
        <w:snapToGrid w:val="0"/>
        <w:spacing w:line="288" w:lineRule="auto"/>
        <w:jc w:val="center"/>
        <w:rPr>
          <w:rFonts w:ascii="仿宋" w:hAnsi="仿宋" w:eastAsia="仿宋" w:cs="仿宋"/>
          <w:b/>
          <w:bCs/>
          <w:color w:val="auto"/>
          <w:sz w:val="84"/>
          <w:szCs w:val="84"/>
          <w:highlight w:val="none"/>
        </w:rPr>
      </w:pPr>
    </w:p>
    <w:p w14:paraId="06C7BC45">
      <w:pPr>
        <w:adjustRightInd w:val="0"/>
        <w:snapToGrid w:val="0"/>
        <w:spacing w:line="288" w:lineRule="auto"/>
        <w:jc w:val="center"/>
        <w:rPr>
          <w:rFonts w:ascii="仿宋" w:hAnsi="仿宋" w:eastAsia="仿宋" w:cs="仿宋"/>
          <w:b/>
          <w:bCs/>
          <w:color w:val="auto"/>
          <w:sz w:val="84"/>
          <w:szCs w:val="84"/>
          <w:highlight w:val="none"/>
        </w:rPr>
      </w:pPr>
    </w:p>
    <w:p w14:paraId="22A709FA">
      <w:pPr>
        <w:adjustRightInd w:val="0"/>
        <w:snapToGrid w:val="0"/>
        <w:spacing w:line="288" w:lineRule="auto"/>
        <w:jc w:val="center"/>
        <w:rPr>
          <w:rFonts w:ascii="仿宋" w:hAnsi="仿宋" w:eastAsia="仿宋" w:cs="仿宋"/>
          <w:b/>
          <w:bCs/>
          <w:color w:val="auto"/>
          <w:sz w:val="84"/>
          <w:szCs w:val="84"/>
          <w:highlight w:val="none"/>
        </w:rPr>
      </w:pPr>
    </w:p>
    <w:p w14:paraId="017F69A5">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2B4D2F">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025347">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人：浙江工业大学</w:t>
      </w:r>
    </w:p>
    <w:p w14:paraId="4188050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浙江工业大学高校一站式化学品与材料采购平台开发服务</w:t>
      </w:r>
    </w:p>
    <w:p w14:paraId="0BD0E8D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QSZBH250032ZFGK</w:t>
      </w:r>
    </w:p>
    <w:tbl>
      <w:tblPr>
        <w:tblStyle w:val="24"/>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2222"/>
        <w:gridCol w:w="1311"/>
        <w:gridCol w:w="868"/>
        <w:gridCol w:w="938"/>
        <w:gridCol w:w="1070"/>
        <w:gridCol w:w="883"/>
        <w:gridCol w:w="808"/>
        <w:gridCol w:w="821"/>
      </w:tblGrid>
      <w:tr w14:paraId="2546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5554DA27">
            <w:pPr>
              <w:jc w:val="center"/>
              <w:rPr>
                <w:rFonts w:hint="eastAsia" w:ascii="仿宋" w:hAnsi="仿宋" w:eastAsia="仿宋" w:cs="仿宋"/>
                <w:b/>
                <w:bCs/>
              </w:rPr>
            </w:pPr>
            <w:r>
              <w:rPr>
                <w:rFonts w:hint="eastAsia" w:ascii="仿宋" w:hAnsi="仿宋" w:eastAsia="仿宋" w:cs="仿宋"/>
                <w:b/>
                <w:bCs/>
              </w:rPr>
              <w:t>序号</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3FFB914A">
            <w:pPr>
              <w:jc w:val="center"/>
              <w:rPr>
                <w:rFonts w:hint="eastAsia" w:ascii="仿宋" w:hAnsi="仿宋" w:eastAsia="仿宋" w:cs="仿宋"/>
                <w:b/>
                <w:bCs/>
              </w:rPr>
            </w:pPr>
            <w:r>
              <w:rPr>
                <w:rFonts w:hint="eastAsia" w:ascii="仿宋" w:hAnsi="仿宋" w:eastAsia="仿宋" w:cs="仿宋"/>
                <w:b/>
                <w:bCs/>
              </w:rPr>
              <w:t>标的名称</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2F96B071">
            <w:pPr>
              <w:jc w:val="center"/>
              <w:rPr>
                <w:rFonts w:hint="eastAsia" w:ascii="仿宋" w:hAnsi="仿宋" w:eastAsia="仿宋" w:cs="仿宋"/>
                <w:b/>
                <w:bCs/>
              </w:rPr>
            </w:pPr>
            <w:r>
              <w:rPr>
                <w:rFonts w:hint="eastAsia" w:ascii="仿宋" w:hAnsi="仿宋" w:eastAsia="仿宋" w:cs="仿宋"/>
                <w:b/>
                <w:bCs/>
              </w:rPr>
              <w:t>★</w:t>
            </w:r>
            <w:bookmarkStart w:id="49" w:name="_Hlk177717733"/>
            <w:r>
              <w:rPr>
                <w:rFonts w:hint="eastAsia" w:ascii="仿宋" w:hAnsi="仿宋" w:eastAsia="仿宋" w:cs="仿宋"/>
                <w:b/>
                <w:bCs/>
              </w:rPr>
              <w:t>规格型号</w:t>
            </w:r>
            <w:bookmarkEnd w:id="49"/>
          </w:p>
        </w:tc>
        <w:tc>
          <w:tcPr>
            <w:tcW w:w="451" w:type="pct"/>
            <w:tcBorders>
              <w:top w:val="single" w:color="auto" w:sz="4" w:space="0"/>
              <w:left w:val="single" w:color="auto" w:sz="4" w:space="0"/>
              <w:bottom w:val="single" w:color="auto" w:sz="4" w:space="0"/>
              <w:right w:val="single" w:color="auto" w:sz="4" w:space="0"/>
            </w:tcBorders>
            <w:shd w:val="clear" w:color="auto" w:fill="FFFFFF"/>
            <w:vAlign w:val="center"/>
          </w:tcPr>
          <w:p w14:paraId="2CFD3EED">
            <w:pPr>
              <w:jc w:val="center"/>
              <w:rPr>
                <w:rFonts w:hint="eastAsia" w:ascii="仿宋" w:hAnsi="仿宋" w:eastAsia="仿宋" w:cs="仿宋"/>
                <w:b/>
                <w:bCs/>
              </w:rPr>
            </w:pPr>
            <w:r>
              <w:rPr>
                <w:rFonts w:hint="eastAsia" w:ascii="仿宋" w:hAnsi="仿宋" w:eastAsia="仿宋" w:cs="仿宋"/>
                <w:b/>
                <w:bCs/>
              </w:rPr>
              <w:t>数量</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8050B35">
            <w:pPr>
              <w:jc w:val="center"/>
              <w:rPr>
                <w:rFonts w:hint="eastAsia" w:ascii="仿宋" w:hAnsi="仿宋" w:eastAsia="仿宋" w:cs="仿宋"/>
                <w:b/>
                <w:bCs/>
              </w:rPr>
            </w:pPr>
            <w:r>
              <w:rPr>
                <w:rFonts w:hint="eastAsia" w:ascii="仿宋" w:hAnsi="仿宋" w:eastAsia="仿宋" w:cs="仿宋"/>
                <w:b/>
                <w:bCs/>
              </w:rPr>
              <w:t>★品牌</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F3551B1">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562EF1A">
            <w:pPr>
              <w:jc w:val="center"/>
              <w:rPr>
                <w:rFonts w:hint="eastAsia" w:ascii="仿宋" w:hAnsi="仿宋" w:eastAsia="仿宋" w:cs="仿宋"/>
                <w:b/>
                <w:bCs/>
              </w:rPr>
            </w:pPr>
            <w:r>
              <w:rPr>
                <w:rFonts w:hint="eastAsia" w:ascii="仿宋" w:hAnsi="仿宋" w:eastAsia="仿宋" w:cs="仿宋"/>
                <w:b/>
                <w:bCs/>
              </w:rPr>
              <w:t>★产地</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2508C02">
            <w:pPr>
              <w:jc w:val="center"/>
              <w:rPr>
                <w:rFonts w:hint="eastAsia" w:ascii="仿宋" w:hAnsi="仿宋" w:eastAsia="仿宋" w:cs="仿宋"/>
                <w:b/>
                <w:bCs/>
              </w:rPr>
            </w:pPr>
            <w:r>
              <w:rPr>
                <w:rFonts w:hint="eastAsia" w:ascii="仿宋" w:hAnsi="仿宋" w:eastAsia="仿宋" w:cs="仿宋"/>
                <w:b/>
                <w:bCs/>
              </w:rPr>
              <w:t>单价</w:t>
            </w:r>
          </w:p>
          <w:p w14:paraId="148D8353">
            <w:pPr>
              <w:jc w:val="center"/>
              <w:rPr>
                <w:rFonts w:hint="eastAsia" w:ascii="仿宋" w:hAnsi="仿宋" w:eastAsia="仿宋" w:cs="仿宋"/>
                <w:b/>
                <w:bCs/>
              </w:rPr>
            </w:pPr>
            <w:r>
              <w:rPr>
                <w:rFonts w:hint="eastAsia" w:ascii="仿宋" w:hAnsi="仿宋" w:eastAsia="仿宋" w:cs="仿宋"/>
                <w:b/>
                <w:bCs/>
              </w:rPr>
              <w:t>（元）</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14:paraId="2BCB9645">
            <w:pPr>
              <w:jc w:val="center"/>
              <w:rPr>
                <w:rFonts w:hint="eastAsia" w:ascii="仿宋" w:hAnsi="仿宋" w:eastAsia="仿宋" w:cs="仿宋"/>
                <w:b/>
                <w:bCs/>
              </w:rPr>
            </w:pPr>
            <w:r>
              <w:rPr>
                <w:rFonts w:hint="eastAsia" w:ascii="仿宋" w:hAnsi="仿宋" w:eastAsia="仿宋" w:cs="仿宋"/>
                <w:b/>
                <w:bCs/>
              </w:rPr>
              <w:t>合计</w:t>
            </w:r>
          </w:p>
          <w:p w14:paraId="7572A7D2">
            <w:pPr>
              <w:jc w:val="center"/>
              <w:rPr>
                <w:rFonts w:hint="eastAsia" w:ascii="仿宋" w:hAnsi="仿宋" w:eastAsia="仿宋" w:cs="仿宋"/>
                <w:b/>
                <w:bCs/>
              </w:rPr>
            </w:pPr>
            <w:r>
              <w:rPr>
                <w:rFonts w:hint="eastAsia" w:ascii="仿宋" w:hAnsi="仿宋" w:eastAsia="仿宋" w:cs="仿宋"/>
                <w:b/>
                <w:bCs/>
              </w:rPr>
              <w:t>（元）</w:t>
            </w:r>
          </w:p>
        </w:tc>
      </w:tr>
      <w:tr w14:paraId="1005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11D9592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02C0CD47">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高校一站式化学品与材料采购平台开发服务</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1F777E2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451" w:type="pct"/>
            <w:tcBorders>
              <w:top w:val="single" w:color="auto" w:sz="4" w:space="0"/>
              <w:left w:val="single" w:color="auto" w:sz="4" w:space="0"/>
              <w:bottom w:val="single" w:color="auto" w:sz="4" w:space="0"/>
              <w:right w:val="single" w:color="auto" w:sz="4" w:space="0"/>
            </w:tcBorders>
            <w:shd w:val="clear" w:color="auto" w:fill="FFFFFF"/>
            <w:vAlign w:val="center"/>
          </w:tcPr>
          <w:p w14:paraId="3830F9B6">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1项</w:t>
            </w:r>
          </w:p>
        </w:tc>
        <w:tc>
          <w:tcPr>
            <w:tcW w:w="487" w:type="pct"/>
            <w:tcBorders>
              <w:top w:val="single" w:color="auto" w:sz="4" w:space="0"/>
              <w:left w:val="single" w:color="auto" w:sz="4" w:space="0"/>
              <w:bottom w:val="single" w:color="auto" w:sz="4" w:space="0"/>
              <w:right w:val="single" w:color="auto" w:sz="4" w:space="0"/>
            </w:tcBorders>
            <w:shd w:val="clear" w:color="auto" w:fill="FFFFFF"/>
            <w:vAlign w:val="center"/>
          </w:tcPr>
          <w:p w14:paraId="2D06A80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556" w:type="pct"/>
            <w:tcBorders>
              <w:top w:val="single" w:color="auto" w:sz="4" w:space="0"/>
              <w:left w:val="single" w:color="auto" w:sz="4" w:space="0"/>
              <w:bottom w:val="single" w:color="auto" w:sz="4" w:space="0"/>
              <w:right w:val="single" w:color="auto" w:sz="4" w:space="0"/>
            </w:tcBorders>
            <w:shd w:val="clear" w:color="auto" w:fill="FFFFFF"/>
            <w:vAlign w:val="center"/>
          </w:tcPr>
          <w:p w14:paraId="75174FA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459" w:type="pct"/>
            <w:tcBorders>
              <w:top w:val="single" w:color="auto" w:sz="4" w:space="0"/>
              <w:left w:val="single" w:color="auto" w:sz="4" w:space="0"/>
              <w:bottom w:val="single" w:color="auto" w:sz="4" w:space="0"/>
              <w:right w:val="single" w:color="auto" w:sz="4" w:space="0"/>
            </w:tcBorders>
            <w:vAlign w:val="center"/>
          </w:tcPr>
          <w:p w14:paraId="52D92AD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w:t>
            </w:r>
          </w:p>
        </w:tc>
        <w:tc>
          <w:tcPr>
            <w:tcW w:w="420" w:type="pct"/>
            <w:tcBorders>
              <w:top w:val="single" w:color="auto" w:sz="4" w:space="0"/>
              <w:left w:val="single" w:color="auto" w:sz="4" w:space="0"/>
              <w:bottom w:val="single" w:color="auto" w:sz="4" w:space="0"/>
              <w:right w:val="single" w:color="auto" w:sz="4" w:space="0"/>
            </w:tcBorders>
            <w:vAlign w:val="center"/>
          </w:tcPr>
          <w:p w14:paraId="055A7EEB">
            <w:pPr>
              <w:jc w:val="center"/>
              <w:rPr>
                <w:rFonts w:hint="eastAsia" w:ascii="仿宋" w:hAnsi="仿宋" w:eastAsia="仿宋" w:cs="仿宋"/>
                <w:sz w:val="18"/>
                <w:szCs w:val="18"/>
              </w:rPr>
            </w:pPr>
          </w:p>
        </w:tc>
        <w:tc>
          <w:tcPr>
            <w:tcW w:w="426" w:type="pct"/>
            <w:tcBorders>
              <w:top w:val="single" w:color="auto" w:sz="4" w:space="0"/>
              <w:left w:val="single" w:color="auto" w:sz="4" w:space="0"/>
              <w:bottom w:val="single" w:color="auto" w:sz="4" w:space="0"/>
              <w:right w:val="single" w:color="auto" w:sz="4" w:space="0"/>
            </w:tcBorders>
            <w:vAlign w:val="center"/>
          </w:tcPr>
          <w:p w14:paraId="4E170C10">
            <w:pPr>
              <w:jc w:val="center"/>
              <w:rPr>
                <w:rFonts w:hint="eastAsia" w:ascii="仿宋" w:hAnsi="仿宋" w:eastAsia="仿宋" w:cs="仿宋"/>
                <w:sz w:val="18"/>
                <w:szCs w:val="18"/>
              </w:rPr>
            </w:pPr>
          </w:p>
        </w:tc>
      </w:tr>
      <w:tr w14:paraId="40DC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026CFE7">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7B28E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1BDFA6B5">
            <w:pPr>
              <w:jc w:val="center"/>
              <w:rPr>
                <w:rFonts w:hint="eastAsia" w:ascii="仿宋" w:hAnsi="仿宋" w:eastAsia="仿宋" w:cs="仿宋"/>
              </w:rPr>
            </w:pP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6A2EE9E9">
            <w:pPr>
              <w:jc w:val="center"/>
              <w:rPr>
                <w:rFonts w:hint="eastAsia" w:ascii="仿宋" w:hAnsi="仿宋" w:eastAsia="仿宋" w:cs="仿宋"/>
              </w:rPr>
            </w:pP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tcPr>
          <w:p w14:paraId="4205CB18">
            <w:pPr>
              <w:jc w:val="center"/>
              <w:rPr>
                <w:rFonts w:hint="eastAsia" w:ascii="仿宋" w:hAnsi="仿宋" w:eastAsia="仿宋" w:cs="仿宋"/>
              </w:rPr>
            </w:pPr>
          </w:p>
        </w:tc>
        <w:tc>
          <w:tcPr>
            <w:tcW w:w="451" w:type="pct"/>
            <w:tcBorders>
              <w:top w:val="single" w:color="auto" w:sz="4" w:space="0"/>
              <w:left w:val="single" w:color="auto" w:sz="4" w:space="0"/>
              <w:bottom w:val="single" w:color="auto" w:sz="4" w:space="0"/>
              <w:right w:val="single" w:color="auto" w:sz="4" w:space="0"/>
            </w:tcBorders>
            <w:shd w:val="clear" w:color="auto" w:fill="FFFFFF"/>
            <w:vAlign w:val="center"/>
          </w:tcPr>
          <w:p w14:paraId="04D03163">
            <w:pPr>
              <w:jc w:val="center"/>
              <w:rPr>
                <w:rFonts w:hint="eastAsia" w:ascii="仿宋" w:hAnsi="仿宋" w:eastAsia="仿宋" w:cs="仿宋"/>
              </w:rPr>
            </w:pPr>
          </w:p>
        </w:tc>
        <w:tc>
          <w:tcPr>
            <w:tcW w:w="487" w:type="pct"/>
            <w:tcBorders>
              <w:top w:val="single" w:color="auto" w:sz="4" w:space="0"/>
              <w:left w:val="single" w:color="auto" w:sz="4" w:space="0"/>
              <w:bottom w:val="single" w:color="auto" w:sz="4" w:space="0"/>
              <w:right w:val="single" w:color="auto" w:sz="4" w:space="0"/>
            </w:tcBorders>
            <w:shd w:val="clear" w:color="auto" w:fill="FFFFFF"/>
            <w:vAlign w:val="center"/>
          </w:tcPr>
          <w:p w14:paraId="40C95E67">
            <w:pPr>
              <w:jc w:val="center"/>
              <w:rPr>
                <w:rFonts w:hint="eastAsia" w:ascii="仿宋" w:hAnsi="仿宋" w:eastAsia="仿宋" w:cs="仿宋"/>
              </w:rPr>
            </w:pPr>
          </w:p>
        </w:tc>
        <w:tc>
          <w:tcPr>
            <w:tcW w:w="556" w:type="pct"/>
            <w:tcBorders>
              <w:top w:val="single" w:color="auto" w:sz="4" w:space="0"/>
              <w:left w:val="single" w:color="auto" w:sz="4" w:space="0"/>
              <w:bottom w:val="single" w:color="auto" w:sz="4" w:space="0"/>
              <w:right w:val="single" w:color="auto" w:sz="4" w:space="0"/>
            </w:tcBorders>
            <w:shd w:val="clear" w:color="auto" w:fill="FFFFFF"/>
            <w:vAlign w:val="center"/>
          </w:tcPr>
          <w:p w14:paraId="5D78EB4F">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78E6431E">
            <w:pPr>
              <w:jc w:val="center"/>
              <w:rPr>
                <w:rFonts w:hint="eastAsia" w:ascii="仿宋" w:hAnsi="仿宋" w:eastAsia="仿宋" w:cs="仿宋"/>
              </w:rPr>
            </w:pPr>
          </w:p>
        </w:tc>
        <w:tc>
          <w:tcPr>
            <w:tcW w:w="420" w:type="pct"/>
            <w:tcBorders>
              <w:top w:val="single" w:color="auto" w:sz="4" w:space="0"/>
              <w:left w:val="single" w:color="auto" w:sz="4" w:space="0"/>
              <w:bottom w:val="single" w:color="auto" w:sz="4" w:space="0"/>
              <w:right w:val="single" w:color="auto" w:sz="4" w:space="0"/>
            </w:tcBorders>
            <w:vAlign w:val="center"/>
          </w:tcPr>
          <w:p w14:paraId="52221E21">
            <w:pPr>
              <w:jc w:val="center"/>
              <w:rPr>
                <w:rFonts w:hint="eastAsia" w:ascii="仿宋" w:hAnsi="仿宋" w:eastAsia="仿宋" w:cs="仿宋"/>
              </w:rPr>
            </w:pPr>
          </w:p>
        </w:tc>
        <w:tc>
          <w:tcPr>
            <w:tcW w:w="426" w:type="pct"/>
            <w:tcBorders>
              <w:top w:val="single" w:color="auto" w:sz="4" w:space="0"/>
              <w:left w:val="single" w:color="auto" w:sz="4" w:space="0"/>
              <w:bottom w:val="single" w:color="auto" w:sz="4" w:space="0"/>
              <w:right w:val="single" w:color="auto" w:sz="4" w:space="0"/>
            </w:tcBorders>
            <w:vAlign w:val="center"/>
          </w:tcPr>
          <w:p w14:paraId="11B0CE4F">
            <w:pPr>
              <w:jc w:val="center"/>
              <w:rPr>
                <w:rFonts w:hint="eastAsia" w:ascii="仿宋" w:hAnsi="仿宋" w:eastAsia="仿宋" w:cs="仿宋"/>
              </w:rPr>
            </w:pPr>
          </w:p>
        </w:tc>
      </w:tr>
      <w:tr w14:paraId="7EAE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3B3C67A">
            <w:pPr>
              <w:adjustRightInd w:val="0"/>
              <w:snapToGrid w:val="0"/>
              <w:spacing w:line="288" w:lineRule="auto"/>
              <w:jc w:val="center"/>
              <w:rPr>
                <w:rFonts w:hint="eastAsia" w:ascii="仿宋" w:hAnsi="仿宋" w:eastAsia="仿宋" w:cs="仿宋"/>
                <w:b/>
                <w:bCs/>
                <w:szCs w:val="21"/>
              </w:rPr>
            </w:pPr>
          </w:p>
          <w:p w14:paraId="6EA21578">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700F7B7F">
            <w:pPr>
              <w:adjustRightInd w:val="0"/>
              <w:snapToGrid w:val="0"/>
              <w:spacing w:line="288" w:lineRule="auto"/>
              <w:rPr>
                <w:rFonts w:hint="eastAsia" w:ascii="仿宋" w:hAnsi="仿宋" w:eastAsia="仿宋" w:cs="仿宋"/>
                <w:b/>
                <w:bCs/>
                <w:szCs w:val="21"/>
              </w:rPr>
            </w:pPr>
          </w:p>
          <w:p w14:paraId="143C16FB">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0405F115">
            <w:pPr>
              <w:adjustRightInd w:val="0"/>
              <w:snapToGrid w:val="0"/>
              <w:spacing w:line="288" w:lineRule="auto"/>
              <w:rPr>
                <w:rFonts w:hint="eastAsia" w:ascii="仿宋" w:hAnsi="仿宋" w:eastAsia="仿宋" w:cs="仿宋"/>
                <w:b/>
                <w:bCs/>
                <w:szCs w:val="21"/>
              </w:rPr>
            </w:pPr>
          </w:p>
          <w:p w14:paraId="4A98CEEE">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459345F4">
            <w:pPr>
              <w:adjustRightInd w:val="0"/>
              <w:snapToGrid w:val="0"/>
              <w:spacing w:line="288" w:lineRule="auto"/>
              <w:rPr>
                <w:rFonts w:hint="eastAsia" w:ascii="仿宋" w:hAnsi="仿宋" w:eastAsia="仿宋" w:cs="仿宋"/>
                <w:b/>
                <w:bCs/>
                <w:szCs w:val="21"/>
              </w:rPr>
            </w:pPr>
          </w:p>
        </w:tc>
      </w:tr>
    </w:tbl>
    <w:p w14:paraId="064A3ED6">
      <w:pPr>
        <w:adjustRightInd w:val="0"/>
        <w:snapToGrid w:val="0"/>
        <w:spacing w:line="360" w:lineRule="auto"/>
        <w:rPr>
          <w:rFonts w:ascii="仿宋" w:hAnsi="仿宋" w:eastAsia="仿宋" w:cs="仿宋"/>
          <w:color w:val="auto"/>
          <w:spacing w:val="-6"/>
          <w:szCs w:val="21"/>
          <w:highlight w:val="none"/>
        </w:rPr>
      </w:pPr>
    </w:p>
    <w:p w14:paraId="7BC99E94">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F5F7AA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E105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823E5DF">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9E19858">
      <w:pPr>
        <w:adjustRightInd w:val="0"/>
        <w:snapToGrid w:val="0"/>
        <w:spacing w:line="360" w:lineRule="auto"/>
        <w:rPr>
          <w:rFonts w:ascii="仿宋" w:hAnsi="仿宋" w:eastAsia="仿宋" w:cs="仿宋"/>
          <w:color w:val="auto"/>
          <w:szCs w:val="21"/>
          <w:highlight w:val="none"/>
        </w:rPr>
      </w:pPr>
    </w:p>
    <w:p w14:paraId="7ED5294C">
      <w:pPr>
        <w:adjustRightInd w:val="0"/>
        <w:snapToGrid w:val="0"/>
        <w:spacing w:line="360" w:lineRule="auto"/>
        <w:rPr>
          <w:rFonts w:ascii="仿宋" w:hAnsi="仿宋" w:eastAsia="仿宋" w:cs="仿宋"/>
          <w:b/>
          <w:bCs/>
          <w:color w:val="auto"/>
          <w:spacing w:val="-6"/>
          <w:szCs w:val="21"/>
          <w:highlight w:val="none"/>
        </w:rPr>
      </w:pPr>
    </w:p>
    <w:p w14:paraId="4BF14F7B">
      <w:pPr>
        <w:adjustRightInd w:val="0"/>
        <w:snapToGrid w:val="0"/>
        <w:spacing w:line="360" w:lineRule="auto"/>
        <w:rPr>
          <w:rFonts w:ascii="仿宋" w:hAnsi="仿宋" w:eastAsia="仿宋" w:cs="仿宋"/>
          <w:b/>
          <w:bCs/>
          <w:color w:val="auto"/>
          <w:spacing w:val="-6"/>
          <w:szCs w:val="21"/>
          <w:highlight w:val="none"/>
        </w:rPr>
      </w:pPr>
    </w:p>
    <w:p w14:paraId="4F15E31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AE03A6C">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67BB5C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浙江工业大学、浙江求是招标代理有限公司</w:t>
      </w:r>
    </w:p>
    <w:p w14:paraId="02314F6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浙江工业大学高校一站式化学品与材料采购平台开发服务</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QSZBH250032ZFGK]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2789955">
      <w:pPr>
        <w:snapToGrid w:val="0"/>
        <w:spacing w:line="360" w:lineRule="auto"/>
        <w:ind w:firstLine="424" w:firstLineChars="202"/>
        <w:rPr>
          <w:rFonts w:ascii="仿宋" w:hAnsi="仿宋" w:eastAsia="仿宋" w:cs="仿宋"/>
          <w:color w:val="auto"/>
          <w:szCs w:val="21"/>
          <w:highlight w:val="none"/>
        </w:rPr>
      </w:pPr>
    </w:p>
    <w:p w14:paraId="6C34BB7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48A0F3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4867DD6">
      <w:pPr>
        <w:snapToGrid w:val="0"/>
        <w:spacing w:line="360" w:lineRule="auto"/>
        <w:rPr>
          <w:rFonts w:ascii="仿宋" w:hAnsi="仿宋" w:eastAsia="仿宋" w:cs="仿宋"/>
          <w:b/>
          <w:bCs/>
          <w:color w:val="auto"/>
          <w:szCs w:val="21"/>
          <w:highlight w:val="none"/>
        </w:rPr>
      </w:pPr>
    </w:p>
    <w:p w14:paraId="05DCE2D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903023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tbl>
      <w:tblPr>
        <w:tblStyle w:val="25"/>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spacing w:val="0"/>
                <w:kern w:val="2"/>
                <w:szCs w:val="21"/>
                <w:vertAlign w:val="baseline"/>
              </w:rPr>
            </w:pPr>
          </w:p>
        </w:tc>
        <w:tc>
          <w:tcPr>
            <w:tcW w:w="4814" w:type="dxa"/>
          </w:tcPr>
          <w:p w14:paraId="6E2B4F3D">
            <w:pPr>
              <w:snapToGrid w:val="0"/>
              <w:spacing w:line="288" w:lineRule="auto"/>
              <w:rPr>
                <w:rFonts w:hint="eastAsia" w:ascii="宋体" w:hAnsi="宋体" w:eastAsia="宋体" w:cs="宋体"/>
                <w:spacing w:val="0"/>
                <w:kern w:val="2"/>
                <w:szCs w:val="21"/>
                <w:vertAlign w:val="baseline"/>
              </w:rPr>
            </w:pPr>
          </w:p>
        </w:tc>
      </w:tr>
    </w:tbl>
    <w:p w14:paraId="7E424D9F">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646A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2B3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171A8F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3E5A4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浙江工业大学高校一站式化学品与材料采购平台开发服务</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QSZBH250032ZFGK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7C968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D22AB7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F2BADE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9665B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u w:val="none"/>
        </w:rPr>
        <w:t>提供的服务由小微企业承接</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82C6C3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18E8ACD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07D1B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3BD80E3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BDED4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3BD9FC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9D18BC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E53723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AC6B82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6BD26385">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8"/>
      <w:jc w:val="both"/>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988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冥灵有叶">
    <w15:presenceInfo w15:providerId="WPS Office" w15:userId="2437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705D21"/>
    <w:rsid w:val="018C1267"/>
    <w:rsid w:val="01E81FFF"/>
    <w:rsid w:val="01F81427"/>
    <w:rsid w:val="02012A20"/>
    <w:rsid w:val="02410BBD"/>
    <w:rsid w:val="0255631B"/>
    <w:rsid w:val="025A1D16"/>
    <w:rsid w:val="02675FA2"/>
    <w:rsid w:val="029858A5"/>
    <w:rsid w:val="02B01928"/>
    <w:rsid w:val="02DB66DE"/>
    <w:rsid w:val="0367195A"/>
    <w:rsid w:val="03E17F2F"/>
    <w:rsid w:val="03F93561"/>
    <w:rsid w:val="041C048B"/>
    <w:rsid w:val="04455AED"/>
    <w:rsid w:val="04543A7E"/>
    <w:rsid w:val="046B3463"/>
    <w:rsid w:val="04932572"/>
    <w:rsid w:val="04933C53"/>
    <w:rsid w:val="04FC43EA"/>
    <w:rsid w:val="05156760"/>
    <w:rsid w:val="052E5413"/>
    <w:rsid w:val="05362D79"/>
    <w:rsid w:val="056C099C"/>
    <w:rsid w:val="05702602"/>
    <w:rsid w:val="05952138"/>
    <w:rsid w:val="059E7BA9"/>
    <w:rsid w:val="05D34727"/>
    <w:rsid w:val="05D66602"/>
    <w:rsid w:val="05F3515E"/>
    <w:rsid w:val="06060693"/>
    <w:rsid w:val="06372924"/>
    <w:rsid w:val="06495BAA"/>
    <w:rsid w:val="067A5D0F"/>
    <w:rsid w:val="06887ED4"/>
    <w:rsid w:val="068E57D3"/>
    <w:rsid w:val="06D0191A"/>
    <w:rsid w:val="07023E90"/>
    <w:rsid w:val="07EA3DB1"/>
    <w:rsid w:val="07FD4090"/>
    <w:rsid w:val="08931933"/>
    <w:rsid w:val="08A42702"/>
    <w:rsid w:val="08E550FE"/>
    <w:rsid w:val="09490841"/>
    <w:rsid w:val="09F27F75"/>
    <w:rsid w:val="0A270D93"/>
    <w:rsid w:val="0A6F7309"/>
    <w:rsid w:val="0A754277"/>
    <w:rsid w:val="0A7F2E26"/>
    <w:rsid w:val="0A93238E"/>
    <w:rsid w:val="0ABF224C"/>
    <w:rsid w:val="0B1110DC"/>
    <w:rsid w:val="0B1D155E"/>
    <w:rsid w:val="0B245C05"/>
    <w:rsid w:val="0B335263"/>
    <w:rsid w:val="0B4A1776"/>
    <w:rsid w:val="0B71123C"/>
    <w:rsid w:val="0B862EE8"/>
    <w:rsid w:val="0B966D19"/>
    <w:rsid w:val="0C1214DA"/>
    <w:rsid w:val="0C31724E"/>
    <w:rsid w:val="0C525A8C"/>
    <w:rsid w:val="0C786503"/>
    <w:rsid w:val="0CE9115E"/>
    <w:rsid w:val="0D1A04C9"/>
    <w:rsid w:val="0D3C08AB"/>
    <w:rsid w:val="0D3E3F80"/>
    <w:rsid w:val="0D60217F"/>
    <w:rsid w:val="0D6B4803"/>
    <w:rsid w:val="0D90780B"/>
    <w:rsid w:val="0DB72A31"/>
    <w:rsid w:val="0E0272E3"/>
    <w:rsid w:val="0E3A13A6"/>
    <w:rsid w:val="0E5126E9"/>
    <w:rsid w:val="0F3516D1"/>
    <w:rsid w:val="0F583081"/>
    <w:rsid w:val="102E361B"/>
    <w:rsid w:val="103E7503"/>
    <w:rsid w:val="10757130"/>
    <w:rsid w:val="10871B5A"/>
    <w:rsid w:val="10951221"/>
    <w:rsid w:val="10C446C9"/>
    <w:rsid w:val="11116365"/>
    <w:rsid w:val="112A7CC0"/>
    <w:rsid w:val="112B34AD"/>
    <w:rsid w:val="11FF5827"/>
    <w:rsid w:val="12425AC4"/>
    <w:rsid w:val="12462D0E"/>
    <w:rsid w:val="12532F3F"/>
    <w:rsid w:val="127F1A55"/>
    <w:rsid w:val="13220891"/>
    <w:rsid w:val="13C67CD0"/>
    <w:rsid w:val="13CC23F4"/>
    <w:rsid w:val="13E73953"/>
    <w:rsid w:val="140A4210"/>
    <w:rsid w:val="141F7503"/>
    <w:rsid w:val="148B57E4"/>
    <w:rsid w:val="14C250F2"/>
    <w:rsid w:val="14DF4CF8"/>
    <w:rsid w:val="14E34758"/>
    <w:rsid w:val="156C32AB"/>
    <w:rsid w:val="157E0164"/>
    <w:rsid w:val="15D06A51"/>
    <w:rsid w:val="15E05F5F"/>
    <w:rsid w:val="15E74DD8"/>
    <w:rsid w:val="16037D18"/>
    <w:rsid w:val="165068A2"/>
    <w:rsid w:val="166F0578"/>
    <w:rsid w:val="17176AAE"/>
    <w:rsid w:val="177A7EAB"/>
    <w:rsid w:val="179F160C"/>
    <w:rsid w:val="17A11E41"/>
    <w:rsid w:val="17CF1B78"/>
    <w:rsid w:val="18070575"/>
    <w:rsid w:val="18090C43"/>
    <w:rsid w:val="180F13CC"/>
    <w:rsid w:val="18185587"/>
    <w:rsid w:val="188F1B48"/>
    <w:rsid w:val="1897527F"/>
    <w:rsid w:val="18AA031B"/>
    <w:rsid w:val="18CB41C9"/>
    <w:rsid w:val="18D53F5F"/>
    <w:rsid w:val="18FB5F15"/>
    <w:rsid w:val="192047DE"/>
    <w:rsid w:val="19477B5C"/>
    <w:rsid w:val="19744352"/>
    <w:rsid w:val="19770184"/>
    <w:rsid w:val="19777C04"/>
    <w:rsid w:val="1A027439"/>
    <w:rsid w:val="1A5F2FF9"/>
    <w:rsid w:val="1A7148DF"/>
    <w:rsid w:val="1A996F8F"/>
    <w:rsid w:val="1B066372"/>
    <w:rsid w:val="1B1F63F0"/>
    <w:rsid w:val="1B321622"/>
    <w:rsid w:val="1B4B3B1C"/>
    <w:rsid w:val="1C14741D"/>
    <w:rsid w:val="1CFE5E04"/>
    <w:rsid w:val="1D102580"/>
    <w:rsid w:val="1D4A6188"/>
    <w:rsid w:val="1D805F2A"/>
    <w:rsid w:val="1DAA2193"/>
    <w:rsid w:val="1DAC61B7"/>
    <w:rsid w:val="1DC72953"/>
    <w:rsid w:val="1DEA06D7"/>
    <w:rsid w:val="1E511B62"/>
    <w:rsid w:val="1E7E6E04"/>
    <w:rsid w:val="1EA9678E"/>
    <w:rsid w:val="1EBA3927"/>
    <w:rsid w:val="1F3E36B9"/>
    <w:rsid w:val="1F415632"/>
    <w:rsid w:val="1F8B2622"/>
    <w:rsid w:val="1F9C38D3"/>
    <w:rsid w:val="1FAA007F"/>
    <w:rsid w:val="1FCA02F8"/>
    <w:rsid w:val="20014F85"/>
    <w:rsid w:val="20606EEB"/>
    <w:rsid w:val="20767551"/>
    <w:rsid w:val="20B803BF"/>
    <w:rsid w:val="214A57C8"/>
    <w:rsid w:val="215A3673"/>
    <w:rsid w:val="21DB64E2"/>
    <w:rsid w:val="221C4C30"/>
    <w:rsid w:val="22A70B6C"/>
    <w:rsid w:val="22C648B8"/>
    <w:rsid w:val="23034503"/>
    <w:rsid w:val="23C14303"/>
    <w:rsid w:val="23CB4DD1"/>
    <w:rsid w:val="23FF4622"/>
    <w:rsid w:val="24086AFE"/>
    <w:rsid w:val="243F320D"/>
    <w:rsid w:val="2489326F"/>
    <w:rsid w:val="24CD7D3C"/>
    <w:rsid w:val="250138AE"/>
    <w:rsid w:val="257C56A5"/>
    <w:rsid w:val="26096519"/>
    <w:rsid w:val="26612121"/>
    <w:rsid w:val="269B2AE6"/>
    <w:rsid w:val="26B15F84"/>
    <w:rsid w:val="270A231C"/>
    <w:rsid w:val="271676A2"/>
    <w:rsid w:val="27167E66"/>
    <w:rsid w:val="27432BC1"/>
    <w:rsid w:val="27791A74"/>
    <w:rsid w:val="27C15E1E"/>
    <w:rsid w:val="27D93366"/>
    <w:rsid w:val="27F0275A"/>
    <w:rsid w:val="281A02BE"/>
    <w:rsid w:val="28580092"/>
    <w:rsid w:val="28757D97"/>
    <w:rsid w:val="28BC23D4"/>
    <w:rsid w:val="28D03787"/>
    <w:rsid w:val="28F563E3"/>
    <w:rsid w:val="290578B9"/>
    <w:rsid w:val="29293308"/>
    <w:rsid w:val="29822826"/>
    <w:rsid w:val="299E498F"/>
    <w:rsid w:val="29D9700E"/>
    <w:rsid w:val="2A407C2A"/>
    <w:rsid w:val="2AA10ED5"/>
    <w:rsid w:val="2ADA0518"/>
    <w:rsid w:val="2AF05838"/>
    <w:rsid w:val="2B087B04"/>
    <w:rsid w:val="2B1A17A1"/>
    <w:rsid w:val="2B4A2EDD"/>
    <w:rsid w:val="2B7F08E4"/>
    <w:rsid w:val="2B8D1B43"/>
    <w:rsid w:val="2C293EE8"/>
    <w:rsid w:val="2C5D5807"/>
    <w:rsid w:val="2C921974"/>
    <w:rsid w:val="2CCA5064"/>
    <w:rsid w:val="2CCF7D4F"/>
    <w:rsid w:val="2D212596"/>
    <w:rsid w:val="2D242B88"/>
    <w:rsid w:val="2D4F21F6"/>
    <w:rsid w:val="2D4F2439"/>
    <w:rsid w:val="2D7B2469"/>
    <w:rsid w:val="2DAE7AA9"/>
    <w:rsid w:val="2DBE14C9"/>
    <w:rsid w:val="2E084AD9"/>
    <w:rsid w:val="2E251D02"/>
    <w:rsid w:val="2E50003C"/>
    <w:rsid w:val="2EB035A9"/>
    <w:rsid w:val="2ECE0839"/>
    <w:rsid w:val="2F1B5E2A"/>
    <w:rsid w:val="2F6A64D8"/>
    <w:rsid w:val="2FA10B9C"/>
    <w:rsid w:val="302E49DC"/>
    <w:rsid w:val="30362265"/>
    <w:rsid w:val="30393F2D"/>
    <w:rsid w:val="30425C13"/>
    <w:rsid w:val="30616EA9"/>
    <w:rsid w:val="30777C65"/>
    <w:rsid w:val="30CA6C5F"/>
    <w:rsid w:val="30F2130F"/>
    <w:rsid w:val="31085620"/>
    <w:rsid w:val="314C115E"/>
    <w:rsid w:val="31A44D82"/>
    <w:rsid w:val="31A76597"/>
    <w:rsid w:val="31E66E9E"/>
    <w:rsid w:val="31F950A2"/>
    <w:rsid w:val="320609C3"/>
    <w:rsid w:val="326F5337"/>
    <w:rsid w:val="32B70A61"/>
    <w:rsid w:val="32BE120D"/>
    <w:rsid w:val="32BE147D"/>
    <w:rsid w:val="32D2015C"/>
    <w:rsid w:val="33027952"/>
    <w:rsid w:val="330C0EF9"/>
    <w:rsid w:val="33261E23"/>
    <w:rsid w:val="33291024"/>
    <w:rsid w:val="332A7AF8"/>
    <w:rsid w:val="33506DE6"/>
    <w:rsid w:val="33A273C0"/>
    <w:rsid w:val="33A9206B"/>
    <w:rsid w:val="33FA529D"/>
    <w:rsid w:val="341A4047"/>
    <w:rsid w:val="34336813"/>
    <w:rsid w:val="34DC1CE1"/>
    <w:rsid w:val="3517359F"/>
    <w:rsid w:val="351F03F9"/>
    <w:rsid w:val="355F0FC1"/>
    <w:rsid w:val="359615AC"/>
    <w:rsid w:val="359A6216"/>
    <w:rsid w:val="35A54CED"/>
    <w:rsid w:val="35D804D9"/>
    <w:rsid w:val="36717BDF"/>
    <w:rsid w:val="371C0D8B"/>
    <w:rsid w:val="37203345"/>
    <w:rsid w:val="372B0E36"/>
    <w:rsid w:val="37534CA7"/>
    <w:rsid w:val="379D6B2D"/>
    <w:rsid w:val="37D824F1"/>
    <w:rsid w:val="388A0A03"/>
    <w:rsid w:val="38960FBF"/>
    <w:rsid w:val="38F0685B"/>
    <w:rsid w:val="3923276A"/>
    <w:rsid w:val="392C1E69"/>
    <w:rsid w:val="39331197"/>
    <w:rsid w:val="39431E3F"/>
    <w:rsid w:val="396E5D7C"/>
    <w:rsid w:val="39D04FC4"/>
    <w:rsid w:val="39E42CC8"/>
    <w:rsid w:val="3A172FBE"/>
    <w:rsid w:val="3A29071D"/>
    <w:rsid w:val="3A301D7F"/>
    <w:rsid w:val="3A3F6146"/>
    <w:rsid w:val="3A4C0E33"/>
    <w:rsid w:val="3A517AE1"/>
    <w:rsid w:val="3AAA60BB"/>
    <w:rsid w:val="3B0C4DFA"/>
    <w:rsid w:val="3B547968"/>
    <w:rsid w:val="3B664276"/>
    <w:rsid w:val="3B972F43"/>
    <w:rsid w:val="3BA93D77"/>
    <w:rsid w:val="3BB43813"/>
    <w:rsid w:val="3C022D13"/>
    <w:rsid w:val="3C232FB8"/>
    <w:rsid w:val="3C4D26C6"/>
    <w:rsid w:val="3D044EFC"/>
    <w:rsid w:val="3D476A8F"/>
    <w:rsid w:val="3D6C15E5"/>
    <w:rsid w:val="3E062677"/>
    <w:rsid w:val="3E3C3E33"/>
    <w:rsid w:val="3E633745"/>
    <w:rsid w:val="3E6946AD"/>
    <w:rsid w:val="3EB60CB3"/>
    <w:rsid w:val="3EBE0D9B"/>
    <w:rsid w:val="3EC436F9"/>
    <w:rsid w:val="3EC47F7D"/>
    <w:rsid w:val="3EFB063C"/>
    <w:rsid w:val="3F740895"/>
    <w:rsid w:val="3F7F04F6"/>
    <w:rsid w:val="3FB93DC6"/>
    <w:rsid w:val="400A7A69"/>
    <w:rsid w:val="40253F4D"/>
    <w:rsid w:val="402A691C"/>
    <w:rsid w:val="405C1C05"/>
    <w:rsid w:val="40AF2ED8"/>
    <w:rsid w:val="40B956E1"/>
    <w:rsid w:val="40C31DD9"/>
    <w:rsid w:val="410D4941"/>
    <w:rsid w:val="41200E1E"/>
    <w:rsid w:val="417D6BDB"/>
    <w:rsid w:val="419104D9"/>
    <w:rsid w:val="41B05692"/>
    <w:rsid w:val="41C24ED2"/>
    <w:rsid w:val="41D90132"/>
    <w:rsid w:val="41EF252B"/>
    <w:rsid w:val="41F87C4C"/>
    <w:rsid w:val="42022FF7"/>
    <w:rsid w:val="422E66F3"/>
    <w:rsid w:val="42395211"/>
    <w:rsid w:val="425511B4"/>
    <w:rsid w:val="425D46BB"/>
    <w:rsid w:val="42664BB1"/>
    <w:rsid w:val="4275164D"/>
    <w:rsid w:val="430A3262"/>
    <w:rsid w:val="433F2536"/>
    <w:rsid w:val="438A27C8"/>
    <w:rsid w:val="43BE0EA0"/>
    <w:rsid w:val="43E47456"/>
    <w:rsid w:val="441309F0"/>
    <w:rsid w:val="44310C44"/>
    <w:rsid w:val="44644583"/>
    <w:rsid w:val="446B6F5D"/>
    <w:rsid w:val="447107A7"/>
    <w:rsid w:val="4484575B"/>
    <w:rsid w:val="44A722AA"/>
    <w:rsid w:val="44AF0CED"/>
    <w:rsid w:val="44CC6C2E"/>
    <w:rsid w:val="45572A56"/>
    <w:rsid w:val="45675BEC"/>
    <w:rsid w:val="457C0F15"/>
    <w:rsid w:val="457E42F3"/>
    <w:rsid w:val="460C01D0"/>
    <w:rsid w:val="460E768F"/>
    <w:rsid w:val="46101B39"/>
    <w:rsid w:val="467D28D5"/>
    <w:rsid w:val="46A824B9"/>
    <w:rsid w:val="46BB170B"/>
    <w:rsid w:val="46C0371F"/>
    <w:rsid w:val="46D15968"/>
    <w:rsid w:val="47105324"/>
    <w:rsid w:val="475016C9"/>
    <w:rsid w:val="47510906"/>
    <w:rsid w:val="47567AEE"/>
    <w:rsid w:val="47882EEC"/>
    <w:rsid w:val="478C5485"/>
    <w:rsid w:val="4796785C"/>
    <w:rsid w:val="479E608B"/>
    <w:rsid w:val="47E85B9B"/>
    <w:rsid w:val="48164F15"/>
    <w:rsid w:val="485A61E1"/>
    <w:rsid w:val="48E17D08"/>
    <w:rsid w:val="495D70F7"/>
    <w:rsid w:val="4985062F"/>
    <w:rsid w:val="4A262AF4"/>
    <w:rsid w:val="4A832C74"/>
    <w:rsid w:val="4ADD244D"/>
    <w:rsid w:val="4B0A4380"/>
    <w:rsid w:val="4B414A2E"/>
    <w:rsid w:val="4B4C5A72"/>
    <w:rsid w:val="4B642F54"/>
    <w:rsid w:val="4B7074E5"/>
    <w:rsid w:val="4B716301"/>
    <w:rsid w:val="4B7D5F80"/>
    <w:rsid w:val="4BF3562C"/>
    <w:rsid w:val="4BF40741"/>
    <w:rsid w:val="4C411429"/>
    <w:rsid w:val="4C5E019B"/>
    <w:rsid w:val="4C7A3E2A"/>
    <w:rsid w:val="4D070569"/>
    <w:rsid w:val="4E397895"/>
    <w:rsid w:val="4E475085"/>
    <w:rsid w:val="4E6179A5"/>
    <w:rsid w:val="4E8B126F"/>
    <w:rsid w:val="4F54289B"/>
    <w:rsid w:val="4F64249F"/>
    <w:rsid w:val="4F6E1200"/>
    <w:rsid w:val="4FBB03E3"/>
    <w:rsid w:val="4FCF3A38"/>
    <w:rsid w:val="4FEE189E"/>
    <w:rsid w:val="4FF5727D"/>
    <w:rsid w:val="50147B70"/>
    <w:rsid w:val="504B2FD5"/>
    <w:rsid w:val="50945995"/>
    <w:rsid w:val="50E02600"/>
    <w:rsid w:val="50EB6E9C"/>
    <w:rsid w:val="50EE3925"/>
    <w:rsid w:val="510113CF"/>
    <w:rsid w:val="51070878"/>
    <w:rsid w:val="5148519A"/>
    <w:rsid w:val="51B178D7"/>
    <w:rsid w:val="51FB1FE6"/>
    <w:rsid w:val="520909A0"/>
    <w:rsid w:val="52121B0D"/>
    <w:rsid w:val="527D4949"/>
    <w:rsid w:val="52DA5B1C"/>
    <w:rsid w:val="53121571"/>
    <w:rsid w:val="532332A7"/>
    <w:rsid w:val="536C2F7E"/>
    <w:rsid w:val="539F2EE7"/>
    <w:rsid w:val="53AC1956"/>
    <w:rsid w:val="53F038EA"/>
    <w:rsid w:val="543F264E"/>
    <w:rsid w:val="54984779"/>
    <w:rsid w:val="54E160E1"/>
    <w:rsid w:val="54E23850"/>
    <w:rsid w:val="54E43457"/>
    <w:rsid w:val="55191463"/>
    <w:rsid w:val="55473849"/>
    <w:rsid w:val="554930D2"/>
    <w:rsid w:val="55C15F0B"/>
    <w:rsid w:val="55C43C6A"/>
    <w:rsid w:val="55E15287"/>
    <w:rsid w:val="565E037A"/>
    <w:rsid w:val="56724FD9"/>
    <w:rsid w:val="56AE54C4"/>
    <w:rsid w:val="56BF3A5B"/>
    <w:rsid w:val="56C65928"/>
    <w:rsid w:val="56C972A1"/>
    <w:rsid w:val="57045AA2"/>
    <w:rsid w:val="570F6E7F"/>
    <w:rsid w:val="572B7F1B"/>
    <w:rsid w:val="57793602"/>
    <w:rsid w:val="57E82D70"/>
    <w:rsid w:val="58055B79"/>
    <w:rsid w:val="58B04F52"/>
    <w:rsid w:val="58C023F9"/>
    <w:rsid w:val="58D41D8A"/>
    <w:rsid w:val="58EE7E56"/>
    <w:rsid w:val="5948194C"/>
    <w:rsid w:val="595A333D"/>
    <w:rsid w:val="596A4D22"/>
    <w:rsid w:val="59BA69E3"/>
    <w:rsid w:val="5A063425"/>
    <w:rsid w:val="5A3B5D1E"/>
    <w:rsid w:val="5A417035"/>
    <w:rsid w:val="5A4B453D"/>
    <w:rsid w:val="5A522A93"/>
    <w:rsid w:val="5A661DF4"/>
    <w:rsid w:val="5A7F74DE"/>
    <w:rsid w:val="5A935F96"/>
    <w:rsid w:val="5ACF0178"/>
    <w:rsid w:val="5B0C5D54"/>
    <w:rsid w:val="5B2402E4"/>
    <w:rsid w:val="5B763444"/>
    <w:rsid w:val="5B9D1978"/>
    <w:rsid w:val="5BA929FE"/>
    <w:rsid w:val="5BD73121"/>
    <w:rsid w:val="5BDB0AF9"/>
    <w:rsid w:val="5C0F2617"/>
    <w:rsid w:val="5C2F1551"/>
    <w:rsid w:val="5C3E17F9"/>
    <w:rsid w:val="5C4C7FFB"/>
    <w:rsid w:val="5C537D21"/>
    <w:rsid w:val="5CFA53B0"/>
    <w:rsid w:val="5D3A6920"/>
    <w:rsid w:val="5D4A02A9"/>
    <w:rsid w:val="5D8135CC"/>
    <w:rsid w:val="5D9555C5"/>
    <w:rsid w:val="5DA64C8A"/>
    <w:rsid w:val="5DE501AF"/>
    <w:rsid w:val="5DEB03AE"/>
    <w:rsid w:val="5E002DDD"/>
    <w:rsid w:val="5E071F26"/>
    <w:rsid w:val="5E23788C"/>
    <w:rsid w:val="5E3F1DBF"/>
    <w:rsid w:val="5E551C67"/>
    <w:rsid w:val="5E566CF4"/>
    <w:rsid w:val="5E6C7908"/>
    <w:rsid w:val="5E812C6D"/>
    <w:rsid w:val="5EB86210"/>
    <w:rsid w:val="5EED05F3"/>
    <w:rsid w:val="5F064C35"/>
    <w:rsid w:val="5F3400AD"/>
    <w:rsid w:val="600446EC"/>
    <w:rsid w:val="600D2EE6"/>
    <w:rsid w:val="601E7EAA"/>
    <w:rsid w:val="6091207C"/>
    <w:rsid w:val="60F2100A"/>
    <w:rsid w:val="61012548"/>
    <w:rsid w:val="612C73E2"/>
    <w:rsid w:val="61BD2AE7"/>
    <w:rsid w:val="61BE6360"/>
    <w:rsid w:val="61D0464C"/>
    <w:rsid w:val="61DB5D3A"/>
    <w:rsid w:val="61FF23CB"/>
    <w:rsid w:val="621760F6"/>
    <w:rsid w:val="62246B60"/>
    <w:rsid w:val="626D2409"/>
    <w:rsid w:val="62E36EC5"/>
    <w:rsid w:val="62E75EB4"/>
    <w:rsid w:val="62E81FE8"/>
    <w:rsid w:val="62E97B13"/>
    <w:rsid w:val="636F54EC"/>
    <w:rsid w:val="6385689C"/>
    <w:rsid w:val="638E6E02"/>
    <w:rsid w:val="6436497E"/>
    <w:rsid w:val="644F1ACD"/>
    <w:rsid w:val="6498638D"/>
    <w:rsid w:val="64997CEB"/>
    <w:rsid w:val="64A8372F"/>
    <w:rsid w:val="64C035B4"/>
    <w:rsid w:val="64D76619"/>
    <w:rsid w:val="64E92548"/>
    <w:rsid w:val="64FD6D44"/>
    <w:rsid w:val="65272AB2"/>
    <w:rsid w:val="653F3838"/>
    <w:rsid w:val="658D6058"/>
    <w:rsid w:val="659C5185"/>
    <w:rsid w:val="65FC336D"/>
    <w:rsid w:val="66007761"/>
    <w:rsid w:val="662D19F1"/>
    <w:rsid w:val="66A53123"/>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C97848"/>
    <w:rsid w:val="68E7433A"/>
    <w:rsid w:val="68E86ABE"/>
    <w:rsid w:val="69010BCB"/>
    <w:rsid w:val="69056BF9"/>
    <w:rsid w:val="691E67B1"/>
    <w:rsid w:val="69431270"/>
    <w:rsid w:val="695A718E"/>
    <w:rsid w:val="69974682"/>
    <w:rsid w:val="69BA078D"/>
    <w:rsid w:val="69C37723"/>
    <w:rsid w:val="6A0505C6"/>
    <w:rsid w:val="6A7F4F75"/>
    <w:rsid w:val="6ACA16F9"/>
    <w:rsid w:val="6AFF00CA"/>
    <w:rsid w:val="6B16774A"/>
    <w:rsid w:val="6B326D0C"/>
    <w:rsid w:val="6B494446"/>
    <w:rsid w:val="6B72051C"/>
    <w:rsid w:val="6BAB2FCD"/>
    <w:rsid w:val="6BFF5D3A"/>
    <w:rsid w:val="6C134FBF"/>
    <w:rsid w:val="6C321536"/>
    <w:rsid w:val="6C492D55"/>
    <w:rsid w:val="6C7E3126"/>
    <w:rsid w:val="6C8178B4"/>
    <w:rsid w:val="6C84727C"/>
    <w:rsid w:val="6E2D30BE"/>
    <w:rsid w:val="6E2F78A7"/>
    <w:rsid w:val="6E8509EA"/>
    <w:rsid w:val="6EB54E50"/>
    <w:rsid w:val="6ECE2681"/>
    <w:rsid w:val="6EF77006"/>
    <w:rsid w:val="6F48335E"/>
    <w:rsid w:val="6F642156"/>
    <w:rsid w:val="6F656567"/>
    <w:rsid w:val="6F9373A7"/>
    <w:rsid w:val="6F9441FC"/>
    <w:rsid w:val="6FA53051"/>
    <w:rsid w:val="6FB9715F"/>
    <w:rsid w:val="6FC96403"/>
    <w:rsid w:val="6FFD220E"/>
    <w:rsid w:val="700D4ACD"/>
    <w:rsid w:val="701A2DBF"/>
    <w:rsid w:val="705E30C9"/>
    <w:rsid w:val="708A3C8C"/>
    <w:rsid w:val="70A12054"/>
    <w:rsid w:val="71030383"/>
    <w:rsid w:val="71197B42"/>
    <w:rsid w:val="713D1393"/>
    <w:rsid w:val="71600CB0"/>
    <w:rsid w:val="71920663"/>
    <w:rsid w:val="720811E2"/>
    <w:rsid w:val="72340F9C"/>
    <w:rsid w:val="72686EF1"/>
    <w:rsid w:val="729965A8"/>
    <w:rsid w:val="72B65B08"/>
    <w:rsid w:val="72F52C2C"/>
    <w:rsid w:val="72FA70AF"/>
    <w:rsid w:val="73087812"/>
    <w:rsid w:val="731E5707"/>
    <w:rsid w:val="737238D8"/>
    <w:rsid w:val="73A94EF7"/>
    <w:rsid w:val="73AB63BB"/>
    <w:rsid w:val="73C623CD"/>
    <w:rsid w:val="73D4787E"/>
    <w:rsid w:val="73F22348"/>
    <w:rsid w:val="746F4A04"/>
    <w:rsid w:val="7473792C"/>
    <w:rsid w:val="7478277B"/>
    <w:rsid w:val="74BD630E"/>
    <w:rsid w:val="74CB259B"/>
    <w:rsid w:val="7599056E"/>
    <w:rsid w:val="75EF44CC"/>
    <w:rsid w:val="76056734"/>
    <w:rsid w:val="762D38BA"/>
    <w:rsid w:val="76363181"/>
    <w:rsid w:val="76515061"/>
    <w:rsid w:val="76741247"/>
    <w:rsid w:val="76F21D7B"/>
    <w:rsid w:val="774152C9"/>
    <w:rsid w:val="77626DFA"/>
    <w:rsid w:val="77751EE2"/>
    <w:rsid w:val="777759EB"/>
    <w:rsid w:val="77D2110D"/>
    <w:rsid w:val="78194B43"/>
    <w:rsid w:val="78C15396"/>
    <w:rsid w:val="793070F8"/>
    <w:rsid w:val="79347CC6"/>
    <w:rsid w:val="79620D19"/>
    <w:rsid w:val="796F195D"/>
    <w:rsid w:val="797E1901"/>
    <w:rsid w:val="79D825C1"/>
    <w:rsid w:val="7A3F6AB2"/>
    <w:rsid w:val="7A5720C5"/>
    <w:rsid w:val="7A5D1027"/>
    <w:rsid w:val="7A8555FE"/>
    <w:rsid w:val="7A8F318B"/>
    <w:rsid w:val="7A971B46"/>
    <w:rsid w:val="7ADC408A"/>
    <w:rsid w:val="7AE606AF"/>
    <w:rsid w:val="7AE75F94"/>
    <w:rsid w:val="7AF409AB"/>
    <w:rsid w:val="7B133128"/>
    <w:rsid w:val="7B1959FC"/>
    <w:rsid w:val="7B1C502C"/>
    <w:rsid w:val="7B3202D1"/>
    <w:rsid w:val="7B52681B"/>
    <w:rsid w:val="7B5D131E"/>
    <w:rsid w:val="7BB34580"/>
    <w:rsid w:val="7BC44ABA"/>
    <w:rsid w:val="7BD26CFC"/>
    <w:rsid w:val="7BDF1B34"/>
    <w:rsid w:val="7BF60D85"/>
    <w:rsid w:val="7C0A0C54"/>
    <w:rsid w:val="7C372C67"/>
    <w:rsid w:val="7D0F6F95"/>
    <w:rsid w:val="7D240F5F"/>
    <w:rsid w:val="7D7C4AB4"/>
    <w:rsid w:val="7D7D75C8"/>
    <w:rsid w:val="7DB41B16"/>
    <w:rsid w:val="7DE40DDA"/>
    <w:rsid w:val="7DEB79E2"/>
    <w:rsid w:val="7DEF19CE"/>
    <w:rsid w:val="7DFC5027"/>
    <w:rsid w:val="7E002D54"/>
    <w:rsid w:val="7E1A04DD"/>
    <w:rsid w:val="7E216290"/>
    <w:rsid w:val="7E284145"/>
    <w:rsid w:val="7E3E5DE9"/>
    <w:rsid w:val="7E74358B"/>
    <w:rsid w:val="7E7F7F16"/>
    <w:rsid w:val="7EE27623"/>
    <w:rsid w:val="7F0F534D"/>
    <w:rsid w:val="7F1046BF"/>
    <w:rsid w:val="7F524FAC"/>
    <w:rsid w:val="7F600D62"/>
    <w:rsid w:val="7FB563F9"/>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1"/>
    <w:qFormat/>
    <w:uiPriority w:val="0"/>
    <w:pPr>
      <w:ind w:firstLine="420"/>
    </w:pPr>
    <w:rPr>
      <w:rFonts w:eastAsia="宋体"/>
    </w:rPr>
  </w:style>
  <w:style w:type="paragraph" w:styleId="8">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2"/>
    <w:qFormat/>
    <w:uiPriority w:val="9"/>
    <w:rPr>
      <w:rFonts w:ascii="Times New Roman" w:hAnsi="Times New Roman" w:eastAsia="宋体" w:cs="Times New Roman"/>
      <w:b/>
      <w:bCs/>
      <w:kern w:val="44"/>
      <w:sz w:val="44"/>
      <w:szCs w:val="44"/>
    </w:rPr>
  </w:style>
  <w:style w:type="character" w:customStyle="1" w:styleId="43">
    <w:name w:val="标题 2 字符"/>
    <w:basedOn w:val="26"/>
    <w:link w:val="3"/>
    <w:qFormat/>
    <w:uiPriority w:val="9"/>
    <w:rPr>
      <w:rFonts w:ascii="Cambria" w:hAnsi="Cambria" w:eastAsia="宋体" w:cs="Times New Roman"/>
      <w:b/>
      <w:bCs/>
      <w:sz w:val="32"/>
      <w:szCs w:val="32"/>
    </w:rPr>
  </w:style>
  <w:style w:type="character" w:customStyle="1" w:styleId="44">
    <w:name w:val="标题 3 字符"/>
    <w:basedOn w:val="26"/>
    <w:link w:val="4"/>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7"/>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8"/>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1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6413</Words>
  <Characters>7012</Characters>
  <Lines>32</Lines>
  <Paragraphs>64</Paragraphs>
  <TotalTime>19</TotalTime>
  <ScaleCrop>false</ScaleCrop>
  <LinksUpToDate>false</LinksUpToDate>
  <CharactersWithSpaces>7062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2025-07-15T08:10:51Z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