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69BC1">
      <w:pPr>
        <w:adjustRightInd w:val="0"/>
        <w:snapToGrid w:val="0"/>
        <w:spacing w:line="288" w:lineRule="auto"/>
        <w:rPr>
          <w:b/>
          <w:color w:val="auto"/>
          <w:spacing w:val="-6"/>
          <w:sz w:val="44"/>
          <w:szCs w:val="44"/>
          <w:highlight w:val="none"/>
        </w:rPr>
      </w:pPr>
    </w:p>
    <w:p w14:paraId="3C8C0CA0">
      <w:pPr>
        <w:adjustRightInd w:val="0"/>
        <w:snapToGrid w:val="0"/>
        <w:spacing w:line="288" w:lineRule="auto"/>
        <w:jc w:val="center"/>
        <w:rPr>
          <w:b/>
          <w:bCs/>
          <w:color w:val="auto"/>
          <w:sz w:val="48"/>
          <w:szCs w:val="48"/>
          <w:highlight w:val="none"/>
        </w:rPr>
      </w:pPr>
      <w:r>
        <w:rPr>
          <w:rFonts w:hint="eastAsia"/>
          <w:b/>
          <w:bCs/>
          <w:color w:val="auto"/>
          <w:sz w:val="48"/>
          <w:szCs w:val="48"/>
          <w:highlight w:val="none"/>
        </w:rPr>
        <w:t>浙江树人学院</w:t>
      </w:r>
    </w:p>
    <w:p w14:paraId="52A78B6C">
      <w:pPr>
        <w:adjustRightInd w:val="0"/>
        <w:snapToGrid w:val="0"/>
        <w:spacing w:line="288" w:lineRule="auto"/>
        <w:jc w:val="center"/>
        <w:rPr>
          <w:b/>
          <w:bCs/>
          <w:color w:val="auto"/>
          <w:sz w:val="48"/>
          <w:szCs w:val="48"/>
          <w:highlight w:val="none"/>
        </w:rPr>
      </w:pPr>
      <w:r>
        <w:rPr>
          <w:rFonts w:hint="eastAsia"/>
          <w:b/>
          <w:bCs/>
          <w:color w:val="auto"/>
          <w:sz w:val="48"/>
          <w:szCs w:val="48"/>
          <w:highlight w:val="none"/>
          <w:lang w:eastAsia="zh-CN"/>
        </w:rPr>
        <w:t>后勤智慧餐厅与仓储管理系统</w:t>
      </w:r>
      <w:r>
        <w:rPr>
          <w:rFonts w:hint="eastAsia"/>
          <w:b/>
          <w:bCs/>
          <w:color w:val="auto"/>
          <w:sz w:val="48"/>
          <w:szCs w:val="48"/>
          <w:highlight w:val="none"/>
        </w:rPr>
        <w:t>项目</w:t>
      </w:r>
    </w:p>
    <w:p w14:paraId="7C1B7D24">
      <w:pPr>
        <w:adjustRightInd w:val="0"/>
        <w:snapToGrid w:val="0"/>
        <w:spacing w:line="288" w:lineRule="auto"/>
        <w:jc w:val="center"/>
        <w:rPr>
          <w:b/>
          <w:bCs/>
          <w:color w:val="auto"/>
          <w:sz w:val="48"/>
          <w:szCs w:val="48"/>
          <w:highlight w:val="none"/>
        </w:rPr>
      </w:pPr>
    </w:p>
    <w:p w14:paraId="19B09B06">
      <w:pPr>
        <w:adjustRightInd w:val="0"/>
        <w:snapToGrid w:val="0"/>
        <w:spacing w:line="288" w:lineRule="auto"/>
        <w:jc w:val="center"/>
        <w:rPr>
          <w:b/>
          <w:bCs/>
          <w:color w:val="auto"/>
          <w:sz w:val="72"/>
          <w:szCs w:val="72"/>
          <w:highlight w:val="none"/>
        </w:rPr>
      </w:pPr>
      <w:r>
        <w:rPr>
          <w:rFonts w:hint="eastAsia"/>
          <w:b/>
          <w:bCs/>
          <w:color w:val="auto"/>
          <w:sz w:val="72"/>
          <w:szCs w:val="72"/>
          <w:highlight w:val="none"/>
        </w:rPr>
        <w:t>竞争性磋商文件</w:t>
      </w:r>
    </w:p>
    <w:p w14:paraId="23467A7A">
      <w:pPr>
        <w:adjustRightInd w:val="0"/>
        <w:snapToGrid w:val="0"/>
        <w:spacing w:line="288" w:lineRule="auto"/>
        <w:jc w:val="center"/>
        <w:rPr>
          <w:b/>
          <w:bCs/>
          <w:color w:val="auto"/>
          <w:sz w:val="36"/>
          <w:szCs w:val="36"/>
          <w:highlight w:val="none"/>
        </w:rPr>
      </w:pPr>
      <w:r>
        <w:rPr>
          <w:rFonts w:hint="eastAsia"/>
          <w:b/>
          <w:bCs/>
          <w:color w:val="auto"/>
          <w:sz w:val="36"/>
          <w:szCs w:val="36"/>
          <w:highlight w:val="none"/>
        </w:rPr>
        <w:t>（线上电子交易）</w:t>
      </w:r>
    </w:p>
    <w:p w14:paraId="09173731">
      <w:pPr>
        <w:adjustRightInd w:val="0"/>
        <w:snapToGrid w:val="0"/>
        <w:spacing w:line="288" w:lineRule="auto"/>
        <w:jc w:val="center"/>
        <w:rPr>
          <w:b/>
          <w:bCs/>
          <w:color w:val="auto"/>
          <w:sz w:val="36"/>
          <w:szCs w:val="36"/>
          <w:highlight w:val="none"/>
        </w:rPr>
      </w:pPr>
    </w:p>
    <w:p w14:paraId="09076CAC">
      <w:pPr>
        <w:adjustRightInd w:val="0"/>
        <w:snapToGrid w:val="0"/>
        <w:spacing w:line="288" w:lineRule="auto"/>
        <w:jc w:val="center"/>
        <w:rPr>
          <w:b/>
          <w:bCs/>
          <w:color w:val="auto"/>
          <w:sz w:val="36"/>
          <w:szCs w:val="36"/>
          <w:highlight w:val="none"/>
        </w:rPr>
      </w:pPr>
    </w:p>
    <w:p w14:paraId="1A5BFBA2">
      <w:pPr>
        <w:pStyle w:val="24"/>
        <w:rPr>
          <w:color w:val="auto"/>
          <w:highlight w:val="none"/>
        </w:rPr>
      </w:pPr>
    </w:p>
    <w:p w14:paraId="1FA21EF6">
      <w:pPr>
        <w:adjustRightInd w:val="0"/>
        <w:snapToGrid w:val="0"/>
        <w:spacing w:line="288" w:lineRule="auto"/>
        <w:jc w:val="center"/>
        <w:rPr>
          <w:b/>
          <w:bCs/>
          <w:color w:val="auto"/>
          <w:sz w:val="36"/>
          <w:szCs w:val="36"/>
          <w:highlight w:val="none"/>
        </w:rPr>
      </w:pPr>
    </w:p>
    <w:p w14:paraId="079E91E9">
      <w:pPr>
        <w:adjustRightInd w:val="0"/>
        <w:snapToGrid w:val="0"/>
        <w:spacing w:line="288" w:lineRule="auto"/>
        <w:rPr>
          <w:b/>
          <w:bCs/>
          <w:color w:val="auto"/>
          <w:sz w:val="30"/>
          <w:szCs w:val="30"/>
          <w:highlight w:val="none"/>
        </w:rPr>
      </w:pPr>
    </w:p>
    <w:p w14:paraId="304C81DE">
      <w:pPr>
        <w:adjustRightInd w:val="0"/>
        <w:snapToGrid w:val="0"/>
        <w:spacing w:line="360" w:lineRule="auto"/>
        <w:rPr>
          <w:b/>
          <w:bCs/>
          <w:color w:val="auto"/>
          <w:sz w:val="30"/>
          <w:szCs w:val="30"/>
          <w:highlight w:val="none"/>
        </w:rPr>
      </w:pPr>
      <w:r>
        <w:rPr>
          <w:rFonts w:hint="eastAsia"/>
          <w:b/>
          <w:bCs/>
          <w:color w:val="auto"/>
          <w:sz w:val="30"/>
          <w:szCs w:val="30"/>
          <w:highlight w:val="none"/>
        </w:rPr>
        <w:t>项目名称：</w:t>
      </w:r>
      <w:r>
        <w:rPr>
          <w:rFonts w:hint="eastAsia"/>
          <w:b/>
          <w:bCs/>
          <w:color w:val="auto"/>
          <w:sz w:val="30"/>
          <w:szCs w:val="30"/>
          <w:highlight w:val="none"/>
          <w:lang w:eastAsia="zh-CN"/>
        </w:rPr>
        <w:t>后勤智慧餐厅与仓储管理系统</w:t>
      </w:r>
      <w:r>
        <w:rPr>
          <w:rFonts w:hint="eastAsia"/>
          <w:b/>
          <w:bCs/>
          <w:color w:val="auto"/>
          <w:sz w:val="30"/>
          <w:szCs w:val="30"/>
          <w:highlight w:val="none"/>
        </w:rPr>
        <w:t>项目</w:t>
      </w:r>
    </w:p>
    <w:p w14:paraId="5E45A4A7">
      <w:pPr>
        <w:adjustRightInd w:val="0"/>
        <w:snapToGrid w:val="0"/>
        <w:spacing w:line="360" w:lineRule="auto"/>
        <w:rPr>
          <w:rFonts w:hint="eastAsia" w:eastAsia="宋体"/>
          <w:b/>
          <w:bCs/>
          <w:color w:val="auto"/>
          <w:sz w:val="30"/>
          <w:szCs w:val="30"/>
          <w:highlight w:val="none"/>
          <w:lang w:eastAsia="zh-CN"/>
        </w:rPr>
      </w:pPr>
      <w:r>
        <w:rPr>
          <w:rFonts w:hint="eastAsia"/>
          <w:b/>
          <w:bCs/>
          <w:color w:val="auto"/>
          <w:sz w:val="30"/>
          <w:szCs w:val="30"/>
          <w:highlight w:val="none"/>
        </w:rPr>
        <w:t>项目编号：</w:t>
      </w:r>
      <w:r>
        <w:rPr>
          <w:rFonts w:hint="eastAsia"/>
          <w:b/>
          <w:bCs/>
          <w:color w:val="auto"/>
          <w:sz w:val="30"/>
          <w:szCs w:val="30"/>
          <w:highlight w:val="none"/>
          <w:lang w:eastAsia="zh-CN"/>
        </w:rPr>
        <w:t>QSZBB250106ZHCS</w:t>
      </w:r>
    </w:p>
    <w:p w14:paraId="64E74FD6">
      <w:pPr>
        <w:adjustRightInd w:val="0"/>
        <w:snapToGrid w:val="0"/>
        <w:spacing w:line="360" w:lineRule="auto"/>
        <w:rPr>
          <w:b/>
          <w:bCs/>
          <w:color w:val="auto"/>
          <w:sz w:val="30"/>
          <w:szCs w:val="30"/>
          <w:highlight w:val="none"/>
        </w:rPr>
      </w:pPr>
      <w:r>
        <w:rPr>
          <w:rFonts w:hint="eastAsia"/>
          <w:b/>
          <w:bCs/>
          <w:color w:val="auto"/>
          <w:sz w:val="30"/>
          <w:szCs w:val="30"/>
          <w:highlight w:val="none"/>
        </w:rPr>
        <w:t>采 购 人：浙江树人学院</w:t>
      </w:r>
    </w:p>
    <w:p w14:paraId="51E28E14">
      <w:pPr>
        <w:adjustRightInd w:val="0"/>
        <w:snapToGrid w:val="0"/>
        <w:spacing w:line="360" w:lineRule="auto"/>
        <w:rPr>
          <w:b/>
          <w:bCs/>
          <w:color w:val="auto"/>
          <w:sz w:val="30"/>
          <w:szCs w:val="30"/>
          <w:highlight w:val="none"/>
        </w:rPr>
      </w:pPr>
      <w:r>
        <w:rPr>
          <w:rFonts w:hint="eastAsia"/>
          <w:b/>
          <w:bCs/>
          <w:color w:val="auto"/>
          <w:sz w:val="30"/>
          <w:szCs w:val="30"/>
          <w:highlight w:val="none"/>
        </w:rPr>
        <w:t>采购代理机构：浙江求是招标代理有限公司</w:t>
      </w:r>
    </w:p>
    <w:p w14:paraId="3F6754AF">
      <w:pPr>
        <w:adjustRightInd w:val="0"/>
        <w:snapToGrid w:val="0"/>
        <w:spacing w:line="360" w:lineRule="auto"/>
        <w:rPr>
          <w:rFonts w:hint="eastAsia" w:eastAsia="宋体"/>
          <w:b/>
          <w:bCs/>
          <w:color w:val="auto"/>
          <w:sz w:val="30"/>
          <w:szCs w:val="30"/>
          <w:highlight w:val="none"/>
          <w:lang w:eastAsia="zh-CN"/>
        </w:rPr>
      </w:pPr>
      <w:r>
        <w:rPr>
          <w:rFonts w:hint="eastAsia"/>
          <w:b/>
          <w:bCs/>
          <w:color w:val="auto"/>
          <w:sz w:val="30"/>
          <w:szCs w:val="30"/>
          <w:highlight w:val="none"/>
        </w:rPr>
        <w:t>采购计划文号：</w:t>
      </w:r>
      <w:r>
        <w:rPr>
          <w:rFonts w:hint="eastAsia"/>
          <w:b/>
          <w:bCs/>
          <w:color w:val="auto"/>
          <w:sz w:val="30"/>
          <w:szCs w:val="30"/>
          <w:highlight w:val="none"/>
          <w:lang w:eastAsia="zh-CN"/>
        </w:rPr>
        <w:t>[2025]40987号</w:t>
      </w:r>
    </w:p>
    <w:p w14:paraId="37B140A2">
      <w:pPr>
        <w:adjustRightInd w:val="0"/>
        <w:snapToGrid w:val="0"/>
        <w:spacing w:line="288" w:lineRule="auto"/>
        <w:rPr>
          <w:b/>
          <w:bCs/>
          <w:color w:val="auto"/>
          <w:sz w:val="30"/>
          <w:szCs w:val="30"/>
          <w:highlight w:val="none"/>
        </w:rPr>
      </w:pPr>
    </w:p>
    <w:p w14:paraId="1BE3D9E1">
      <w:pPr>
        <w:pStyle w:val="12"/>
        <w:rPr>
          <w:b/>
          <w:bCs/>
          <w:color w:val="auto"/>
          <w:sz w:val="30"/>
          <w:szCs w:val="30"/>
          <w:highlight w:val="none"/>
        </w:rPr>
      </w:pPr>
    </w:p>
    <w:p w14:paraId="09D304F3">
      <w:pPr>
        <w:pStyle w:val="10"/>
        <w:rPr>
          <w:b/>
          <w:bCs/>
          <w:color w:val="auto"/>
          <w:sz w:val="30"/>
          <w:szCs w:val="30"/>
          <w:highlight w:val="none"/>
        </w:rPr>
      </w:pPr>
    </w:p>
    <w:p w14:paraId="430F8F28">
      <w:pPr>
        <w:pStyle w:val="12"/>
        <w:rPr>
          <w:color w:val="auto"/>
          <w:highlight w:val="none"/>
        </w:rPr>
      </w:pPr>
    </w:p>
    <w:p w14:paraId="42729B6D">
      <w:pPr>
        <w:adjustRightInd w:val="0"/>
        <w:snapToGrid w:val="0"/>
        <w:spacing w:line="288" w:lineRule="auto"/>
        <w:rPr>
          <w:b/>
          <w:bCs/>
          <w:color w:val="auto"/>
          <w:sz w:val="30"/>
          <w:szCs w:val="30"/>
          <w:highlight w:val="none"/>
        </w:rPr>
      </w:pPr>
    </w:p>
    <w:p w14:paraId="38F0DD5B">
      <w:pPr>
        <w:adjustRightInd w:val="0"/>
        <w:snapToGrid w:val="0"/>
        <w:spacing w:line="288" w:lineRule="auto"/>
        <w:jc w:val="center"/>
        <w:rPr>
          <w:b/>
          <w:bCs/>
          <w:color w:val="auto"/>
          <w:sz w:val="30"/>
          <w:szCs w:val="30"/>
          <w:highlight w:val="none"/>
        </w:rPr>
        <w:sectPr>
          <w:headerReference r:id="rId5" w:type="first"/>
          <w:headerReference r:id="rId3" w:type="default"/>
          <w:headerReference r:id="rId4" w:type="even"/>
          <w:footerReference r:id="rId6" w:type="even"/>
          <w:pgSz w:w="11906" w:h="16838"/>
          <w:pgMar w:top="1247" w:right="1247" w:bottom="1247" w:left="1247" w:header="0" w:footer="692" w:gutter="0"/>
          <w:pgBorders>
            <w:top w:val="none" w:sz="0" w:space="0"/>
            <w:left w:val="none" w:sz="0" w:space="0"/>
            <w:bottom w:val="none" w:sz="0" w:space="0"/>
            <w:right w:val="none" w:sz="0" w:space="0"/>
          </w:pgBorders>
          <w:cols w:space="720" w:num="1"/>
          <w:titlePg/>
          <w:docGrid w:type="lines" w:linePitch="312" w:charSpace="0"/>
        </w:sectPr>
      </w:pPr>
      <w:r>
        <w:rPr>
          <w:rFonts w:hint="eastAsia"/>
          <w:b/>
          <w:bCs/>
          <w:color w:val="auto"/>
          <w:sz w:val="30"/>
          <w:szCs w:val="30"/>
          <w:highlight w:val="none"/>
        </w:rPr>
        <w:t>二〇二</w:t>
      </w:r>
      <w:r>
        <w:rPr>
          <w:rFonts w:hint="eastAsia"/>
          <w:b/>
          <w:bCs/>
          <w:color w:val="auto"/>
          <w:sz w:val="30"/>
          <w:szCs w:val="30"/>
          <w:highlight w:val="none"/>
          <w:lang w:val="en-US" w:eastAsia="zh-CN"/>
        </w:rPr>
        <w:t>五</w:t>
      </w:r>
      <w:r>
        <w:rPr>
          <w:rFonts w:hint="eastAsia"/>
          <w:b/>
          <w:bCs/>
          <w:color w:val="auto"/>
          <w:sz w:val="30"/>
          <w:szCs w:val="30"/>
          <w:highlight w:val="none"/>
        </w:rPr>
        <w:t>年</w:t>
      </w:r>
      <w:r>
        <w:rPr>
          <w:rFonts w:hint="eastAsia"/>
          <w:b/>
          <w:bCs/>
          <w:color w:val="auto"/>
          <w:sz w:val="30"/>
          <w:szCs w:val="30"/>
          <w:highlight w:val="none"/>
          <w:lang w:val="en-US" w:eastAsia="zh-CN"/>
        </w:rPr>
        <w:t>七</w:t>
      </w:r>
      <w:r>
        <w:rPr>
          <w:rFonts w:hint="eastAsia"/>
          <w:b/>
          <w:bCs/>
          <w:color w:val="auto"/>
          <w:sz w:val="30"/>
          <w:szCs w:val="30"/>
          <w:highlight w:val="none"/>
        </w:rPr>
        <w:t>月</w:t>
      </w:r>
    </w:p>
    <w:p w14:paraId="67A50B2E">
      <w:pPr>
        <w:widowControl/>
        <w:adjustRightInd w:val="0"/>
        <w:snapToGrid w:val="0"/>
        <w:spacing w:line="288" w:lineRule="auto"/>
        <w:rPr>
          <w:b/>
          <w:bCs/>
          <w:color w:val="auto"/>
          <w:sz w:val="21"/>
          <w:szCs w:val="21"/>
          <w:highlight w:val="none"/>
        </w:rPr>
      </w:pPr>
    </w:p>
    <w:p w14:paraId="31FD9F9D">
      <w:pPr>
        <w:jc w:val="center"/>
        <w:rPr>
          <w:color w:val="auto"/>
          <w:sz w:val="48"/>
          <w:szCs w:val="48"/>
          <w:highlight w:val="none"/>
        </w:rPr>
      </w:pPr>
      <w:r>
        <w:rPr>
          <w:color w:val="auto"/>
          <w:sz w:val="48"/>
          <w:szCs w:val="48"/>
          <w:highlight w:val="none"/>
        </w:rPr>
        <w:t>目录</w:t>
      </w:r>
    </w:p>
    <w:p w14:paraId="1108C382">
      <w:pPr>
        <w:pStyle w:val="17"/>
        <w:tabs>
          <w:tab w:val="right" w:leader="dot" w:pos="9412"/>
        </w:tabs>
        <w:spacing w:line="480" w:lineRule="auto"/>
        <w:rPr>
          <w:color w:val="auto"/>
          <w:highlight w:val="none"/>
        </w:rPr>
      </w:pPr>
      <w:r>
        <w:rPr>
          <w:rFonts w:hint="eastAsia"/>
          <w:b/>
          <w:bCs/>
          <w:color w:val="auto"/>
          <w:sz w:val="28"/>
          <w:szCs w:val="28"/>
          <w:highlight w:val="none"/>
        </w:rPr>
        <w:fldChar w:fldCharType="begin"/>
      </w:r>
      <w:r>
        <w:rPr>
          <w:rFonts w:hint="eastAsia"/>
          <w:b/>
          <w:bCs/>
          <w:color w:val="auto"/>
          <w:sz w:val="28"/>
          <w:szCs w:val="28"/>
          <w:highlight w:val="none"/>
        </w:rPr>
        <w:instrText xml:space="preserve">TOC \o "1-1" \h \u </w:instrText>
      </w:r>
      <w:r>
        <w:rPr>
          <w:rFonts w:hint="eastAsia"/>
          <w:b/>
          <w:bCs/>
          <w:color w:val="auto"/>
          <w:sz w:val="28"/>
          <w:szCs w:val="28"/>
          <w:highlight w:val="none"/>
        </w:rPr>
        <w:fldChar w:fldCharType="separate"/>
      </w:r>
      <w:r>
        <w:rPr>
          <w:color w:val="auto"/>
          <w:highlight w:val="none"/>
        </w:rPr>
        <w:fldChar w:fldCharType="begin"/>
      </w:r>
      <w:r>
        <w:rPr>
          <w:color w:val="auto"/>
          <w:highlight w:val="none"/>
        </w:rPr>
        <w:instrText xml:space="preserve"> HYPERLINK \l "_Toc25916" </w:instrText>
      </w:r>
      <w:r>
        <w:rPr>
          <w:color w:val="auto"/>
          <w:highlight w:val="none"/>
        </w:rPr>
        <w:fldChar w:fldCharType="separate"/>
      </w:r>
      <w:r>
        <w:rPr>
          <w:rFonts w:hint="eastAsia"/>
          <w:bCs/>
          <w:color w:val="auto"/>
          <w:szCs w:val="32"/>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_Toc25916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3F8145E9">
      <w:pPr>
        <w:pStyle w:val="17"/>
        <w:tabs>
          <w:tab w:val="right" w:leader="dot" w:pos="9412"/>
        </w:tabs>
        <w:spacing w:line="480" w:lineRule="auto"/>
        <w:rPr>
          <w:color w:val="auto"/>
          <w:highlight w:val="none"/>
        </w:rPr>
      </w:pPr>
      <w:r>
        <w:rPr>
          <w:color w:val="auto"/>
          <w:highlight w:val="none"/>
        </w:rPr>
        <w:fldChar w:fldCharType="begin"/>
      </w:r>
      <w:r>
        <w:rPr>
          <w:color w:val="auto"/>
          <w:highlight w:val="none"/>
        </w:rPr>
        <w:instrText xml:space="preserve"> HYPERLINK \l "_Toc29537" </w:instrText>
      </w:r>
      <w:r>
        <w:rPr>
          <w:color w:val="auto"/>
          <w:highlight w:val="none"/>
        </w:rPr>
        <w:fldChar w:fldCharType="separate"/>
      </w:r>
      <w:r>
        <w:rPr>
          <w:rFonts w:hint="eastAsia"/>
          <w:bCs/>
          <w:color w:val="auto"/>
          <w:szCs w:val="32"/>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_Toc29537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11B45F4">
      <w:pPr>
        <w:pStyle w:val="17"/>
        <w:tabs>
          <w:tab w:val="right" w:leader="dot" w:pos="9412"/>
        </w:tabs>
        <w:spacing w:line="48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"_Toc3747" </w:instrText>
      </w:r>
      <w:r>
        <w:rPr>
          <w:color w:val="auto"/>
          <w:highlight w:val="none"/>
        </w:rPr>
        <w:fldChar w:fldCharType="separate"/>
      </w:r>
      <w:r>
        <w:rPr>
          <w:rFonts w:hint="eastAsia"/>
          <w:bCs/>
          <w:color w:val="auto"/>
          <w:szCs w:val="32"/>
          <w:highlight w:val="none"/>
        </w:rPr>
        <w:t>第三章  供应商须知</w:t>
      </w:r>
      <w:r>
        <w:rPr>
          <w:color w:val="auto"/>
          <w:highlight w:val="none"/>
        </w:rPr>
        <w:tab/>
      </w:r>
      <w:r>
        <w:rPr>
          <w:rFonts w:hint="eastAsia"/>
          <w:color w:val="auto"/>
          <w:highlight w:val="none"/>
          <w:lang w:val="en-US" w:eastAsia="zh-CN"/>
        </w:rPr>
        <w:t>2</w:t>
      </w:r>
      <w:r>
        <w:rPr>
          <w:rFonts w:hint="eastAsia"/>
          <w:color w:val="auto"/>
          <w:highlight w:val="none"/>
        </w:rPr>
        <w:fldChar w:fldCharType="end"/>
      </w:r>
      <w:r>
        <w:rPr>
          <w:rFonts w:hint="eastAsia"/>
          <w:color w:val="auto"/>
          <w:highlight w:val="none"/>
          <w:lang w:val="en-US" w:eastAsia="zh-CN"/>
        </w:rPr>
        <w:t>1</w:t>
      </w:r>
    </w:p>
    <w:p w14:paraId="3A4F8AB7">
      <w:pPr>
        <w:pStyle w:val="17"/>
        <w:tabs>
          <w:tab w:val="right" w:leader="dot" w:pos="9412"/>
        </w:tabs>
        <w:spacing w:line="480" w:lineRule="auto"/>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"_Toc2552" </w:instrText>
      </w:r>
      <w:r>
        <w:rPr>
          <w:color w:val="auto"/>
          <w:highlight w:val="none"/>
        </w:rPr>
        <w:fldChar w:fldCharType="separate"/>
      </w:r>
      <w:r>
        <w:rPr>
          <w:rFonts w:hint="eastAsia"/>
          <w:bCs/>
          <w:color w:val="auto"/>
          <w:szCs w:val="32"/>
          <w:highlight w:val="none"/>
        </w:rPr>
        <w:t>第四章  评审方法和评审标准</w:t>
      </w:r>
      <w:r>
        <w:rPr>
          <w:color w:val="auto"/>
          <w:highlight w:val="none"/>
        </w:rPr>
        <w:tab/>
      </w:r>
      <w:r>
        <w:rPr>
          <w:rFonts w:hint="eastAsia"/>
          <w:color w:val="auto"/>
          <w:highlight w:val="none"/>
          <w:lang w:val="en-US" w:eastAsia="zh-CN"/>
        </w:rPr>
        <w:t>3</w:t>
      </w:r>
      <w:r>
        <w:rPr>
          <w:rFonts w:hint="eastAsia"/>
          <w:color w:val="auto"/>
          <w:highlight w:val="none"/>
        </w:rPr>
        <w:fldChar w:fldCharType="end"/>
      </w:r>
      <w:r>
        <w:rPr>
          <w:rFonts w:hint="eastAsia"/>
          <w:bCs/>
          <w:color w:val="auto"/>
          <w:szCs w:val="28"/>
          <w:highlight w:val="none"/>
          <w:lang w:val="en-US" w:eastAsia="zh-CN"/>
        </w:rPr>
        <w:t>7</w:t>
      </w:r>
    </w:p>
    <w:p w14:paraId="72811857">
      <w:pPr>
        <w:pStyle w:val="17"/>
        <w:tabs>
          <w:tab w:val="right" w:leader="dot" w:pos="9412"/>
        </w:tabs>
        <w:spacing w:line="480" w:lineRule="auto"/>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"_Toc5658" </w:instrText>
      </w:r>
      <w:r>
        <w:rPr>
          <w:color w:val="auto"/>
          <w:highlight w:val="none"/>
        </w:rPr>
        <w:fldChar w:fldCharType="separate"/>
      </w:r>
      <w:r>
        <w:rPr>
          <w:rFonts w:hint="eastAsia"/>
          <w:bCs/>
          <w:color w:val="auto"/>
          <w:szCs w:val="32"/>
          <w:highlight w:val="none"/>
        </w:rPr>
        <w:t>第五章  拟签订的合同文本</w:t>
      </w:r>
      <w:r>
        <w:rPr>
          <w:color w:val="auto"/>
          <w:highlight w:val="none"/>
        </w:rPr>
        <w:tab/>
      </w:r>
      <w:r>
        <w:rPr>
          <w:rFonts w:hint="eastAsia"/>
          <w:color w:val="auto"/>
          <w:highlight w:val="none"/>
          <w:lang w:val="en-US" w:eastAsia="zh-CN"/>
        </w:rPr>
        <w:t>3</w:t>
      </w:r>
      <w:r>
        <w:rPr>
          <w:rFonts w:hint="eastAsia"/>
          <w:color w:val="auto"/>
          <w:highlight w:val="none"/>
        </w:rPr>
        <w:fldChar w:fldCharType="end"/>
      </w:r>
      <w:r>
        <w:rPr>
          <w:rFonts w:hint="eastAsia"/>
          <w:bCs/>
          <w:color w:val="auto"/>
          <w:szCs w:val="28"/>
          <w:highlight w:val="none"/>
          <w:lang w:val="en-US" w:eastAsia="zh-CN"/>
        </w:rPr>
        <w:t>9</w:t>
      </w:r>
    </w:p>
    <w:p w14:paraId="37101567">
      <w:pPr>
        <w:pStyle w:val="17"/>
        <w:tabs>
          <w:tab w:val="right" w:leader="dot" w:pos="9412"/>
        </w:tabs>
        <w:spacing w:line="480" w:lineRule="auto"/>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"_Toc1796" </w:instrText>
      </w:r>
      <w:r>
        <w:rPr>
          <w:color w:val="auto"/>
          <w:highlight w:val="none"/>
        </w:rPr>
        <w:fldChar w:fldCharType="separate"/>
      </w:r>
      <w:r>
        <w:rPr>
          <w:rFonts w:hint="eastAsia"/>
          <w:bCs/>
          <w:color w:val="auto"/>
          <w:szCs w:val="32"/>
          <w:highlight w:val="none"/>
        </w:rPr>
        <w:t>第六章  响应文件格式</w:t>
      </w:r>
      <w:r>
        <w:rPr>
          <w:color w:val="auto"/>
          <w:highlight w:val="none"/>
        </w:rPr>
        <w:tab/>
      </w:r>
      <w:r>
        <w:rPr>
          <w:rFonts w:hint="eastAsia"/>
          <w:color w:val="auto"/>
          <w:highlight w:val="none"/>
          <w:lang w:val="en-US" w:eastAsia="zh-CN"/>
        </w:rPr>
        <w:t>4</w:t>
      </w:r>
      <w:r>
        <w:rPr>
          <w:rFonts w:hint="eastAsia"/>
          <w:color w:val="auto"/>
          <w:highlight w:val="none"/>
        </w:rPr>
        <w:fldChar w:fldCharType="end"/>
      </w:r>
      <w:r>
        <w:rPr>
          <w:rFonts w:hint="eastAsia"/>
          <w:bCs/>
          <w:color w:val="auto"/>
          <w:szCs w:val="28"/>
          <w:highlight w:val="none"/>
          <w:lang w:val="en-US" w:eastAsia="zh-CN"/>
        </w:rPr>
        <w:t>3</w:t>
      </w:r>
    </w:p>
    <w:p w14:paraId="3598446E">
      <w:pPr>
        <w:adjustRightInd w:val="0"/>
        <w:snapToGrid w:val="0"/>
        <w:spacing w:line="480" w:lineRule="auto"/>
        <w:rPr>
          <w:b/>
          <w:bCs/>
          <w:color w:val="auto"/>
          <w:sz w:val="28"/>
          <w:szCs w:val="28"/>
          <w:highlight w:val="none"/>
        </w:rPr>
      </w:pPr>
      <w:r>
        <w:rPr>
          <w:rFonts w:hint="eastAsia"/>
          <w:bCs/>
          <w:color w:val="auto"/>
          <w:szCs w:val="28"/>
          <w:highlight w:val="none"/>
        </w:rPr>
        <w:fldChar w:fldCharType="end"/>
      </w:r>
    </w:p>
    <w:p w14:paraId="5B32AF1A">
      <w:pPr>
        <w:adjustRightInd w:val="0"/>
        <w:snapToGrid w:val="0"/>
        <w:spacing w:line="288" w:lineRule="auto"/>
        <w:rPr>
          <w:b/>
          <w:bCs/>
          <w:color w:val="auto"/>
          <w:sz w:val="30"/>
          <w:szCs w:val="30"/>
          <w:highlight w:val="none"/>
        </w:rPr>
      </w:pPr>
    </w:p>
    <w:p w14:paraId="074B6FEA">
      <w:pPr>
        <w:adjustRightInd w:val="0"/>
        <w:snapToGrid w:val="0"/>
        <w:spacing w:line="288" w:lineRule="auto"/>
        <w:ind w:firstLine="602" w:firstLineChars="200"/>
        <w:rPr>
          <w:b/>
          <w:bCs/>
          <w:color w:val="auto"/>
          <w:sz w:val="30"/>
          <w:szCs w:val="30"/>
          <w:highlight w:val="none"/>
        </w:rPr>
        <w:sectPr>
          <w:footerReference r:id="rId7" w:type="default"/>
          <w:pgSz w:w="11906" w:h="16838"/>
          <w:pgMar w:top="1247" w:right="1247" w:bottom="1247" w:left="1247" w:header="0" w:footer="692" w:gutter="0"/>
          <w:pgBorders>
            <w:top w:val="none" w:sz="0" w:space="0"/>
            <w:left w:val="none" w:sz="0" w:space="0"/>
            <w:bottom w:val="none" w:sz="0" w:space="0"/>
            <w:right w:val="none" w:sz="0" w:space="0"/>
          </w:pgBorders>
          <w:pgNumType w:start="1"/>
          <w:cols w:space="720" w:num="1"/>
          <w:docGrid w:type="lines" w:linePitch="312" w:charSpace="0"/>
        </w:sectPr>
      </w:pPr>
    </w:p>
    <w:p w14:paraId="29894532">
      <w:pPr>
        <w:adjustRightInd w:val="0"/>
        <w:snapToGrid w:val="0"/>
        <w:spacing w:line="288" w:lineRule="auto"/>
        <w:jc w:val="center"/>
        <w:outlineLvl w:val="0"/>
        <w:rPr>
          <w:color w:val="auto"/>
          <w:sz w:val="21"/>
          <w:szCs w:val="21"/>
          <w:highlight w:val="none"/>
        </w:rPr>
      </w:pPr>
      <w:bookmarkStart w:id="0" w:name="_Toc1455"/>
      <w:bookmarkStart w:id="1" w:name="_Toc3095"/>
      <w:bookmarkStart w:id="2" w:name="_Toc25717"/>
      <w:bookmarkStart w:id="3" w:name="_Toc1177"/>
      <w:bookmarkStart w:id="4" w:name="_Toc17664"/>
      <w:bookmarkStart w:id="5" w:name="_Toc4348"/>
      <w:bookmarkStart w:id="6" w:name="_Toc25916"/>
      <w:r>
        <w:rPr>
          <w:rFonts w:hint="eastAsia"/>
          <w:b/>
          <w:bCs/>
          <w:color w:val="auto"/>
          <w:sz w:val="32"/>
          <w:szCs w:val="32"/>
          <w:highlight w:val="none"/>
        </w:rPr>
        <w:t xml:space="preserve">第一章  </w:t>
      </w:r>
      <w:bookmarkEnd w:id="0"/>
      <w:r>
        <w:rPr>
          <w:rFonts w:hint="eastAsia"/>
          <w:b/>
          <w:bCs/>
          <w:color w:val="auto"/>
          <w:sz w:val="32"/>
          <w:szCs w:val="32"/>
          <w:highlight w:val="none"/>
        </w:rPr>
        <w:t>竞争性磋商公告</w:t>
      </w:r>
      <w:bookmarkEnd w:id="1"/>
      <w:bookmarkEnd w:id="2"/>
      <w:bookmarkEnd w:id="3"/>
      <w:bookmarkEnd w:id="4"/>
      <w:bookmarkEnd w:id="5"/>
      <w:bookmarkEnd w:id="6"/>
    </w:p>
    <w:p w14:paraId="794F091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项目概况</w:t>
      </w:r>
    </w:p>
    <w:p w14:paraId="1D4F4CD9">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rPr>
        <w:t xml:space="preserve"> 浙江树人学院</w:t>
      </w:r>
      <w:r>
        <w:rPr>
          <w:rFonts w:hint="eastAsia" w:ascii="宋体" w:hAnsi="宋体" w:eastAsia="宋体" w:cs="宋体"/>
          <w:b/>
          <w:color w:val="auto"/>
          <w:sz w:val="21"/>
          <w:szCs w:val="21"/>
          <w:highlight w:val="none"/>
          <w:u w:val="single"/>
          <w:lang w:eastAsia="zh-CN"/>
        </w:rPr>
        <w:t>后勤智慧餐厅与仓储管理系统</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项目的潜在供应商应在</w:t>
      </w:r>
      <w:r>
        <w:rPr>
          <w:rFonts w:hint="eastAsia" w:ascii="宋体" w:hAnsi="宋体" w:eastAsia="宋体" w:cs="宋体"/>
          <w:b/>
          <w:color w:val="auto"/>
          <w:sz w:val="21"/>
          <w:szCs w:val="21"/>
          <w:highlight w:val="none"/>
          <w:u w:val="single"/>
        </w:rPr>
        <w:t xml:space="preserve"> 政府采购云平台（https://www.zcygov.cn） </w:t>
      </w:r>
      <w:r>
        <w:rPr>
          <w:rFonts w:hint="eastAsia" w:ascii="宋体" w:hAnsi="宋体" w:eastAsia="宋体" w:cs="宋体"/>
          <w:b/>
          <w:color w:val="auto"/>
          <w:sz w:val="21"/>
          <w:szCs w:val="21"/>
          <w:highlight w:val="none"/>
        </w:rPr>
        <w:t>获取（下载）采购文件，并于</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eastAsia="zh-CN"/>
        </w:rPr>
        <w:t>2025年</w:t>
      </w:r>
      <w:r>
        <w:rPr>
          <w:rFonts w:hint="eastAsia" w:cs="宋体"/>
          <w:b/>
          <w:color w:val="auto"/>
          <w:sz w:val="21"/>
          <w:szCs w:val="21"/>
          <w:highlight w:val="none"/>
          <w:u w:val="single"/>
          <w:lang w:eastAsia="zh-CN"/>
        </w:rPr>
        <w:t>7月26日13:30:00</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bCs/>
          <w:color w:val="auto"/>
          <w:sz w:val="21"/>
          <w:szCs w:val="21"/>
          <w:highlight w:val="none"/>
        </w:rPr>
        <w:t>（北京时间）前提交（上传）响应文件</w:t>
      </w:r>
      <w:r>
        <w:rPr>
          <w:rFonts w:hint="eastAsia" w:ascii="宋体" w:hAnsi="宋体" w:eastAsia="宋体" w:cs="宋体"/>
          <w:b/>
          <w:color w:val="auto"/>
          <w:sz w:val="21"/>
          <w:szCs w:val="21"/>
          <w:highlight w:val="none"/>
        </w:rPr>
        <w:t>。</w:t>
      </w:r>
    </w:p>
    <w:p w14:paraId="47956D0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color w:val="auto"/>
          <w:sz w:val="21"/>
          <w:szCs w:val="21"/>
          <w:highlight w:val="none"/>
        </w:rPr>
      </w:pPr>
      <w:bookmarkStart w:id="7" w:name="_Toc28359002"/>
      <w:bookmarkStart w:id="8" w:name="_Toc35393790"/>
      <w:bookmarkStart w:id="9" w:name="_Toc28359079"/>
      <w:bookmarkStart w:id="10" w:name="_Toc35393621"/>
      <w:bookmarkStart w:id="11" w:name="_Hlk24379207"/>
      <w:r>
        <w:rPr>
          <w:rFonts w:hint="eastAsia" w:ascii="宋体" w:hAnsi="宋体" w:eastAsia="宋体" w:cs="宋体"/>
          <w:b/>
          <w:color w:val="auto"/>
          <w:sz w:val="21"/>
          <w:szCs w:val="21"/>
          <w:highlight w:val="none"/>
        </w:rPr>
        <w:t>一、项目基本情况</w:t>
      </w:r>
      <w:bookmarkEnd w:id="7"/>
      <w:bookmarkEnd w:id="8"/>
      <w:bookmarkEnd w:id="9"/>
      <w:bookmarkEnd w:id="10"/>
    </w:p>
    <w:p w14:paraId="7F0B79D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1.项目编号：</w:t>
      </w:r>
      <w:r>
        <w:rPr>
          <w:rFonts w:hint="eastAsia" w:cs="宋体"/>
          <w:bCs/>
          <w:color w:val="auto"/>
          <w:sz w:val="21"/>
          <w:szCs w:val="21"/>
          <w:highlight w:val="none"/>
          <w:lang w:eastAsia="zh-CN"/>
        </w:rPr>
        <w:t>QSZBB250106ZHCS</w:t>
      </w:r>
    </w:p>
    <w:p w14:paraId="7BC174C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2.项目名称：</w:t>
      </w:r>
      <w:r>
        <w:rPr>
          <w:rFonts w:hint="eastAsia" w:ascii="宋体" w:hAnsi="宋体" w:eastAsia="宋体" w:cs="宋体"/>
          <w:color w:val="auto"/>
          <w:sz w:val="21"/>
          <w:szCs w:val="21"/>
          <w:highlight w:val="none"/>
          <w:lang w:eastAsia="zh-CN"/>
        </w:rPr>
        <w:t>后勤智慧餐厅与仓储管理系统</w:t>
      </w:r>
      <w:r>
        <w:rPr>
          <w:rFonts w:hint="eastAsia" w:ascii="宋体" w:hAnsi="宋体" w:eastAsia="宋体" w:cs="宋体"/>
          <w:color w:val="auto"/>
          <w:sz w:val="21"/>
          <w:szCs w:val="21"/>
          <w:highlight w:val="none"/>
        </w:rPr>
        <w:t>项目</w:t>
      </w:r>
    </w:p>
    <w:p w14:paraId="0B9C1D2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3.采购方式：竞争性磋商</w:t>
      </w:r>
      <w:bookmarkEnd w:id="11"/>
    </w:p>
    <w:p w14:paraId="26F825E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4.预算金额（元）：</w:t>
      </w:r>
      <w:r>
        <w:rPr>
          <w:rFonts w:hint="eastAsia" w:ascii="宋体" w:hAnsi="宋体" w:eastAsia="宋体" w:cs="宋体"/>
          <w:color w:val="auto"/>
          <w:sz w:val="21"/>
          <w:szCs w:val="21"/>
          <w:highlight w:val="none"/>
          <w:lang w:val="en-US" w:eastAsia="zh-CN"/>
        </w:rPr>
        <w:t>275</w:t>
      </w:r>
      <w:r>
        <w:rPr>
          <w:rFonts w:hint="eastAsia" w:ascii="宋体" w:hAnsi="宋体" w:eastAsia="宋体" w:cs="宋体"/>
          <w:color w:val="auto"/>
          <w:sz w:val="21"/>
          <w:szCs w:val="21"/>
          <w:highlight w:val="none"/>
        </w:rPr>
        <w:t>000元</w:t>
      </w:r>
    </w:p>
    <w:p w14:paraId="2CA43BF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5.最高限价（元）：275000元，超过此最高限价作无效标处理。</w:t>
      </w:r>
    </w:p>
    <w:p w14:paraId="6510CFE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6.简要规格描述</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详见第二章“采购需求”。</w:t>
      </w:r>
    </w:p>
    <w:p w14:paraId="7DEA682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7.本项目接受联合体响应。</w:t>
      </w:r>
    </w:p>
    <w:p w14:paraId="120A0B5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8.合同履约期限：</w:t>
      </w:r>
      <w:r>
        <w:rPr>
          <w:rFonts w:hint="eastAsia" w:ascii="宋体" w:hAnsi="宋体" w:eastAsia="宋体" w:cs="宋体"/>
          <w:color w:val="auto"/>
          <w:spacing w:val="-6"/>
          <w:sz w:val="21"/>
          <w:szCs w:val="21"/>
          <w:highlight w:val="none"/>
        </w:rPr>
        <w:t>合同签订之日起</w:t>
      </w:r>
      <w:r>
        <w:rPr>
          <w:rFonts w:hint="eastAsia" w:cs="宋体"/>
          <w:color w:val="auto"/>
          <w:spacing w:val="-6"/>
          <w:sz w:val="21"/>
          <w:szCs w:val="21"/>
          <w:highlight w:val="none"/>
          <w:lang w:val="en-US" w:eastAsia="zh-CN"/>
        </w:rPr>
        <w:t>90</w:t>
      </w:r>
      <w:r>
        <w:rPr>
          <w:rFonts w:hint="eastAsia" w:ascii="宋体" w:hAnsi="宋体" w:eastAsia="宋体" w:cs="宋体"/>
          <w:color w:val="auto"/>
          <w:spacing w:val="-6"/>
          <w:sz w:val="21"/>
          <w:szCs w:val="21"/>
          <w:highlight w:val="none"/>
        </w:rPr>
        <w:t>日内安装完毕并交付，并提供不少于磋商文件要求的质保期</w:t>
      </w:r>
      <w:r>
        <w:rPr>
          <w:rFonts w:hint="eastAsia" w:ascii="宋体" w:hAnsi="宋体" w:eastAsia="宋体" w:cs="宋体"/>
          <w:color w:val="auto"/>
          <w:kern w:val="0"/>
          <w:sz w:val="21"/>
          <w:szCs w:val="21"/>
          <w:highlight w:val="none"/>
        </w:rPr>
        <w:t>。</w:t>
      </w:r>
    </w:p>
    <w:p w14:paraId="1B5D63F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color w:val="auto"/>
          <w:sz w:val="21"/>
          <w:szCs w:val="21"/>
          <w:highlight w:val="none"/>
        </w:rPr>
      </w:pPr>
      <w:bookmarkStart w:id="12" w:name="_Toc35393622"/>
      <w:bookmarkStart w:id="13" w:name="_Toc28359080"/>
      <w:bookmarkStart w:id="14" w:name="_Toc28359003"/>
      <w:bookmarkStart w:id="15" w:name="_Toc35393791"/>
      <w:r>
        <w:rPr>
          <w:rFonts w:hint="eastAsia" w:ascii="宋体" w:hAnsi="宋体" w:eastAsia="宋体" w:cs="宋体"/>
          <w:b/>
          <w:color w:val="auto"/>
          <w:sz w:val="21"/>
          <w:szCs w:val="21"/>
          <w:highlight w:val="none"/>
        </w:rPr>
        <w:t>二、申请人的资格要求：</w:t>
      </w:r>
      <w:bookmarkEnd w:id="12"/>
      <w:bookmarkEnd w:id="13"/>
      <w:bookmarkEnd w:id="14"/>
      <w:bookmarkEnd w:id="15"/>
      <w:r>
        <w:rPr>
          <w:rFonts w:hint="eastAsia" w:ascii="宋体" w:hAnsi="宋体" w:eastAsia="宋体" w:cs="宋体"/>
          <w:b/>
          <w:color w:val="auto"/>
          <w:sz w:val="21"/>
          <w:szCs w:val="21"/>
          <w:highlight w:val="none"/>
        </w:rPr>
        <w:tab/>
      </w:r>
    </w:p>
    <w:p w14:paraId="6C1389B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color w:val="auto"/>
          <w:sz w:val="21"/>
          <w:szCs w:val="21"/>
          <w:highlight w:val="none"/>
        </w:rPr>
      </w:pPr>
      <w:bookmarkStart w:id="16" w:name="_Toc28359081"/>
      <w:bookmarkStart w:id="17" w:name="_Toc28359004"/>
      <w:r>
        <w:rPr>
          <w:rFonts w:hint="eastAsia" w:ascii="宋体" w:hAnsi="宋体" w:eastAsia="宋体" w:cs="宋体"/>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AE131F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w:t>
      </w:r>
    </w:p>
    <w:p w14:paraId="118F674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3.本项目的特定资格要求：无。</w:t>
      </w:r>
    </w:p>
    <w:p w14:paraId="5A3D979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color w:val="auto"/>
          <w:sz w:val="21"/>
          <w:szCs w:val="21"/>
          <w:highlight w:val="none"/>
        </w:rPr>
      </w:pPr>
      <w:bookmarkStart w:id="18" w:name="_Toc35393792"/>
      <w:bookmarkStart w:id="19" w:name="_Toc35393623"/>
      <w:r>
        <w:rPr>
          <w:rFonts w:hint="eastAsia" w:ascii="宋体" w:hAnsi="宋体" w:eastAsia="宋体" w:cs="宋体"/>
          <w:b/>
          <w:color w:val="auto"/>
          <w:sz w:val="21"/>
          <w:szCs w:val="21"/>
          <w:highlight w:val="none"/>
        </w:rPr>
        <w:t>三、获取（下载）采购文件</w:t>
      </w:r>
      <w:bookmarkEnd w:id="16"/>
      <w:bookmarkEnd w:id="17"/>
      <w:bookmarkEnd w:id="18"/>
      <w:bookmarkEnd w:id="19"/>
    </w:p>
    <w:p w14:paraId="6067F46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bookmarkStart w:id="20" w:name="_Toc28359082"/>
      <w:bookmarkStart w:id="21" w:name="_Toc28359005"/>
      <w:bookmarkStart w:id="22" w:name="_Toc35393624"/>
      <w:bookmarkStart w:id="23" w:name="_Toc35393793"/>
      <w:r>
        <w:rPr>
          <w:rFonts w:hint="eastAsia" w:ascii="宋体" w:hAnsi="宋体" w:eastAsia="宋体" w:cs="宋体"/>
          <w:color w:val="auto"/>
          <w:sz w:val="21"/>
          <w:szCs w:val="21"/>
          <w:highlight w:val="none"/>
        </w:rPr>
        <w:t>时间：/至</w:t>
      </w:r>
      <w:r>
        <w:rPr>
          <w:rFonts w:hint="eastAsia" w:ascii="宋体" w:hAnsi="宋体" w:eastAsia="宋体" w:cs="宋体"/>
          <w:color w:val="auto"/>
          <w:sz w:val="21"/>
          <w:szCs w:val="21"/>
          <w:highlight w:val="none"/>
          <w:lang w:eastAsia="zh-CN"/>
        </w:rPr>
        <w:t>2025年</w:t>
      </w:r>
      <w:r>
        <w:rPr>
          <w:rFonts w:hint="eastAsia" w:cs="宋体"/>
          <w:color w:val="auto"/>
          <w:sz w:val="21"/>
          <w:szCs w:val="21"/>
          <w:highlight w:val="none"/>
          <w:lang w:eastAsia="zh-CN"/>
        </w:rPr>
        <w:t>7月26日</w:t>
      </w:r>
      <w:r>
        <w:rPr>
          <w:rFonts w:hint="eastAsia" w:ascii="宋体" w:hAnsi="宋体" w:eastAsia="宋体" w:cs="宋体"/>
          <w:color w:val="auto"/>
          <w:sz w:val="21"/>
          <w:szCs w:val="21"/>
          <w:highlight w:val="none"/>
        </w:rPr>
        <w:t>，每天上午00:00至12:00，下午12:00至23:59（北京时间，线上获取法定节假日均可，线下获取文件法定节假日除外）</w:t>
      </w:r>
    </w:p>
    <w:p w14:paraId="728032A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地点（网址）：政府采购云平台（https://www.zcygov.cn）</w:t>
      </w:r>
    </w:p>
    <w:p w14:paraId="4688E2F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方式：供应商登录政采云平台https://www.zcygov.cn/在线申请获取采购文件（进入“项目采购”应用，在获取采购文件菜单中选择项目，申请获取采购文件）</w:t>
      </w:r>
    </w:p>
    <w:p w14:paraId="1A0DD02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售价（元）：0</w:t>
      </w:r>
    </w:p>
    <w:p w14:paraId="4756E67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w:t>
      </w:r>
      <w:bookmarkEnd w:id="20"/>
      <w:bookmarkEnd w:id="21"/>
      <w:bookmarkEnd w:id="22"/>
      <w:bookmarkEnd w:id="23"/>
      <w:r>
        <w:rPr>
          <w:rFonts w:hint="eastAsia" w:ascii="宋体" w:hAnsi="宋体" w:eastAsia="宋体" w:cs="宋体"/>
          <w:b/>
          <w:color w:val="auto"/>
          <w:sz w:val="21"/>
          <w:szCs w:val="21"/>
          <w:highlight w:val="none"/>
        </w:rPr>
        <w:t>响应文件提交（上传）</w:t>
      </w:r>
    </w:p>
    <w:p w14:paraId="60D6133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截止</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eastAsia="zh-CN"/>
        </w:rPr>
        <w:t>2025年</w:t>
      </w:r>
      <w:r>
        <w:rPr>
          <w:rFonts w:hint="eastAsia" w:cs="宋体"/>
          <w:color w:val="auto"/>
          <w:sz w:val="21"/>
          <w:szCs w:val="21"/>
          <w:highlight w:val="none"/>
          <w:lang w:eastAsia="zh-CN"/>
        </w:rPr>
        <w:t>7月26日13:30:00</w:t>
      </w:r>
      <w:r>
        <w:rPr>
          <w:rFonts w:hint="eastAsia" w:ascii="宋体" w:hAnsi="宋体" w:eastAsia="宋体" w:cs="宋体"/>
          <w:bCs/>
          <w:color w:val="auto"/>
          <w:sz w:val="21"/>
          <w:szCs w:val="21"/>
          <w:highlight w:val="none"/>
        </w:rPr>
        <w:t>（北京时间）</w:t>
      </w:r>
    </w:p>
    <w:p w14:paraId="2FF4907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地点</w:t>
      </w:r>
      <w:r>
        <w:rPr>
          <w:rFonts w:hint="eastAsia" w:ascii="宋体" w:hAnsi="宋体" w:eastAsia="宋体" w:cs="宋体"/>
          <w:color w:val="auto"/>
          <w:sz w:val="21"/>
          <w:szCs w:val="21"/>
          <w:highlight w:val="none"/>
        </w:rPr>
        <w:t>（网址）：政府采购云平台（https://www.zcygov.cn）</w:t>
      </w:r>
    </w:p>
    <w:p w14:paraId="52E7543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color w:val="auto"/>
          <w:sz w:val="21"/>
          <w:szCs w:val="21"/>
          <w:highlight w:val="none"/>
        </w:rPr>
      </w:pPr>
      <w:bookmarkStart w:id="24" w:name="_Toc28359084"/>
      <w:bookmarkStart w:id="25" w:name="_Toc35393794"/>
      <w:bookmarkStart w:id="26" w:name="_Toc35393625"/>
      <w:bookmarkStart w:id="27" w:name="_Toc28359007"/>
      <w:r>
        <w:rPr>
          <w:rFonts w:hint="eastAsia" w:ascii="宋体" w:hAnsi="宋体" w:eastAsia="宋体" w:cs="宋体"/>
          <w:b/>
          <w:color w:val="auto"/>
          <w:sz w:val="21"/>
          <w:szCs w:val="21"/>
          <w:highlight w:val="none"/>
        </w:rPr>
        <w:t>五、响应文件开启</w:t>
      </w:r>
    </w:p>
    <w:p w14:paraId="4D39333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开启时间：</w:t>
      </w:r>
      <w:r>
        <w:rPr>
          <w:rFonts w:hint="eastAsia" w:ascii="宋体" w:hAnsi="宋体" w:eastAsia="宋体" w:cs="宋体"/>
          <w:bCs/>
          <w:color w:val="auto"/>
          <w:sz w:val="21"/>
          <w:szCs w:val="21"/>
          <w:highlight w:val="none"/>
          <w:lang w:eastAsia="zh-CN"/>
        </w:rPr>
        <w:t>2025年</w:t>
      </w:r>
      <w:r>
        <w:rPr>
          <w:rFonts w:hint="eastAsia" w:cs="宋体"/>
          <w:bCs/>
          <w:color w:val="auto"/>
          <w:sz w:val="21"/>
          <w:szCs w:val="21"/>
          <w:highlight w:val="none"/>
          <w:lang w:eastAsia="zh-CN"/>
        </w:rPr>
        <w:t>7月26日13:30:00</w:t>
      </w:r>
      <w:r>
        <w:rPr>
          <w:rFonts w:hint="eastAsia" w:ascii="宋体" w:hAnsi="宋体" w:eastAsia="宋体" w:cs="宋体"/>
          <w:bCs/>
          <w:color w:val="auto"/>
          <w:sz w:val="21"/>
          <w:szCs w:val="21"/>
          <w:highlight w:val="none"/>
        </w:rPr>
        <w:t>（北京时间）</w:t>
      </w:r>
    </w:p>
    <w:p w14:paraId="2AD2890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地点</w:t>
      </w:r>
      <w:r>
        <w:rPr>
          <w:rFonts w:hint="eastAsia" w:ascii="宋体" w:hAnsi="宋体" w:eastAsia="宋体" w:cs="宋体"/>
          <w:color w:val="auto"/>
          <w:sz w:val="21"/>
          <w:szCs w:val="21"/>
          <w:highlight w:val="none"/>
        </w:rPr>
        <w:t>（网址）：政府采购云平台（https://www.zcygov.cn）/杭州市西湖区玉古路173号中田大厦21楼（求是招标会议室</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w:t>
      </w:r>
    </w:p>
    <w:p w14:paraId="70BD338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六、公告期限</w:t>
      </w:r>
      <w:bookmarkEnd w:id="24"/>
      <w:bookmarkEnd w:id="25"/>
      <w:bookmarkEnd w:id="26"/>
      <w:bookmarkEnd w:id="27"/>
    </w:p>
    <w:p w14:paraId="408F5B3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自本公告发布之日起3个工作日。</w:t>
      </w:r>
    </w:p>
    <w:p w14:paraId="41920D4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color w:val="auto"/>
          <w:sz w:val="21"/>
          <w:szCs w:val="21"/>
          <w:highlight w:val="none"/>
        </w:rPr>
      </w:pPr>
      <w:bookmarkStart w:id="28" w:name="_Toc35393795"/>
      <w:bookmarkStart w:id="29" w:name="_Toc35393626"/>
      <w:r>
        <w:rPr>
          <w:rFonts w:hint="eastAsia" w:ascii="宋体" w:hAnsi="宋体" w:eastAsia="宋体" w:cs="宋体"/>
          <w:b/>
          <w:color w:val="auto"/>
          <w:sz w:val="21"/>
          <w:szCs w:val="21"/>
          <w:highlight w:val="none"/>
        </w:rPr>
        <w:t>七、其他补充事宜</w:t>
      </w:r>
      <w:bookmarkEnd w:id="28"/>
      <w:bookmarkEnd w:id="29"/>
    </w:p>
    <w:p w14:paraId="01D0A68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bookmarkStart w:id="30" w:name="_Toc35393627"/>
      <w:bookmarkStart w:id="31" w:name="_Toc28359085"/>
      <w:bookmarkStart w:id="32" w:name="_Toc28359008"/>
      <w:bookmarkStart w:id="33" w:name="_Toc35393796"/>
      <w:r>
        <w:rPr>
          <w:rFonts w:hint="eastAsia" w:ascii="宋体" w:hAnsi="宋体" w:eastAsia="宋体" w:cs="宋体"/>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FF63AC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选择上报采购代理机构）:鼓励供应商在线提起质疑，路径为：政采云-项目采购-询问质疑投诉-质疑列表（选择上报采购代理机构）。质疑供应商对在线质疑答复不满意的，可在线提起投诉，路径为：浙江政府服务网-政府采购投诉处理-在线办理。</w:t>
      </w:r>
    </w:p>
    <w:p w14:paraId="1AEEC6B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以书面形式向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24DD36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4.其他事项：</w:t>
      </w:r>
    </w:p>
    <w:p w14:paraId="3B20E696">
      <w:pPr>
        <w:pStyle w:val="24"/>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（1）需要落实的政府采购政策：包括节约资源、保护环境、支持科技创新、促进中小企业发展等。详见磋商文件的第三章-采购项目需要落实的政府采购政策。</w:t>
      </w:r>
    </w:p>
    <w:p w14:paraId="58C43CA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bookmarkStart w:id="34" w:name="_Hlk92271072"/>
      <w:r>
        <w:rPr>
          <w:rFonts w:hint="eastAsia" w:ascii="宋体" w:hAnsi="宋体" w:eastAsia="宋体" w:cs="宋体"/>
          <w:color w:val="auto"/>
          <w:sz w:val="21"/>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34"/>
    </w:p>
    <w:p w14:paraId="0CA4DE1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8）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9）响应文件的解密：供应商按照平台提示和磋商文件的规定在半小时内完成在线解密。通过“政府采购云平台”上传提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购项目电子交易管理操作指南-供应商”。</w:t>
      </w:r>
    </w:p>
    <w:p w14:paraId="4D6F4B1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八、凡对本次采购提出询问、质疑、投诉请按以下方式联系</w:t>
      </w:r>
      <w:bookmarkEnd w:id="30"/>
      <w:bookmarkEnd w:id="31"/>
      <w:bookmarkEnd w:id="32"/>
      <w:bookmarkEnd w:id="33"/>
    </w:p>
    <w:p w14:paraId="3852DD07">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714BA89B">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名称：浙江树人学院</w:t>
      </w:r>
    </w:p>
    <w:p w14:paraId="1BCBBA28">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地址：杭州市拱墅区舟山东路19号</w:t>
      </w:r>
    </w:p>
    <w:p w14:paraId="501F660C">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3D55DA8">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项目联系人（询问）：李老师</w:t>
      </w:r>
    </w:p>
    <w:p w14:paraId="410C21D7">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项目联系方式（询问）：0571-88283298；0575-85600849</w:t>
      </w:r>
    </w:p>
    <w:p w14:paraId="159200FB">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质疑联系人：傅老师</w:t>
      </w:r>
    </w:p>
    <w:p w14:paraId="4709183E">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质疑联系方式：0571-88297208</w:t>
      </w:r>
    </w:p>
    <w:p w14:paraId="7FC93CCB">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p>
    <w:p w14:paraId="5CC85546">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738D211C">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名称：浙江求是招标代理有限公司</w:t>
      </w:r>
    </w:p>
    <w:p w14:paraId="44BFD8F7">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地址：杭州市西湖区玉古路173号中田大厦21楼</w:t>
      </w:r>
    </w:p>
    <w:p w14:paraId="344ED656">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09DC7D77">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项目联系人（询问）：陈应俭、俞炳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林心怡</w:t>
      </w:r>
    </w:p>
    <w:p w14:paraId="023AF30A">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项目联系方式（询问）：0571-87670302</w:t>
      </w:r>
    </w:p>
    <w:p w14:paraId="177C1201">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质疑联系人：周安琪</w:t>
      </w:r>
    </w:p>
    <w:p w14:paraId="536DC425">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质疑联系方式：0571-81110356</w:t>
      </w:r>
    </w:p>
    <w:p w14:paraId="5ED0A9AC">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质疑邮箱：jdkh@qszb.net</w:t>
      </w:r>
    </w:p>
    <w:p w14:paraId="2E631FE6">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p>
    <w:p w14:paraId="04305968">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3.政府采购监督管理部门</w:t>
      </w:r>
    </w:p>
    <w:p w14:paraId="35A0CFB0">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名称：浙江树人学院纪委办公室</w:t>
      </w:r>
    </w:p>
    <w:p w14:paraId="170CDC42">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地址：杭州市拱墅区舟山东路19号</w:t>
      </w:r>
    </w:p>
    <w:p w14:paraId="66531A21">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35DD0F76">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联系人：齐老师</w:t>
      </w:r>
    </w:p>
    <w:p w14:paraId="2812F182">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监督投诉电话：0571-88297019</w:t>
      </w:r>
    </w:p>
    <w:p w14:paraId="07033F6C">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该项目由采购人处理采购争议。质疑环节，采购人委托采购代理机构处理的，可由采购代理机构答复。对质疑答复不满意的，向采购人内部设置的采购监督机构反映。</w:t>
      </w:r>
    </w:p>
    <w:p w14:paraId="581AE242">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预算金额未达100万元的采购项目，由采购人处理采购争议。</w:t>
      </w:r>
    </w:p>
    <w:p w14:paraId="45B8ABB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p>
    <w:p w14:paraId="76DBE18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2CBE7D6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CA问题联系电话（人工）：汇信CA 400-888-4636；天谷CA 400-087-8198。</w:t>
      </w:r>
    </w:p>
    <w:p w14:paraId="23FDA90C">
      <w:pPr>
        <w:adjustRightInd w:val="0"/>
        <w:snapToGrid w:val="0"/>
        <w:spacing w:line="288" w:lineRule="auto"/>
        <w:ind w:firstLine="360" w:firstLineChars="200"/>
        <w:jc w:val="center"/>
        <w:rPr>
          <w:b/>
          <w:bCs/>
          <w:color w:val="auto"/>
          <w:sz w:val="32"/>
          <w:szCs w:val="32"/>
          <w:highlight w:val="none"/>
        </w:rPr>
      </w:pPr>
      <w:r>
        <w:rPr>
          <w:rFonts w:hint="eastAsia"/>
          <w:color w:val="auto"/>
          <w:sz w:val="18"/>
          <w:szCs w:val="18"/>
          <w:highlight w:val="none"/>
        </w:rPr>
        <w:br w:type="page"/>
      </w:r>
      <w:bookmarkStart w:id="35" w:name="_Toc11034"/>
      <w:bookmarkStart w:id="36" w:name="_Toc28092"/>
      <w:bookmarkStart w:id="37" w:name="_Toc731"/>
      <w:bookmarkStart w:id="38" w:name="_Toc1636"/>
      <w:bookmarkStart w:id="39" w:name="_Toc29537"/>
      <w:bookmarkStart w:id="40" w:name="_Toc25784"/>
      <w:bookmarkStart w:id="41" w:name="_Toc21935"/>
      <w:r>
        <w:rPr>
          <w:rFonts w:hint="eastAsia"/>
          <w:b/>
          <w:bCs/>
          <w:color w:val="auto"/>
          <w:sz w:val="32"/>
          <w:szCs w:val="32"/>
          <w:highlight w:val="none"/>
        </w:rPr>
        <w:t>第二章  采购需求</w:t>
      </w:r>
      <w:bookmarkEnd w:id="35"/>
      <w:bookmarkEnd w:id="36"/>
      <w:bookmarkEnd w:id="37"/>
      <w:bookmarkEnd w:id="38"/>
      <w:bookmarkEnd w:id="39"/>
      <w:bookmarkEnd w:id="40"/>
      <w:bookmarkEnd w:id="41"/>
    </w:p>
    <w:p w14:paraId="3147E558">
      <w:pPr>
        <w:adjustRightInd w:val="0"/>
        <w:snapToGrid w:val="0"/>
        <w:spacing w:line="288" w:lineRule="auto"/>
        <w:outlineLvl w:val="1"/>
        <w:rPr>
          <w:b/>
          <w:bCs/>
          <w:color w:val="auto"/>
          <w:sz w:val="21"/>
          <w:szCs w:val="21"/>
          <w:highlight w:val="none"/>
        </w:rPr>
      </w:pPr>
      <w:bookmarkStart w:id="42" w:name="_Toc15290"/>
      <w:bookmarkStart w:id="43" w:name="_Toc4451"/>
      <w:bookmarkStart w:id="44" w:name="_Toc9952"/>
      <w:r>
        <w:rPr>
          <w:rFonts w:hint="eastAsia"/>
          <w:b/>
          <w:bCs/>
          <w:color w:val="auto"/>
          <w:sz w:val="21"/>
          <w:szCs w:val="21"/>
          <w:highlight w:val="none"/>
        </w:rPr>
        <w:t>一、为落实政府采购政策需满足的要求：</w:t>
      </w:r>
      <w:bookmarkEnd w:id="42"/>
      <w:bookmarkEnd w:id="43"/>
      <w:bookmarkEnd w:id="44"/>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3298"/>
        <w:gridCol w:w="5604"/>
      </w:tblGrid>
      <w:tr w14:paraId="2FA1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04EC8B55">
            <w:pPr>
              <w:adjustRightInd w:val="0"/>
              <w:snapToGrid w:val="0"/>
              <w:spacing w:line="288" w:lineRule="auto"/>
              <w:jc w:val="left"/>
              <w:rPr>
                <w:b/>
                <w:bCs/>
                <w:color w:val="auto"/>
                <w:sz w:val="21"/>
                <w:szCs w:val="21"/>
                <w:highlight w:val="none"/>
              </w:rPr>
            </w:pPr>
            <w:bookmarkStart w:id="45" w:name="_Hlk45005599"/>
            <w:r>
              <w:rPr>
                <w:rFonts w:hint="eastAsia"/>
                <w:b/>
                <w:bCs/>
                <w:color w:val="auto"/>
                <w:sz w:val="21"/>
                <w:szCs w:val="21"/>
                <w:highlight w:val="none"/>
              </w:rPr>
              <w:t>序号</w:t>
            </w:r>
          </w:p>
        </w:tc>
        <w:tc>
          <w:tcPr>
            <w:tcW w:w="1714" w:type="pct"/>
            <w:tcBorders>
              <w:tl2br w:val="nil"/>
              <w:tr2bl w:val="nil"/>
            </w:tcBorders>
            <w:vAlign w:val="center"/>
          </w:tcPr>
          <w:p w14:paraId="1D6443EF">
            <w:pPr>
              <w:adjustRightInd w:val="0"/>
              <w:snapToGrid w:val="0"/>
              <w:spacing w:line="288" w:lineRule="auto"/>
              <w:jc w:val="left"/>
              <w:rPr>
                <w:b/>
                <w:bCs/>
                <w:color w:val="auto"/>
                <w:sz w:val="21"/>
                <w:szCs w:val="21"/>
                <w:highlight w:val="none"/>
              </w:rPr>
            </w:pPr>
            <w:r>
              <w:rPr>
                <w:rFonts w:hint="eastAsia"/>
                <w:b/>
                <w:bCs/>
                <w:color w:val="auto"/>
                <w:sz w:val="21"/>
                <w:szCs w:val="21"/>
                <w:highlight w:val="none"/>
              </w:rPr>
              <w:t>政策名称</w:t>
            </w:r>
          </w:p>
        </w:tc>
        <w:tc>
          <w:tcPr>
            <w:tcW w:w="2912" w:type="pct"/>
            <w:tcBorders>
              <w:tl2br w:val="nil"/>
              <w:tr2bl w:val="nil"/>
            </w:tcBorders>
            <w:vAlign w:val="center"/>
          </w:tcPr>
          <w:p w14:paraId="7AC33AE2">
            <w:pPr>
              <w:adjustRightInd w:val="0"/>
              <w:snapToGrid w:val="0"/>
              <w:spacing w:line="288" w:lineRule="auto"/>
              <w:jc w:val="left"/>
              <w:rPr>
                <w:b/>
                <w:bCs/>
                <w:color w:val="auto"/>
                <w:sz w:val="21"/>
                <w:szCs w:val="21"/>
                <w:highlight w:val="none"/>
              </w:rPr>
            </w:pPr>
            <w:r>
              <w:rPr>
                <w:rFonts w:hint="eastAsia"/>
                <w:b/>
                <w:bCs/>
                <w:color w:val="auto"/>
                <w:sz w:val="21"/>
                <w:szCs w:val="21"/>
                <w:highlight w:val="none"/>
              </w:rPr>
              <w:t>内容</w:t>
            </w:r>
          </w:p>
        </w:tc>
      </w:tr>
      <w:tr w14:paraId="763A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4BC9F600">
            <w:pPr>
              <w:adjustRightInd w:val="0"/>
              <w:snapToGrid w:val="0"/>
              <w:spacing w:line="288" w:lineRule="auto"/>
              <w:jc w:val="left"/>
              <w:rPr>
                <w:b/>
                <w:bCs/>
                <w:color w:val="auto"/>
                <w:sz w:val="21"/>
                <w:szCs w:val="21"/>
                <w:highlight w:val="none"/>
              </w:rPr>
            </w:pPr>
            <w:r>
              <w:rPr>
                <w:rFonts w:hint="eastAsia"/>
                <w:color w:val="auto"/>
                <w:sz w:val="21"/>
                <w:szCs w:val="21"/>
                <w:highlight w:val="none"/>
              </w:rPr>
              <w:t>1</w:t>
            </w:r>
          </w:p>
        </w:tc>
        <w:tc>
          <w:tcPr>
            <w:tcW w:w="1714" w:type="pct"/>
            <w:tcBorders>
              <w:tl2br w:val="nil"/>
              <w:tr2bl w:val="nil"/>
            </w:tcBorders>
            <w:vAlign w:val="center"/>
          </w:tcPr>
          <w:p w14:paraId="48DFD2C8">
            <w:pPr>
              <w:adjustRightInd w:val="0"/>
              <w:snapToGrid w:val="0"/>
              <w:spacing w:line="288" w:lineRule="auto"/>
              <w:jc w:val="left"/>
              <w:rPr>
                <w:b/>
                <w:bCs/>
                <w:color w:val="auto"/>
                <w:sz w:val="21"/>
                <w:szCs w:val="21"/>
                <w:highlight w:val="none"/>
              </w:rPr>
            </w:pPr>
            <w:r>
              <w:rPr>
                <w:rFonts w:hint="eastAsia"/>
                <w:color w:val="auto"/>
                <w:sz w:val="21"/>
                <w:szCs w:val="21"/>
                <w:highlight w:val="none"/>
              </w:rPr>
              <w:t>政府采购进口产品</w:t>
            </w:r>
          </w:p>
        </w:tc>
        <w:tc>
          <w:tcPr>
            <w:tcW w:w="2912" w:type="pct"/>
            <w:tcBorders>
              <w:tl2br w:val="nil"/>
              <w:tr2bl w:val="nil"/>
            </w:tcBorders>
            <w:vAlign w:val="center"/>
          </w:tcPr>
          <w:p w14:paraId="236E3618">
            <w:pPr>
              <w:adjustRightInd w:val="0"/>
              <w:snapToGrid w:val="0"/>
              <w:spacing w:line="288" w:lineRule="auto"/>
              <w:jc w:val="left"/>
              <w:rPr>
                <w:b/>
                <w:bCs/>
                <w:color w:val="auto"/>
                <w:sz w:val="21"/>
                <w:szCs w:val="21"/>
                <w:highlight w:val="none"/>
              </w:rPr>
            </w:pPr>
            <w:r>
              <w:rPr>
                <w:rFonts w:hint="eastAsia"/>
                <w:color w:val="auto"/>
                <w:sz w:val="21"/>
                <w:szCs w:val="21"/>
                <w:highlight w:val="none"/>
              </w:rPr>
              <w:t>不允许采购进口产品</w:t>
            </w:r>
          </w:p>
        </w:tc>
      </w:tr>
      <w:tr w14:paraId="2194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4EAE59EF">
            <w:pPr>
              <w:adjustRightInd w:val="0"/>
              <w:snapToGrid w:val="0"/>
              <w:spacing w:line="288" w:lineRule="auto"/>
              <w:jc w:val="left"/>
              <w:rPr>
                <w:b/>
                <w:bCs/>
                <w:color w:val="auto"/>
                <w:sz w:val="21"/>
                <w:szCs w:val="21"/>
                <w:highlight w:val="none"/>
              </w:rPr>
            </w:pPr>
            <w:r>
              <w:rPr>
                <w:rFonts w:hint="eastAsia"/>
                <w:color w:val="auto"/>
                <w:sz w:val="21"/>
                <w:szCs w:val="21"/>
                <w:highlight w:val="none"/>
              </w:rPr>
              <w:t>2</w:t>
            </w:r>
          </w:p>
        </w:tc>
        <w:tc>
          <w:tcPr>
            <w:tcW w:w="1714" w:type="pct"/>
            <w:tcBorders>
              <w:tl2br w:val="nil"/>
              <w:tr2bl w:val="nil"/>
            </w:tcBorders>
            <w:vAlign w:val="center"/>
          </w:tcPr>
          <w:p w14:paraId="376DA544">
            <w:pPr>
              <w:adjustRightInd w:val="0"/>
              <w:snapToGrid w:val="0"/>
              <w:spacing w:line="288" w:lineRule="auto"/>
              <w:jc w:val="left"/>
              <w:rPr>
                <w:b/>
                <w:bCs/>
                <w:color w:val="auto"/>
                <w:sz w:val="21"/>
                <w:szCs w:val="21"/>
                <w:highlight w:val="none"/>
              </w:rPr>
            </w:pPr>
            <w:r>
              <w:rPr>
                <w:rFonts w:hint="eastAsia"/>
                <w:color w:val="auto"/>
                <w:sz w:val="21"/>
                <w:szCs w:val="21"/>
                <w:highlight w:val="none"/>
              </w:rPr>
              <w:t>政府强制采购节能产品</w:t>
            </w:r>
          </w:p>
        </w:tc>
        <w:tc>
          <w:tcPr>
            <w:tcW w:w="2912" w:type="pct"/>
            <w:tcBorders>
              <w:tl2br w:val="nil"/>
              <w:tr2bl w:val="nil"/>
            </w:tcBorders>
            <w:vAlign w:val="center"/>
          </w:tcPr>
          <w:p w14:paraId="6E49E7D9">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14:paraId="12D8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57B94ECB">
            <w:pPr>
              <w:adjustRightInd w:val="0"/>
              <w:snapToGrid w:val="0"/>
              <w:spacing w:line="288" w:lineRule="auto"/>
              <w:jc w:val="left"/>
              <w:rPr>
                <w:b/>
                <w:bCs/>
                <w:color w:val="auto"/>
                <w:sz w:val="21"/>
                <w:szCs w:val="21"/>
                <w:highlight w:val="none"/>
              </w:rPr>
            </w:pPr>
            <w:r>
              <w:rPr>
                <w:rFonts w:hint="eastAsia"/>
                <w:color w:val="auto"/>
                <w:sz w:val="21"/>
                <w:szCs w:val="21"/>
                <w:highlight w:val="none"/>
              </w:rPr>
              <w:t>3</w:t>
            </w:r>
          </w:p>
        </w:tc>
        <w:tc>
          <w:tcPr>
            <w:tcW w:w="1714" w:type="pct"/>
            <w:tcBorders>
              <w:tl2br w:val="nil"/>
              <w:tr2bl w:val="nil"/>
            </w:tcBorders>
            <w:vAlign w:val="center"/>
          </w:tcPr>
          <w:p w14:paraId="3146DD69">
            <w:pPr>
              <w:adjustRightInd w:val="0"/>
              <w:snapToGrid w:val="0"/>
              <w:spacing w:line="288" w:lineRule="auto"/>
              <w:jc w:val="left"/>
              <w:rPr>
                <w:b/>
                <w:bCs/>
                <w:color w:val="auto"/>
                <w:sz w:val="21"/>
                <w:szCs w:val="21"/>
                <w:highlight w:val="none"/>
              </w:rPr>
            </w:pPr>
            <w:r>
              <w:rPr>
                <w:rFonts w:hint="eastAsia"/>
                <w:color w:val="auto"/>
                <w:sz w:val="21"/>
                <w:szCs w:val="21"/>
                <w:highlight w:val="none"/>
              </w:rPr>
              <w:t>政府优先采购节能、环保产品</w:t>
            </w:r>
          </w:p>
        </w:tc>
        <w:tc>
          <w:tcPr>
            <w:tcW w:w="2912" w:type="pct"/>
            <w:tcBorders>
              <w:tl2br w:val="nil"/>
              <w:tr2bl w:val="nil"/>
            </w:tcBorders>
            <w:vAlign w:val="center"/>
          </w:tcPr>
          <w:p w14:paraId="3FEDD049">
            <w:pPr>
              <w:adjustRightInd w:val="0"/>
              <w:snapToGrid w:val="0"/>
              <w:spacing w:line="288" w:lineRule="auto"/>
              <w:jc w:val="left"/>
              <w:rPr>
                <w:b/>
                <w:bCs/>
                <w:color w:val="auto"/>
                <w:sz w:val="21"/>
                <w:szCs w:val="21"/>
                <w:highlight w:val="none"/>
              </w:rPr>
            </w:pPr>
            <w:r>
              <w:rPr>
                <w:rFonts w:hint="eastAsia"/>
                <w:color w:val="auto"/>
                <w:sz w:val="21"/>
                <w:szCs w:val="21"/>
                <w:highlight w:val="none"/>
              </w:rPr>
              <w:t>提供材料详见磋商文件第六章“商务和技术文件”</w:t>
            </w:r>
          </w:p>
        </w:tc>
      </w:tr>
      <w:tr w14:paraId="651F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4622FC54">
            <w:pPr>
              <w:adjustRightInd w:val="0"/>
              <w:snapToGrid w:val="0"/>
              <w:spacing w:line="288" w:lineRule="auto"/>
              <w:jc w:val="left"/>
              <w:rPr>
                <w:color w:val="auto"/>
                <w:sz w:val="21"/>
                <w:szCs w:val="21"/>
                <w:highlight w:val="none"/>
              </w:rPr>
            </w:pPr>
            <w:r>
              <w:rPr>
                <w:rFonts w:hint="eastAsia"/>
                <w:color w:val="auto"/>
                <w:sz w:val="21"/>
                <w:szCs w:val="21"/>
                <w:highlight w:val="none"/>
              </w:rPr>
              <w:t>4</w:t>
            </w:r>
          </w:p>
        </w:tc>
        <w:tc>
          <w:tcPr>
            <w:tcW w:w="1714" w:type="pct"/>
            <w:tcBorders>
              <w:tl2br w:val="nil"/>
              <w:tr2bl w:val="nil"/>
            </w:tcBorders>
            <w:vAlign w:val="center"/>
          </w:tcPr>
          <w:p w14:paraId="5A8201CE">
            <w:pPr>
              <w:adjustRightInd w:val="0"/>
              <w:snapToGrid w:val="0"/>
              <w:spacing w:line="288" w:lineRule="auto"/>
              <w:jc w:val="left"/>
              <w:rPr>
                <w:color w:val="auto"/>
                <w:sz w:val="21"/>
                <w:szCs w:val="21"/>
                <w:highlight w:val="none"/>
              </w:rPr>
            </w:pPr>
            <w:r>
              <w:rPr>
                <w:rFonts w:hint="eastAsia"/>
                <w:color w:val="auto"/>
                <w:sz w:val="21"/>
                <w:szCs w:val="21"/>
                <w:highlight w:val="none"/>
              </w:rPr>
              <w:t>政府采购支持科技创新</w:t>
            </w:r>
          </w:p>
        </w:tc>
        <w:tc>
          <w:tcPr>
            <w:tcW w:w="2912" w:type="pct"/>
            <w:tcBorders>
              <w:tl2br w:val="nil"/>
              <w:tr2bl w:val="nil"/>
            </w:tcBorders>
            <w:vAlign w:val="center"/>
          </w:tcPr>
          <w:p w14:paraId="125EA3E1">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提供材料详见磋商文件第六章“商务和技术文件”</w:t>
            </w:r>
          </w:p>
        </w:tc>
      </w:tr>
      <w:tr w14:paraId="4FF0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372" w:type="pct"/>
            <w:tcBorders>
              <w:tl2br w:val="nil"/>
              <w:tr2bl w:val="nil"/>
            </w:tcBorders>
            <w:vAlign w:val="center"/>
          </w:tcPr>
          <w:p w14:paraId="059203A0">
            <w:pPr>
              <w:adjustRightInd w:val="0"/>
              <w:snapToGrid w:val="0"/>
              <w:spacing w:line="288" w:lineRule="auto"/>
              <w:jc w:val="left"/>
              <w:rPr>
                <w:b/>
                <w:bCs/>
                <w:color w:val="auto"/>
                <w:sz w:val="21"/>
                <w:szCs w:val="21"/>
                <w:highlight w:val="none"/>
              </w:rPr>
            </w:pPr>
            <w:r>
              <w:rPr>
                <w:rFonts w:hint="eastAsia"/>
                <w:color w:val="auto"/>
                <w:sz w:val="21"/>
                <w:szCs w:val="21"/>
                <w:highlight w:val="none"/>
              </w:rPr>
              <w:t>5</w:t>
            </w:r>
          </w:p>
        </w:tc>
        <w:tc>
          <w:tcPr>
            <w:tcW w:w="1714" w:type="pct"/>
            <w:tcBorders>
              <w:tl2br w:val="nil"/>
              <w:tr2bl w:val="nil"/>
            </w:tcBorders>
            <w:vAlign w:val="center"/>
          </w:tcPr>
          <w:p w14:paraId="110DB6AE">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政府采购促进中小企业发展</w:t>
            </w:r>
          </w:p>
        </w:tc>
        <w:tc>
          <w:tcPr>
            <w:tcW w:w="2912" w:type="pct"/>
            <w:tcBorders>
              <w:tl2br w:val="nil"/>
              <w:tr2bl w:val="nil"/>
            </w:tcBorders>
            <w:vAlign w:val="center"/>
          </w:tcPr>
          <w:p w14:paraId="50CF883F">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报价</w:t>
            </w:r>
            <w:r>
              <w:rPr>
                <w:rFonts w:hint="eastAsia"/>
                <w:color w:val="auto"/>
                <w:sz w:val="21"/>
                <w:szCs w:val="21"/>
                <w:highlight w:val="none"/>
              </w:rPr>
              <w:t>文件”</w:t>
            </w:r>
          </w:p>
          <w:p w14:paraId="1916F346">
            <w:pPr>
              <w:adjustRightInd w:val="0"/>
              <w:snapToGrid w:val="0"/>
              <w:spacing w:line="288" w:lineRule="auto"/>
              <w:jc w:val="left"/>
              <w:rPr>
                <w:b/>
                <w:bCs/>
                <w:color w:val="auto"/>
                <w:sz w:val="21"/>
                <w:szCs w:val="21"/>
                <w:highlight w:val="none"/>
              </w:rPr>
            </w:pPr>
            <w:r>
              <w:rPr>
                <w:rFonts w:hint="eastAsia"/>
                <w:b/>
                <w:bCs/>
                <w:color w:val="auto"/>
                <w:sz w:val="21"/>
                <w:szCs w:val="21"/>
                <w:highlight w:val="none"/>
              </w:rPr>
              <w:t>本项目属性为：货物</w:t>
            </w:r>
          </w:p>
          <w:p w14:paraId="4C00C4D8">
            <w:pPr>
              <w:adjustRightInd w:val="0"/>
              <w:snapToGrid w:val="0"/>
              <w:spacing w:line="288" w:lineRule="auto"/>
              <w:jc w:val="left"/>
              <w:rPr>
                <w:rFonts w:hint="default" w:eastAsia="宋体"/>
                <w:b/>
                <w:bCs/>
                <w:color w:val="auto"/>
                <w:sz w:val="21"/>
                <w:szCs w:val="21"/>
                <w:highlight w:val="none"/>
                <w:lang w:val="en-US" w:eastAsia="zh-CN"/>
              </w:rPr>
            </w:pPr>
            <w:r>
              <w:rPr>
                <w:rFonts w:hint="eastAsia"/>
                <w:b/>
                <w:bCs/>
                <w:color w:val="auto"/>
                <w:sz w:val="21"/>
                <w:szCs w:val="21"/>
                <w:highlight w:val="none"/>
              </w:rPr>
              <w:t>采购标的对应的中小企业划分标准所属行业：</w:t>
            </w:r>
            <w:r>
              <w:rPr>
                <w:rFonts w:hint="eastAsia"/>
                <w:b/>
                <w:bCs/>
                <w:color w:val="auto"/>
                <w:sz w:val="21"/>
                <w:szCs w:val="21"/>
                <w:highlight w:val="none"/>
                <w:lang w:val="en-US" w:eastAsia="zh-CN"/>
              </w:rPr>
              <w:t>工业</w:t>
            </w:r>
          </w:p>
          <w:p w14:paraId="4717BB7F">
            <w:pPr>
              <w:adjustRightInd w:val="0"/>
              <w:snapToGrid w:val="0"/>
              <w:spacing w:line="288" w:lineRule="auto"/>
              <w:jc w:val="left"/>
              <w:rPr>
                <w:color w:val="auto"/>
                <w:highlight w:val="none"/>
              </w:rPr>
            </w:pPr>
            <w:r>
              <w:rPr>
                <w:rFonts w:hint="eastAsia"/>
                <w:b/>
                <w:bCs/>
                <w:color w:val="auto"/>
                <w:sz w:val="21"/>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6CE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21E4CEA8">
            <w:pPr>
              <w:adjustRightInd w:val="0"/>
              <w:snapToGrid w:val="0"/>
              <w:spacing w:line="288" w:lineRule="auto"/>
              <w:jc w:val="left"/>
              <w:rPr>
                <w:color w:val="auto"/>
                <w:sz w:val="21"/>
                <w:szCs w:val="21"/>
                <w:highlight w:val="none"/>
              </w:rPr>
            </w:pPr>
            <w:r>
              <w:rPr>
                <w:rFonts w:hint="eastAsia"/>
                <w:color w:val="auto"/>
                <w:sz w:val="21"/>
                <w:szCs w:val="21"/>
                <w:highlight w:val="none"/>
              </w:rPr>
              <w:t>6</w:t>
            </w:r>
          </w:p>
        </w:tc>
        <w:tc>
          <w:tcPr>
            <w:tcW w:w="1714" w:type="pct"/>
            <w:tcBorders>
              <w:tl2br w:val="nil"/>
              <w:tr2bl w:val="nil"/>
            </w:tcBorders>
            <w:vAlign w:val="center"/>
          </w:tcPr>
          <w:p w14:paraId="00FCD93B">
            <w:pPr>
              <w:adjustRightInd w:val="0"/>
              <w:snapToGrid w:val="0"/>
              <w:spacing w:line="288" w:lineRule="auto"/>
              <w:jc w:val="left"/>
              <w:rPr>
                <w:color w:val="auto"/>
                <w:sz w:val="21"/>
                <w:szCs w:val="21"/>
                <w:highlight w:val="none"/>
              </w:rPr>
            </w:pPr>
            <w:r>
              <w:rPr>
                <w:rFonts w:hint="eastAsia"/>
                <w:color w:val="auto"/>
                <w:sz w:val="21"/>
                <w:szCs w:val="21"/>
                <w:highlight w:val="none"/>
              </w:rPr>
              <w:t>政府采购支持监狱企业发展</w:t>
            </w:r>
          </w:p>
        </w:tc>
        <w:tc>
          <w:tcPr>
            <w:tcW w:w="2912" w:type="pct"/>
            <w:tcBorders>
              <w:tl2br w:val="nil"/>
              <w:tr2bl w:val="nil"/>
            </w:tcBorders>
            <w:vAlign w:val="center"/>
          </w:tcPr>
          <w:p w14:paraId="7B5480E5">
            <w:pPr>
              <w:adjustRightInd w:val="0"/>
              <w:snapToGrid w:val="0"/>
              <w:spacing w:line="288" w:lineRule="auto"/>
              <w:jc w:val="left"/>
              <w:rPr>
                <w:b/>
                <w:bCs/>
                <w:color w:val="auto"/>
                <w:sz w:val="21"/>
                <w:szCs w:val="21"/>
                <w:highlight w:val="none"/>
              </w:rPr>
            </w:pPr>
            <w:r>
              <w:rPr>
                <w:rFonts w:hint="eastAsia"/>
                <w:color w:val="auto"/>
                <w:sz w:val="21"/>
                <w:szCs w:val="21"/>
                <w:highlight w:val="none"/>
              </w:rPr>
              <w:t>提供材料详见磋商文件第六章“报价文件”</w:t>
            </w:r>
          </w:p>
        </w:tc>
      </w:tr>
      <w:tr w14:paraId="58A0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2D8CF524">
            <w:pPr>
              <w:adjustRightInd w:val="0"/>
              <w:snapToGrid w:val="0"/>
              <w:spacing w:line="288" w:lineRule="auto"/>
              <w:jc w:val="left"/>
              <w:rPr>
                <w:color w:val="auto"/>
                <w:sz w:val="21"/>
                <w:szCs w:val="21"/>
                <w:highlight w:val="none"/>
              </w:rPr>
            </w:pPr>
            <w:r>
              <w:rPr>
                <w:rFonts w:hint="eastAsia"/>
                <w:color w:val="auto"/>
                <w:sz w:val="21"/>
                <w:szCs w:val="21"/>
                <w:highlight w:val="none"/>
              </w:rPr>
              <w:t>7</w:t>
            </w:r>
          </w:p>
        </w:tc>
        <w:tc>
          <w:tcPr>
            <w:tcW w:w="1714" w:type="pct"/>
            <w:tcBorders>
              <w:tl2br w:val="nil"/>
              <w:tr2bl w:val="nil"/>
            </w:tcBorders>
            <w:vAlign w:val="center"/>
          </w:tcPr>
          <w:p w14:paraId="6337413F">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政府采购促进残疾人就业</w:t>
            </w:r>
          </w:p>
        </w:tc>
        <w:tc>
          <w:tcPr>
            <w:tcW w:w="2912" w:type="pct"/>
            <w:tcBorders>
              <w:tl2br w:val="nil"/>
              <w:tr2bl w:val="nil"/>
            </w:tcBorders>
            <w:vAlign w:val="center"/>
          </w:tcPr>
          <w:p w14:paraId="3A5F2A62">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提供材料详见磋商文件第六章“报价文件”</w:t>
            </w:r>
          </w:p>
        </w:tc>
      </w:tr>
      <w:bookmarkEnd w:id="45"/>
    </w:tbl>
    <w:p w14:paraId="4F56C308">
      <w:pPr>
        <w:adjustRightInd w:val="0"/>
        <w:snapToGrid w:val="0"/>
        <w:spacing w:line="288" w:lineRule="auto"/>
        <w:rPr>
          <w:color w:val="auto"/>
          <w:sz w:val="21"/>
          <w:szCs w:val="21"/>
          <w:highlight w:val="none"/>
        </w:rPr>
      </w:pPr>
    </w:p>
    <w:p w14:paraId="4C241196">
      <w:pPr>
        <w:adjustRightInd w:val="0"/>
        <w:snapToGrid w:val="0"/>
        <w:spacing w:line="288" w:lineRule="auto"/>
        <w:outlineLvl w:val="1"/>
        <w:rPr>
          <w:b/>
          <w:bCs/>
          <w:color w:val="auto"/>
          <w:sz w:val="21"/>
          <w:szCs w:val="21"/>
          <w:highlight w:val="none"/>
        </w:rPr>
      </w:pPr>
      <w:bookmarkStart w:id="46" w:name="_Toc14478"/>
      <w:bookmarkStart w:id="47" w:name="_Toc31100"/>
      <w:r>
        <w:rPr>
          <w:rFonts w:hint="eastAsia"/>
          <w:b/>
          <w:bCs/>
          <w:color w:val="auto"/>
          <w:sz w:val="21"/>
          <w:szCs w:val="21"/>
          <w:highlight w:val="none"/>
        </w:rPr>
        <w:t>二、采购资金的支付方式、时间、条件：</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703"/>
      </w:tblGrid>
      <w:tr w14:paraId="2698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96" w:type="pct"/>
            <w:tcBorders>
              <w:tl2br w:val="nil"/>
              <w:tr2bl w:val="nil"/>
            </w:tcBorders>
            <w:vAlign w:val="center"/>
          </w:tcPr>
          <w:p w14:paraId="1C65B8AF">
            <w:pPr>
              <w:adjustRightInd w:val="0"/>
              <w:snapToGrid w:val="0"/>
              <w:spacing w:line="288" w:lineRule="auto"/>
              <w:jc w:val="center"/>
              <w:rPr>
                <w:b/>
                <w:color w:val="auto"/>
                <w:spacing w:val="-6"/>
                <w:sz w:val="21"/>
                <w:szCs w:val="21"/>
                <w:highlight w:val="none"/>
              </w:rPr>
            </w:pPr>
            <w:bookmarkStart w:id="48" w:name="_Hlk45005608"/>
            <w:r>
              <w:rPr>
                <w:rFonts w:hint="eastAsia"/>
                <w:b/>
                <w:color w:val="auto"/>
                <w:spacing w:val="-6"/>
                <w:sz w:val="21"/>
                <w:szCs w:val="21"/>
                <w:highlight w:val="none"/>
              </w:rPr>
              <w:t>▲履约保证金</w:t>
            </w:r>
          </w:p>
        </w:tc>
        <w:tc>
          <w:tcPr>
            <w:tcW w:w="4003" w:type="pct"/>
            <w:tcBorders>
              <w:tl2br w:val="nil"/>
              <w:tr2bl w:val="nil"/>
            </w:tcBorders>
            <w:vAlign w:val="center"/>
          </w:tcPr>
          <w:p w14:paraId="2A4C5072">
            <w:pPr>
              <w:adjustRightInd w:val="0"/>
              <w:snapToGrid w:val="0"/>
              <w:spacing w:line="288" w:lineRule="auto"/>
              <w:rPr>
                <w:color w:val="auto"/>
                <w:spacing w:val="-6"/>
                <w:kern w:val="0"/>
                <w:sz w:val="21"/>
                <w:szCs w:val="21"/>
                <w:highlight w:val="none"/>
              </w:rPr>
            </w:pPr>
            <w:r>
              <w:rPr>
                <w:rFonts w:hint="eastAsia"/>
                <w:color w:val="auto"/>
                <w:spacing w:val="-6"/>
                <w:kern w:val="0"/>
                <w:sz w:val="21"/>
                <w:szCs w:val="21"/>
                <w:highlight w:val="none"/>
              </w:rPr>
              <w:t>1.合同签订时，成交供应商向采购人提交合同总价1%的履约保证金，履约保证金在合同履约期间无违约情形的，项目</w:t>
            </w:r>
            <w:r>
              <w:rPr>
                <w:rFonts w:hint="eastAsia"/>
                <w:color w:val="auto"/>
                <w:spacing w:val="-6"/>
                <w:sz w:val="21"/>
                <w:szCs w:val="21"/>
                <w:highlight w:val="none"/>
              </w:rPr>
              <w:t>履约完成后</w:t>
            </w:r>
            <w:r>
              <w:rPr>
                <w:rFonts w:hint="eastAsia"/>
                <w:color w:val="auto"/>
                <w:spacing w:val="-6"/>
                <w:kern w:val="0"/>
                <w:sz w:val="21"/>
                <w:szCs w:val="21"/>
                <w:highlight w:val="none"/>
              </w:rPr>
              <w:t>，于一周内退还（不计息）；</w:t>
            </w:r>
          </w:p>
          <w:p w14:paraId="28CB867A">
            <w:pPr>
              <w:adjustRightInd w:val="0"/>
              <w:snapToGrid w:val="0"/>
              <w:spacing w:line="288" w:lineRule="auto"/>
              <w:rPr>
                <w:color w:val="auto"/>
                <w:spacing w:val="-6"/>
                <w:kern w:val="0"/>
                <w:sz w:val="21"/>
                <w:szCs w:val="21"/>
                <w:highlight w:val="none"/>
              </w:rPr>
            </w:pPr>
            <w:r>
              <w:rPr>
                <w:rFonts w:hint="eastAsia"/>
                <w:color w:val="auto"/>
                <w:spacing w:val="-6"/>
                <w:kern w:val="0"/>
                <w:sz w:val="21"/>
                <w:szCs w:val="21"/>
                <w:highlight w:val="none"/>
              </w:rPr>
              <w:t>2.提交方式：支票、汇票、本票或金融机构、担保机构出具的保函等非现金形式。</w:t>
            </w:r>
          </w:p>
        </w:tc>
      </w:tr>
      <w:tr w14:paraId="653C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96" w:type="pct"/>
            <w:tcBorders>
              <w:tl2br w:val="nil"/>
              <w:tr2bl w:val="nil"/>
            </w:tcBorders>
            <w:vAlign w:val="center"/>
          </w:tcPr>
          <w:p w14:paraId="260F43BD">
            <w:pPr>
              <w:adjustRightInd w:val="0"/>
              <w:snapToGrid w:val="0"/>
              <w:spacing w:line="288" w:lineRule="auto"/>
              <w:jc w:val="center"/>
              <w:rPr>
                <w:b/>
                <w:color w:val="auto"/>
                <w:spacing w:val="-6"/>
                <w:sz w:val="21"/>
                <w:szCs w:val="21"/>
                <w:highlight w:val="none"/>
              </w:rPr>
            </w:pPr>
            <w:r>
              <w:rPr>
                <w:rFonts w:hint="eastAsia"/>
                <w:b/>
                <w:color w:val="auto"/>
                <w:spacing w:val="-6"/>
                <w:sz w:val="21"/>
                <w:szCs w:val="21"/>
                <w:highlight w:val="none"/>
              </w:rPr>
              <w:t>▲付款方式</w:t>
            </w:r>
          </w:p>
        </w:tc>
        <w:tc>
          <w:tcPr>
            <w:tcW w:w="4003" w:type="pct"/>
            <w:tcBorders>
              <w:tl2br w:val="nil"/>
              <w:tr2bl w:val="nil"/>
            </w:tcBorders>
            <w:vAlign w:val="center"/>
          </w:tcPr>
          <w:p w14:paraId="78F6C47F">
            <w:pPr>
              <w:autoSpaceDE w:val="0"/>
              <w:autoSpaceDN w:val="0"/>
              <w:adjustRightInd w:val="0"/>
              <w:snapToGrid w:val="0"/>
              <w:spacing w:line="288" w:lineRule="auto"/>
              <w:jc w:val="left"/>
              <w:rPr>
                <w:rFonts w:hint="eastAsia"/>
                <w:color w:val="auto"/>
                <w:spacing w:val="-6"/>
                <w:kern w:val="0"/>
                <w:sz w:val="21"/>
                <w:szCs w:val="21"/>
                <w:highlight w:val="none"/>
              </w:rPr>
            </w:pPr>
            <w:r>
              <w:rPr>
                <w:rFonts w:hint="eastAsia"/>
                <w:color w:val="auto"/>
                <w:spacing w:val="-6"/>
                <w:kern w:val="0"/>
                <w:sz w:val="21"/>
                <w:szCs w:val="21"/>
                <w:highlight w:val="none"/>
              </w:rPr>
              <w:t>供应商为中小企业的，合同生效以及具备实施条件后7个工作日内，且供应商已向采购人提交银行、保险公司等金融机构出具的预付款保函的，采购人向供应商支付合同总价的40%；项目履约完成，经采购人验收合格后，收到发票后7个工作日内，采购人向供应商支付合同总价的60%。</w:t>
            </w:r>
          </w:p>
          <w:p w14:paraId="4EB44B66">
            <w:pPr>
              <w:autoSpaceDE w:val="0"/>
              <w:autoSpaceDN w:val="0"/>
              <w:adjustRightInd w:val="0"/>
              <w:snapToGrid w:val="0"/>
              <w:spacing w:line="288" w:lineRule="auto"/>
              <w:jc w:val="left"/>
              <w:rPr>
                <w:rFonts w:hint="eastAsia"/>
                <w:color w:val="auto"/>
                <w:spacing w:val="-6"/>
                <w:kern w:val="0"/>
                <w:sz w:val="21"/>
                <w:szCs w:val="21"/>
                <w:highlight w:val="none"/>
              </w:rPr>
            </w:pPr>
            <w:r>
              <w:rPr>
                <w:rFonts w:hint="eastAsia"/>
                <w:color w:val="auto"/>
                <w:spacing w:val="-6"/>
                <w:kern w:val="0"/>
                <w:sz w:val="21"/>
                <w:szCs w:val="21"/>
                <w:highlight w:val="none"/>
              </w:rPr>
              <w:t>供应商为大型企业的，项目履约完成，经采购人验收合格后，收到发票后7个工作日内，采购人向供应商支付合同总价的100%。</w:t>
            </w:r>
          </w:p>
          <w:p w14:paraId="19534F4F">
            <w:pPr>
              <w:autoSpaceDE w:val="0"/>
              <w:autoSpaceDN w:val="0"/>
              <w:adjustRightInd w:val="0"/>
              <w:snapToGrid w:val="0"/>
              <w:spacing w:line="288" w:lineRule="auto"/>
              <w:jc w:val="left"/>
              <w:rPr>
                <w:color w:val="auto"/>
                <w:spacing w:val="-6"/>
                <w:kern w:val="0"/>
                <w:sz w:val="21"/>
                <w:szCs w:val="21"/>
                <w:highlight w:val="none"/>
              </w:rPr>
            </w:pPr>
            <w:r>
              <w:rPr>
                <w:rFonts w:hint="eastAsia"/>
                <w:color w:val="auto"/>
                <w:spacing w:val="-6"/>
                <w:kern w:val="0"/>
                <w:sz w:val="21"/>
                <w:szCs w:val="21"/>
                <w:highlight w:val="none"/>
              </w:rPr>
              <w:t>在签订合同时，供应商明确表示无需预付款或者主动要求降低预付款比例的，可降低预付款比例（预付款保函同步调整）。</w:t>
            </w:r>
          </w:p>
        </w:tc>
      </w:tr>
      <w:bookmarkEnd w:id="48"/>
    </w:tbl>
    <w:p w14:paraId="2E305D93">
      <w:pPr>
        <w:adjustRightInd w:val="0"/>
        <w:snapToGrid w:val="0"/>
        <w:spacing w:line="288" w:lineRule="auto"/>
        <w:outlineLvl w:val="1"/>
        <w:rPr>
          <w:b/>
          <w:bCs/>
          <w:color w:val="auto"/>
          <w:sz w:val="21"/>
          <w:szCs w:val="21"/>
          <w:highlight w:val="none"/>
        </w:rPr>
      </w:pPr>
      <w:bookmarkStart w:id="49" w:name="_Toc21207"/>
      <w:bookmarkStart w:id="50" w:name="_Toc25406"/>
      <w:bookmarkStart w:id="51" w:name="_Toc22248"/>
      <w:bookmarkStart w:id="52" w:name="_Toc3067"/>
    </w:p>
    <w:p w14:paraId="7471ACAE">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三、服务要求（技术要求里另有注明的以技术要求为准）：</w:t>
      </w:r>
      <w:bookmarkEnd w:id="49"/>
      <w:bookmarkEnd w:id="50"/>
      <w:bookmarkEnd w:id="51"/>
      <w:bookmarkEnd w:id="52"/>
    </w:p>
    <w:bookmarkEnd w:id="46"/>
    <w:bookmarkEnd w:id="47"/>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8061"/>
      </w:tblGrid>
      <w:tr w14:paraId="62F7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0" w:type="pct"/>
            <w:tcBorders>
              <w:tl2br w:val="nil"/>
              <w:tr2bl w:val="nil"/>
            </w:tcBorders>
            <w:noWrap w:val="0"/>
            <w:vAlign w:val="center"/>
          </w:tcPr>
          <w:p w14:paraId="39C09580">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交付时间</w:t>
            </w:r>
          </w:p>
        </w:tc>
        <w:tc>
          <w:tcPr>
            <w:tcW w:w="4189" w:type="pct"/>
            <w:tcBorders>
              <w:tl2br w:val="nil"/>
              <w:tr2bl w:val="nil"/>
            </w:tcBorders>
            <w:noWrap w:val="0"/>
            <w:vAlign w:val="center"/>
          </w:tcPr>
          <w:p w14:paraId="6B9392AF">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自合同签订之日起</w:t>
            </w:r>
            <w:r>
              <w:rPr>
                <w:rFonts w:hint="eastAsia" w:cs="宋体"/>
                <w:color w:val="auto"/>
                <w:spacing w:val="-6"/>
                <w:sz w:val="21"/>
                <w:szCs w:val="21"/>
                <w:highlight w:val="none"/>
                <w:lang w:val="en-US" w:eastAsia="zh-CN"/>
              </w:rPr>
              <w:t>90</w:t>
            </w:r>
            <w:r>
              <w:rPr>
                <w:rFonts w:hint="eastAsia" w:ascii="宋体" w:hAnsi="宋体" w:eastAsia="宋体" w:cs="宋体"/>
                <w:color w:val="auto"/>
                <w:spacing w:val="-6"/>
                <w:sz w:val="21"/>
                <w:szCs w:val="21"/>
                <w:highlight w:val="none"/>
                <w:lang w:val="en-US" w:eastAsia="zh-CN"/>
              </w:rPr>
              <w:t>日内交付</w:t>
            </w:r>
          </w:p>
        </w:tc>
      </w:tr>
      <w:tr w14:paraId="7DD2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0" w:type="pct"/>
            <w:tcBorders>
              <w:tl2br w:val="nil"/>
              <w:tr2bl w:val="nil"/>
            </w:tcBorders>
            <w:noWrap w:val="0"/>
            <w:vAlign w:val="center"/>
          </w:tcPr>
          <w:p w14:paraId="70FF77C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交付地点</w:t>
            </w:r>
          </w:p>
        </w:tc>
        <w:tc>
          <w:tcPr>
            <w:tcW w:w="4189" w:type="pct"/>
            <w:tcBorders>
              <w:tl2br w:val="nil"/>
              <w:tr2bl w:val="nil"/>
            </w:tcBorders>
            <w:noWrap w:val="0"/>
            <w:vAlign w:val="center"/>
          </w:tcPr>
          <w:p w14:paraId="2154240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采购人指定地点（杭州拱宸桥校区、绍兴杨汛桥校区）</w:t>
            </w:r>
          </w:p>
        </w:tc>
      </w:tr>
      <w:tr w14:paraId="0ADE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0" w:type="pct"/>
            <w:tcBorders>
              <w:tl2br w:val="nil"/>
              <w:tr2bl w:val="nil"/>
            </w:tcBorders>
            <w:noWrap w:val="0"/>
            <w:vAlign w:val="center"/>
          </w:tcPr>
          <w:p w14:paraId="515D155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质保期</w:t>
            </w:r>
          </w:p>
        </w:tc>
        <w:tc>
          <w:tcPr>
            <w:tcW w:w="4189" w:type="pct"/>
            <w:tcBorders>
              <w:tl2br w:val="nil"/>
              <w:tr2bl w:val="nil"/>
            </w:tcBorders>
            <w:noWrap w:val="0"/>
            <w:vAlign w:val="center"/>
          </w:tcPr>
          <w:p w14:paraId="4E7126F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pacing w:val="-6"/>
                <w:sz w:val="21"/>
                <w:szCs w:val="21"/>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年，项目验收合格后开始计算。</w:t>
            </w:r>
          </w:p>
        </w:tc>
      </w:tr>
      <w:tr w14:paraId="6A42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10" w:type="pct"/>
            <w:tcBorders>
              <w:tl2br w:val="nil"/>
              <w:tr2bl w:val="nil"/>
            </w:tcBorders>
            <w:noWrap w:val="0"/>
            <w:vAlign w:val="center"/>
          </w:tcPr>
          <w:p w14:paraId="2DF822E9">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服务保障</w:t>
            </w:r>
          </w:p>
        </w:tc>
        <w:tc>
          <w:tcPr>
            <w:tcW w:w="4189" w:type="pct"/>
            <w:tcBorders>
              <w:tl2br w:val="nil"/>
              <w:tr2bl w:val="nil"/>
            </w:tcBorders>
            <w:noWrap w:val="0"/>
            <w:vAlign w:val="center"/>
          </w:tcPr>
          <w:p w14:paraId="1E8C3AAD">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提供提供7×24电话服务和现场技术支持保修服务</w:t>
            </w:r>
            <w:r>
              <w:rPr>
                <w:rFonts w:hint="eastAsia"/>
                <w:color w:val="auto"/>
                <w:sz w:val="21"/>
                <w:szCs w:val="21"/>
                <w:highlight w:val="none"/>
              </w:rPr>
              <w:t>，内容包括免费升级、故障排除、性能调优、技术咨询等</w:t>
            </w:r>
            <w:r>
              <w:rPr>
                <w:rFonts w:hint="eastAsia"/>
                <w:color w:val="auto"/>
                <w:sz w:val="21"/>
                <w:szCs w:val="21"/>
                <w:highlight w:val="none"/>
                <w:lang w:eastAsia="zh-CN"/>
              </w:rPr>
              <w:t>。</w:t>
            </w:r>
            <w:r>
              <w:rPr>
                <w:rFonts w:hint="eastAsia" w:ascii="宋体" w:hAnsi="宋体" w:eastAsia="宋体" w:cs="宋体"/>
                <w:color w:val="auto"/>
                <w:kern w:val="0"/>
                <w:sz w:val="21"/>
                <w:szCs w:val="21"/>
                <w:highlight w:val="none"/>
              </w:rPr>
              <w:t>如系统发生故障，供应商应在1个小时内做出响应，组织技术人员进行故障的分析与排除。若需现场支持的，在2个小时内到达现场。</w:t>
            </w:r>
          </w:p>
          <w:p w14:paraId="54502B96">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2.供应商定期面向系统管理人员及普通用户进行系统回访服务，听取意见并及时分析系统存在的问题，并随时给予解决，必要时需派遣技术人员现场解决存在的问题。</w:t>
            </w:r>
          </w:p>
          <w:p w14:paraId="55294E13">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3.运行服务内容</w:t>
            </w:r>
            <w:r>
              <w:rPr>
                <w:rFonts w:hint="eastAsia" w:ascii="宋体" w:hAnsi="宋体" w:eastAsia="宋体" w:cs="宋体"/>
                <w:color w:val="auto"/>
                <w:kern w:val="0"/>
                <w:sz w:val="21"/>
                <w:szCs w:val="21"/>
                <w:highlight w:val="none"/>
                <w:lang w:eastAsia="zh-CN"/>
              </w:rPr>
              <w:t>：</w:t>
            </w:r>
          </w:p>
          <w:p w14:paraId="4019A505">
            <w:pPr>
              <w:bidi w:val="0"/>
              <w:rPr>
                <w:color w:val="auto"/>
                <w:highlight w:val="none"/>
              </w:rPr>
            </w:pPr>
            <w:r>
              <w:rPr>
                <w:rFonts w:hint="eastAsia" w:ascii="宋体" w:hAnsi="宋体" w:eastAsia="宋体" w:cs="宋体"/>
                <w:color w:val="auto"/>
                <w:kern w:val="0"/>
                <w:sz w:val="21"/>
                <w:szCs w:val="21"/>
                <w:highlight w:val="none"/>
              </w:rPr>
              <w:t>售后维护服务，定期走访或实行远程维护：收费服务的时间区间、周期、费用和详细规划，规划包括：方式、人员和详细的维护内容。</w:t>
            </w:r>
          </w:p>
          <w:p w14:paraId="6F99648D">
            <w:pPr>
              <w:bidi w:val="0"/>
              <w:rPr>
                <w:color w:val="auto"/>
                <w:sz w:val="21"/>
                <w:szCs w:val="21"/>
                <w:highlight w:val="none"/>
              </w:rPr>
            </w:pPr>
            <w:r>
              <w:rPr>
                <w:rFonts w:hint="eastAsia"/>
                <w:color w:val="auto"/>
                <w:sz w:val="21"/>
                <w:szCs w:val="21"/>
                <w:highlight w:val="none"/>
              </w:rPr>
              <w:t>（1）在合同期内，对各类故障应及时提供免费维护服务。</w:t>
            </w:r>
          </w:p>
          <w:p w14:paraId="4FEA2A02">
            <w:pPr>
              <w:bidi w:val="0"/>
              <w:rPr>
                <w:color w:val="auto"/>
                <w:sz w:val="21"/>
                <w:szCs w:val="21"/>
                <w:highlight w:val="none"/>
              </w:rPr>
            </w:pPr>
            <w:r>
              <w:rPr>
                <w:rFonts w:hint="eastAsia"/>
                <w:color w:val="auto"/>
                <w:sz w:val="21"/>
                <w:szCs w:val="21"/>
                <w:highlight w:val="none"/>
              </w:rPr>
              <w:t>（2）提供热线电话、E-mail、传真、网站等途径，随时接受采购方提出的各种技术问题，并在24小时内提出解决方案。及时发现和排除潜在问题或系统功能隐患，保证系统的稳定运行。包括但不限于以下内容：</w:t>
            </w:r>
          </w:p>
          <w:p w14:paraId="4F11B710">
            <w:pPr>
              <w:bidi w:val="0"/>
              <w:rPr>
                <w:color w:val="auto"/>
                <w:sz w:val="21"/>
                <w:szCs w:val="21"/>
                <w:highlight w:val="none"/>
              </w:rPr>
            </w:pPr>
            <w:r>
              <w:rPr>
                <w:rFonts w:hint="eastAsia"/>
                <w:color w:val="auto"/>
                <w:sz w:val="21"/>
                <w:szCs w:val="21"/>
                <w:highlight w:val="none"/>
              </w:rPr>
              <w:t>平台运行的日常监控，及时发现和排除故障，保证一线技术支持人员</w:t>
            </w:r>
            <w:r>
              <w:rPr>
                <w:color w:val="auto"/>
                <w:sz w:val="21"/>
                <w:szCs w:val="21"/>
                <w:highlight w:val="none"/>
              </w:rPr>
              <w:t>7×24</w:t>
            </w:r>
            <w:r>
              <w:rPr>
                <w:rFonts w:hint="eastAsia"/>
                <w:color w:val="auto"/>
                <w:sz w:val="21"/>
                <w:szCs w:val="21"/>
                <w:highlight w:val="none"/>
              </w:rPr>
              <w:t>小时的售后服务。</w:t>
            </w:r>
          </w:p>
          <w:p w14:paraId="1BA2D736">
            <w:pPr>
              <w:bidi w:val="0"/>
              <w:rPr>
                <w:color w:val="auto"/>
                <w:sz w:val="21"/>
                <w:szCs w:val="21"/>
                <w:highlight w:val="none"/>
              </w:rPr>
            </w:pPr>
            <w:r>
              <w:rPr>
                <w:rFonts w:hint="eastAsia"/>
                <w:color w:val="auto"/>
                <w:sz w:val="21"/>
                <w:szCs w:val="21"/>
                <w:highlight w:val="none"/>
              </w:rPr>
              <w:t>各联网接入机构系统运行日常监控，及时发现和排除故障，解决故障。</w:t>
            </w:r>
          </w:p>
          <w:p w14:paraId="5707BA31">
            <w:pPr>
              <w:bidi w:val="0"/>
              <w:rPr>
                <w:color w:val="auto"/>
                <w:sz w:val="21"/>
                <w:szCs w:val="21"/>
                <w:highlight w:val="none"/>
              </w:rPr>
            </w:pPr>
            <w:r>
              <w:rPr>
                <w:rFonts w:hint="eastAsia"/>
                <w:color w:val="auto"/>
                <w:sz w:val="21"/>
                <w:szCs w:val="21"/>
                <w:highlight w:val="none"/>
              </w:rPr>
              <w:t>供中心端的数据备份与恢复服务。</w:t>
            </w:r>
          </w:p>
          <w:p w14:paraId="211B0082">
            <w:pPr>
              <w:bidi w:val="0"/>
              <w:rPr>
                <w:color w:val="auto"/>
                <w:sz w:val="21"/>
                <w:szCs w:val="21"/>
                <w:highlight w:val="none"/>
              </w:rPr>
            </w:pPr>
            <w:r>
              <w:rPr>
                <w:rFonts w:hint="eastAsia"/>
                <w:color w:val="auto"/>
                <w:sz w:val="21"/>
                <w:szCs w:val="21"/>
                <w:highlight w:val="none"/>
              </w:rPr>
              <w:t>需要对问题进行跟踪解决，促使数据质量不断提高。</w:t>
            </w:r>
          </w:p>
          <w:p w14:paraId="4B97BC34">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kern w:val="0"/>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）负责系统的开发、集成，处理、协调与各系统软件、硬件等供应商的关系</w:t>
            </w:r>
            <w:r>
              <w:rPr>
                <w:rFonts w:hint="eastAsia"/>
                <w:color w:val="auto"/>
                <w:sz w:val="21"/>
                <w:szCs w:val="21"/>
                <w:highlight w:val="none"/>
                <w:lang w:eastAsia="zh-CN"/>
              </w:rPr>
              <w:t>。</w:t>
            </w:r>
          </w:p>
        </w:tc>
      </w:tr>
      <w:tr w14:paraId="59C3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10" w:type="pct"/>
            <w:tcBorders>
              <w:tl2br w:val="nil"/>
              <w:tr2bl w:val="nil"/>
            </w:tcBorders>
            <w:noWrap w:val="0"/>
            <w:vAlign w:val="center"/>
          </w:tcPr>
          <w:p w14:paraId="2F8CF1D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kern w:val="0"/>
                <w:sz w:val="21"/>
                <w:szCs w:val="21"/>
                <w:highlight w:val="none"/>
              </w:rPr>
              <w:t>项目实施及人员安排要求</w:t>
            </w:r>
          </w:p>
        </w:tc>
        <w:tc>
          <w:tcPr>
            <w:tcW w:w="4189" w:type="pct"/>
            <w:tcBorders>
              <w:tl2br w:val="nil"/>
              <w:tr2bl w:val="nil"/>
            </w:tcBorders>
            <w:noWrap w:val="0"/>
            <w:vAlign w:val="center"/>
          </w:tcPr>
          <w:p w14:paraId="3526F55A">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供应商必须成立合理的组织机构，建立健全保障项目顺利实施的各项管理制度和质量保证体系，安排好足够的高素质人才参加本项目的建设；在项目机构中应明确各岗位的职责、任职资格及成果，确保工程顺利实施。根据工作的业务性质，应配备项目经理、承担本项目工作。</w:t>
            </w:r>
          </w:p>
          <w:p w14:paraId="29577F1E">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2.项目组人员必须具有类似职责的集成、开发经验，能够与用户进行良好的沟通，并掌握数据治理平台管理系统的相关基础知识。</w:t>
            </w:r>
          </w:p>
          <w:p w14:paraId="0BC1432D">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3.参与此项目的技术人员必须具有强烈的服务意识和高度的责任感。</w:t>
            </w:r>
          </w:p>
          <w:p w14:paraId="416B6D3E">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4.在建设期内，项目经理应在接到学校通知4小时内到达学校现场处理问题或交流情况。</w:t>
            </w:r>
          </w:p>
        </w:tc>
      </w:tr>
      <w:tr w14:paraId="264C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810" w:type="pct"/>
            <w:tcBorders>
              <w:tl2br w:val="nil"/>
              <w:tr2bl w:val="nil"/>
            </w:tcBorders>
            <w:noWrap w:val="0"/>
            <w:vAlign w:val="center"/>
          </w:tcPr>
          <w:p w14:paraId="15E0110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kern w:val="0"/>
                <w:sz w:val="21"/>
                <w:szCs w:val="21"/>
                <w:highlight w:val="none"/>
                <w:lang w:bidi="ar"/>
              </w:rPr>
              <w:t>培训要求</w:t>
            </w:r>
          </w:p>
        </w:tc>
        <w:tc>
          <w:tcPr>
            <w:tcW w:w="4189" w:type="pct"/>
            <w:tcBorders>
              <w:tl2br w:val="nil"/>
              <w:tr2bl w:val="nil"/>
            </w:tcBorders>
            <w:noWrap w:val="0"/>
            <w:vAlign w:val="center"/>
          </w:tcPr>
          <w:p w14:paraId="405289FE">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培训贯穿于整个项目的实施过程中，包括在从项目准备、研发到项目运行的全过程中。提供详细的培训方案、培训内容、培训计划、软件使用、后期维护。需要提供以下几方面关于培训的描述：</w:t>
            </w:r>
          </w:p>
          <w:p w14:paraId="2CD584BC">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1.运行管理培训</w:t>
            </w:r>
          </w:p>
          <w:p w14:paraId="56FBC2E8">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使浙江树人学院的相关人员掌握有关应用系统的使用、维护和管理方法，达到能独立进行管理、故障处理、日常测试和维护等工作的目的，应进行系统的技术培训，以保证所建设的系统能够正常、安全、平稳地运行。</w:t>
            </w:r>
          </w:p>
          <w:p w14:paraId="4B407FC6">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2.培训要求：</w:t>
            </w:r>
          </w:p>
          <w:p w14:paraId="509C5283">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供应商派出的培训教师应具有丰富的同类课程的教学经验和应用经验；</w:t>
            </w:r>
          </w:p>
          <w:p w14:paraId="5DA2F54A">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所有的培训教师必须用中文授课；</w:t>
            </w:r>
          </w:p>
          <w:p w14:paraId="607C32A1">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供应商必须为所有被培训人员提供培训用文字资料和讲义等相关材料，如果培训地点在外地，供应商还应为所有被培训人员提供食宿；供应商应按合同规定安排培训时间和培训名额；</w:t>
            </w:r>
          </w:p>
          <w:p w14:paraId="7031843D">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3.培训方式：</w:t>
            </w:r>
          </w:p>
          <w:p w14:paraId="1EEFC0D2">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包括课堂讲解、上机操作和实际工作的参与。</w:t>
            </w:r>
          </w:p>
          <w:p w14:paraId="12FA3965">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4.培训工作的内容和对象描述：</w:t>
            </w:r>
          </w:p>
          <w:p w14:paraId="72F9718E">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进行的培训工作包括了培训方案的设计、培训制度的制定、培训开发、培训实施和培训效果评估，及时监控培训效果，保证培训课程符合浙江树人学院实际的需要。在系统运行（含试运行）的各个阶段相应的培训内容描述，培训阶段安排包括：系统管理人员培训、系统使用人员培训。各个阶段描述标题包括：培训内容、培训教师水平、参加对象、授课时间和上机操作时间。</w:t>
            </w:r>
          </w:p>
        </w:tc>
      </w:tr>
      <w:tr w14:paraId="3219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10" w:type="pct"/>
            <w:tcBorders>
              <w:tl2br w:val="nil"/>
              <w:tr2bl w:val="nil"/>
            </w:tcBorders>
            <w:noWrap w:val="0"/>
            <w:vAlign w:val="center"/>
          </w:tcPr>
          <w:p w14:paraId="5E59236F">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安全保密要求</w:t>
            </w:r>
          </w:p>
        </w:tc>
        <w:tc>
          <w:tcPr>
            <w:tcW w:w="4189" w:type="pct"/>
            <w:tcBorders>
              <w:tl2br w:val="nil"/>
              <w:tr2bl w:val="nil"/>
            </w:tcBorders>
            <w:noWrap w:val="0"/>
            <w:vAlign w:val="top"/>
          </w:tcPr>
          <w:p w14:paraId="1B71410F">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所有参与项目的人员并在工作中应坚持保密原则，</w:t>
            </w:r>
            <w:r>
              <w:rPr>
                <w:rFonts w:hint="eastAsia" w:ascii="宋体" w:hAnsi="宋体" w:eastAsia="宋体" w:cs="宋体"/>
                <w:color w:val="auto"/>
                <w:sz w:val="21"/>
                <w:szCs w:val="21"/>
                <w:highlight w:val="none"/>
                <w:lang w:eastAsia="zh-CN" w:bidi="ar"/>
              </w:rPr>
              <w:t>成交人</w:t>
            </w:r>
            <w:r>
              <w:rPr>
                <w:rFonts w:hint="eastAsia" w:ascii="宋体" w:hAnsi="宋体" w:eastAsia="宋体" w:cs="宋体"/>
                <w:color w:val="auto"/>
                <w:sz w:val="21"/>
                <w:szCs w:val="21"/>
                <w:highlight w:val="none"/>
                <w:lang w:bidi="ar"/>
              </w:rPr>
              <w:t>严格规范执行各项保密制度，对在项目招标、建设、质保各阶段取得采购人各类信息进行保密管理，杜绝任何泄密事件的发生。</w:t>
            </w:r>
          </w:p>
        </w:tc>
      </w:tr>
      <w:tr w14:paraId="3DAB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0" w:type="pct"/>
            <w:tcBorders>
              <w:tl2br w:val="nil"/>
              <w:tr2bl w:val="nil"/>
            </w:tcBorders>
            <w:noWrap w:val="0"/>
            <w:vAlign w:val="center"/>
          </w:tcPr>
          <w:p w14:paraId="7C76DA0C">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bidi="ar"/>
              </w:rPr>
              <w:t>成果交付要求</w:t>
            </w:r>
          </w:p>
        </w:tc>
        <w:tc>
          <w:tcPr>
            <w:tcW w:w="4189" w:type="pct"/>
            <w:tcBorders>
              <w:tl2br w:val="nil"/>
              <w:tr2bl w:val="nil"/>
            </w:tcBorders>
            <w:noWrap w:val="0"/>
            <w:vAlign w:val="top"/>
          </w:tcPr>
          <w:p w14:paraId="7438377F">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交付成果和文档资料</w:t>
            </w:r>
          </w:p>
          <w:p w14:paraId="302B69D5">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在本期项目的开发过程中和交付使用后，要求将各个阶段产生的全面、规范的成果和文档资料交付给浙江树人学院，而且要提供明确的交付清单。同时，成果和文档资料必须符合软件工程的相关要求。要交付的成果和文档资料主要包括以下部分：</w:t>
            </w:r>
          </w:p>
          <w:p w14:paraId="53A77098">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（1）可运行的系统。</w:t>
            </w:r>
          </w:p>
          <w:p w14:paraId="2AED67A9">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技术文档：包括项目开发中的各种技术文档，如开发环境配置说明、软件工具清单、需求分析说明、变更说明、系统设计说明、用户手册、测试用例、测试结果、系统维护说明、系统培训资料以及有关系统接口的技术说明等等。</w:t>
            </w:r>
          </w:p>
          <w:p w14:paraId="15DD1981">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（3）管理文档：包括项目开发中的一些工作文档，如，计划、报告、讨论纲要、会议记录等。</w:t>
            </w:r>
          </w:p>
          <w:p w14:paraId="239967AC">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（4）版权归属及使用要求：该系统的使用权为浙江树人学院完全拥有。</w:t>
            </w:r>
          </w:p>
        </w:tc>
      </w:tr>
      <w:tr w14:paraId="2ABC3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0" w:type="pct"/>
            <w:tcBorders>
              <w:tl2br w:val="nil"/>
              <w:tr2bl w:val="nil"/>
            </w:tcBorders>
            <w:noWrap w:val="0"/>
            <w:vAlign w:val="center"/>
          </w:tcPr>
          <w:p w14:paraId="5B8DD52A">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履约验收</w:t>
            </w:r>
          </w:p>
        </w:tc>
        <w:tc>
          <w:tcPr>
            <w:tcW w:w="4189" w:type="pct"/>
            <w:tcBorders>
              <w:tl2br w:val="nil"/>
              <w:tr2bl w:val="nil"/>
            </w:tcBorders>
            <w:noWrap w:val="0"/>
            <w:vAlign w:val="top"/>
          </w:tcPr>
          <w:p w14:paraId="0F0B053B">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1.项目总体完成以后，须向采购人提交项目验收申请，采购人组织工作组对项目进行验收；</w:t>
            </w:r>
          </w:p>
          <w:p w14:paraId="258CD049">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2.采购人在收到项目验收申请的10个工作日内，组织专家验收，并向中标方提供项目验收报告。</w:t>
            </w:r>
          </w:p>
          <w:p w14:paraId="6FF34EF3">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3.投标方必须提供完整的项目验收方案。</w:t>
            </w:r>
          </w:p>
          <w:p w14:paraId="73467E56">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4.验收标准</w:t>
            </w:r>
          </w:p>
          <w:p w14:paraId="16501C35">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4.1 验收由采购人负责实施；</w:t>
            </w:r>
          </w:p>
          <w:p w14:paraId="5A2005D4">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4.2 验收依据；</w:t>
            </w:r>
          </w:p>
          <w:p w14:paraId="1329E27F">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合同、招标文件、投标文件；</w:t>
            </w:r>
          </w:p>
          <w:p w14:paraId="4DDA9F59">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供应商提供的技术规格、经采购人认可的合同货物的有效检验文件；</w:t>
            </w:r>
          </w:p>
          <w:p w14:paraId="703433FB">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供应商投标文件中提供的经采购人认可的合同货物的验收标准（符合中国有关的国家、地方、行业标准）和检测办法及相应检测手段。</w:t>
            </w:r>
          </w:p>
          <w:p w14:paraId="0589B86B">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4.3 验收合格的条件：</w:t>
            </w:r>
          </w:p>
          <w:p w14:paraId="4DC8A3F5">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所供产品符合产品标准和及合同的要求；</w:t>
            </w:r>
          </w:p>
          <w:p w14:paraId="7DA70CA4">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在进行测试和验收过程中发现的问题已被解决并得到采购人的认可；</w:t>
            </w:r>
          </w:p>
          <w:p w14:paraId="73447F58">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合同中规定的所有产品和材料均已交付；</w:t>
            </w:r>
          </w:p>
          <w:p w14:paraId="6938951F">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所供货物已通过使用单位组织的验收；</w:t>
            </w:r>
          </w:p>
          <w:p w14:paraId="169379C8">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所有相关的技术文件及资料均已提交并得到接受。</w:t>
            </w:r>
          </w:p>
          <w:p w14:paraId="068B3B7E">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4.4 质量保证措施：需要对项目的建设进行科学严格的质量管理，提供有效的手段和保障措施。</w:t>
            </w:r>
          </w:p>
        </w:tc>
      </w:tr>
    </w:tbl>
    <w:p w14:paraId="16D65D28">
      <w:pPr>
        <w:numPr>
          <w:ilvl w:val="0"/>
          <w:numId w:val="0"/>
        </w:numPr>
        <w:adjustRightInd w:val="0"/>
        <w:snapToGrid w:val="0"/>
        <w:spacing w:line="288" w:lineRule="auto"/>
        <w:outlineLvl w:val="1"/>
        <w:rPr>
          <w:b/>
          <w:bCs/>
          <w:color w:val="auto"/>
          <w:sz w:val="21"/>
          <w:szCs w:val="21"/>
          <w:highlight w:val="none"/>
        </w:rPr>
      </w:pPr>
      <w:r>
        <w:rPr>
          <w:rFonts w:hint="eastAsia"/>
          <w:b/>
          <w:bCs/>
          <w:color w:val="auto"/>
          <w:sz w:val="21"/>
          <w:szCs w:val="21"/>
          <w:highlight w:val="none"/>
          <w:lang w:val="en-US" w:eastAsia="zh-CN"/>
        </w:rPr>
        <w:t>四、</w:t>
      </w:r>
      <w:r>
        <w:rPr>
          <w:rFonts w:hint="eastAsia"/>
          <w:b/>
          <w:bCs/>
          <w:color w:val="auto"/>
          <w:sz w:val="21"/>
          <w:szCs w:val="21"/>
          <w:highlight w:val="none"/>
        </w:rPr>
        <w:t>技术要求</w:t>
      </w:r>
    </w:p>
    <w:p w14:paraId="11EA8BC5">
      <w:pPr>
        <w:adjustRightInd w:val="0"/>
        <w:snapToGrid w:val="0"/>
        <w:spacing w:line="288" w:lineRule="auto"/>
        <w:rPr>
          <w:b/>
          <w:bCs/>
          <w:color w:val="auto"/>
          <w:sz w:val="21"/>
          <w:szCs w:val="21"/>
          <w:highlight w:val="none"/>
        </w:rPr>
      </w:pPr>
      <w:r>
        <w:rPr>
          <w:rFonts w:hint="eastAsia"/>
          <w:b/>
          <w:bCs/>
          <w:color w:val="auto"/>
          <w:sz w:val="21"/>
          <w:szCs w:val="21"/>
          <w:highlight w:val="none"/>
        </w:rPr>
        <w:t>1.需执行的国家相关标准、行业标准、地方标准或者其他标准、规范：</w:t>
      </w:r>
      <w:r>
        <w:rPr>
          <w:rFonts w:hint="eastAsia"/>
          <w:color w:val="auto"/>
          <w:sz w:val="21"/>
          <w:szCs w:val="21"/>
          <w:highlight w:val="none"/>
        </w:rPr>
        <w:t>如技术要求中未注明需执行的国家相关标准、行业标准、地方标准或者其他标准、规范的，执行最新标准、规范。</w:t>
      </w:r>
    </w:p>
    <w:p w14:paraId="7329C355">
      <w:pPr>
        <w:adjustRightInd w:val="0"/>
        <w:snapToGrid w:val="0"/>
        <w:spacing w:line="288" w:lineRule="auto"/>
        <w:rPr>
          <w:b/>
          <w:bCs/>
          <w:color w:val="auto"/>
          <w:sz w:val="21"/>
          <w:szCs w:val="21"/>
          <w:highlight w:val="none"/>
        </w:rPr>
      </w:pPr>
      <w:r>
        <w:rPr>
          <w:rFonts w:hint="eastAsia"/>
          <w:b/>
          <w:bCs/>
          <w:color w:val="auto"/>
          <w:sz w:val="21"/>
          <w:szCs w:val="21"/>
          <w:highlight w:val="none"/>
        </w:rPr>
        <w:t>2.需实现的功能或者目标：满足</w:t>
      </w:r>
      <w:r>
        <w:rPr>
          <w:rFonts w:hint="eastAsia"/>
          <w:b/>
          <w:bCs/>
          <w:color w:val="auto"/>
          <w:sz w:val="21"/>
          <w:szCs w:val="21"/>
          <w:highlight w:val="none"/>
          <w:lang w:eastAsia="zh-CN"/>
        </w:rPr>
        <w:t>后勤智慧餐厅与仓储管理系统</w:t>
      </w:r>
      <w:r>
        <w:rPr>
          <w:rFonts w:hint="eastAsia"/>
          <w:b/>
          <w:bCs/>
          <w:color w:val="auto"/>
          <w:sz w:val="21"/>
          <w:szCs w:val="21"/>
          <w:highlight w:val="none"/>
        </w:rPr>
        <w:t>的使用需求。</w:t>
      </w:r>
    </w:p>
    <w:p w14:paraId="69404C9D">
      <w:pPr>
        <w:adjustRightInd w:val="0"/>
        <w:snapToGrid w:val="0"/>
        <w:spacing w:line="288" w:lineRule="auto"/>
        <w:rPr>
          <w:b/>
          <w:bCs/>
          <w:color w:val="auto"/>
          <w:spacing w:val="-4"/>
          <w:sz w:val="21"/>
          <w:szCs w:val="21"/>
          <w:highlight w:val="none"/>
        </w:rPr>
      </w:pPr>
      <w:r>
        <w:rPr>
          <w:rFonts w:hint="eastAsia"/>
          <w:b/>
          <w:bCs/>
          <w:color w:val="auto"/>
          <w:spacing w:val="-4"/>
          <w:sz w:val="21"/>
          <w:szCs w:val="21"/>
          <w:highlight w:val="none"/>
        </w:rPr>
        <w:t>3.需满足的质量、安全、技术规格、物理特性等要求：</w:t>
      </w:r>
    </w:p>
    <w:tbl>
      <w:tblPr>
        <w:tblStyle w:val="25"/>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1294"/>
        <w:gridCol w:w="581"/>
        <w:gridCol w:w="574"/>
        <w:gridCol w:w="6476"/>
      </w:tblGrid>
      <w:tr w14:paraId="34B5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55" w:type="pct"/>
            <w:vAlign w:val="center"/>
          </w:tcPr>
          <w:p w14:paraId="456818FB">
            <w:pPr>
              <w:widowControl/>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color w:val="auto"/>
                <w:kern w:val="0"/>
                <w:sz w:val="21"/>
                <w:szCs w:val="21"/>
                <w:highlight w:val="none"/>
                <w:lang w:bidi="ar"/>
              </w:rPr>
              <w:t>序号</w:t>
            </w:r>
          </w:p>
        </w:tc>
        <w:tc>
          <w:tcPr>
            <w:tcW w:w="688" w:type="pct"/>
            <w:vAlign w:val="center"/>
          </w:tcPr>
          <w:p w14:paraId="041C6278">
            <w:pPr>
              <w:widowControl/>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color w:val="auto"/>
                <w:kern w:val="0"/>
                <w:sz w:val="21"/>
                <w:szCs w:val="21"/>
                <w:highlight w:val="none"/>
                <w:lang w:bidi="ar"/>
              </w:rPr>
              <w:t>名称</w:t>
            </w:r>
          </w:p>
        </w:tc>
        <w:tc>
          <w:tcPr>
            <w:tcW w:w="309" w:type="pct"/>
            <w:vAlign w:val="center"/>
          </w:tcPr>
          <w:p w14:paraId="66699188">
            <w:pPr>
              <w:widowControl/>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color w:val="auto"/>
                <w:kern w:val="0"/>
                <w:sz w:val="21"/>
                <w:szCs w:val="21"/>
                <w:highlight w:val="none"/>
                <w:lang w:bidi="ar"/>
              </w:rPr>
              <w:t>数量</w:t>
            </w:r>
          </w:p>
        </w:tc>
        <w:tc>
          <w:tcPr>
            <w:tcW w:w="305" w:type="pct"/>
            <w:vAlign w:val="center"/>
          </w:tcPr>
          <w:p w14:paraId="5E4E3D83">
            <w:pPr>
              <w:widowControl/>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color w:val="auto"/>
                <w:kern w:val="0"/>
                <w:sz w:val="21"/>
                <w:szCs w:val="21"/>
                <w:highlight w:val="none"/>
                <w:lang w:bidi="ar"/>
              </w:rPr>
              <w:t>单位</w:t>
            </w:r>
          </w:p>
        </w:tc>
        <w:tc>
          <w:tcPr>
            <w:tcW w:w="3440" w:type="pct"/>
            <w:vAlign w:val="center"/>
          </w:tcPr>
          <w:p w14:paraId="3A4F1A71">
            <w:pPr>
              <w:widowControl/>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color w:val="auto"/>
                <w:kern w:val="0"/>
                <w:sz w:val="21"/>
                <w:szCs w:val="21"/>
                <w:highlight w:val="none"/>
                <w:lang w:bidi="ar"/>
              </w:rPr>
              <w:t>（功能或者目标）、质量、安全、技术规格、物理特性等要求</w:t>
            </w:r>
          </w:p>
        </w:tc>
      </w:tr>
      <w:tr w14:paraId="22A1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5" w:type="pct"/>
            <w:vAlign w:val="center"/>
          </w:tcPr>
          <w:p w14:paraId="104735F3">
            <w:pPr>
              <w:widowControl/>
              <w:spacing w:line="240" w:lineRule="auto"/>
              <w:jc w:val="center"/>
              <w:textAlignment w:val="center"/>
              <w:rPr>
                <w:rFonts w:hint="eastAsia" w:ascii="宋体" w:hAnsi="宋体" w:eastAsia="宋体" w:cs="宋体"/>
                <w:b/>
                <w:color w:val="auto"/>
                <w:kern w:val="0"/>
                <w:sz w:val="21"/>
                <w:szCs w:val="21"/>
                <w:highlight w:val="none"/>
                <w:lang w:bidi="ar"/>
              </w:rPr>
            </w:pPr>
            <w:r>
              <w:rPr>
                <w:rFonts w:hint="eastAsia" w:ascii="宋体" w:hAnsi="宋体" w:eastAsia="宋体" w:cs="宋体"/>
                <w:b/>
                <w:color w:val="auto"/>
                <w:kern w:val="0"/>
                <w:sz w:val="21"/>
                <w:szCs w:val="21"/>
                <w:highlight w:val="none"/>
                <w:lang w:bidi="ar"/>
              </w:rPr>
              <w:t>1</w:t>
            </w:r>
          </w:p>
        </w:tc>
        <w:tc>
          <w:tcPr>
            <w:tcW w:w="688" w:type="pct"/>
            <w:vAlign w:val="center"/>
          </w:tcPr>
          <w:p w14:paraId="57DB3605">
            <w:pPr>
              <w:widowControl/>
              <w:spacing w:line="240" w:lineRule="auto"/>
              <w:jc w:val="center"/>
              <w:textAlignment w:val="center"/>
              <w:rPr>
                <w:rFonts w:hint="eastAsia" w:ascii="宋体" w:hAnsi="宋体" w:eastAsia="宋体" w:cs="宋体"/>
                <w:b/>
                <w:color w:val="auto"/>
                <w:kern w:val="0"/>
                <w:sz w:val="21"/>
                <w:szCs w:val="21"/>
                <w:highlight w:val="none"/>
                <w:lang w:eastAsia="zh-CN" w:bidi="ar"/>
              </w:rPr>
            </w:pPr>
            <w:r>
              <w:rPr>
                <w:rFonts w:hint="eastAsia" w:ascii="宋体" w:hAnsi="宋体" w:eastAsia="宋体" w:cs="宋体"/>
                <w:b/>
                <w:color w:val="auto"/>
                <w:kern w:val="0"/>
                <w:sz w:val="21"/>
                <w:szCs w:val="21"/>
                <w:highlight w:val="none"/>
                <w:lang w:eastAsia="zh-CN" w:bidi="ar"/>
              </w:rPr>
              <w:t>后勤智慧餐厅与仓储管理系统</w:t>
            </w:r>
          </w:p>
        </w:tc>
        <w:tc>
          <w:tcPr>
            <w:tcW w:w="309" w:type="pct"/>
            <w:vAlign w:val="center"/>
          </w:tcPr>
          <w:p w14:paraId="466AE15F">
            <w:pPr>
              <w:widowControl/>
              <w:spacing w:line="240" w:lineRule="auto"/>
              <w:jc w:val="center"/>
              <w:textAlignment w:val="center"/>
              <w:rPr>
                <w:rFonts w:hint="eastAsia" w:ascii="宋体" w:hAnsi="宋体" w:eastAsia="宋体" w:cs="宋体"/>
                <w:b/>
                <w:color w:val="auto"/>
                <w:kern w:val="0"/>
                <w:sz w:val="21"/>
                <w:szCs w:val="21"/>
                <w:highlight w:val="none"/>
                <w:lang w:val="en-US" w:eastAsia="zh-CN" w:bidi="ar"/>
              </w:rPr>
            </w:pPr>
            <w:r>
              <w:rPr>
                <w:rFonts w:hint="eastAsia" w:ascii="宋体" w:hAnsi="宋体" w:eastAsia="宋体" w:cs="宋体"/>
                <w:b/>
                <w:color w:val="auto"/>
                <w:kern w:val="0"/>
                <w:sz w:val="21"/>
                <w:szCs w:val="21"/>
                <w:highlight w:val="none"/>
                <w:lang w:val="en-US" w:eastAsia="zh-CN" w:bidi="ar"/>
              </w:rPr>
              <w:t>1</w:t>
            </w:r>
          </w:p>
        </w:tc>
        <w:tc>
          <w:tcPr>
            <w:tcW w:w="305" w:type="pct"/>
            <w:vAlign w:val="center"/>
          </w:tcPr>
          <w:p w14:paraId="50C9A5EC">
            <w:pPr>
              <w:widowControl/>
              <w:spacing w:line="240" w:lineRule="auto"/>
              <w:jc w:val="center"/>
              <w:textAlignment w:val="center"/>
              <w:rPr>
                <w:rFonts w:hint="eastAsia" w:ascii="宋体" w:hAnsi="宋体" w:eastAsia="宋体" w:cs="宋体"/>
                <w:b/>
                <w:color w:val="auto"/>
                <w:kern w:val="0"/>
                <w:sz w:val="21"/>
                <w:szCs w:val="21"/>
                <w:highlight w:val="none"/>
                <w:lang w:val="en-US" w:eastAsia="zh-CN" w:bidi="ar"/>
              </w:rPr>
            </w:pPr>
            <w:r>
              <w:rPr>
                <w:rFonts w:hint="eastAsia" w:ascii="宋体" w:hAnsi="宋体" w:eastAsia="宋体" w:cs="宋体"/>
                <w:b/>
                <w:color w:val="auto"/>
                <w:kern w:val="0"/>
                <w:sz w:val="21"/>
                <w:szCs w:val="21"/>
                <w:highlight w:val="none"/>
                <w:lang w:val="en-US" w:eastAsia="zh-CN" w:bidi="ar"/>
              </w:rPr>
              <w:t>套</w:t>
            </w:r>
          </w:p>
        </w:tc>
        <w:tc>
          <w:tcPr>
            <w:tcW w:w="3440" w:type="pct"/>
            <w:vAlign w:val="center"/>
          </w:tcPr>
          <w:p w14:paraId="57E57CD6">
            <w:pPr>
              <w:pStyle w:val="24"/>
              <w:widowControl/>
              <w:spacing w:line="240" w:lineRule="auto"/>
              <w:ind w:firstLine="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一、智慧食堂综合管理系统PC端：</w:t>
            </w:r>
          </w:p>
          <w:p w14:paraId="6D4EEF08">
            <w:pPr>
              <w:pStyle w:val="24"/>
              <w:widowControl/>
              <w:spacing w:line="24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1.基础管理：</w:t>
            </w:r>
          </w:p>
          <w:p w14:paraId="4A5FE2DA">
            <w:pPr>
              <w:pStyle w:val="24"/>
              <w:widowControl/>
              <w:spacing w:line="24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 基本信息：</w:t>
            </w:r>
          </w:p>
          <w:p w14:paraId="664B1CD0">
            <w:pPr>
              <w:pStyle w:val="24"/>
              <w:widowControl/>
              <w:spacing w:line="24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 组织管理：具有多级食堂架构管理系统，包含至少5级食堂架构级别管理，可设置学校、校区、食堂、档口等。可查看组织信息、食堂从业人员信息、超市信息、供应商信息，其中食堂从业人员信息，包含姓名、身份证号、年龄、所属食堂、健康证起始时间、健康证到期时间、电话、健康证照片。</w:t>
            </w:r>
          </w:p>
          <w:p w14:paraId="28A0E12E">
            <w:pPr>
              <w:pStyle w:val="24"/>
              <w:widowControl/>
              <w:spacing w:line="24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 档口管理：档口管理实现对平台内档口的查询、新增、修改、删除，可设置档口所在食堂、营业状态、供应餐次、档口场景、经营模式、档口类型、营业时间、档口用餐类型、档口负责人、负责人电话等信息。</w:t>
            </w:r>
          </w:p>
          <w:p w14:paraId="3B1FAA9D">
            <w:pPr>
              <w:pStyle w:val="24"/>
              <w:widowControl/>
              <w:spacing w:line="24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1.1.3 设备管理：对已接入平台的设备，进行查询、同步和导出，可按设备名称、设备类型、校区名称、食堂名称进行查询，并实现设备启用与否、设备负责人、负责人联系方式的管理。</w:t>
            </w:r>
          </w:p>
          <w:p w14:paraId="49B6C53C">
            <w:pPr>
              <w:pStyle w:val="24"/>
              <w:widowControl/>
              <w:spacing w:line="24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1.1.4 合作商管理：合作商管理实现对集团合作商的管理，实现新增、解除、查询，可通过合作商名称、学校名称、合作校区、合作食堂、合作类型进行查询，可新增合作商，录入统一社会信用代码、合作商名称、合作商联系人、合作商联系电话、营业执照照片、合作类型、合作食堂、合作时间等，并可对具体合作商进行详情编辑，包含合作商联系人、合作商联系电话、营业执照照片等。</w:t>
            </w:r>
          </w:p>
          <w:p w14:paraId="48AF3459">
            <w:pPr>
              <w:pStyle w:val="24"/>
              <w:widowControl/>
              <w:spacing w:line="24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1.1.5 耗材管理：耗材管理实现对集团组的餐具耗材进行管理，批量导入或进行新增、修改、删除。</w:t>
            </w:r>
          </w:p>
          <w:p w14:paraId="7A776385">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1.1.6 通知管理：用于管理不同业务场景的消息通知，是否启用，通知到哪个渠道；支多渠道通知，如钉钉、APP、公众号，并支持通知的订阅配置。</w:t>
            </w:r>
          </w:p>
          <w:p w14:paraId="050C482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 招投标信息：</w:t>
            </w:r>
          </w:p>
          <w:p w14:paraId="20A3EE7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1.2.1 招投标项目信息管理：上传招投标项目ID、项目名称、机构编码、采购发布日期、项目负责人、证件类型、证件号码、是否有招标代理机构、招标代理机构名称、统一社会信用代码、联系人姓名、手机号、创建时间、更新时间、数据状态。、</w:t>
            </w:r>
          </w:p>
          <w:p w14:paraId="29B524A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1.2.2 评标专家管理：上传机构编码、招投标项目ID、专家姓名、证件类型、证件号码、任职单位、手机号、职务职称、产生方式、创建时间、更新时间、数据状态。</w:t>
            </w:r>
          </w:p>
          <w:p w14:paraId="503EDFB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1.2.3 投投标供应商信息数据：上传机构编码、招投标项目ID、标项名称、供应商名称、统一社会信用代码、联系人姓名、手机号、是否中标、服务开始日期、服务结束日期、创建时间、更新时间、数据状态。</w:t>
            </w:r>
          </w:p>
          <w:p w14:paraId="1EA0421E">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 食材食谱：</w:t>
            </w:r>
          </w:p>
          <w:p w14:paraId="559B1E7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1.3.1 食材管理：</w:t>
            </w:r>
          </w:p>
          <w:p w14:paraId="7C2F8735">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（1）食材库：</w:t>
            </w:r>
          </w:p>
          <w:p w14:paraId="054713A1">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食材库实现对食材进行查询和管理，可通过食材名称、来源进行查询，同时实现食材的创建、禁用、删除，食材信息包含基本信息（商品类别、商品名称）、采购库信息（配送供应商、商品品名、规格、单位、验收单位、参考价、库存单位、保质期、品牌、产地）、食材营养（每百克）（能量、碳水、蛋白质、脂肪），食材营养（每百克）支持自定义，并支持从系统库导入；</w:t>
            </w:r>
          </w:p>
          <w:p w14:paraId="018522C6">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▲2）支持食材个性转化率配置；支持食材带量营养配置；支持食材验收单位、下单单位、库存单位的关系配置，并按照使用场景支持单位间的自动转化；</w:t>
            </w:r>
          </w:p>
          <w:p w14:paraId="7CD0839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（2）食材分类：对食材分类的统一管理，可查询、可创建、可编辑、可禁用、可删除，便于食材库在新增食材时选择商品类别。在创建食材分类大类时，可配置“直入直出”，便于库存出库。</w:t>
            </w:r>
          </w:p>
          <w:p w14:paraId="23465080">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（3）食材单位：单位管理用于配置食材的单位标准，便于食材库在新增食材时选择单位标准，一般单位标准可分为公斤、斤、毫升（mL）、升（L）、个、盒、千克、克、箱、包等。</w:t>
            </w:r>
          </w:p>
          <w:p w14:paraId="669C36F5">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1.3.2 菜品管理：</w:t>
            </w:r>
          </w:p>
          <w:p w14:paraId="7DB6CAE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菜品库：对菜品进行查询和管理，可通过菜品名称、来源进行查询，同时实现菜品的创建、编辑、启用、禁用、移除，并可从系统库完成添加。在创建菜品时，菜品信息包含基础信息（菜品名称、菜品照片、菜品别名、菜品类型、适用餐次、打包费）、菜品食材（从食材库选取主料，配置单份含量）、菜品类型及规格（称重菜、普通菜）。</w:t>
            </w:r>
          </w:p>
          <w:p w14:paraId="322288D4">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（2）菜品分类：对菜品分类的统一管理，可创建、可排序、可编辑、可禁用、可删除，配置完成后用于菜品库菜品分类选择。</w:t>
            </w:r>
          </w:p>
          <w:p w14:paraId="1736B5A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（3）菜品小料：对菜品小料的统一管理，可查询、可创建小料分类、可创建小料、可编辑、可禁用、可删除，配置完成后用于菜品库菜品小料选择。</w:t>
            </w:r>
          </w:p>
          <w:p w14:paraId="5D557969">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（4）菜品做法：对菜品做法的统一管理，可查询、可创建做法分类、可创建做法、可编辑、可禁用、可删除，配置完成后用于菜品库菜品做法选择。</w:t>
            </w:r>
          </w:p>
          <w:p w14:paraId="7B640B5E">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（5）菜品规格：对菜品规格的统一管理，可查询、可创建规格分类、可创建规格、可编辑、可禁用、可删除，配置完成后用于菜品库菜品规格选择。</w:t>
            </w:r>
          </w:p>
          <w:p w14:paraId="7206125A">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1.3.3 套餐管理：对集团食堂、档口等菜品套餐的管理，可通过套餐名称、菜品名称进行查询，可新增、编辑、下架、移除套餐。新增套餐时，录入套餐名称、套餐照片、套餐分类、适用餐次、默认价格、打包费、套餐菜品。</w:t>
            </w:r>
          </w:p>
          <w:p w14:paraId="43F3ADD2">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1.3.4 食谱管理：</w:t>
            </w:r>
          </w:p>
          <w:p w14:paraId="6659FD6E">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食谱管理：实现对集团平台内的食谱统一管理，可通过菜单名称、菜单类型进行查询，可对食谱进行创建、管理、禁用、删除。在创建食谱时，可选取所属组织，进行创建，录入菜谱名称、所属组织、类型（标准菜单、自定义菜单），确定后进行菜单管理，添加菜品、套餐，并关联档口。</w:t>
            </w:r>
          </w:p>
          <w:p w14:paraId="2159B0FB">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（2）食谱周期设置：</w:t>
            </w:r>
          </w:p>
          <w:p w14:paraId="2CE722D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1）可按季度、双月、月、半月、周等轮换，时间可自由设置；</w:t>
            </w:r>
          </w:p>
          <w:p w14:paraId="4867A48E">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2）不同食堂可设置不同菜谱；</w:t>
            </w:r>
          </w:p>
          <w:p w14:paraId="308F8DE1">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3）可导入周、半月、月、双月等的菜谱；对某天的菜谱可进行单独修改等。</w:t>
            </w:r>
          </w:p>
          <w:p w14:paraId="76B5CD86">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（3）食谱类型导入：</w:t>
            </w:r>
          </w:p>
          <w:p w14:paraId="3B68950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1）营养食谱：针对职工学校可自行设置套餐等食谱。</w:t>
            </w:r>
          </w:p>
          <w:p w14:paraId="4D10201E">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2）专用食谱：特殊部门专用食谱，仅适用于该部门职工；</w:t>
            </w:r>
          </w:p>
          <w:p w14:paraId="20E04A6A">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3）特色食谱：煲类小炒等；</w:t>
            </w:r>
          </w:p>
          <w:p w14:paraId="57AB5FFB">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4）根据食谱模板导入，一个菜品一行，系统根据食谱名称来判断是否属于同一个菜谱，合并显示在页面。</w:t>
            </w:r>
          </w:p>
          <w:p w14:paraId="425055A1">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 人员管理：</w:t>
            </w:r>
          </w:p>
          <w:p w14:paraId="429CFFF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1.4.1 人员档案：对集团旗下所有食堂员工的统一管理，可通过姓名、联系电话、所属学校、所属校区、所属食堂进行查询，可新增、可批量新增、可查看详情、可编辑、可删除。在新增食堂员工过程中，录入基本信息（身份证号、姓名、联系电话、性别、学历、工作年限、健康证编号、发证机构名称、健康证发证时间、健康证到期时间、健康证照片）、在职信息（所属学校、所属校区、所属食堂、所在部门、所在班组、担任职务、入职时间）。</w:t>
            </w:r>
          </w:p>
          <w:p w14:paraId="639FEF0A">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1.4.2 人员调度：对集团管理人员的调动，实现人员在食堂之间进行调度，通过姓名、所属学校、所属校区选取需要调度人员，调度前往食堂所在学校、所在校区、所属食堂，完成调度，并将调度记录关联到人员档案。</w:t>
            </w:r>
          </w:p>
          <w:p w14:paraId="453828A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1.4.3 组织架构：</w:t>
            </w:r>
          </w:p>
          <w:p w14:paraId="43719D9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（1）组织与成员：</w:t>
            </w:r>
          </w:p>
          <w:p w14:paraId="43560FF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1）用于实现组织与成员的统一管理，可以编辑组织信息、在食堂下创建/编辑/删除档口，可以管理不同层级组织下的成员，通过多种方式新增、编辑、删除成员，并且可以管理成员的必填/展示字段；</w:t>
            </w:r>
          </w:p>
          <w:p w14:paraId="6A595986">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2）新增职工时，录入基本信息（姓名、性别、联系电话、证件类型、证件号码、入职时间、卡号、用餐组、二维码、人脸信息、职工备注）、就职信息（所属学校、所属校区、所属食堂）。</w:t>
            </w:r>
          </w:p>
          <w:p w14:paraId="15EB1E71">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（2）外部访客：管理访客是否可以用餐，并且展示所有访客的账号。</w:t>
            </w:r>
          </w:p>
          <w:p w14:paraId="2C1144B5">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（3）成员类型：新增、修改、创建成员的类型，并可以设置不同类型成员享受的优惠。</w:t>
            </w:r>
          </w:p>
          <w:p w14:paraId="19B7CAB4">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（4）成员标签：新增、修改、创建成员的标签，并且可以配置每个标签关联的成员。</w:t>
            </w:r>
          </w:p>
          <w:p w14:paraId="3EA8F1E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（5）信息收集：生成内部成员注册的二维码，给予成员让成员自行注册。</w:t>
            </w:r>
          </w:p>
          <w:p w14:paraId="58778A3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1.4.4 节假日管理：用于配置当年国家法定节假日、学校假期，用于食堂根据节假日开展工作，新增节假日包含节假日名称、开始时间、结束时间。</w:t>
            </w:r>
          </w:p>
          <w:p w14:paraId="308689BB">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1.4.5 系统管理：</w:t>
            </w:r>
          </w:p>
          <w:p w14:paraId="0F4E87E4">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（1）角色管理：用于配置系统平台角色，可通过角色名、来源进行查询，同时实现对角色的新增、查看、编辑、删除。新增角色时，配置角色名称、角色描述、角色权限。</w:t>
            </w:r>
          </w:p>
          <w:p w14:paraId="5417A711">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管理员设置：用于配置集团旗下平台管理人员，可通过关联组织/档口、来源、姓名进行查询，同时实现新增、编辑、删除、重置密码。在新增管理员时，配置基本信息（姓名、手机号、后台账号）、角色权限、管理范围。</w:t>
            </w:r>
          </w:p>
          <w:p w14:paraId="2657C47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（3）日志管理：用于查看系统运行情况。</w:t>
            </w:r>
          </w:p>
          <w:p w14:paraId="56E74C15">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2.进销存：</w:t>
            </w:r>
          </w:p>
          <w:p w14:paraId="4FA84176">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 基础管理：</w:t>
            </w:r>
          </w:p>
          <w:p w14:paraId="7873C975">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2.1.1 基础信息配置：</w:t>
            </w:r>
          </w:p>
          <w:p w14:paraId="1F421C7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（1）采购合同：</w:t>
            </w:r>
          </w:p>
          <w:p w14:paraId="7479F2E1">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合同实现对集团采购合同的统一管理，可通过合同名称、食材分类、供应商、合同状态进行查询，可新增。在新增合同时，录入合同名称、选取食材分类、选取关联供应商、选取配送校区、合同生效日期、合同截止日期、合同金额、截止时间提醒、金额阈值提醒、提醒人、履约保证金、备注。</w:t>
            </w:r>
          </w:p>
          <w:p w14:paraId="5FC57B3A">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▲2）支持合同作为采购组，保证每个组织、每个供应商对应每个合同可以对每个食材个性化定价。</w:t>
            </w:r>
          </w:p>
          <w:p w14:paraId="5AC09AAB">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（2）食材定价：</w:t>
            </w:r>
          </w:p>
          <w:p w14:paraId="59B48C04">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1）可以通过食材定价单，对食材价格表进行添加、变更、移除的操作，通过食材定价表去控制采购时食材对于不同供应商、不同收货组织的区别定价。</w:t>
            </w:r>
          </w:p>
          <w:p w14:paraId="221599F1">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2）支持多个时间段按照合同进行定价。</w:t>
            </w:r>
          </w:p>
          <w:p w14:paraId="30D2C18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（3）定价查看：支持查看价格趋势，支持按时间段查看价格，支持多周期定价对比。</w:t>
            </w:r>
          </w:p>
          <w:p w14:paraId="36A4F26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仓库管理：仓库管理实现对集团管理仓库进行统一管理，可通过仓库名称进行查询，可新增、可导出仓库。新增仓库时，选取校区后，录入仓库名称、容量（吨）、面积（平方米）、地址、联系人、联系方式、可用状态。</w:t>
            </w:r>
          </w:p>
          <w:p w14:paraId="6A09241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2.1.2 功能配置：</w:t>
            </w:r>
          </w:p>
          <w:p w14:paraId="64A5CA20">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（1）规则配置：</w:t>
            </w:r>
          </w:p>
          <w:p w14:paraId="41273A59">
            <w:pPr>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规则配置需要能满足各种业务场景，具体需要包括：</w:t>
            </w:r>
          </w:p>
          <w:p w14:paraId="16E09A6E">
            <w:pPr>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1）支持配置合同超额比例；合同累计下单金额超出配置金额后，系统禁止再通过此合同下单；</w:t>
            </w:r>
          </w:p>
          <w:p w14:paraId="656D4D98">
            <w:pPr>
              <w:keepNext w:val="0"/>
              <w:keepLines w:val="0"/>
              <w:pageBreakBefore w:val="0"/>
              <w:widowControl w:val="0"/>
              <w:numPr>
                <w:ilvl w:val="-1"/>
                <w:numId w:val="0"/>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2）支持单据排序规则配置，可按照添加时间和食材编号排序，确保所有采购、配送、验收单据顺序一致；</w:t>
            </w:r>
          </w:p>
          <w:p w14:paraId="633BE0EF">
            <w:pPr>
              <w:keepNext w:val="0"/>
              <w:keepLines w:val="0"/>
              <w:pageBreakBefore w:val="0"/>
              <w:widowControl w:val="0"/>
              <w:numPr>
                <w:ilvl w:val="-1"/>
                <w:numId w:val="0"/>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3）支持配置预采购；系统可配置未来的价格，并可设置未来的待定价格，以方便价格还未确定时可以先进行下单；</w:t>
            </w:r>
          </w:p>
          <w:p w14:paraId="74439300">
            <w:pPr>
              <w:keepNext w:val="0"/>
              <w:keepLines w:val="0"/>
              <w:pageBreakBefore w:val="0"/>
              <w:widowControl w:val="0"/>
              <w:numPr>
                <w:ilvl w:val="-1"/>
                <w:numId w:val="0"/>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支持配置自动拆单、自动合单；申购人员可以一次性提交多个品类的采购需求，系统需要支持按照供应商和分类自动进行订单的拆分；采购人员补充采购需求时，系统支持自动合并到当天同分类、同供应商的订单中；</w:t>
            </w:r>
          </w:p>
          <w:p w14:paraId="33ABE849">
            <w:pPr>
              <w:keepNext w:val="0"/>
              <w:keepLines w:val="0"/>
              <w:pageBreakBefore w:val="0"/>
              <w:widowControl w:val="0"/>
              <w:numPr>
                <w:ilvl w:val="-1"/>
                <w:numId w:val="0"/>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5）支持配置价格可采用下单时价格或者验收时价格；</w:t>
            </w:r>
          </w:p>
          <w:p w14:paraId="2C35FDEB">
            <w:pPr>
              <w:keepNext w:val="0"/>
              <w:keepLines w:val="0"/>
              <w:pageBreakBefore w:val="0"/>
              <w:widowControl w:val="0"/>
              <w:numPr>
                <w:ilvl w:val="-1"/>
                <w:numId w:val="0"/>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6）支持按分类配置验收精度；系统需要按照不同的分类分别设置验收精度，每种精度都需要支持四舍五入或截断方式；</w:t>
            </w:r>
          </w:p>
          <w:p w14:paraId="367F968A">
            <w:pPr>
              <w:keepNext w:val="0"/>
              <w:keepLines w:val="0"/>
              <w:pageBreakBefore w:val="0"/>
              <w:widowControl w:val="0"/>
              <w:numPr>
                <w:ilvl w:val="-1"/>
                <w:numId w:val="0"/>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7）支持配置电子签名；</w:t>
            </w:r>
          </w:p>
          <w:p w14:paraId="3C5FCA66">
            <w:pPr>
              <w:keepNext w:val="0"/>
              <w:keepLines w:val="0"/>
              <w:pageBreakBefore w:val="0"/>
              <w:widowControl w:val="0"/>
              <w:numPr>
                <w:ilvl w:val="-1"/>
                <w:numId w:val="0"/>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8）支持配置超额验收比例，并可设置例外；</w:t>
            </w:r>
          </w:p>
          <w:p w14:paraId="5494167B">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9）支持按不同组织、不同类别设置默认验收仓库；</w:t>
            </w:r>
          </w:p>
          <w:p w14:paraId="63662B94">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（2）审批管理：</w:t>
            </w:r>
          </w:p>
          <w:p w14:paraId="4EE55CB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1）在预设好的业务流程中，如在申购、采购、入库、出库等环节设置创建该业务流程需要经过的审批环节和审批人，用于控制整个业务流程。</w:t>
            </w:r>
          </w:p>
          <w:p w14:paraId="375DDDF6">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2）支持自定义审批流程；</w:t>
            </w:r>
          </w:p>
          <w:p w14:paraId="687B4679">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▲3）支持A提交B审核，C提交D审核模式；支持中心仓管总审核、核算复核的流程。按业务单据开启审核、复核流程。</w:t>
            </w:r>
          </w:p>
          <w:p w14:paraId="5C96DEE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（3）打印配置：</w:t>
            </w:r>
          </w:p>
          <w:p w14:paraId="4B2834E5">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▲1）打印设置可对打印类目、开启状态、可编辑内容、操作，其中操作可对打印表单进行配置；</w:t>
            </w:r>
          </w:p>
          <w:p w14:paraId="33516D30">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2）支持自定义区块打印配置；支持标题、表头、表尾等自定义配置；支持关联针式打印机。</w:t>
            </w:r>
          </w:p>
          <w:p w14:paraId="6324C3A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（4）快检配置：</w:t>
            </w:r>
          </w:p>
          <w:p w14:paraId="6A0FC59E">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1）针对采购食材配置快检规则，数据可与快检设备（指定款式）打通；</w:t>
            </w:r>
          </w:p>
          <w:p w14:paraId="3C7B26E0">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2）支持快检后自动生成检测台账。</w:t>
            </w:r>
          </w:p>
          <w:p w14:paraId="0C7468EE">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（5）记账配置：记账设置可以设置起始会计年度、开始日期、初始会计期间，会计期间类型。</w:t>
            </w:r>
          </w:p>
          <w:p w14:paraId="1AA7776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 采购管理：</w:t>
            </w:r>
          </w:p>
          <w:p w14:paraId="2837BD2B">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 申购管理：</w:t>
            </w:r>
          </w:p>
          <w:p w14:paraId="33D9217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（1）申购管理实现对申购订单的统一审批管理，可通过申请人、状态、所属食堂、当前审批人进行查询。查询后，可查看待采购流程、申购信息、采购信息、申购食材信息。</w:t>
            </w:r>
          </w:p>
          <w:p w14:paraId="70895194">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（2）支持指定日期申购，申购审核，申购需求转化采购单时可修改申购量；支持申购后自动按组织和分类进行拆单采购；支持每日申购组织检测。</w:t>
            </w:r>
          </w:p>
          <w:p w14:paraId="13C66F85">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 采购订单：</w:t>
            </w:r>
          </w:p>
          <w:p w14:paraId="183EF3E3">
            <w:pPr>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（1）采购业务作为系统核心业务，需要支持多种采购方式：</w:t>
            </w:r>
          </w:p>
          <w:p w14:paraId="262895E5">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1）采购订单实现对当前组织树下采购订单的统一管理；</w:t>
            </w:r>
          </w:p>
          <w:p w14:paraId="37EF14E4">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2）可导出订单；导出订单需要支持异步导出方式；</w:t>
            </w:r>
          </w:p>
          <w:p w14:paraId="1A47EE1B">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从申购单新增、手动创建、食材反算创建；从申购单新增时，系统需要能够对申购单进行选择，系统自动汇总申购单中的食材数量，并可调整汇总数量；可对申购单进行修改和驳回处理；手动创建时，系统支持按照导入方式和搜索方式进行食材的添加。需要支持食材反算创建采购单，根据所选菜品的数量，反向计算需要的食材数量，并可直接创建采购单；</w:t>
            </w:r>
          </w:p>
          <w:p w14:paraId="06242F78">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4）可通过下单时间、期望送达日期、订单编号、收货方、供应方、订单类型、订单状态进行查询；</w:t>
            </w:r>
          </w:p>
          <w:p w14:paraId="0BCA46F4">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5）查询后，可查看订单编号、期望送达日期、类型、供应方、收货方、下单人、下单时间、种类数量、预估总计、实际总价、订单状态；</w:t>
            </w:r>
          </w:p>
          <w:p w14:paraId="5A284D56">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（2）采购验收配送多单合一。</w:t>
            </w:r>
          </w:p>
          <w:p w14:paraId="230BC929">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 订单变更：订单变更实现对组织旗下订单变更的管理，可通过订单编号、配送单位、变更时间、状态、变更类型进行查询；可查询到变更单编号、相关订单、变更方、采购单位、菜品种类、金额、变更时间、状态；可对订单进行管理，可查看到变更具体情况。</w:t>
            </w:r>
          </w:p>
          <w:p w14:paraId="5A0F11E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▲2.2.4 食材反算：通过选择菜品并输入菜品数量，由系统反向计算食材需求量，计算时需要损耗率、成品率、转化率等参数，并支持按照计算量生成申购单和采购单。</w:t>
            </w:r>
          </w:p>
          <w:p w14:paraId="33AB693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 仓储管理：</w:t>
            </w:r>
          </w:p>
          <w:p w14:paraId="7F7DF65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2.3.1 入库管理：</w:t>
            </w:r>
          </w:p>
          <w:p w14:paraId="64E02946">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（1）入库单：</w:t>
            </w:r>
          </w:p>
          <w:p w14:paraId="717EBEEC">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1）入库单用于查询平台内入库单信息，可通过入库仓库、入库类型、入库时间、入库编号、审核状态进行查询；</w:t>
            </w:r>
          </w:p>
          <w:p w14:paraId="0D542D07">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2）可实现查看详情；订单详情中需要体现该单据的具体审批节点和流程；支持修改备注信息和三方单号信息；</w:t>
            </w:r>
          </w:p>
          <w:p w14:paraId="0CF7B959">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3）支持查看入库单相关采购单；点击单据编号可直接进入对应采购单页面；</w:t>
            </w:r>
          </w:p>
          <w:p w14:paraId="7378D075">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4）支持记录入库单改动明细记录，记录需包括操作时间，操作人员，操作类型，操作记录，操作记录中包括原信息和修改后信息；</w:t>
            </w:r>
          </w:p>
          <w:p w14:paraId="727766C2">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5）可实现对查询结果打印；</w:t>
            </w:r>
          </w:p>
          <w:p w14:paraId="242BFC2B">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6）可新建入库。新建入库时，需要支持录单模式，选择入库仓库、入库类型、入库时间，从食材库添加入库食材，确定完成入库；</w:t>
            </w:r>
          </w:p>
          <w:p w14:paraId="7090A128">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7）入库单支持冲红；入库冲红时，可以选择单个食材进行冲红操作；进行冲红操作时，系统自动按照库存充足情况提示能否冲红；</w:t>
            </w:r>
          </w:p>
          <w:p w14:paraId="4A8EEB3B">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8）冲后后支持自动提示需修正单据；冲红后，列表内提示需要修正的单据；</w:t>
            </w:r>
          </w:p>
          <w:p w14:paraId="146C5A5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▲（2）支持录单模式，支持单个食材冲红并自动冲红相关出库单，冲红后系统自动提示需要修正的单据。</w:t>
            </w:r>
          </w:p>
          <w:p w14:paraId="5E22985C">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（3）入库明细：</w:t>
            </w:r>
          </w:p>
          <w:p w14:paraId="426C8E97">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入库明细用于查看平台内入库明细情况：</w:t>
            </w:r>
          </w:p>
          <w:p w14:paraId="484E5373">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1）入库明细列表支持设置哪些字段需要显示；</w:t>
            </w:r>
          </w:p>
          <w:p w14:paraId="52DA3728">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2）入库明细列表支持设置字段的显示顺序；</w:t>
            </w:r>
          </w:p>
          <w:p w14:paraId="65972ECA">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3）可通过日期、食材分类、食材名称、供应商、入库单号、条码、批次号、是否直进直出进行查询，</w:t>
            </w:r>
          </w:p>
          <w:p w14:paraId="59E52322">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4）可实现查询结果导出，导出需要支持异步模式。</w:t>
            </w:r>
          </w:p>
          <w:p w14:paraId="612DF7AB">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2.3.2 出库管理：</w:t>
            </w:r>
          </w:p>
          <w:p w14:paraId="096925B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（1）领用单：</w:t>
            </w:r>
          </w:p>
          <w:p w14:paraId="1D629FC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领用单用于查询平台用户领用食材和新建领用单，可通过领用单号、提交日期、提交人、领用档口、审核状态、操作状态进行查询，并支持对查询结果进行打印。新建领用单时，选取仓库所在组织、选取仓库、领用时间、领用人、选择领用档口、添加领用食材，并进行提交。提交的领用单，完成审批后，可进行出库操作，出库管理人员可对领用食材进行全部出库、部分出库、中止出库操作；</w:t>
            </w:r>
          </w:p>
          <w:p w14:paraId="0B34E862">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2）支持零库存申领，支持可配置严格按日期申领，申领后支持移动PDA扫码出库。</w:t>
            </w:r>
          </w:p>
          <w:p w14:paraId="6A384D7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（2）出库单：</w:t>
            </w:r>
          </w:p>
          <w:p w14:paraId="5EAAA270">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出库单用于查询和手动登记出库，可通过出库仓库、出库时间、领用人、领用档口、审核状态进行查询，查询后可对查询出库单进行打印。新增手动登记出库时，选取出库仓库、出库时间、领用人、选取领用档口，从库存中添加食材保存后，进行出库操作；</w:t>
            </w:r>
          </w:p>
          <w:p w14:paraId="23C6CDC2">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2）支持通过智能验收称出库；支持单个食材冲红，冲红后系统自动提示需要修正的单据。</w:t>
            </w:r>
          </w:p>
          <w:p w14:paraId="53DD2D10">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（3）出库明细：出库明细用于查询平台内已出库食材情况，可通过出库日期、食材分类、食材名称、领用档口、仓库、出库单号、是否直进直出、条码、批次号进行查询，查询后可进行导出。</w:t>
            </w:r>
          </w:p>
          <w:p w14:paraId="30C0FBAA">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2.3.3 库存管理：</w:t>
            </w:r>
          </w:p>
          <w:p w14:paraId="7BAA6AE0">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（1）盘点单：</w:t>
            </w:r>
          </w:p>
          <w:p w14:paraId="0E12E8E2">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盘点单实现工作人员对库房进行盘点工作，实现对盘点单的新增、查询、查看。新增盘点单，可选取仓库所在组织、仓库、确定盘点时间、盘点人、添加盘点食材，进行新增盘点单，并提交。可通过盘点单号、盘点时间、单据提交时间、提交人、审核状态对盘点单进行查询，可查看盘点单号、盘点时间、提交人、盘点仓库、盘盈食材数、盘盈金额、盘亏食材数、盘亏金额、单据提交时间、审核状态、是否撤销，并可查看到盘点具体内容；</w:t>
            </w:r>
          </w:p>
          <w:p w14:paraId="4C782D8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2）支持创建盘点任务进行盘点，也支持直接移动PDA扫码盘点。</w:t>
            </w:r>
          </w:p>
          <w:p w14:paraId="0B4BA8C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（2）调整单：调整单实现工作人员对部分异常数据的调整，实现对于出库尾差的清零，以及对于库存数量的调整。</w:t>
            </w:r>
          </w:p>
          <w:p w14:paraId="209A25B0">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库存查询：库存查询实现对仓储库存的查询，可通过食材分类、食材名称、仓库、库存预警状态进行查询，可查看到食材名称、分类、仓库、规格、最小单位、最小单位库存数量、库存金额、库存批次数、库存预警状态，并可查看详情。</w:t>
            </w:r>
          </w:p>
          <w:p w14:paraId="257C04D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（4）库存变动流水：库存变动流水可以用来查看仓库中食材的每个批次的库存量、库存金额变动记录。</w:t>
            </w:r>
          </w:p>
          <w:p w14:paraId="06EA8C7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 财务管理：</w:t>
            </w:r>
          </w:p>
          <w:p w14:paraId="304475F9">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2.4.1 对账：</w:t>
            </w:r>
          </w:p>
          <w:p w14:paraId="4F191AF9">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账目需要支持系统自动对账，提升用户效率：</w:t>
            </w:r>
          </w:p>
          <w:p w14:paraId="6D40CF00">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价格对账，每日根据报货情况，结合每日料单实行仓库审核、核算复核，进行每日对账匹配；按照月维度，统计采购价格、入库价格、销售价格、价格调整记录进行对账匹配；价格对账需要支持选择账期后发起对账，支持设置允许同一食材允许出现不同价格的数量；</w:t>
            </w:r>
          </w:p>
          <w:p w14:paraId="2B00280A">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（2）库存对账：按照月维度，统计期初库存、入库数量、出库数量、库存余额进行对账匹配；系统支持选择账期和时间范围发起对账；对账完成后支持查看对账详情，需要能够体现每个食材的对账差异情况；</w:t>
            </w:r>
          </w:p>
          <w:p w14:paraId="696C368E">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（3）采购对账：按照月维度，进行订单与发票、订单与收货、发票与付款的采购信息对账。系统支持选择账期和时间范围发起对账，并自动提示对账的差异情况；</w:t>
            </w:r>
          </w:p>
          <w:p w14:paraId="4611C73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2.4.2 结算：</w:t>
            </w:r>
          </w:p>
          <w:p w14:paraId="762F3F22">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结算：采购结算实现采购订单的结算，可通过期望送达时间、完成日期、供应商、状态进行查询。查询后，可查看到采购单号、结算账单、期望送达时间、类型、状态、供应方、收货方、下单金额、实际总额、退款金额、应付金额、操作。</w:t>
            </w:r>
          </w:p>
          <w:p w14:paraId="573DC1D5">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（2）结算账单：</w:t>
            </w:r>
          </w:p>
          <w:p w14:paraId="2B7BBE50">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结算账单实现对组织树下结算的统一管理，可通过结算单号、供应商、结算状态、结算时间进行查询。查询后，可查看月份、结算单号、供应单位、订单时间、订单数、应付金额、结算金额、发起时间、完成时间、状态、操作；</w:t>
            </w:r>
          </w:p>
          <w:p w14:paraId="06F15B5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2）支持附带发票。</w:t>
            </w:r>
          </w:p>
          <w:p w14:paraId="0CD4E8D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 数据报表：</w:t>
            </w:r>
          </w:p>
          <w:p w14:paraId="4709118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2.5.1 库存进出明细日报：采购入库单详细记录了因采购活动新增的库存商品信息，包括商品名称、规格型号、入库数量、单价、供应商等；销售出库单则反映了因销售业务导致的库存减少，涵盖销售给客户的商品明细、数量、出库时间等；此外，其他出入库单用于记录非采购与销售的库存变动，如内部领用、退货入库、盘盈盘亏调整等情况。系统通过整合这些分散在不同业务环节的数据，生成完整的库存进出明细。</w:t>
            </w:r>
          </w:p>
          <w:p w14:paraId="3817118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2.5.2 采购统计：可按照供应商、分类、日期统计采购单据；供应商招标比价时，支持按照去年年度用量估算今年整体价格。</w:t>
            </w:r>
          </w:p>
          <w:p w14:paraId="61BB90D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2.5.3 入库统计：可按照仓库、组织、分类、日期统计入库单据。</w:t>
            </w:r>
          </w:p>
          <w:p w14:paraId="793BA8E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2.5.4 出库统计：可按照仓库、组织、分类、日期统计出库单据。</w:t>
            </w:r>
          </w:p>
          <w:p w14:paraId="1C37873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 记账信息：</w:t>
            </w:r>
          </w:p>
          <w:p w14:paraId="055902F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2.6.1 会计日历：会计日历用于查询会计年度，以及设置本期结束日期，作为本年度会计周期。</w:t>
            </w:r>
          </w:p>
          <w:p w14:paraId="6D33533E">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2.6.2 期末结转：期末结转实现工作人员查询并生成收支报表（包含期初、本期入库、本期出库、本期盘盈、本期盘亏、调拨出库、调拨入库、期末数据），同时根据实际进行结转处理，可进行打印、导出。</w:t>
            </w:r>
          </w:p>
          <w:p w14:paraId="722BF51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2.6.3 月付明细报表：月付明细报表实现工作人员查询并生成月付明细报表，包含供应商名称、期末余额金额、调整前金额、调整金额、调整后期末金额、本次支付，支持添加备注、打印、导出。</w:t>
            </w:r>
          </w:p>
          <w:p w14:paraId="2AAE3730">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2.6.4 供应商结算报表：供应商结算报表实现工作人员查询并生成供应商结算报表，包含供应商名称、结算类别、合计，支持打印、导出。</w:t>
            </w:r>
          </w:p>
          <w:p w14:paraId="0B28588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2.6.5 采购订单对账：按照月维度，进行订单与发票、订单与收货、发票与付款的采购信息对账。</w:t>
            </w:r>
          </w:p>
          <w:p w14:paraId="34E7197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2.6.6 物资分类汇总报表：物资分类汇总报表实现工作人员查询并生成物资分类汇总报表，包含食堂名称、档口名称、合计，支持打印、导出。</w:t>
            </w:r>
          </w:p>
          <w:p w14:paraId="392C2E74">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3.工作台：</w:t>
            </w:r>
          </w:p>
          <w:p w14:paraId="7CEA413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 快捷操作：快捷操作事项让工作人员快速进入常用模块，减少功能找寻时间。</w:t>
            </w:r>
          </w:p>
          <w:p w14:paraId="20B34814">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 待办事项：待办事项展示AI抓拍处置数量、物联预警处置数量，实现工作人员快速点击待办进行处置。</w:t>
            </w:r>
          </w:p>
          <w:p w14:paraId="7900739A">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 数据统计：数据统计展示平台内关键指标数值，便于工作人员快速了解平台运行情况，包含统计数据、预警数据两大类。</w:t>
            </w:r>
          </w:p>
          <w:p w14:paraId="0599E10A">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 今日业务动态：今日业务动态展示平台内今日考勤情况、食材采购情况、订单金额情况、台账情况，便于工作人员快速了解今日业务动态。</w:t>
            </w:r>
          </w:p>
          <w:p w14:paraId="3B72E3CA">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 自定义板块：自定义板块实现工作人员根据自身工作需要与个人爱好，自定义板块，便于工作人员工作。</w:t>
            </w:r>
          </w:p>
          <w:p w14:paraId="49408B3B">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 帮助中心：帮助中心用于工作人员查看平台相关硬件操作说明、软件操作说明，以及相关规范，便于工作人员掌握平台使用方法。</w:t>
            </w:r>
          </w:p>
          <w:p w14:paraId="663178D6">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4.自定义驾驶舱：</w:t>
            </w:r>
          </w:p>
          <w:p w14:paraId="602A916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 创建驾驶舱：</w:t>
            </w:r>
          </w:p>
          <w:p w14:paraId="1F758AF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4.1.1 创建：通过“创建驾驶舱”按钮进行驾驶舱创建，自定义设置驾驶舱名称和图标。</w:t>
            </w:r>
          </w:p>
          <w:p w14:paraId="5CB5A92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4.1.2 修改：修改驾驶舱名称和图标信息。</w:t>
            </w:r>
          </w:p>
          <w:p w14:paraId="13E8CDE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4.1.3 删除：删除已创建的驾驶舱。</w:t>
            </w:r>
          </w:p>
          <w:p w14:paraId="4ED8F9B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 驾驶舱页面编辑：页面基础信息设置，如页面数量、页面标题、页面背景、屏幕大小等设置。</w:t>
            </w:r>
          </w:p>
          <w:p w14:paraId="2781327A">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 驾驶舱组件编辑：</w:t>
            </w:r>
          </w:p>
          <w:p w14:paraId="483E8A4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4.3.1 场景选择</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可以自主选择业务场景，如后厨管理、前厅用餐、食材采购、自定义场景等</w:t>
            </w:r>
          </w:p>
          <w:p w14:paraId="180161FB">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▲4.3.2 模块选择：包含阳光厨房、AI抓拍、物联预警、食安台账、人员信息、食材采购等食安模块进行自定义选择。</w:t>
            </w:r>
          </w:p>
          <w:p w14:paraId="0C3957A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4.3.3 页面布局：将需要展示的业务类型模块拖拽到驾驶舱内，并进行布局调整。</w:t>
            </w:r>
          </w:p>
          <w:p w14:paraId="557E2B06">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4.3.4 模块编辑：点击业务模块，可以编辑该模块的标题内容、排列设置、展示权限、展示样式等信息自定义编辑。</w:t>
            </w:r>
          </w:p>
          <w:p w14:paraId="0379DC3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 驾驶舱发布：</w:t>
            </w:r>
          </w:p>
          <w:p w14:paraId="3FFA965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4.4.1 暂存驾驶舱：可以暂存驾驶舱内容，并预览驾驶舱效果。</w:t>
            </w:r>
          </w:p>
          <w:p w14:paraId="42FA4B1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4.4.2 发布驾驶舱：驾驶舱发布后通过链接、APP在对应智慧大屏内展示。</w:t>
            </w:r>
          </w:p>
          <w:p w14:paraId="44223409">
            <w:pPr>
              <w:pStyle w:val="24"/>
              <w:spacing w:line="240" w:lineRule="auto"/>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二、智慧食堂综合管理系统移动端：</w:t>
            </w:r>
          </w:p>
          <w:p w14:paraId="43FBF3D1">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1.食堂员工管理后台H5端：</w:t>
            </w:r>
          </w:p>
          <w:p w14:paraId="71798832">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 首页：</w:t>
            </w:r>
          </w:p>
          <w:p w14:paraId="39D894B9">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 消息通知：系统内对应账号需要涉及的消息内容，可查看消息详情，设置已读状态</w:t>
            </w:r>
          </w:p>
          <w:p w14:paraId="10E4ABE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 台账管理：对应账号配置的台账权限查看、处理。</w:t>
            </w:r>
          </w:p>
          <w:p w14:paraId="6D1BBF0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1.1.3 AIOT智慧管理：</w:t>
            </w:r>
          </w:p>
          <w:p w14:paraId="7D96DD2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（1）视频直播：阳光视频直播查看，AI抓怕数据查看、处理，物联感知设备状态、数据查看。</w:t>
            </w:r>
          </w:p>
          <w:p w14:paraId="626DE6C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AI抓拍：抓拍结果用于组织管理人员通过食堂名称、食品经营许可证、抓拍时间查询该组织树下抓拍情况，平台自动统计该组织树下AI抓拍食堂总数、AI抓拍总数、今日抓拍数、今日处置数、昨日抓拍数、昨日处置数。查询后可查看食堂名称、食品经营许可证、年度评级、接入时间、操作（查看抓拍记录）。查看抓拍记录中以具体食堂为分析对象，可查看到预警类型、预警时间、开放状态，并支持按条件查询。</w:t>
            </w:r>
          </w:p>
          <w:p w14:paraId="0F5D80A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物联感知：风险预警用于组织管理人员通过食堂名称、食品经营许可证查询该组织树下物联设备预警情况，平台自动统计该组织树下物联感知食堂总数、物联预警总数、今日预警数、今日处置数、昨日预警数、昨日处置数。查询后，可查看食堂名称、食品经营许可证、年度评级、操作（查看记录），查看记录中可查看到温度预警、挡鼠板预警、智能插座预警的统计数据，并可查看到物联设备开放状态。</w:t>
            </w:r>
          </w:p>
          <w:p w14:paraId="2D9ACCE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1.1.4 培训考证：培训教育，掌上学习，在线培训，查看员工培训、考试记录；食安管理员在线考证，证书与浙江省市场监管局智能阳光厨房系统系统互通。</w:t>
            </w:r>
          </w:p>
          <w:p w14:paraId="333FAC1B">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1.1.5 检查管理：</w:t>
            </w:r>
          </w:p>
          <w:p w14:paraId="3762CC7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（1）自查自检：允许食堂工作人员依据既定检查模版，自主发起日常运营状况检查，记录并提交自查结果。</w:t>
            </w:r>
          </w:p>
          <w:p w14:paraId="3DCCE5F1">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（2）智能巡检：巡查任务查看、巡查点管理、任务数量、巡查次数、发现问题数量统计、已整改、未整改问题统计。</w:t>
            </w:r>
          </w:p>
          <w:p w14:paraId="6B189C56">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1.1.6 进销存：</w:t>
            </w:r>
          </w:p>
          <w:p w14:paraId="77E83509">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（1）单据管理：食材反算新增申购、手动新增申购、从申购单新增采购、食材反算新增采购、手动新增采购、申领管理。</w:t>
            </w:r>
          </w:p>
          <w:p w14:paraId="7E439109">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（2）流程审核：申购审核、采购审核、申领审核。</w:t>
            </w:r>
          </w:p>
          <w:p w14:paraId="089CDE2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 管理：</w:t>
            </w:r>
          </w:p>
          <w:p w14:paraId="12733E8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1.2.1 基础数据维护：</w:t>
            </w:r>
          </w:p>
          <w:p w14:paraId="082CC830">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（1）人员管理。</w:t>
            </w:r>
          </w:p>
          <w:p w14:paraId="64170D19">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（2）供应商管理。</w:t>
            </w:r>
          </w:p>
          <w:p w14:paraId="3EF0AD92">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（3）添加剂管理。</w:t>
            </w:r>
          </w:p>
          <w:p w14:paraId="431E0815">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（4）菜品食谱管理：在售菜单、标准菜品、标准套餐、分类、规格、小料、做法。</w:t>
            </w:r>
          </w:p>
          <w:p w14:paraId="71DD20D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 个人信息维护：</w:t>
            </w:r>
          </w:p>
          <w:p w14:paraId="4A8282A0">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1.3.1 人员信息、头像等维护。</w:t>
            </w:r>
          </w:p>
          <w:p w14:paraId="33C0791B">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1.3.2 消息中心：系统内对应账号需要涉及的消息内容，可查看消息详情，设置已读状态。</w:t>
            </w:r>
          </w:p>
          <w:p w14:paraId="56B44415">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1.3.3 培训记录：培训台账、考试台账查看。</w:t>
            </w:r>
          </w:p>
          <w:p w14:paraId="7A1CEA7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1.3.4 设置：可以修改密码、退出。</w:t>
            </w:r>
          </w:p>
          <w:p w14:paraId="5E4DD9EC">
            <w:pPr>
              <w:pStyle w:val="24"/>
              <w:spacing w:line="240" w:lineRule="auto"/>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三、智慧食堂综合管理系统（第三方应用）：</w:t>
            </w:r>
          </w:p>
          <w:p w14:paraId="1DA7C34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1.食材采购供应商端后台：</w:t>
            </w:r>
          </w:p>
          <w:p w14:paraId="1D392CE4">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 供应商PC端后台：</w:t>
            </w:r>
          </w:p>
          <w:p w14:paraId="02793F7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 供应商登录页：供应商有单独的登录后台，供应商账号为统一社会信信用代码，密码为系统初始密码。</w:t>
            </w:r>
          </w:p>
          <w:p w14:paraId="086F961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 采购订单：</w:t>
            </w:r>
          </w:p>
          <w:p w14:paraId="48CE9B7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（1）订单管理：供应商可以在供应商系统中，看到采购订单详情，包括订单编号、食堂名称、送达日期、提交日期、联系人、联系方式、订单状态等，可以在详情中查看食材信息，支持食材导出。</w:t>
            </w:r>
          </w:p>
          <w:p w14:paraId="777F0781">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（2）订单变更：可以点击发货，食材状态由待发货变为待验收。</w:t>
            </w:r>
          </w:p>
          <w:p w14:paraId="3AA79BF6">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（3）送货单：系统自动生成送货单，送货单上有采购订单信息、保质期、生产日期等信息，随货到，每月汇总送货单，包含送货物品名称，数量、单价、总计金额，每日明细送货单，包含每日送货物品详情。</w:t>
            </w:r>
          </w:p>
          <w:p w14:paraId="7607734B">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1.1.3 系统管理：对企业内用户、角色、功能菜单开发权限进行设置管理。</w:t>
            </w:r>
          </w:p>
          <w:p w14:paraId="09B945D0">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1.1.4浙食链管理（浙江省外不需要）：浙食链账号填报、供应商备案、经销商备案、商品备案、入库管理、出库管理、库存管理等。</w:t>
            </w:r>
          </w:p>
          <w:p w14:paraId="34E64C7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 供应商H5端后台：</w:t>
            </w:r>
          </w:p>
          <w:p w14:paraId="1906792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1.2.1 供应商登录页：供应商有单独的登录后台，供应商账号为统一社会信信用代码，密码为系统初始密码</w:t>
            </w:r>
          </w:p>
          <w:p w14:paraId="1106401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1.2.2 采购订单：供应商可以在供应商系统中，看到采购订单详情，包括订单编号、食堂名称、送达日期、提交日期、联系人、联系方式、订单状态等，可以在详情中查看食材信息，支持食材导出。</w:t>
            </w:r>
          </w:p>
          <w:p w14:paraId="230CFD09">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可以点击发货，食材状态由待发货变为待验收。</w:t>
            </w:r>
          </w:p>
          <w:p w14:paraId="2EA7A03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1.2.3 系统管理：用于账号登入、退出、密码修改。</w:t>
            </w:r>
          </w:p>
          <w:p w14:paraId="1A626FB6">
            <w:pPr>
              <w:pStyle w:val="24"/>
              <w:spacing w:line="240" w:lineRule="auto"/>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四、后勤仓储管理系统：</w:t>
            </w:r>
          </w:p>
          <w:p w14:paraId="61AF76C5">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1.后勤仓储管理系统：</w:t>
            </w:r>
          </w:p>
          <w:p w14:paraId="3E41F3A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 系统配置：</w:t>
            </w:r>
          </w:p>
          <w:p w14:paraId="494FDC22">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 分类管理：支持物料分类管理，支持无限分级。</w:t>
            </w:r>
          </w:p>
          <w:p w14:paraId="4F12670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 供应商管理：支持物料供应商管理。</w:t>
            </w:r>
          </w:p>
          <w:p w14:paraId="542A41C6">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1.1.3 字典维护：支持各类各类字典表维护，如物料规格、单位等。</w:t>
            </w:r>
          </w:p>
          <w:p w14:paraId="04871BA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1.1.4 仓储信息管理：支持仓储信息的管理，支持两校区多仓储模式。</w:t>
            </w:r>
          </w:p>
          <w:p w14:paraId="5572D105">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1.1.5 参数设置：支持系统各类参数设置和调整；如库存预警阈值等。</w:t>
            </w:r>
          </w:p>
          <w:p w14:paraId="7B2BD012">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1.1.6 数据安全：提供数据备份与恢复功能，确保数据安全。</w:t>
            </w:r>
          </w:p>
          <w:p w14:paraId="2E2BCE7E">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 权限管理：</w:t>
            </w:r>
          </w:p>
          <w:p w14:paraId="0DD9440B">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1.2.1 系统联动：与微后勤系统的用户管理体系进行联动，实现统一的用户管理；</w:t>
            </w:r>
          </w:p>
          <w:p w14:paraId="13ACE471">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1.2.2 角色权限：支持多用户操作，根据用户角色分配不同的操作权限。</w:t>
            </w:r>
          </w:p>
          <w:p w14:paraId="02EC11B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1.2.3 身份验证：与数字化平台进行</w:t>
            </w:r>
            <w:r>
              <w:rPr>
                <w:rFonts w:hint="eastAsia" w:hAnsi="宋体" w:cs="宋体"/>
                <w:color w:val="auto"/>
                <w:sz w:val="21"/>
                <w:szCs w:val="21"/>
                <w:highlight w:val="none"/>
                <w:lang w:val="en-US" w:eastAsia="zh-CN"/>
              </w:rPr>
              <w:t>联动</w:t>
            </w:r>
            <w:r>
              <w:rPr>
                <w:rFonts w:hint="eastAsia" w:ascii="宋体" w:hAnsi="宋体" w:eastAsia="宋体" w:cs="宋体"/>
                <w:color w:val="auto"/>
                <w:sz w:val="21"/>
                <w:szCs w:val="21"/>
                <w:highlight w:val="none"/>
                <w:lang w:val="en-US" w:eastAsia="zh-CN"/>
              </w:rPr>
              <w:t>，提供用户统一身份验证，确保系统安全性和便捷性。</w:t>
            </w:r>
          </w:p>
          <w:p w14:paraId="5AAE18A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 入库管理：</w:t>
            </w:r>
            <w:bookmarkStart w:id="191" w:name="_GoBack"/>
            <w:bookmarkEnd w:id="191"/>
          </w:p>
          <w:p w14:paraId="70835AF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1.3.1 入库方式：支持多种入库方式（如采购入库、退货入库等）。</w:t>
            </w:r>
          </w:p>
          <w:p w14:paraId="267A02D0">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1.3.2 入库管理：支持多种入库操作：如在线入库单添加和Excel批量导入的入库方式。</w:t>
            </w:r>
          </w:p>
          <w:p w14:paraId="557B14F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1.3.3 库存更新：库存自动更新，确保库存数据的实时性和准确性。</w:t>
            </w:r>
          </w:p>
          <w:p w14:paraId="2962B136">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 出库管理：</w:t>
            </w:r>
          </w:p>
          <w:p w14:paraId="0EA53F9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1.4.1 出库方式：支持多种出库方式（如领用出库、退货出库等）。</w:t>
            </w:r>
          </w:p>
          <w:p w14:paraId="46ABCDF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1.4.2 出库管理：支持多种出库操作：如在线出库单添加和Excel批量导入的出库方式。</w:t>
            </w:r>
          </w:p>
          <w:p w14:paraId="02AE65C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1.4.3 库存自动扣减：库存自动扣减，确保库存数据的实时更新。</w:t>
            </w:r>
          </w:p>
          <w:p w14:paraId="34DAFDFA">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 使用管理：</w:t>
            </w:r>
          </w:p>
          <w:p w14:paraId="75A3E3AA">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1.5.1 手工领用：支持领用物品的查询。</w:t>
            </w:r>
          </w:p>
          <w:p w14:paraId="3F046C4E">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1.5.2 使用状态：支持物品使用状态的标记，登记使用名称、数量、用途、对象、时间等信息。</w:t>
            </w:r>
          </w:p>
          <w:p w14:paraId="6E9A250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1.5.3 使用库存信息：支持员工手头的物料库存信息，包括物料名称、规格、数量等。</w:t>
            </w:r>
          </w:p>
          <w:p w14:paraId="272B9F84">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 库存管理：</w:t>
            </w:r>
          </w:p>
          <w:p w14:paraId="2FA01EB2">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1.6.1 实时库存：实时显示库存信息，包括商品名称、规格、数量、库存位置等。</w:t>
            </w:r>
          </w:p>
          <w:p w14:paraId="3D7B9F1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1.6.2 库存查询：库存物品的综合查询功能，能通过名称、领用人、日期等多种方式进行库存查询。</w:t>
            </w:r>
          </w:p>
          <w:p w14:paraId="75062C6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1.6.3 库存流向查询：库存物料的流向查询：支持物品从入库到领用出库等多个环节过程信息的查询。</w:t>
            </w:r>
          </w:p>
          <w:p w14:paraId="1EF9111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1.6.4 库存盘点：支持库存盘点功能，定期或不定期对库存进行盘点，确保账实相符。</w:t>
            </w:r>
          </w:p>
          <w:p w14:paraId="7DC6E406">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1.6.5 库存预警：库存预警功能，当库存数量低于或高于预设阈值时，自动发出预警信息。</w:t>
            </w:r>
          </w:p>
          <w:p w14:paraId="060686F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 查询与统计：</w:t>
            </w:r>
          </w:p>
          <w:p w14:paraId="32A44210">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1.7.1 查询方式：提供多种查询方式（如按商品名称、规格、供应商等查询）。</w:t>
            </w:r>
          </w:p>
          <w:p w14:paraId="304B7694">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1.7.2 库存统计报表：支持库存统计功能，生成各类统计报表（如库存明细表、出入库汇总表等）。</w:t>
            </w:r>
          </w:p>
          <w:p w14:paraId="7E0283A6">
            <w:pPr>
              <w:pStyle w:val="24"/>
              <w:spacing w:line="240" w:lineRule="auto"/>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▲五、采供智治数据上传：</w:t>
            </w:r>
          </w:p>
          <w:p w14:paraId="2AEBB369">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1.数据归集上传：</w:t>
            </w:r>
          </w:p>
          <w:p w14:paraId="0E1D413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 老系统数据上传：现有系统数据数据清洗转换归集并上传到采供智治平台。</w:t>
            </w:r>
          </w:p>
          <w:p w14:paraId="120274B3">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 新系统数据上传：新建进销存（食材反算）管理系统数据清洗转换归集并上传到采供智治平台。数据互联互通功能包括：</w:t>
            </w:r>
          </w:p>
          <w:p w14:paraId="448CC1C4">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（1）数据标准化：定义统一的数据格式与接口规范，确保各子系统数据可被准确采集与解析；</w:t>
            </w:r>
          </w:p>
          <w:p w14:paraId="3DEAB265">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（2）数据归集：从采购、仓储、销售等系统自动抽取关键数据，整合至数据中台；</w:t>
            </w:r>
          </w:p>
          <w:p w14:paraId="3029D36A">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（3）数据上传：按照政府或学校要求，定期将数据上传至指定平台（如财政采购系统、食品安全监管平台等）；</w:t>
            </w:r>
          </w:p>
          <w:p w14:paraId="1D71E262">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（4）数据安全：采用加密传输、权限控制等技术，确保数据在归集与上传过程中的安全性与合规性；</w:t>
            </w:r>
          </w:p>
          <w:p w14:paraId="33F59E54">
            <w:pPr>
              <w:pStyle w:val="58"/>
              <w:numPr>
                <w:ilvl w:val="6"/>
                <w:numId w:val="0"/>
              </w:numPr>
              <w:tabs>
                <w:tab w:val="left" w:pos="822"/>
                <w:tab w:val="left" w:pos="3120"/>
              </w:tabs>
              <w:spacing w:line="240" w:lineRule="auto"/>
              <w:ind w:left="0" w:leftChars="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
              </w:rPr>
              <w:t>（5）既要实时满足教育厅“采供智治”数据上行当下的要求也须满足增添新的功能要求；须符合前期省市场监管局对于食品安全“食堂智治”相关数据的上行要求，做到功能齐全，结构清晰，数据互联互通，避免多系统的数据孤岛。</w:t>
            </w:r>
          </w:p>
          <w:p w14:paraId="1CC3F923">
            <w:pPr>
              <w:pStyle w:val="24"/>
              <w:spacing w:line="240" w:lineRule="auto"/>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六、智能电子验收秤（3台）：</w:t>
            </w:r>
          </w:p>
          <w:p w14:paraId="2518597B">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1.外壳材质：机身碳钢，底座、盖板为不锈钢。</w:t>
            </w:r>
          </w:p>
          <w:p w14:paraId="7A700431">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2.尺寸大小：≥450*1390*905mm（宽*高*厚），高度可延长至2060mm及以上。</w:t>
            </w:r>
          </w:p>
          <w:p w14:paraId="1F42ADF2">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3.额定电压：220VAC±10%@50Hz。</w:t>
            </w:r>
          </w:p>
          <w:p w14:paraId="4897772A">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4.电源功率：≤50W。</w:t>
            </w:r>
          </w:p>
          <w:p w14:paraId="55DD52F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5.CPU：不低于四核64位ARMCortex-A552.0GHz。</w:t>
            </w:r>
          </w:p>
          <w:p w14:paraId="20EADAB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6.操作系统：不低于Android12。</w:t>
            </w:r>
          </w:p>
          <w:p w14:paraId="1AECD64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7.内存/存储：不低于4GB/32GB。</w:t>
            </w:r>
          </w:p>
          <w:p w14:paraId="01BE312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8.安装方式：立式，带滚轮（带移动把手）。</w:t>
            </w:r>
          </w:p>
          <w:p w14:paraId="0C4D3E65">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9.联网方式：3G/4G、WiFi、以太网（默认）、SIM卡。</w:t>
            </w:r>
          </w:p>
          <w:p w14:paraId="19B8D9F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10.屏幕尺寸：≥15.6寸TFT-LCD横屏。</w:t>
            </w:r>
          </w:p>
          <w:p w14:paraId="5AAA4CC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11.屏幕分辨率：≥1920*1080。</w:t>
            </w:r>
          </w:p>
          <w:p w14:paraId="3618DC19">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12.屏幕亮度：≥200cd/m</w:t>
            </w:r>
            <w:r>
              <w:rPr>
                <w:rFonts w:hint="eastAsia" w:ascii="宋体" w:hAnsi="宋体" w:eastAsia="宋体" w:cs="宋体"/>
                <w:color w:val="auto"/>
                <w:sz w:val="21"/>
                <w:szCs w:val="21"/>
                <w:highlight w:val="none"/>
                <w:vertAlign w:val="superscript"/>
                <w:lang w:val="en-US" w:eastAsia="zh-CN"/>
              </w:rPr>
              <w:t>2</w:t>
            </w:r>
            <w:r>
              <w:rPr>
                <w:rFonts w:hint="eastAsia" w:ascii="宋体" w:hAnsi="宋体" w:eastAsia="宋体" w:cs="宋体"/>
                <w:color w:val="auto"/>
                <w:sz w:val="21"/>
                <w:szCs w:val="21"/>
                <w:highlight w:val="none"/>
                <w:vertAlign w:val="baseline"/>
                <w:lang w:val="en-US" w:eastAsia="zh-CN"/>
              </w:rPr>
              <w:t>。</w:t>
            </w:r>
          </w:p>
          <w:p w14:paraId="1D232DE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13.屏幕显示方向：至少称台正面到称台反面180°可调整。</w:t>
            </w:r>
          </w:p>
          <w:p w14:paraId="1086ED1A">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14.触摸种类：电容触摸。</w:t>
            </w:r>
          </w:p>
          <w:p w14:paraId="48E3571E">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15.打印纸类型：热敏纸卷。</w:t>
            </w:r>
          </w:p>
          <w:p w14:paraId="5F3CBC59">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16.打印纸宽度：≤58mm。</w:t>
            </w:r>
          </w:p>
          <w:p w14:paraId="16C422F4">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17.打印纸直径：≤50mm。</w:t>
            </w:r>
          </w:p>
          <w:p w14:paraId="69E8BF4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18.支持切刀。</w:t>
            </w:r>
          </w:p>
          <w:p w14:paraId="70C69C2B">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19.摄像头数量：3个（人脸识别+秤台拍照+AI识别）。</w:t>
            </w:r>
          </w:p>
          <w:p w14:paraId="1E843F5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20.人脸识别摄像头：200W像素；安装位置：内置在显示屏内部。</w:t>
            </w:r>
          </w:p>
          <w:p w14:paraId="6559617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21.秤台拍照摄像头：500W像素；安装位置：高物秤台拍照，带补光灯。</w:t>
            </w:r>
          </w:p>
          <w:p w14:paraId="0D49DE7E">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AI识别摄像头：500W像素；安装位置：内置屏幕后侧横杠。</w:t>
            </w:r>
          </w:p>
          <w:p w14:paraId="2E30822A">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22.称重显示：称台面带数码显示。</w:t>
            </w:r>
          </w:p>
          <w:p w14:paraId="094DB5F9">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23.量程：≥150kg。</w:t>
            </w:r>
          </w:p>
          <w:p w14:paraId="0249F274">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24.称重分度值：≤50g。</w:t>
            </w:r>
          </w:p>
          <w:p w14:paraId="3947497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25.秤台大小：≥450*600mm。</w:t>
            </w:r>
          </w:p>
          <w:p w14:paraId="46C3BE5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26.称台材质：不锈钢。</w:t>
            </w:r>
          </w:p>
          <w:p w14:paraId="4842F83E">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27.语音播报：双声道8Ω2W。</w:t>
            </w:r>
          </w:p>
          <w:p w14:paraId="0D16FBD9">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28.USB接口：USB2.0A*2。</w:t>
            </w:r>
          </w:p>
          <w:p w14:paraId="2E9005D1">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29.有线网口：RJ45*1。</w:t>
            </w:r>
          </w:p>
          <w:p w14:paraId="55FBA1D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30.智能验收：集称重、拍照、数据上传功能为一体。</w:t>
            </w:r>
          </w:p>
          <w:p w14:paraId="0848194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验收台账：食堂订单数据可同步至电子秤上，根据订单明细验收食材配送，支持退货和换货记录，详细记录每次验收的食材重量、数量、规格、配送时间、验收人员。同时电子秤支持食材照片拍摄，确保配送食材与实际订单相符。验收后，自动生成采购验收台账（自动生成众食安采购台账），记录每日验收的情况，当有订单未验收时，提醒食堂人员进行处理。</w:t>
            </w:r>
          </w:p>
          <w:p w14:paraId="2B5906A0">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▲32.支持与浙江省市场监管局智能阳光厨房系统系统信息互通，做到采购台帐自定义上传至浙江省市场监管局智能阳光厨房系统平台。</w:t>
            </w:r>
          </w:p>
          <w:p w14:paraId="53C8519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▲33.支持与浙食链系统信息互通，采购食材自动获取浙食链信息。</w:t>
            </w:r>
          </w:p>
        </w:tc>
      </w:tr>
      <w:tr w14:paraId="5EB5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000" w:type="pct"/>
            <w:gridSpan w:val="5"/>
            <w:vAlign w:val="center"/>
          </w:tcPr>
          <w:p w14:paraId="429EC20C">
            <w:pPr>
              <w:pStyle w:val="3"/>
              <w:tabs>
                <w:tab w:val="left" w:pos="432"/>
              </w:tabs>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注：以上设备均为国产产品。</w:t>
            </w:r>
          </w:p>
        </w:tc>
      </w:tr>
    </w:tbl>
    <w:p w14:paraId="577B8E7A">
      <w:pPr>
        <w:keepNext w:val="0"/>
        <w:keepLines w:val="0"/>
        <w:pageBreakBefore w:val="0"/>
        <w:widowControl w:val="0"/>
        <w:kinsoku/>
        <w:wordWrap/>
        <w:overflowPunct/>
        <w:topLinePunct w:val="0"/>
        <w:autoSpaceDE/>
        <w:autoSpaceDN/>
        <w:bidi w:val="0"/>
        <w:adjustRightInd w:val="0"/>
        <w:snapToGrid w:val="0"/>
        <w:spacing w:line="288" w:lineRule="auto"/>
        <w:ind w:left="0" w:firstLine="422" w:firstLineChars="200"/>
        <w:jc w:val="both"/>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4.演示：</w:t>
      </w:r>
    </w:p>
    <w:p w14:paraId="553DDD51">
      <w:pPr>
        <w:keepNext w:val="0"/>
        <w:keepLines w:val="0"/>
        <w:pageBreakBefore w:val="0"/>
        <w:widowControl w:val="0"/>
        <w:kinsoku/>
        <w:wordWrap/>
        <w:overflowPunct/>
        <w:topLinePunct w:val="0"/>
        <w:autoSpaceDE/>
        <w:autoSpaceDN/>
        <w:bidi w:val="0"/>
        <w:adjustRightInd w:val="0"/>
        <w:snapToGrid w:val="0"/>
        <w:spacing w:line="288" w:lineRule="auto"/>
        <w:ind w:left="0" w:firstLine="422" w:firstLineChars="200"/>
        <w:jc w:val="both"/>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 供应商演示内容需为真人操作软件录制的视频进行。</w:t>
      </w:r>
    </w:p>
    <w:p w14:paraId="6338EA80">
      <w:pPr>
        <w:keepNext w:val="0"/>
        <w:keepLines w:val="0"/>
        <w:pageBreakBefore w:val="0"/>
        <w:widowControl w:val="0"/>
        <w:kinsoku/>
        <w:wordWrap/>
        <w:overflowPunct/>
        <w:topLinePunct w:val="0"/>
        <w:autoSpaceDE/>
        <w:autoSpaceDN/>
        <w:bidi w:val="0"/>
        <w:adjustRightInd w:val="0"/>
        <w:snapToGrid w:val="0"/>
        <w:spacing w:line="288" w:lineRule="auto"/>
        <w:ind w:left="0" w:firstLine="422" w:firstLineChars="200"/>
        <w:jc w:val="both"/>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▲4.2 未提供任何演示的响应无效。以PPT、非真人操作软件录制的视频、图片等视同未演示，响应无效。</w:t>
      </w:r>
    </w:p>
    <w:p w14:paraId="7609E33F">
      <w:pPr>
        <w:keepNext w:val="0"/>
        <w:keepLines w:val="0"/>
        <w:pageBreakBefore w:val="0"/>
        <w:widowControl w:val="0"/>
        <w:kinsoku/>
        <w:wordWrap/>
        <w:overflowPunct/>
        <w:topLinePunct w:val="0"/>
        <w:autoSpaceDE/>
        <w:autoSpaceDN/>
        <w:bidi w:val="0"/>
        <w:adjustRightInd w:val="0"/>
        <w:snapToGrid w:val="0"/>
        <w:spacing w:line="288" w:lineRule="auto"/>
        <w:ind w:left="0" w:firstLine="422" w:firstLineChars="200"/>
        <w:jc w:val="both"/>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4.3 演示内容：</w:t>
      </w:r>
    </w:p>
    <w:p w14:paraId="028BD0A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（1）规则配置需要能满足各种业务场景，具体需要包括：</w:t>
      </w:r>
    </w:p>
    <w:p w14:paraId="2885C0D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支持配置合同超额比例；合同累计下单金额超出配置金额后，系统禁止再通过此合同下单</w:t>
      </w:r>
      <w:r>
        <w:rPr>
          <w:rFonts w:hint="eastAsia" w:cs="宋体"/>
          <w:b w:val="0"/>
          <w:bCs w:val="0"/>
          <w:color w:val="auto"/>
          <w:sz w:val="21"/>
          <w:szCs w:val="21"/>
          <w:highlight w:val="none"/>
          <w:lang w:val="en-US" w:eastAsia="zh-CN"/>
        </w:rPr>
        <w:t>；</w:t>
      </w:r>
    </w:p>
    <w:p w14:paraId="6C33069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支持单据排序规则配置，可按照添加时间和食材编号排序，确保所有采购、配送、验收单据顺序一致；</w:t>
      </w:r>
    </w:p>
    <w:p w14:paraId="4C76EF6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支持配置预采购；系统可配置未来的价格，并可设置未来的待定价格，以方便价格还未确定时可以先进行下单</w:t>
      </w:r>
      <w:r>
        <w:rPr>
          <w:rFonts w:hint="eastAsia" w:cs="宋体"/>
          <w:b w:val="0"/>
          <w:bCs w:val="0"/>
          <w:color w:val="auto"/>
          <w:sz w:val="21"/>
          <w:szCs w:val="21"/>
          <w:highlight w:val="none"/>
          <w:lang w:val="en-US" w:eastAsia="zh-CN"/>
        </w:rPr>
        <w:t>；</w:t>
      </w:r>
    </w:p>
    <w:p w14:paraId="2B60F4C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支持配置自动拆单、自动合单；申购人员可以一次性提交多个品类的采购需求，系统需要支持按照供应商和分类自动进行订单的拆分；采购人员补充采购需求时，系统支持自动合并到当天同分类、同供应商的订单中</w:t>
      </w:r>
      <w:r>
        <w:rPr>
          <w:rFonts w:hint="eastAsia" w:cs="宋体"/>
          <w:b w:val="0"/>
          <w:bCs w:val="0"/>
          <w:color w:val="auto"/>
          <w:sz w:val="21"/>
          <w:szCs w:val="21"/>
          <w:highlight w:val="none"/>
          <w:lang w:val="en-US" w:eastAsia="zh-CN"/>
        </w:rPr>
        <w:t>；</w:t>
      </w:r>
    </w:p>
    <w:p w14:paraId="3915159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支持配置价格可采用下单时价格或者验收时价格；</w:t>
      </w:r>
    </w:p>
    <w:p w14:paraId="39860C9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支持按分类配置验收精度；系统需要按照不同的分类分别设置验收精度，每种精度都需要支持四舍五入或截断方式</w:t>
      </w:r>
      <w:r>
        <w:rPr>
          <w:rFonts w:hint="eastAsia" w:cs="宋体"/>
          <w:b w:val="0"/>
          <w:bCs w:val="0"/>
          <w:color w:val="auto"/>
          <w:sz w:val="21"/>
          <w:szCs w:val="21"/>
          <w:highlight w:val="none"/>
          <w:lang w:val="en-US" w:eastAsia="zh-CN"/>
        </w:rPr>
        <w:t>；</w:t>
      </w:r>
    </w:p>
    <w:p w14:paraId="75E35E8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支持配置电子签名；</w:t>
      </w:r>
    </w:p>
    <w:p w14:paraId="159C620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支持配置超额验收比例，并可设置例外；</w:t>
      </w:r>
    </w:p>
    <w:p w14:paraId="1EA3C9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支持按不同组织、不同类别设置默认验收仓库。</w:t>
      </w:r>
    </w:p>
    <w:p w14:paraId="56B4F10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（2）采购业务作为系统核心业务，需要支持多种采购方式</w:t>
      </w:r>
      <w:r>
        <w:rPr>
          <w:rFonts w:hint="eastAsia" w:cs="宋体"/>
          <w:b w:val="0"/>
          <w:bCs w:val="0"/>
          <w:color w:val="auto"/>
          <w:sz w:val="21"/>
          <w:szCs w:val="21"/>
          <w:highlight w:val="none"/>
          <w:lang w:val="en-US" w:eastAsia="zh-CN"/>
        </w:rPr>
        <w:t>：</w:t>
      </w:r>
    </w:p>
    <w:p w14:paraId="1CBC42B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采购订单实现对当前组织树下采购订单的统一管理；</w:t>
      </w:r>
    </w:p>
    <w:p w14:paraId="1889F31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可导出订单；导出订单需要支持异步导出方式</w:t>
      </w:r>
      <w:r>
        <w:rPr>
          <w:rFonts w:hint="eastAsia" w:cs="宋体"/>
          <w:b w:val="0"/>
          <w:bCs w:val="0"/>
          <w:color w:val="auto"/>
          <w:sz w:val="21"/>
          <w:szCs w:val="21"/>
          <w:highlight w:val="none"/>
          <w:lang w:val="en-US" w:eastAsia="zh-CN"/>
        </w:rPr>
        <w:t>；</w:t>
      </w:r>
    </w:p>
    <w:p w14:paraId="2B451EE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从申购单新增、手动创建、食材反算创建；从申购单新增时，系统需要能够对申购单进行选择，系统自动汇总申购单中的食材数量，并可调整汇总数量；可对申购单进行修改和驳回处理；手动创建时，系统支持按照导入方式和搜索方式进行食材的添加。需要支持食材反算创建采购单，根据所选菜品的数量，反向计算需要的食材数量，并可直接创建采购单</w:t>
      </w:r>
      <w:r>
        <w:rPr>
          <w:rFonts w:hint="eastAsia" w:cs="宋体"/>
          <w:b w:val="0"/>
          <w:bCs w:val="0"/>
          <w:color w:val="auto"/>
          <w:sz w:val="21"/>
          <w:szCs w:val="21"/>
          <w:highlight w:val="none"/>
          <w:lang w:val="en-US" w:eastAsia="zh-CN"/>
        </w:rPr>
        <w:t>；</w:t>
      </w:r>
    </w:p>
    <w:p w14:paraId="4A9AB5A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可通过下单时间、期望送达日期、订单编号、收货方、供应方、订单类型、订单状态进行查询</w:t>
      </w:r>
      <w:r>
        <w:rPr>
          <w:rFonts w:hint="eastAsia" w:cs="宋体"/>
          <w:b w:val="0"/>
          <w:bCs w:val="0"/>
          <w:color w:val="auto"/>
          <w:sz w:val="21"/>
          <w:szCs w:val="21"/>
          <w:highlight w:val="none"/>
          <w:lang w:val="en-US" w:eastAsia="zh-CN"/>
        </w:rPr>
        <w:t>；</w:t>
      </w:r>
    </w:p>
    <w:p w14:paraId="402E549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查询后，可查看订单编号、期望送达日期、类型、供应方、收货方、下单人、下单时间、种类数量、预估总计、实际总价、订单状态。</w:t>
      </w:r>
    </w:p>
    <w:p w14:paraId="45DA46B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（3）入库单用于查询平台内入库单信息，可通过入库仓库、入库类型、入库时间、入库编号、审核状态进行查询</w:t>
      </w:r>
      <w:r>
        <w:rPr>
          <w:rFonts w:hint="eastAsia" w:cs="宋体"/>
          <w:b w:val="0"/>
          <w:bCs w:val="0"/>
          <w:color w:val="auto"/>
          <w:sz w:val="21"/>
          <w:szCs w:val="21"/>
          <w:highlight w:val="none"/>
          <w:lang w:val="en-US" w:eastAsia="zh-CN"/>
        </w:rPr>
        <w:t>：</w:t>
      </w:r>
    </w:p>
    <w:p w14:paraId="428CB54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可实现查看详情；订单详情中需要体现该单据的具体审批节点和流程；支持修改备注信息和三方单号信息；</w:t>
      </w:r>
    </w:p>
    <w:p w14:paraId="2327100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支持查看入库单相关采购单；点击单据编号可直接进入对应采购单页面</w:t>
      </w:r>
      <w:r>
        <w:rPr>
          <w:rFonts w:hint="eastAsia" w:cs="宋体"/>
          <w:b w:val="0"/>
          <w:bCs w:val="0"/>
          <w:color w:val="auto"/>
          <w:sz w:val="21"/>
          <w:szCs w:val="21"/>
          <w:highlight w:val="none"/>
          <w:lang w:val="en-US" w:eastAsia="zh-CN"/>
        </w:rPr>
        <w:t>；</w:t>
      </w:r>
    </w:p>
    <w:p w14:paraId="00E97B1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支持记录入库单改动明细记录，记录需包括操作时间，操作人员，操作类型，操作记录，操作记录中包括原信息和修改后信息</w:t>
      </w:r>
      <w:r>
        <w:rPr>
          <w:rFonts w:hint="eastAsia" w:cs="宋体"/>
          <w:b w:val="0"/>
          <w:bCs w:val="0"/>
          <w:color w:val="auto"/>
          <w:sz w:val="21"/>
          <w:szCs w:val="21"/>
          <w:highlight w:val="none"/>
          <w:lang w:val="en-US" w:eastAsia="zh-CN"/>
        </w:rPr>
        <w:t>；</w:t>
      </w:r>
    </w:p>
    <w:p w14:paraId="44A619B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可实现对查询结果打印；</w:t>
      </w:r>
    </w:p>
    <w:p w14:paraId="33837E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可新建入库。新建入库时，需要支持录单模式，选择入库仓库、入库类型、入库时间，从食材库添加入库食材，确定完成入库</w:t>
      </w:r>
      <w:r>
        <w:rPr>
          <w:rFonts w:hint="eastAsia" w:cs="宋体"/>
          <w:b w:val="0"/>
          <w:bCs w:val="0"/>
          <w:color w:val="auto"/>
          <w:sz w:val="21"/>
          <w:szCs w:val="21"/>
          <w:highlight w:val="none"/>
          <w:lang w:val="en-US" w:eastAsia="zh-CN"/>
        </w:rPr>
        <w:t>；</w:t>
      </w:r>
    </w:p>
    <w:p w14:paraId="1EC442D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入库单支持冲红；入库冲红时，可以选择单个食材进行冲红操作；进行冲红操作时，系统自动按照库存充足情况提示能否冲红；</w:t>
      </w:r>
    </w:p>
    <w:p w14:paraId="20723D1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冲后后支持自动提示需修正单据；冲红后，列表内提示需要修正的单据。</w:t>
      </w:r>
    </w:p>
    <w:p w14:paraId="0FFB1B5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（4）入库明细：入库明细用于查看平台内入库明细情况</w:t>
      </w:r>
      <w:r>
        <w:rPr>
          <w:rFonts w:hint="eastAsia" w:cs="宋体"/>
          <w:b w:val="0"/>
          <w:bCs w:val="0"/>
          <w:color w:val="auto"/>
          <w:sz w:val="21"/>
          <w:szCs w:val="21"/>
          <w:highlight w:val="none"/>
          <w:lang w:val="en-US" w:eastAsia="zh-CN"/>
        </w:rPr>
        <w:t>：</w:t>
      </w:r>
    </w:p>
    <w:p w14:paraId="4EC3EB4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入库明细列表支持设置哪些字段需要显示；</w:t>
      </w:r>
    </w:p>
    <w:p w14:paraId="64BC980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入库明细列表支持设置字段的显示顺序；</w:t>
      </w:r>
    </w:p>
    <w:p w14:paraId="29073B6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可通过日期、食材分类、食材名称、供应商、入库单号、条码、批次号、是否直进直出进行查询，可实现查询结果导出，导出需要支持异步模式</w:t>
      </w:r>
      <w:r>
        <w:rPr>
          <w:rFonts w:hint="eastAsia" w:cs="宋体"/>
          <w:b w:val="0"/>
          <w:bCs w:val="0"/>
          <w:color w:val="auto"/>
          <w:sz w:val="21"/>
          <w:szCs w:val="21"/>
          <w:highlight w:val="none"/>
          <w:lang w:val="en-US" w:eastAsia="zh-CN"/>
        </w:rPr>
        <w:t>；</w:t>
      </w:r>
    </w:p>
    <w:p w14:paraId="3D0F197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（5）账目需要支持系统自动对账，提升用户效率</w:t>
      </w:r>
      <w:r>
        <w:rPr>
          <w:rFonts w:hint="eastAsia" w:cs="宋体"/>
          <w:b w:val="0"/>
          <w:bCs w:val="0"/>
          <w:color w:val="auto"/>
          <w:sz w:val="21"/>
          <w:szCs w:val="21"/>
          <w:highlight w:val="none"/>
          <w:lang w:val="en-US" w:eastAsia="zh-CN"/>
        </w:rPr>
        <w:t>：</w:t>
      </w:r>
    </w:p>
    <w:p w14:paraId="6458BAB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价格对账，每日根据报货情况，结合每日料单实行仓库审核、核算复核，进行每日对账匹配；按照月维度，统计采购价格、入库价格、销售价格、价格调整记录进行对账匹配；价格对账需要支持选择账期后发起对账，支持设置允许同一食材允许出现不同价格的数量</w:t>
      </w:r>
      <w:r>
        <w:rPr>
          <w:rFonts w:hint="eastAsia" w:cs="宋体"/>
          <w:b w:val="0"/>
          <w:bCs w:val="0"/>
          <w:color w:val="auto"/>
          <w:sz w:val="21"/>
          <w:szCs w:val="21"/>
          <w:highlight w:val="none"/>
          <w:lang w:val="en-US" w:eastAsia="zh-CN"/>
        </w:rPr>
        <w:t>；</w:t>
      </w:r>
    </w:p>
    <w:p w14:paraId="0EE01B3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库存对账：按照月维度，统计期初库存、入库数量、出库数量、库存余额进行对账匹配；系统支持选择账期和时间范围发起对账；对账完成后支持查看对账详情，需要能够体现每个食材的对账差异情况</w:t>
      </w:r>
      <w:r>
        <w:rPr>
          <w:rFonts w:hint="eastAsia" w:cs="宋体"/>
          <w:b w:val="0"/>
          <w:bCs w:val="0"/>
          <w:color w:val="auto"/>
          <w:sz w:val="21"/>
          <w:szCs w:val="21"/>
          <w:highlight w:val="none"/>
          <w:lang w:val="en-US" w:eastAsia="zh-CN"/>
        </w:rPr>
        <w:t>；</w:t>
      </w:r>
    </w:p>
    <w:p w14:paraId="348ADF0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采购对账：按照月维度，进行订单与发票、订单与收货、发票与付款的采购信息对账。系统支持选择账期和时间范围发起对账，并自动提示对账的差异情况。</w:t>
      </w:r>
    </w:p>
    <w:p w14:paraId="41BDE495">
      <w:pPr>
        <w:keepNext w:val="0"/>
        <w:keepLines w:val="0"/>
        <w:pageBreakBefore w:val="0"/>
        <w:widowControl w:val="0"/>
        <w:numPr>
          <w:ilvl w:val="0"/>
          <w:numId w:val="0"/>
        </w:numPr>
        <w:kinsoku/>
        <w:wordWrap/>
        <w:overflowPunct/>
        <w:topLinePunct w:val="0"/>
        <w:autoSpaceDE/>
        <w:autoSpaceDN/>
        <w:bidi w:val="0"/>
        <w:spacing w:line="288" w:lineRule="auto"/>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r>
        <w:rPr>
          <w:rFonts w:hint="eastAsia"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 xml:space="preserve"> 演示U盘：</w:t>
      </w:r>
    </w:p>
    <w:p w14:paraId="6BAA690E">
      <w:pPr>
        <w:keepNext w:val="0"/>
        <w:keepLines w:val="0"/>
        <w:pageBreakBefore w:val="0"/>
        <w:widowControl w:val="0"/>
        <w:numPr>
          <w:ilvl w:val="0"/>
          <w:numId w:val="0"/>
        </w:numPr>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（1）供应商需将以上演示及讲解过程录制视频，演示时长不超过10分钟以.mp4格式存储于U盘。</w:t>
      </w:r>
    </w:p>
    <w:p w14:paraId="1316B1FC">
      <w:pPr>
        <w:keepNext w:val="0"/>
        <w:keepLines w:val="0"/>
        <w:pageBreakBefore w:val="0"/>
        <w:widowControl w:val="0"/>
        <w:numPr>
          <w:ilvl w:val="0"/>
          <w:numId w:val="0"/>
        </w:numPr>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（2）演示U盘在响应截止时间前与响应文件一同递交，演示U盘应当密封包装并在包装上标注演示U盘、响应项目名称、响应供应商名称并加盖公章。</w:t>
      </w:r>
    </w:p>
    <w:p w14:paraId="4171850B">
      <w:pPr>
        <w:adjustRightInd w:val="0"/>
        <w:snapToGrid w:val="0"/>
        <w:spacing w:line="288" w:lineRule="auto"/>
        <w:ind w:firstLine="420" w:firstLineChars="200"/>
        <w:jc w:val="both"/>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（3）未按磋商文件要求提供演示U盘造成专家无法正常评审的风险由供应商自行承担。</w:t>
      </w:r>
    </w:p>
    <w:p w14:paraId="51D63441">
      <w:pPr>
        <w:adjustRightInd w:val="0"/>
        <w:snapToGrid w:val="0"/>
        <w:spacing w:line="288" w:lineRule="auto"/>
        <w:jc w:val="center"/>
        <w:outlineLvl w:val="0"/>
        <w:rPr>
          <w:b/>
          <w:bCs/>
          <w:color w:val="auto"/>
          <w:sz w:val="32"/>
          <w:szCs w:val="32"/>
          <w:highlight w:val="none"/>
        </w:rPr>
      </w:pPr>
      <w:r>
        <w:rPr>
          <w:rFonts w:hint="eastAsia"/>
          <w:b/>
          <w:bCs/>
          <w:color w:val="auto"/>
          <w:highlight w:val="none"/>
        </w:rPr>
        <w:br w:type="page"/>
      </w:r>
      <w:bookmarkStart w:id="53" w:name="_Toc2083"/>
      <w:bookmarkStart w:id="54" w:name="_Toc31862"/>
      <w:bookmarkStart w:id="55" w:name="_Toc2599"/>
      <w:bookmarkStart w:id="56" w:name="_Toc4159"/>
      <w:bookmarkStart w:id="57" w:name="_Toc31552"/>
      <w:bookmarkStart w:id="58" w:name="_Toc3747"/>
      <w:bookmarkStart w:id="59" w:name="_Toc3307"/>
      <w:r>
        <w:rPr>
          <w:rFonts w:hint="eastAsia"/>
          <w:b/>
          <w:bCs/>
          <w:color w:val="auto"/>
          <w:sz w:val="32"/>
          <w:szCs w:val="32"/>
          <w:highlight w:val="none"/>
        </w:rPr>
        <w:t>第三章  供应商须知</w:t>
      </w:r>
      <w:bookmarkEnd w:id="53"/>
      <w:bookmarkEnd w:id="54"/>
      <w:bookmarkEnd w:id="55"/>
      <w:bookmarkEnd w:id="56"/>
      <w:bookmarkEnd w:id="57"/>
      <w:bookmarkEnd w:id="58"/>
      <w:bookmarkEnd w:id="59"/>
    </w:p>
    <w:p w14:paraId="3BCD8D75">
      <w:pPr>
        <w:adjustRightInd w:val="0"/>
        <w:snapToGrid w:val="0"/>
        <w:spacing w:line="288" w:lineRule="auto"/>
        <w:jc w:val="center"/>
        <w:outlineLvl w:val="1"/>
        <w:rPr>
          <w:b/>
          <w:bCs/>
          <w:color w:val="auto"/>
          <w:sz w:val="21"/>
          <w:szCs w:val="21"/>
          <w:highlight w:val="none"/>
        </w:rPr>
      </w:pPr>
      <w:bookmarkStart w:id="60" w:name="_Toc32532"/>
      <w:bookmarkStart w:id="61" w:name="_Toc31020"/>
      <w:bookmarkStart w:id="62" w:name="_Toc19309"/>
      <w:r>
        <w:rPr>
          <w:rFonts w:hint="eastAsia"/>
          <w:b/>
          <w:bCs/>
          <w:color w:val="auto"/>
          <w:sz w:val="21"/>
          <w:szCs w:val="21"/>
          <w:highlight w:val="none"/>
        </w:rPr>
        <w:t>供应商须知前附表</w:t>
      </w:r>
      <w:bookmarkEnd w:id="60"/>
      <w:bookmarkEnd w:id="61"/>
      <w:bookmarkEnd w:id="62"/>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749"/>
        <w:gridCol w:w="6470"/>
      </w:tblGrid>
      <w:tr w14:paraId="65C1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1C06323F">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条款号</w:t>
            </w:r>
          </w:p>
        </w:tc>
        <w:tc>
          <w:tcPr>
            <w:tcW w:w="909" w:type="pct"/>
            <w:vAlign w:val="center"/>
          </w:tcPr>
          <w:p w14:paraId="3917AA3C">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c>
          <w:tcPr>
            <w:tcW w:w="3362" w:type="pct"/>
            <w:vAlign w:val="center"/>
          </w:tcPr>
          <w:p w14:paraId="070BF365">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说明与要求</w:t>
            </w:r>
          </w:p>
        </w:tc>
      </w:tr>
      <w:tr w14:paraId="4EEE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170731FE">
            <w:pPr>
              <w:adjustRightInd w:val="0"/>
              <w:snapToGrid w:val="0"/>
              <w:spacing w:line="288" w:lineRule="auto"/>
              <w:jc w:val="center"/>
              <w:rPr>
                <w:color w:val="auto"/>
                <w:sz w:val="21"/>
                <w:szCs w:val="21"/>
                <w:highlight w:val="none"/>
              </w:rPr>
            </w:pPr>
            <w:r>
              <w:rPr>
                <w:rFonts w:hint="eastAsia"/>
                <w:color w:val="auto"/>
                <w:sz w:val="21"/>
                <w:szCs w:val="21"/>
                <w:highlight w:val="none"/>
              </w:rPr>
              <w:t>（一）</w:t>
            </w:r>
          </w:p>
        </w:tc>
        <w:tc>
          <w:tcPr>
            <w:tcW w:w="909" w:type="pct"/>
            <w:vAlign w:val="center"/>
          </w:tcPr>
          <w:p w14:paraId="2C34D4B4">
            <w:pPr>
              <w:snapToGrid w:val="0"/>
              <w:spacing w:line="288" w:lineRule="auto"/>
              <w:jc w:val="center"/>
              <w:rPr>
                <w:b/>
                <w:color w:val="auto"/>
                <w:sz w:val="21"/>
                <w:szCs w:val="21"/>
                <w:highlight w:val="none"/>
              </w:rPr>
            </w:pPr>
            <w:r>
              <w:rPr>
                <w:rFonts w:hint="eastAsia"/>
                <w:b/>
                <w:color w:val="auto"/>
                <w:sz w:val="21"/>
                <w:szCs w:val="21"/>
                <w:highlight w:val="none"/>
              </w:rPr>
              <w:t>项目属性与核心产品</w:t>
            </w:r>
          </w:p>
        </w:tc>
        <w:tc>
          <w:tcPr>
            <w:tcW w:w="3362" w:type="pct"/>
            <w:vAlign w:val="center"/>
          </w:tcPr>
          <w:p w14:paraId="69E0F3CC">
            <w:pPr>
              <w:spacing w:line="288" w:lineRule="auto"/>
              <w:rPr>
                <w:color w:val="auto"/>
                <w:sz w:val="21"/>
                <w:szCs w:val="21"/>
                <w:highlight w:val="none"/>
              </w:rPr>
            </w:pPr>
            <w:r>
              <w:rPr>
                <w:rFonts w:hint="eastAsia"/>
                <w:color w:val="auto"/>
                <w:kern w:val="0"/>
                <w:sz w:val="21"/>
                <w:szCs w:val="21"/>
                <w:highlight w:val="none"/>
              </w:rPr>
              <w:sym w:font="Wingdings" w:char="00FE"/>
            </w:r>
            <w:r>
              <w:rPr>
                <w:rFonts w:hint="eastAsia"/>
                <w:color w:val="auto"/>
                <w:kern w:val="0"/>
                <w:sz w:val="21"/>
                <w:szCs w:val="21"/>
                <w:highlight w:val="none"/>
              </w:rPr>
              <w:t xml:space="preserve"> A</w:t>
            </w:r>
            <w:r>
              <w:rPr>
                <w:rFonts w:hint="eastAsia"/>
                <w:color w:val="auto"/>
                <w:sz w:val="21"/>
                <w:szCs w:val="21"/>
                <w:highlight w:val="none"/>
              </w:rPr>
              <w:t>货物类，单一产品或</w:t>
            </w:r>
            <w:r>
              <w:rPr>
                <w:rFonts w:hint="eastAsia"/>
                <w:color w:val="auto"/>
                <w:kern w:val="0"/>
                <w:sz w:val="21"/>
                <w:szCs w:val="21"/>
                <w:highlight w:val="none"/>
              </w:rPr>
              <w:t>核心产品为：</w:t>
            </w:r>
            <w:r>
              <w:rPr>
                <w:rFonts w:hint="eastAsia"/>
                <w:color w:val="auto"/>
                <w:kern w:val="0"/>
                <w:sz w:val="21"/>
                <w:szCs w:val="21"/>
                <w:highlight w:val="none"/>
                <w:u w:val="single"/>
              </w:rPr>
              <w:t>后勤智慧餐厅与仓储管理系统</w:t>
            </w:r>
          </w:p>
          <w:p w14:paraId="64B13127">
            <w:pPr>
              <w:spacing w:line="288" w:lineRule="auto"/>
              <w:rPr>
                <w:color w:val="auto"/>
                <w:sz w:val="21"/>
                <w:szCs w:val="21"/>
                <w:highlight w:val="none"/>
              </w:rPr>
            </w:pPr>
            <w:r>
              <w:rPr>
                <w:rFonts w:hint="eastAsia"/>
                <w:color w:val="auto"/>
                <w:kern w:val="0"/>
                <w:sz w:val="21"/>
                <w:szCs w:val="21"/>
                <w:highlight w:val="none"/>
              </w:rPr>
              <w:sym w:font="Wingdings" w:char="00A8"/>
            </w:r>
            <w:r>
              <w:rPr>
                <w:rFonts w:hint="eastAsia"/>
                <w:color w:val="auto"/>
                <w:kern w:val="0"/>
                <w:sz w:val="21"/>
                <w:szCs w:val="21"/>
                <w:highlight w:val="none"/>
              </w:rPr>
              <w:t xml:space="preserve"> B</w:t>
            </w:r>
            <w:r>
              <w:rPr>
                <w:rFonts w:hint="eastAsia"/>
                <w:color w:val="auto"/>
                <w:sz w:val="21"/>
                <w:szCs w:val="21"/>
                <w:highlight w:val="none"/>
              </w:rPr>
              <w:t>服务类。</w:t>
            </w:r>
          </w:p>
        </w:tc>
      </w:tr>
      <w:tr w14:paraId="0882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3CC98AB">
            <w:pPr>
              <w:adjustRightInd w:val="0"/>
              <w:snapToGrid w:val="0"/>
              <w:spacing w:line="288" w:lineRule="auto"/>
              <w:jc w:val="center"/>
              <w:rPr>
                <w:color w:val="auto"/>
                <w:sz w:val="21"/>
                <w:szCs w:val="21"/>
                <w:highlight w:val="none"/>
              </w:rPr>
            </w:pPr>
            <w:r>
              <w:rPr>
                <w:rFonts w:hint="eastAsia"/>
                <w:color w:val="auto"/>
                <w:sz w:val="21"/>
                <w:szCs w:val="21"/>
                <w:highlight w:val="none"/>
              </w:rPr>
              <w:t>（二）</w:t>
            </w:r>
          </w:p>
        </w:tc>
        <w:tc>
          <w:tcPr>
            <w:tcW w:w="909" w:type="pct"/>
            <w:vAlign w:val="center"/>
          </w:tcPr>
          <w:p w14:paraId="5CA36F0F">
            <w:pPr>
              <w:snapToGrid w:val="0"/>
              <w:spacing w:line="288" w:lineRule="auto"/>
              <w:jc w:val="center"/>
              <w:rPr>
                <w:b/>
                <w:color w:val="auto"/>
                <w:sz w:val="21"/>
                <w:szCs w:val="21"/>
                <w:highlight w:val="none"/>
              </w:rPr>
            </w:pPr>
            <w:r>
              <w:rPr>
                <w:rFonts w:hint="eastAsia"/>
                <w:b/>
                <w:color w:val="auto"/>
                <w:sz w:val="21"/>
                <w:szCs w:val="21"/>
                <w:highlight w:val="none"/>
              </w:rPr>
              <w:t>采购标的对应的中小企业划分标准所属行业</w:t>
            </w:r>
          </w:p>
        </w:tc>
        <w:tc>
          <w:tcPr>
            <w:tcW w:w="3362" w:type="pct"/>
            <w:vAlign w:val="center"/>
          </w:tcPr>
          <w:p w14:paraId="3374A517">
            <w:pPr>
              <w:keepNext w:val="0"/>
              <w:keepLines w:val="0"/>
              <w:widowControl w:val="0"/>
              <w:suppressLineNumbers w:val="0"/>
              <w:spacing w:before="0" w:beforeAutospacing="0" w:after="0" w:afterAutospacing="0"/>
              <w:ind w:left="0" w:right="0"/>
              <w:jc w:val="both"/>
              <w:rPr>
                <w:rFonts w:hint="eastAsia" w:eastAsia="宋体"/>
                <w:color w:val="auto"/>
                <w:highlight w:val="none"/>
                <w:lang w:eastAsia="zh-CN"/>
              </w:rPr>
            </w:pPr>
            <w:r>
              <w:rPr>
                <w:rFonts w:hint="eastAsia"/>
                <w:color w:val="auto"/>
                <w:kern w:val="0"/>
                <w:sz w:val="21"/>
                <w:szCs w:val="21"/>
                <w:highlight w:val="none"/>
              </w:rPr>
              <w:t>（1）标的：</w:t>
            </w:r>
            <w:r>
              <w:rPr>
                <w:rFonts w:hint="eastAsia"/>
                <w:color w:val="auto"/>
                <w:kern w:val="0"/>
                <w:sz w:val="21"/>
                <w:szCs w:val="21"/>
                <w:highlight w:val="none"/>
                <w:u w:val="single"/>
              </w:rPr>
              <w:t>后勤智慧餐厅与仓储管理系统</w:t>
            </w:r>
            <w:r>
              <w:rPr>
                <w:rFonts w:hint="eastAsia"/>
                <w:color w:val="auto"/>
                <w:kern w:val="0"/>
                <w:sz w:val="21"/>
                <w:szCs w:val="21"/>
                <w:highlight w:val="none"/>
              </w:rPr>
              <w:t>，属于</w:t>
            </w:r>
            <w:r>
              <w:rPr>
                <w:color w:val="auto"/>
                <w:kern w:val="0"/>
                <w:sz w:val="21"/>
                <w:szCs w:val="21"/>
                <w:highlight w:val="none"/>
                <w:u w:val="single"/>
              </w:rPr>
              <w:t>工业</w:t>
            </w:r>
            <w:r>
              <w:rPr>
                <w:rFonts w:hint="eastAsia"/>
                <w:color w:val="auto"/>
                <w:kern w:val="0"/>
                <w:sz w:val="21"/>
                <w:szCs w:val="21"/>
                <w:highlight w:val="none"/>
                <w:u w:val="single"/>
                <w:lang w:eastAsia="zh-CN"/>
              </w:rPr>
              <w:t>。</w:t>
            </w:r>
          </w:p>
        </w:tc>
      </w:tr>
      <w:tr w14:paraId="25EE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0403F254">
            <w:pPr>
              <w:adjustRightInd w:val="0"/>
              <w:snapToGrid w:val="0"/>
              <w:spacing w:line="288" w:lineRule="auto"/>
              <w:jc w:val="center"/>
              <w:rPr>
                <w:color w:val="auto"/>
                <w:sz w:val="21"/>
                <w:szCs w:val="21"/>
                <w:highlight w:val="none"/>
              </w:rPr>
            </w:pPr>
            <w:r>
              <w:rPr>
                <w:rFonts w:hint="eastAsia"/>
                <w:color w:val="auto"/>
                <w:sz w:val="21"/>
                <w:szCs w:val="21"/>
                <w:highlight w:val="none"/>
              </w:rPr>
              <w:t>（三）</w:t>
            </w:r>
          </w:p>
        </w:tc>
        <w:tc>
          <w:tcPr>
            <w:tcW w:w="909" w:type="pct"/>
            <w:vAlign w:val="center"/>
          </w:tcPr>
          <w:p w14:paraId="7F7F82CF">
            <w:pPr>
              <w:snapToGrid w:val="0"/>
              <w:spacing w:line="288" w:lineRule="auto"/>
              <w:jc w:val="center"/>
              <w:rPr>
                <w:b/>
                <w:color w:val="auto"/>
                <w:sz w:val="21"/>
                <w:szCs w:val="21"/>
                <w:highlight w:val="none"/>
              </w:rPr>
            </w:pPr>
            <w:r>
              <w:rPr>
                <w:rFonts w:hint="eastAsia"/>
                <w:b/>
                <w:color w:val="auto"/>
                <w:sz w:val="21"/>
                <w:szCs w:val="21"/>
                <w:highlight w:val="none"/>
              </w:rPr>
              <w:t>是否允许采购进口产品</w:t>
            </w:r>
          </w:p>
        </w:tc>
        <w:tc>
          <w:tcPr>
            <w:tcW w:w="3362" w:type="pct"/>
            <w:vAlign w:val="center"/>
          </w:tcPr>
          <w:p w14:paraId="03644A31">
            <w:pPr>
              <w:spacing w:line="288" w:lineRule="auto"/>
              <w:rPr>
                <w:color w:val="auto"/>
                <w:kern w:val="0"/>
                <w:sz w:val="21"/>
                <w:szCs w:val="21"/>
                <w:highlight w:val="none"/>
              </w:rPr>
            </w:pPr>
            <w:r>
              <w:rPr>
                <w:rFonts w:hint="eastAsia"/>
                <w:color w:val="auto"/>
                <w:kern w:val="0"/>
                <w:sz w:val="21"/>
                <w:szCs w:val="21"/>
                <w:highlight w:val="none"/>
              </w:rPr>
              <w:sym w:font="Wingdings" w:char="00FE"/>
            </w:r>
            <w:r>
              <w:rPr>
                <w:rFonts w:hint="eastAsia"/>
                <w:color w:val="auto"/>
                <w:kern w:val="0"/>
                <w:sz w:val="21"/>
                <w:szCs w:val="21"/>
                <w:highlight w:val="none"/>
              </w:rPr>
              <w:t>本项目不允许采购进口产品。</w:t>
            </w:r>
          </w:p>
          <w:p w14:paraId="1EE65136">
            <w:pPr>
              <w:spacing w:line="288" w:lineRule="auto"/>
              <w:rPr>
                <w:color w:val="auto"/>
                <w:sz w:val="21"/>
                <w:szCs w:val="21"/>
                <w:highlight w:val="none"/>
              </w:rPr>
            </w:pPr>
            <w:r>
              <w:rPr>
                <w:rFonts w:hint="eastAsia"/>
                <w:color w:val="auto"/>
                <w:kern w:val="0"/>
                <w:sz w:val="21"/>
                <w:szCs w:val="21"/>
                <w:highlight w:val="none"/>
              </w:rPr>
              <w:sym w:font="Wingdings" w:char="00A8"/>
            </w:r>
            <w:r>
              <w:rPr>
                <w:rFonts w:hint="eastAsia"/>
                <w:color w:val="auto"/>
                <w:kern w:val="0"/>
                <w:sz w:val="21"/>
                <w:szCs w:val="21"/>
                <w:highlight w:val="none"/>
              </w:rPr>
              <w:t>可以就</w:t>
            </w:r>
            <w:r>
              <w:rPr>
                <w:rFonts w:hint="eastAsia"/>
                <w:color w:val="auto"/>
                <w:kern w:val="0"/>
                <w:sz w:val="21"/>
                <w:szCs w:val="21"/>
                <w:highlight w:val="none"/>
                <w:u w:val="single"/>
              </w:rPr>
              <w:t>/</w:t>
            </w:r>
            <w:r>
              <w:rPr>
                <w:rFonts w:hint="eastAsia"/>
                <w:color w:val="auto"/>
                <w:kern w:val="0"/>
                <w:sz w:val="21"/>
                <w:szCs w:val="21"/>
                <w:highlight w:val="none"/>
              </w:rPr>
              <w:t>采购进口产品。</w:t>
            </w:r>
          </w:p>
        </w:tc>
      </w:tr>
      <w:tr w14:paraId="7959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444FEAB0">
            <w:pPr>
              <w:adjustRightInd w:val="0"/>
              <w:snapToGrid w:val="0"/>
              <w:spacing w:line="288" w:lineRule="auto"/>
              <w:jc w:val="center"/>
              <w:rPr>
                <w:color w:val="auto"/>
                <w:sz w:val="21"/>
                <w:szCs w:val="21"/>
                <w:highlight w:val="none"/>
              </w:rPr>
            </w:pPr>
            <w:r>
              <w:rPr>
                <w:rFonts w:hint="eastAsia"/>
                <w:color w:val="auto"/>
                <w:sz w:val="21"/>
                <w:szCs w:val="21"/>
                <w:highlight w:val="none"/>
              </w:rPr>
              <w:t>（四）</w:t>
            </w:r>
          </w:p>
        </w:tc>
        <w:tc>
          <w:tcPr>
            <w:tcW w:w="909" w:type="pct"/>
            <w:vAlign w:val="center"/>
          </w:tcPr>
          <w:p w14:paraId="424D01A1">
            <w:pPr>
              <w:adjustRightInd w:val="0"/>
              <w:snapToGrid w:val="0"/>
              <w:spacing w:line="288" w:lineRule="auto"/>
              <w:jc w:val="center"/>
              <w:rPr>
                <w:color w:val="auto"/>
                <w:sz w:val="21"/>
                <w:szCs w:val="21"/>
                <w:highlight w:val="none"/>
              </w:rPr>
            </w:pPr>
            <w:r>
              <w:rPr>
                <w:rFonts w:hint="eastAsia"/>
                <w:color w:val="auto"/>
                <w:sz w:val="21"/>
                <w:szCs w:val="21"/>
                <w:highlight w:val="none"/>
              </w:rPr>
              <w:t>适用范围</w:t>
            </w:r>
          </w:p>
        </w:tc>
        <w:tc>
          <w:tcPr>
            <w:tcW w:w="3362" w:type="pct"/>
            <w:vAlign w:val="center"/>
          </w:tcPr>
          <w:p w14:paraId="6E75FD5E">
            <w:pPr>
              <w:adjustRightInd w:val="0"/>
              <w:snapToGrid w:val="0"/>
              <w:spacing w:line="288" w:lineRule="auto"/>
              <w:rPr>
                <w:color w:val="auto"/>
                <w:sz w:val="21"/>
                <w:szCs w:val="21"/>
                <w:highlight w:val="none"/>
              </w:rPr>
            </w:pPr>
            <w:r>
              <w:rPr>
                <w:rFonts w:hint="eastAsia"/>
                <w:color w:val="auto"/>
                <w:sz w:val="21"/>
                <w:szCs w:val="21"/>
                <w:highlight w:val="none"/>
              </w:rPr>
              <w:t>本磋商文件适用于浙江树人学院</w:t>
            </w:r>
            <w:r>
              <w:rPr>
                <w:rFonts w:hint="eastAsia"/>
                <w:color w:val="auto"/>
                <w:sz w:val="21"/>
                <w:szCs w:val="21"/>
                <w:highlight w:val="none"/>
                <w:lang w:eastAsia="zh-CN"/>
              </w:rPr>
              <w:t>后勤智慧餐厅与仓储管理系统</w:t>
            </w:r>
            <w:r>
              <w:rPr>
                <w:rFonts w:hint="eastAsia"/>
                <w:color w:val="auto"/>
                <w:sz w:val="21"/>
                <w:szCs w:val="21"/>
                <w:highlight w:val="none"/>
              </w:rPr>
              <w:t>项目的磋商、评审、成交、验收、合同履约、付款等（法律、法规另有规定的，从其规定）。</w:t>
            </w:r>
          </w:p>
        </w:tc>
      </w:tr>
      <w:tr w14:paraId="0B5B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235DB142">
            <w:pPr>
              <w:adjustRightInd w:val="0"/>
              <w:snapToGrid w:val="0"/>
              <w:spacing w:line="288" w:lineRule="auto"/>
              <w:jc w:val="center"/>
              <w:rPr>
                <w:color w:val="auto"/>
                <w:sz w:val="21"/>
                <w:szCs w:val="21"/>
                <w:highlight w:val="none"/>
              </w:rPr>
            </w:pPr>
            <w:r>
              <w:rPr>
                <w:rFonts w:hint="eastAsia"/>
                <w:color w:val="auto"/>
                <w:sz w:val="21"/>
                <w:szCs w:val="21"/>
                <w:highlight w:val="none"/>
              </w:rPr>
              <w:t>（五）</w:t>
            </w:r>
          </w:p>
        </w:tc>
        <w:tc>
          <w:tcPr>
            <w:tcW w:w="909" w:type="pct"/>
            <w:vAlign w:val="center"/>
          </w:tcPr>
          <w:p w14:paraId="559DCF09">
            <w:pPr>
              <w:adjustRightInd w:val="0"/>
              <w:snapToGrid w:val="0"/>
              <w:spacing w:line="288" w:lineRule="auto"/>
              <w:jc w:val="center"/>
              <w:rPr>
                <w:color w:val="auto"/>
                <w:sz w:val="21"/>
                <w:szCs w:val="21"/>
                <w:highlight w:val="none"/>
              </w:rPr>
            </w:pPr>
            <w:r>
              <w:rPr>
                <w:rFonts w:hint="eastAsia"/>
                <w:color w:val="auto"/>
                <w:sz w:val="21"/>
                <w:szCs w:val="21"/>
                <w:highlight w:val="none"/>
              </w:rPr>
              <w:t>采购方式</w:t>
            </w:r>
          </w:p>
        </w:tc>
        <w:tc>
          <w:tcPr>
            <w:tcW w:w="3362" w:type="pct"/>
            <w:vAlign w:val="center"/>
          </w:tcPr>
          <w:p w14:paraId="2808EAB7">
            <w:pPr>
              <w:adjustRightInd w:val="0"/>
              <w:snapToGrid w:val="0"/>
              <w:spacing w:line="288" w:lineRule="auto"/>
              <w:rPr>
                <w:color w:val="auto"/>
                <w:sz w:val="21"/>
                <w:szCs w:val="21"/>
                <w:highlight w:val="none"/>
              </w:rPr>
            </w:pPr>
            <w:r>
              <w:rPr>
                <w:rFonts w:hint="eastAsia"/>
                <w:color w:val="auto"/>
                <w:sz w:val="21"/>
                <w:szCs w:val="21"/>
                <w:highlight w:val="none"/>
              </w:rPr>
              <w:t>本次采购采用竞争性磋商（线上电子交易）方式进行。</w:t>
            </w:r>
          </w:p>
        </w:tc>
      </w:tr>
      <w:tr w14:paraId="316D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0F6A13FF">
            <w:pPr>
              <w:adjustRightInd w:val="0"/>
              <w:snapToGrid w:val="0"/>
              <w:spacing w:line="288" w:lineRule="auto"/>
              <w:jc w:val="center"/>
              <w:rPr>
                <w:color w:val="auto"/>
                <w:sz w:val="21"/>
                <w:szCs w:val="21"/>
                <w:highlight w:val="none"/>
              </w:rPr>
            </w:pPr>
            <w:r>
              <w:rPr>
                <w:rFonts w:hint="eastAsia"/>
                <w:color w:val="auto"/>
                <w:sz w:val="21"/>
                <w:szCs w:val="21"/>
                <w:highlight w:val="none"/>
              </w:rPr>
              <w:t>（六）</w:t>
            </w:r>
          </w:p>
        </w:tc>
        <w:tc>
          <w:tcPr>
            <w:tcW w:w="909" w:type="pct"/>
            <w:vAlign w:val="center"/>
          </w:tcPr>
          <w:p w14:paraId="18ACDD3B">
            <w:pPr>
              <w:adjustRightInd w:val="0"/>
              <w:snapToGrid w:val="0"/>
              <w:spacing w:line="288" w:lineRule="auto"/>
              <w:jc w:val="center"/>
              <w:rPr>
                <w:color w:val="auto"/>
                <w:sz w:val="21"/>
                <w:szCs w:val="21"/>
                <w:highlight w:val="none"/>
              </w:rPr>
            </w:pPr>
            <w:r>
              <w:rPr>
                <w:rFonts w:hint="eastAsia"/>
                <w:color w:val="auto"/>
                <w:sz w:val="21"/>
                <w:szCs w:val="21"/>
                <w:highlight w:val="none"/>
              </w:rPr>
              <w:t>竞争性磋商委托</w:t>
            </w:r>
          </w:p>
        </w:tc>
        <w:tc>
          <w:tcPr>
            <w:tcW w:w="3362" w:type="pct"/>
            <w:vAlign w:val="center"/>
          </w:tcPr>
          <w:p w14:paraId="1A76F8AB">
            <w:pPr>
              <w:adjustRightInd w:val="0"/>
              <w:snapToGrid w:val="0"/>
              <w:spacing w:line="288" w:lineRule="auto"/>
              <w:rPr>
                <w:color w:val="auto"/>
                <w:sz w:val="21"/>
                <w:szCs w:val="21"/>
                <w:highlight w:val="none"/>
              </w:rPr>
            </w:pPr>
            <w:r>
              <w:rPr>
                <w:rFonts w:hint="eastAsia"/>
                <w:color w:val="auto"/>
                <w:sz w:val="21"/>
                <w:szCs w:val="21"/>
                <w:highlight w:val="none"/>
              </w:rPr>
              <w:t>1.▲供应商授权代表必须为供应商本单位在职职工，并提供</w:t>
            </w:r>
            <w:r>
              <w:rPr>
                <w:rFonts w:hint="eastAsia"/>
                <w:color w:val="auto"/>
                <w:sz w:val="21"/>
                <w:szCs w:val="21"/>
                <w:highlight w:val="none"/>
                <w:lang w:eastAsia="zh-CN"/>
              </w:rPr>
              <w:t>2024年7月1日</w:t>
            </w:r>
            <w:r>
              <w:rPr>
                <w:rFonts w:hint="eastAsia"/>
                <w:color w:val="auto"/>
                <w:sz w:val="21"/>
                <w:szCs w:val="21"/>
                <w:highlight w:val="none"/>
              </w:rPr>
              <w:t>至今任意一月社保缴纳证明（授权代表为法定代表人可不提供）。</w:t>
            </w:r>
          </w:p>
          <w:p w14:paraId="530E51EE">
            <w:pPr>
              <w:adjustRightInd w:val="0"/>
              <w:snapToGrid w:val="0"/>
              <w:spacing w:line="288" w:lineRule="auto"/>
              <w:rPr>
                <w:color w:val="auto"/>
                <w:sz w:val="21"/>
                <w:szCs w:val="21"/>
                <w:highlight w:val="none"/>
              </w:rPr>
            </w:pPr>
            <w:r>
              <w:rPr>
                <w:rFonts w:hint="eastAsia"/>
                <w:color w:val="auto"/>
                <w:sz w:val="21"/>
                <w:szCs w:val="21"/>
                <w:highlight w:val="none"/>
              </w:rPr>
              <w:t>2.如供应商代表不是法定代表人，须提供法定代表人授权委托书（格式详见磋商文件第六章）。</w:t>
            </w:r>
          </w:p>
        </w:tc>
      </w:tr>
      <w:tr w14:paraId="58BA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059025D8">
            <w:pPr>
              <w:adjustRightInd w:val="0"/>
              <w:snapToGrid w:val="0"/>
              <w:spacing w:line="288" w:lineRule="auto"/>
              <w:jc w:val="center"/>
              <w:rPr>
                <w:color w:val="auto"/>
                <w:sz w:val="21"/>
                <w:szCs w:val="21"/>
                <w:highlight w:val="none"/>
              </w:rPr>
            </w:pPr>
            <w:r>
              <w:rPr>
                <w:rFonts w:hint="eastAsia"/>
                <w:color w:val="auto"/>
                <w:sz w:val="21"/>
                <w:szCs w:val="21"/>
                <w:highlight w:val="none"/>
              </w:rPr>
              <w:t>（七）</w:t>
            </w:r>
          </w:p>
        </w:tc>
        <w:tc>
          <w:tcPr>
            <w:tcW w:w="909" w:type="pct"/>
            <w:vAlign w:val="center"/>
          </w:tcPr>
          <w:p w14:paraId="63EE44A6">
            <w:pPr>
              <w:adjustRightInd w:val="0"/>
              <w:snapToGrid w:val="0"/>
              <w:spacing w:line="288" w:lineRule="auto"/>
              <w:jc w:val="center"/>
              <w:rPr>
                <w:rFonts w:ascii="仿宋_GB2312" w:hAnsi="仿宋" w:eastAsia="仿宋_GB2312" w:cs="仿宋_GB2312"/>
                <w:b/>
                <w:color w:val="auto"/>
                <w:highlight w:val="none"/>
              </w:rPr>
            </w:pPr>
            <w:r>
              <w:rPr>
                <w:rFonts w:hint="eastAsia"/>
                <w:bCs/>
                <w:color w:val="auto"/>
                <w:sz w:val="21"/>
                <w:szCs w:val="21"/>
                <w:highlight w:val="none"/>
              </w:rPr>
              <w:t>样品提供</w:t>
            </w:r>
          </w:p>
        </w:tc>
        <w:tc>
          <w:tcPr>
            <w:tcW w:w="3362" w:type="pct"/>
            <w:vAlign w:val="center"/>
          </w:tcPr>
          <w:p w14:paraId="7FCB027C">
            <w:pPr>
              <w:adjustRightInd w:val="0"/>
              <w:snapToGrid w:val="0"/>
              <w:spacing w:line="288" w:lineRule="auto"/>
              <w:rPr>
                <w:color w:val="auto"/>
                <w:sz w:val="21"/>
                <w:szCs w:val="21"/>
                <w:highlight w:val="none"/>
              </w:rPr>
            </w:pPr>
            <w:r>
              <w:rPr>
                <w:rFonts w:hint="eastAsia"/>
                <w:color w:val="auto"/>
                <w:kern w:val="0"/>
                <w:sz w:val="21"/>
                <w:szCs w:val="21"/>
                <w:highlight w:val="none"/>
              </w:rPr>
              <w:sym w:font="Wingdings" w:char="00FE"/>
            </w:r>
            <w:r>
              <w:rPr>
                <w:rFonts w:hint="eastAsia"/>
                <w:color w:val="auto"/>
                <w:kern w:val="0"/>
                <w:sz w:val="21"/>
                <w:szCs w:val="21"/>
                <w:highlight w:val="none"/>
              </w:rPr>
              <w:t xml:space="preserve"> A</w:t>
            </w:r>
            <w:r>
              <w:rPr>
                <w:rFonts w:hint="eastAsia"/>
                <w:color w:val="auto"/>
                <w:sz w:val="21"/>
                <w:szCs w:val="21"/>
                <w:highlight w:val="none"/>
              </w:rPr>
              <w:t>不要求提供。</w:t>
            </w:r>
          </w:p>
          <w:p w14:paraId="513BF47C">
            <w:pPr>
              <w:keepNext w:val="0"/>
              <w:keepLines w:val="0"/>
              <w:widowControl w:val="0"/>
              <w:suppressLineNumbers w:val="0"/>
              <w:spacing w:before="0" w:beforeAutospacing="0" w:after="0" w:afterAutospacing="0"/>
              <w:ind w:left="0" w:right="0"/>
              <w:jc w:val="both"/>
              <w:rPr>
                <w:color w:val="auto"/>
                <w:kern w:val="0"/>
                <w:sz w:val="21"/>
                <w:szCs w:val="21"/>
                <w:highlight w:val="none"/>
              </w:rPr>
            </w:pPr>
            <w:r>
              <w:rPr>
                <w:rFonts w:hint="eastAsia"/>
                <w:color w:val="auto"/>
                <w:kern w:val="0"/>
                <w:sz w:val="21"/>
                <w:szCs w:val="21"/>
                <w:highlight w:val="none"/>
              </w:rPr>
              <w:sym w:font="Wingdings 2" w:char="00A3"/>
            </w:r>
            <w:r>
              <w:rPr>
                <w:rFonts w:hint="eastAsia"/>
                <w:color w:val="auto"/>
                <w:kern w:val="0"/>
                <w:sz w:val="21"/>
                <w:szCs w:val="21"/>
                <w:highlight w:val="none"/>
              </w:rPr>
              <w:t>B要求提供，（未提供样品或提供样品不满足采购需求实质性条件的供应商，响应无效）</w:t>
            </w:r>
          </w:p>
          <w:p w14:paraId="3FE7C5C2">
            <w:pPr>
              <w:adjustRightInd w:val="0"/>
              <w:snapToGrid w:val="0"/>
              <w:spacing w:line="288" w:lineRule="auto"/>
              <w:rPr>
                <w:color w:val="auto"/>
                <w:kern w:val="0"/>
                <w:sz w:val="21"/>
                <w:szCs w:val="21"/>
                <w:highlight w:val="none"/>
              </w:rPr>
            </w:pPr>
            <w:r>
              <w:rPr>
                <w:rFonts w:hint="eastAsia"/>
                <w:snapToGrid w:val="0"/>
                <w:color w:val="auto"/>
                <w:kern w:val="28"/>
                <w:sz w:val="21"/>
                <w:szCs w:val="21"/>
                <w:highlight w:val="none"/>
              </w:rPr>
              <w:t>（1）样品：</w:t>
            </w:r>
            <w:r>
              <w:rPr>
                <w:rFonts w:hint="eastAsia"/>
                <w:color w:val="auto"/>
                <w:sz w:val="21"/>
                <w:szCs w:val="21"/>
                <w:highlight w:val="none"/>
                <w:u w:val="single"/>
                <w:lang w:val="en-US" w:eastAsia="zh-CN"/>
              </w:rPr>
              <w:t xml:space="preserve">          </w:t>
            </w:r>
            <w:r>
              <w:rPr>
                <w:rFonts w:hint="eastAsia"/>
                <w:color w:val="auto"/>
                <w:kern w:val="0"/>
                <w:sz w:val="21"/>
                <w:szCs w:val="21"/>
                <w:highlight w:val="none"/>
              </w:rPr>
              <w:t>；</w:t>
            </w:r>
          </w:p>
          <w:p w14:paraId="2A0AF414">
            <w:pPr>
              <w:adjustRightInd w:val="0"/>
              <w:snapToGrid w:val="0"/>
              <w:spacing w:line="288" w:lineRule="auto"/>
              <w:rPr>
                <w:snapToGrid w:val="0"/>
                <w:color w:val="auto"/>
                <w:kern w:val="28"/>
                <w:sz w:val="21"/>
                <w:szCs w:val="21"/>
                <w:highlight w:val="none"/>
              </w:rPr>
            </w:pPr>
            <w:r>
              <w:rPr>
                <w:rFonts w:hint="eastAsia"/>
                <w:snapToGrid w:val="0"/>
                <w:color w:val="auto"/>
                <w:kern w:val="28"/>
                <w:sz w:val="21"/>
                <w:szCs w:val="21"/>
                <w:highlight w:val="none"/>
              </w:rPr>
              <w:t>样品制作的标准和要求：</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int="eastAsia"/>
                <w:color w:val="auto"/>
                <w:kern w:val="0"/>
                <w:sz w:val="21"/>
                <w:szCs w:val="21"/>
                <w:highlight w:val="none"/>
              </w:rPr>
              <w:t>；</w:t>
            </w:r>
          </w:p>
          <w:p w14:paraId="02C050E0">
            <w:pPr>
              <w:adjustRightInd w:val="0"/>
              <w:snapToGrid w:val="0"/>
              <w:spacing w:line="288" w:lineRule="auto"/>
              <w:rPr>
                <w:rFonts w:hint="eastAsia" w:eastAsia="宋体"/>
                <w:snapToGrid w:val="0"/>
                <w:color w:val="auto"/>
                <w:kern w:val="28"/>
                <w:sz w:val="21"/>
                <w:szCs w:val="21"/>
                <w:highlight w:val="none"/>
                <w:lang w:eastAsia="zh-CN"/>
              </w:rPr>
            </w:pPr>
            <w:r>
              <w:rPr>
                <w:rFonts w:hint="eastAsia"/>
                <w:snapToGrid w:val="0"/>
                <w:color w:val="auto"/>
                <w:kern w:val="28"/>
                <w:sz w:val="21"/>
                <w:szCs w:val="21"/>
                <w:highlight w:val="none"/>
              </w:rPr>
              <w:t>（2）样品的评审方法以及评审标准：</w:t>
            </w:r>
          </w:p>
          <w:p w14:paraId="73C1C5E3">
            <w:pPr>
              <w:adjustRightInd w:val="0"/>
              <w:snapToGrid w:val="0"/>
              <w:spacing w:line="288" w:lineRule="auto"/>
              <w:rPr>
                <w:snapToGrid w:val="0"/>
                <w:color w:val="auto"/>
                <w:kern w:val="28"/>
                <w:sz w:val="21"/>
                <w:szCs w:val="21"/>
                <w:highlight w:val="none"/>
              </w:rPr>
            </w:pPr>
            <w:r>
              <w:rPr>
                <w:rFonts w:hint="eastAsia"/>
                <w:color w:val="auto"/>
                <w:kern w:val="0"/>
                <w:sz w:val="21"/>
                <w:szCs w:val="21"/>
                <w:highlight w:val="none"/>
              </w:rPr>
              <w:sym w:font="Wingdings" w:char="00A8"/>
            </w:r>
            <w:r>
              <w:rPr>
                <w:rFonts w:hint="eastAsia"/>
                <w:snapToGrid w:val="0"/>
                <w:color w:val="auto"/>
                <w:kern w:val="28"/>
                <w:sz w:val="21"/>
                <w:szCs w:val="21"/>
                <w:highlight w:val="none"/>
              </w:rPr>
              <w:t>样品分未超过价格分的50%；</w:t>
            </w:r>
          </w:p>
          <w:p w14:paraId="15C0187A">
            <w:pPr>
              <w:adjustRightInd w:val="0"/>
              <w:snapToGrid w:val="0"/>
              <w:spacing w:line="288" w:lineRule="auto"/>
              <w:rPr>
                <w:snapToGrid w:val="0"/>
                <w:color w:val="auto"/>
                <w:kern w:val="28"/>
                <w:sz w:val="21"/>
                <w:szCs w:val="21"/>
                <w:highlight w:val="none"/>
              </w:rPr>
            </w:pPr>
            <w:r>
              <w:rPr>
                <w:rFonts w:hint="eastAsia"/>
                <w:snapToGrid w:val="0"/>
                <w:color w:val="auto"/>
                <w:kern w:val="28"/>
                <w:sz w:val="21"/>
                <w:szCs w:val="21"/>
                <w:highlight w:val="none"/>
              </w:rPr>
              <w:t>☐样品分超过价格分的50%，理由</w:t>
            </w:r>
            <w:r>
              <w:rPr>
                <w:rFonts w:hint="eastAsia"/>
                <w:snapToGrid w:val="0"/>
                <w:color w:val="auto"/>
                <w:kern w:val="28"/>
                <w:sz w:val="21"/>
                <w:szCs w:val="21"/>
                <w:highlight w:val="none"/>
                <w:u w:val="single"/>
              </w:rPr>
              <w:t xml:space="preserve">            </w:t>
            </w:r>
            <w:r>
              <w:rPr>
                <w:rFonts w:hint="eastAsia"/>
                <w:snapToGrid w:val="0"/>
                <w:color w:val="auto"/>
                <w:kern w:val="28"/>
                <w:sz w:val="21"/>
                <w:szCs w:val="21"/>
                <w:highlight w:val="none"/>
              </w:rPr>
              <w:t>。</w:t>
            </w:r>
          </w:p>
          <w:p w14:paraId="4E3D0880">
            <w:pPr>
              <w:adjustRightInd w:val="0"/>
              <w:snapToGrid w:val="0"/>
              <w:spacing w:line="288" w:lineRule="auto"/>
              <w:rPr>
                <w:color w:val="auto"/>
                <w:kern w:val="0"/>
                <w:sz w:val="21"/>
                <w:szCs w:val="21"/>
                <w:highlight w:val="none"/>
              </w:rPr>
            </w:pPr>
            <w:r>
              <w:rPr>
                <w:rFonts w:hint="eastAsia"/>
                <w:snapToGrid w:val="0"/>
                <w:color w:val="auto"/>
                <w:kern w:val="28"/>
                <w:sz w:val="21"/>
                <w:szCs w:val="21"/>
                <w:highlight w:val="none"/>
              </w:rPr>
              <w:t>详见</w:t>
            </w:r>
            <w:r>
              <w:rPr>
                <w:rFonts w:hint="eastAsia"/>
                <w:color w:val="auto"/>
                <w:sz w:val="21"/>
                <w:szCs w:val="21"/>
                <w:highlight w:val="none"/>
                <w:u w:val="single"/>
              </w:rPr>
              <w:t>评标办法</w:t>
            </w:r>
            <w:r>
              <w:rPr>
                <w:rFonts w:hint="eastAsia"/>
                <w:color w:val="auto"/>
                <w:kern w:val="0"/>
                <w:sz w:val="21"/>
                <w:szCs w:val="21"/>
                <w:highlight w:val="none"/>
              </w:rPr>
              <w:t>；</w:t>
            </w:r>
          </w:p>
          <w:p w14:paraId="2EB6C3F0">
            <w:pPr>
              <w:adjustRightInd w:val="0"/>
              <w:snapToGrid w:val="0"/>
              <w:spacing w:line="288" w:lineRule="auto"/>
              <w:rPr>
                <w:color w:val="auto"/>
                <w:kern w:val="0"/>
                <w:sz w:val="21"/>
                <w:szCs w:val="21"/>
                <w:highlight w:val="none"/>
              </w:rPr>
            </w:pPr>
            <w:r>
              <w:rPr>
                <w:rFonts w:hint="eastAsia"/>
                <w:color w:val="auto"/>
                <w:kern w:val="0"/>
                <w:sz w:val="21"/>
                <w:szCs w:val="21"/>
                <w:highlight w:val="none"/>
              </w:rPr>
              <w:t>（3）是否需要随样品提交检测报告：</w:t>
            </w:r>
            <w:r>
              <w:rPr>
                <w:rFonts w:hint="eastAsia"/>
                <w:color w:val="auto"/>
                <w:kern w:val="0"/>
                <w:sz w:val="21"/>
                <w:szCs w:val="21"/>
                <w:highlight w:val="none"/>
              </w:rPr>
              <w:sym w:font="Wingdings 2" w:char="0052"/>
            </w:r>
            <w:r>
              <w:rPr>
                <w:rFonts w:hint="eastAsia"/>
                <w:color w:val="auto"/>
                <w:kern w:val="0"/>
                <w:sz w:val="21"/>
                <w:szCs w:val="21"/>
                <w:highlight w:val="none"/>
              </w:rPr>
              <w:t>否；☐是，检测机构的要求</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kern w:val="0"/>
                <w:sz w:val="21"/>
                <w:szCs w:val="21"/>
                <w:highlight w:val="none"/>
              </w:rPr>
              <w:t>；检测内容</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kern w:val="0"/>
                <w:sz w:val="21"/>
                <w:szCs w:val="21"/>
                <w:highlight w:val="none"/>
              </w:rPr>
              <w:t>。</w:t>
            </w:r>
          </w:p>
          <w:p w14:paraId="739ED88D">
            <w:pPr>
              <w:adjustRightInd w:val="0"/>
              <w:snapToGrid w:val="0"/>
              <w:spacing w:line="288" w:lineRule="auto"/>
              <w:rPr>
                <w:color w:val="auto"/>
                <w:sz w:val="21"/>
                <w:szCs w:val="21"/>
                <w:highlight w:val="none"/>
              </w:rPr>
            </w:pPr>
            <w:r>
              <w:rPr>
                <w:rFonts w:hint="eastAsia"/>
                <w:color w:val="auto"/>
                <w:sz w:val="21"/>
                <w:szCs w:val="21"/>
                <w:highlight w:val="none"/>
              </w:rPr>
              <w:t>（4）提供样品的</w:t>
            </w:r>
            <w:r>
              <w:rPr>
                <w:rFonts w:hint="eastAsia"/>
                <w:color w:val="auto"/>
                <w:sz w:val="21"/>
                <w:szCs w:val="21"/>
                <w:highlight w:val="none"/>
                <w:lang w:val="en-US" w:eastAsia="zh-CN"/>
              </w:rPr>
              <w:t>截止</w:t>
            </w:r>
            <w:r>
              <w:rPr>
                <w:rFonts w:hint="eastAsia"/>
                <w:color w:val="auto"/>
                <w:sz w:val="21"/>
                <w:szCs w:val="21"/>
                <w:highlight w:val="none"/>
              </w:rPr>
              <w:t>时间：</w:t>
            </w:r>
            <w:r>
              <w:rPr>
                <w:rFonts w:hint="eastAsia"/>
                <w:color w:val="auto"/>
                <w:sz w:val="21"/>
                <w:szCs w:val="21"/>
                <w:highlight w:val="none"/>
                <w:u w:val="single"/>
                <w:lang w:val="en-US" w:eastAsia="zh-CN"/>
              </w:rPr>
              <w:t xml:space="preserve">                    </w:t>
            </w:r>
            <w:r>
              <w:rPr>
                <w:rFonts w:hint="eastAsia"/>
                <w:color w:val="auto"/>
                <w:kern w:val="0"/>
                <w:sz w:val="21"/>
                <w:szCs w:val="21"/>
                <w:highlight w:val="none"/>
              </w:rPr>
              <w:t>；地点：</w:t>
            </w:r>
            <w:r>
              <w:rPr>
                <w:rFonts w:hint="eastAsia"/>
                <w:color w:val="auto"/>
                <w:sz w:val="21"/>
                <w:szCs w:val="21"/>
                <w:highlight w:val="none"/>
                <w:u w:val="single"/>
                <w:lang w:val="en-US" w:eastAsia="zh-CN"/>
              </w:rPr>
              <w:t xml:space="preserve">                     </w:t>
            </w:r>
            <w:r>
              <w:rPr>
                <w:rFonts w:hint="eastAsia"/>
                <w:color w:val="auto"/>
                <w:kern w:val="0"/>
                <w:sz w:val="21"/>
                <w:szCs w:val="21"/>
                <w:highlight w:val="none"/>
              </w:rPr>
              <w:t>；联系人</w:t>
            </w:r>
            <w:r>
              <w:rPr>
                <w:rFonts w:hint="eastAsia"/>
                <w:color w:val="auto"/>
                <w:sz w:val="21"/>
                <w:szCs w:val="21"/>
                <w:highlight w:val="none"/>
              </w:rPr>
              <w:t>：</w:t>
            </w:r>
            <w:r>
              <w:rPr>
                <w:rFonts w:hint="eastAsia"/>
                <w:color w:val="auto"/>
                <w:sz w:val="21"/>
                <w:szCs w:val="21"/>
                <w:highlight w:val="none"/>
                <w:u w:val="single"/>
                <w:lang w:val="en-US" w:eastAsia="zh-CN"/>
              </w:rPr>
              <w:t xml:space="preserve">    </w:t>
            </w:r>
            <w:r>
              <w:rPr>
                <w:rFonts w:hint="eastAsia"/>
                <w:color w:val="auto"/>
                <w:sz w:val="21"/>
                <w:szCs w:val="21"/>
                <w:highlight w:val="none"/>
              </w:rPr>
              <w:t>，</w:t>
            </w:r>
            <w:r>
              <w:rPr>
                <w:rFonts w:hint="eastAsia"/>
                <w:color w:val="auto"/>
                <w:kern w:val="28"/>
                <w:sz w:val="21"/>
                <w:szCs w:val="21"/>
                <w:highlight w:val="none"/>
              </w:rPr>
              <w:t>联系电话：</w:t>
            </w:r>
            <w:r>
              <w:rPr>
                <w:rFonts w:hint="eastAsia"/>
                <w:color w:val="auto"/>
                <w:sz w:val="21"/>
                <w:szCs w:val="21"/>
                <w:highlight w:val="none"/>
                <w:u w:val="single"/>
                <w:lang w:val="en-US" w:eastAsia="zh-CN"/>
              </w:rPr>
              <w:t xml:space="preserve">         </w:t>
            </w:r>
            <w:r>
              <w:rPr>
                <w:rFonts w:hint="eastAsia"/>
                <w:color w:val="auto"/>
                <w:sz w:val="21"/>
                <w:szCs w:val="21"/>
                <w:highlight w:val="none"/>
              </w:rPr>
              <w:t>。请供应商在上述时间内提供样品并按规定位置安装完毕。超过截止时间的，采购人或采购代理机构将不予接收，并将清场并封闭样品现场。</w:t>
            </w:r>
          </w:p>
          <w:p w14:paraId="17104A1C">
            <w:pPr>
              <w:adjustRightInd w:val="0"/>
              <w:snapToGrid w:val="0"/>
              <w:spacing w:line="288" w:lineRule="auto"/>
              <w:rPr>
                <w:color w:val="auto"/>
                <w:sz w:val="21"/>
                <w:szCs w:val="21"/>
                <w:highlight w:val="none"/>
              </w:rPr>
            </w:pPr>
            <w:r>
              <w:rPr>
                <w:rFonts w:hint="eastAsia"/>
                <w:color w:val="auto"/>
                <w:sz w:val="21"/>
                <w:szCs w:val="21"/>
                <w:highlight w:val="none"/>
              </w:rPr>
              <w:t>（5）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07785BD9">
            <w:pPr>
              <w:adjustRightInd w:val="0"/>
              <w:snapToGrid w:val="0"/>
              <w:spacing w:line="288" w:lineRule="auto"/>
              <w:rPr>
                <w:b/>
                <w:color w:val="auto"/>
                <w:sz w:val="21"/>
                <w:szCs w:val="21"/>
                <w:highlight w:val="none"/>
              </w:rPr>
            </w:pPr>
            <w:r>
              <w:rPr>
                <w:rFonts w:hint="eastAsia"/>
                <w:color w:val="auto"/>
                <w:sz w:val="21"/>
                <w:szCs w:val="21"/>
                <w:highlight w:val="none"/>
              </w:rPr>
              <w:t>（6）制作、运输、安装和保管样品所发生的一切费用由供应商自理。</w:t>
            </w:r>
          </w:p>
        </w:tc>
      </w:tr>
      <w:tr w14:paraId="2F4D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6592DCF8">
            <w:pPr>
              <w:adjustRightInd w:val="0"/>
              <w:snapToGrid w:val="0"/>
              <w:spacing w:line="288" w:lineRule="auto"/>
              <w:jc w:val="center"/>
              <w:rPr>
                <w:color w:val="auto"/>
                <w:highlight w:val="none"/>
              </w:rPr>
            </w:pPr>
            <w:r>
              <w:rPr>
                <w:rFonts w:hint="eastAsia"/>
                <w:color w:val="auto"/>
                <w:highlight w:val="none"/>
              </w:rPr>
              <w:t>（八）</w:t>
            </w:r>
          </w:p>
        </w:tc>
        <w:tc>
          <w:tcPr>
            <w:tcW w:w="909" w:type="pct"/>
            <w:vAlign w:val="center"/>
          </w:tcPr>
          <w:p w14:paraId="1E0D95DB">
            <w:pPr>
              <w:adjustRightInd w:val="0"/>
              <w:snapToGrid w:val="0"/>
              <w:spacing w:line="288" w:lineRule="auto"/>
              <w:jc w:val="center"/>
              <w:rPr>
                <w:rFonts w:ascii="仿宋_GB2312" w:hAnsi="仿宋" w:eastAsia="仿宋_GB2312" w:cs="仿宋_GB2312"/>
                <w:bCs/>
                <w:color w:val="auto"/>
                <w:highlight w:val="none"/>
              </w:rPr>
            </w:pPr>
            <w:r>
              <w:rPr>
                <w:rFonts w:hint="eastAsia"/>
                <w:bCs/>
                <w:color w:val="auto"/>
                <w:sz w:val="21"/>
                <w:szCs w:val="21"/>
                <w:highlight w:val="none"/>
              </w:rPr>
              <w:t>讲解演示</w:t>
            </w:r>
          </w:p>
        </w:tc>
        <w:tc>
          <w:tcPr>
            <w:tcW w:w="3362" w:type="pct"/>
            <w:vAlign w:val="center"/>
          </w:tcPr>
          <w:p w14:paraId="145785AF">
            <w:pPr>
              <w:adjustRightInd w:val="0"/>
              <w:snapToGrid w:val="0"/>
              <w:spacing w:line="288" w:lineRule="auto"/>
              <w:rPr>
                <w:color w:val="auto"/>
                <w:sz w:val="21"/>
                <w:szCs w:val="21"/>
                <w:highlight w:val="none"/>
              </w:rPr>
            </w:pPr>
            <w:r>
              <w:rPr>
                <w:rFonts w:hint="eastAsia"/>
                <w:color w:val="auto"/>
                <w:kern w:val="0"/>
                <w:sz w:val="21"/>
                <w:szCs w:val="21"/>
                <w:highlight w:val="none"/>
              </w:rPr>
              <w:sym w:font="Wingdings" w:char="00A8"/>
            </w:r>
            <w:r>
              <w:rPr>
                <w:rFonts w:hint="eastAsia"/>
                <w:color w:val="auto"/>
                <w:kern w:val="0"/>
                <w:sz w:val="21"/>
                <w:szCs w:val="21"/>
                <w:highlight w:val="none"/>
              </w:rPr>
              <w:t xml:space="preserve"> </w:t>
            </w:r>
            <w:r>
              <w:rPr>
                <w:rFonts w:hint="eastAsia"/>
                <w:color w:val="auto"/>
                <w:sz w:val="21"/>
                <w:szCs w:val="21"/>
                <w:highlight w:val="none"/>
              </w:rPr>
              <w:t>A不组织。</w:t>
            </w:r>
          </w:p>
          <w:p w14:paraId="6E22085B">
            <w:pPr>
              <w:adjustRightInd w:val="0"/>
              <w:snapToGrid w:val="0"/>
              <w:spacing w:line="288" w:lineRule="auto"/>
              <w:rPr>
                <w:color w:val="auto"/>
                <w:sz w:val="21"/>
                <w:szCs w:val="21"/>
                <w:highlight w:val="none"/>
              </w:rPr>
            </w:pPr>
            <w:r>
              <w:rPr>
                <w:rFonts w:hint="eastAsia"/>
                <w:color w:val="auto"/>
                <w:sz w:val="21"/>
                <w:szCs w:val="21"/>
                <w:highlight w:val="none"/>
              </w:rPr>
              <w:sym w:font="Wingdings 2" w:char="0052"/>
            </w:r>
            <w:r>
              <w:rPr>
                <w:rFonts w:hint="eastAsia"/>
                <w:color w:val="auto"/>
                <w:sz w:val="21"/>
                <w:szCs w:val="21"/>
                <w:highlight w:val="none"/>
              </w:rPr>
              <w:t>B组织。</w:t>
            </w:r>
          </w:p>
          <w:p w14:paraId="0BFADABD">
            <w:pPr>
              <w:autoSpaceDE w:val="0"/>
              <w:spacing w:line="288" w:lineRule="auto"/>
              <w:rPr>
                <w:color w:val="auto"/>
                <w:sz w:val="21"/>
                <w:szCs w:val="21"/>
                <w:highlight w:val="none"/>
              </w:rPr>
            </w:pPr>
            <w:r>
              <w:rPr>
                <w:rFonts w:hint="eastAsia"/>
                <w:color w:val="auto"/>
                <w:sz w:val="21"/>
                <w:szCs w:val="21"/>
                <w:highlight w:val="none"/>
                <w:lang w:bidi="ar"/>
              </w:rPr>
              <w:t>采用“不见面”形式演示。供应商在磋商截止时间前，递交自行录制的“音视频文件”，演示内容时长不</w:t>
            </w:r>
            <w:r>
              <w:rPr>
                <w:color w:val="auto"/>
                <w:sz w:val="21"/>
                <w:szCs w:val="21"/>
                <w:highlight w:val="none"/>
                <w:lang w:bidi="ar"/>
              </w:rPr>
              <w:t>超过</w:t>
            </w:r>
            <w:r>
              <w:rPr>
                <w:rFonts w:hint="eastAsia"/>
                <w:color w:val="auto"/>
                <w:sz w:val="21"/>
                <w:szCs w:val="21"/>
                <w:highlight w:val="none"/>
                <w:lang w:val="en-US" w:eastAsia="zh-CN" w:bidi="ar"/>
              </w:rPr>
              <w:t>10</w:t>
            </w:r>
            <w:r>
              <w:rPr>
                <w:rFonts w:hint="eastAsia"/>
                <w:color w:val="auto"/>
                <w:sz w:val="21"/>
                <w:szCs w:val="21"/>
                <w:highlight w:val="none"/>
                <w:lang w:bidi="ar"/>
              </w:rPr>
              <w:t>分钟。磋商小组在评审现场对其进行播放并以此作为与方案演示有关评审内容的评分依据。各供应商递交的音视频文件光盘或U盘中应有确保文件正常打开的播放器。</w:t>
            </w:r>
          </w:p>
          <w:p w14:paraId="0B5D48B6">
            <w:pPr>
              <w:spacing w:line="288" w:lineRule="auto"/>
              <w:rPr>
                <w:color w:val="auto"/>
                <w:sz w:val="21"/>
                <w:szCs w:val="21"/>
                <w:highlight w:val="none"/>
              </w:rPr>
            </w:pPr>
            <w:r>
              <w:rPr>
                <w:rFonts w:hint="eastAsia"/>
                <w:color w:val="auto"/>
                <w:sz w:val="21"/>
                <w:szCs w:val="21"/>
                <w:highlight w:val="none"/>
                <w:lang w:bidi="ar"/>
              </w:rPr>
              <w:t>注：因供应商自身原因导致无法演示或者演示效果不理想的，责任自负。因平台原因导致本项目方案讲解演示环节无法顺利开展，按照《浙江省政府采购项目电子交易管理暂行办法》相关规定执行。</w:t>
            </w:r>
          </w:p>
        </w:tc>
      </w:tr>
      <w:tr w14:paraId="6BF7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7B8393B0">
            <w:pPr>
              <w:adjustRightInd w:val="0"/>
              <w:snapToGrid w:val="0"/>
              <w:spacing w:line="288" w:lineRule="auto"/>
              <w:jc w:val="center"/>
              <w:rPr>
                <w:color w:val="auto"/>
                <w:sz w:val="21"/>
                <w:szCs w:val="21"/>
                <w:highlight w:val="none"/>
              </w:rPr>
            </w:pPr>
            <w:r>
              <w:rPr>
                <w:rFonts w:hint="eastAsia"/>
                <w:color w:val="auto"/>
                <w:sz w:val="21"/>
                <w:szCs w:val="21"/>
                <w:highlight w:val="none"/>
              </w:rPr>
              <w:t>（九）</w:t>
            </w:r>
          </w:p>
        </w:tc>
        <w:tc>
          <w:tcPr>
            <w:tcW w:w="909" w:type="pct"/>
            <w:vAlign w:val="center"/>
          </w:tcPr>
          <w:p w14:paraId="3B758EDA">
            <w:pPr>
              <w:adjustRightInd w:val="0"/>
              <w:snapToGrid w:val="0"/>
              <w:spacing w:line="288" w:lineRule="auto"/>
              <w:jc w:val="center"/>
              <w:rPr>
                <w:color w:val="auto"/>
                <w:sz w:val="21"/>
                <w:szCs w:val="21"/>
                <w:highlight w:val="none"/>
              </w:rPr>
            </w:pPr>
            <w:r>
              <w:rPr>
                <w:rFonts w:hint="eastAsia"/>
                <w:color w:val="auto"/>
                <w:sz w:val="21"/>
                <w:szCs w:val="21"/>
                <w:highlight w:val="none"/>
              </w:rPr>
              <w:t>磋商费用</w:t>
            </w:r>
          </w:p>
        </w:tc>
        <w:tc>
          <w:tcPr>
            <w:tcW w:w="3362" w:type="pct"/>
            <w:vAlign w:val="center"/>
          </w:tcPr>
          <w:p w14:paraId="08AF5894">
            <w:pPr>
              <w:adjustRightInd w:val="0"/>
              <w:snapToGrid w:val="0"/>
              <w:spacing w:line="288" w:lineRule="auto"/>
              <w:rPr>
                <w:color w:val="auto"/>
                <w:sz w:val="21"/>
                <w:szCs w:val="21"/>
                <w:highlight w:val="none"/>
              </w:rPr>
            </w:pPr>
            <w:r>
              <w:rPr>
                <w:rFonts w:hint="eastAsia"/>
                <w:color w:val="auto"/>
                <w:sz w:val="21"/>
                <w:szCs w:val="21"/>
                <w:highlight w:val="none"/>
              </w:rPr>
              <w:t>1.不论磋商结果如何，供应商均应自行承担所有与磋商有关的全部费用。</w:t>
            </w:r>
          </w:p>
          <w:p w14:paraId="3AE37085">
            <w:pPr>
              <w:adjustRightInd w:val="0"/>
              <w:snapToGrid w:val="0"/>
              <w:spacing w:line="288" w:lineRule="auto"/>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7CFB4F4C">
            <w:pPr>
              <w:adjustRightInd w:val="0"/>
              <w:snapToGrid w:val="0"/>
              <w:spacing w:line="288" w:lineRule="auto"/>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0F845C03">
            <w:pPr>
              <w:adjustRightInd w:val="0"/>
              <w:snapToGrid w:val="0"/>
              <w:spacing w:line="288" w:lineRule="auto"/>
              <w:rPr>
                <w:color w:val="auto"/>
                <w:sz w:val="21"/>
                <w:szCs w:val="21"/>
                <w:highlight w:val="none"/>
              </w:rPr>
            </w:pPr>
            <w:bookmarkStart w:id="63" w:name="_Hlk71808378"/>
            <w:r>
              <w:rPr>
                <w:rFonts w:hint="eastAsia"/>
                <w:color w:val="auto"/>
                <w:sz w:val="21"/>
                <w:szCs w:val="21"/>
                <w:highlight w:val="none"/>
              </w:rPr>
              <w:t>4.代理服务费收费标准（差额累进）：</w:t>
            </w:r>
          </w:p>
          <w:bookmarkEnd w:id="63"/>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0"/>
              <w:gridCol w:w="2338"/>
            </w:tblGrid>
            <w:tr w14:paraId="0AA7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783D5B7F">
                  <w:pPr>
                    <w:adjustRightInd w:val="0"/>
                    <w:snapToGrid w:val="0"/>
                    <w:spacing w:line="288" w:lineRule="auto"/>
                    <w:jc w:val="center"/>
                    <w:rPr>
                      <w:b/>
                      <w:color w:val="auto"/>
                      <w:sz w:val="21"/>
                      <w:szCs w:val="21"/>
                      <w:highlight w:val="none"/>
                    </w:rPr>
                  </w:pPr>
                  <w:r>
                    <w:rPr>
                      <w:rFonts w:hint="eastAsia"/>
                      <w:b/>
                      <w:color w:val="auto"/>
                      <w:sz w:val="21"/>
                      <w:szCs w:val="21"/>
                      <w:highlight w:val="none"/>
                    </w:rPr>
                    <w:t>成交金额（万元）</w:t>
                  </w:r>
                </w:p>
              </w:tc>
              <w:tc>
                <w:tcPr>
                  <w:tcW w:w="2338" w:type="dxa"/>
                  <w:tcBorders>
                    <w:top w:val="single" w:color="auto" w:sz="4" w:space="0"/>
                    <w:left w:val="nil"/>
                    <w:bottom w:val="single" w:color="auto" w:sz="4" w:space="0"/>
                    <w:right w:val="single" w:color="auto" w:sz="4" w:space="0"/>
                  </w:tcBorders>
                  <w:vAlign w:val="center"/>
                </w:tcPr>
                <w:p w14:paraId="5C05C95C">
                  <w:pPr>
                    <w:adjustRightInd w:val="0"/>
                    <w:snapToGrid w:val="0"/>
                    <w:spacing w:line="288" w:lineRule="auto"/>
                    <w:jc w:val="center"/>
                    <w:rPr>
                      <w:b/>
                      <w:color w:val="auto"/>
                      <w:sz w:val="21"/>
                      <w:szCs w:val="21"/>
                      <w:highlight w:val="none"/>
                    </w:rPr>
                  </w:pPr>
                  <w:r>
                    <w:rPr>
                      <w:rFonts w:hint="eastAsia"/>
                      <w:b/>
                      <w:color w:val="auto"/>
                      <w:sz w:val="21"/>
                      <w:szCs w:val="21"/>
                      <w:highlight w:val="none"/>
                    </w:rPr>
                    <w:t>收费标准（费率，%）</w:t>
                  </w:r>
                </w:p>
              </w:tc>
            </w:tr>
            <w:tr w14:paraId="7151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2E8B1538">
                  <w:pPr>
                    <w:adjustRightInd w:val="0"/>
                    <w:snapToGrid w:val="0"/>
                    <w:spacing w:line="288" w:lineRule="auto"/>
                    <w:jc w:val="center"/>
                    <w:rPr>
                      <w:color w:val="auto"/>
                      <w:sz w:val="21"/>
                      <w:szCs w:val="21"/>
                      <w:highlight w:val="none"/>
                    </w:rPr>
                  </w:pPr>
                  <w:r>
                    <w:rPr>
                      <w:rFonts w:hint="eastAsia"/>
                      <w:color w:val="auto"/>
                      <w:sz w:val="21"/>
                      <w:szCs w:val="21"/>
                      <w:highlight w:val="none"/>
                    </w:rPr>
                    <w:t>100以下</w:t>
                  </w:r>
                </w:p>
              </w:tc>
              <w:tc>
                <w:tcPr>
                  <w:tcW w:w="2338" w:type="dxa"/>
                  <w:tcBorders>
                    <w:top w:val="single" w:color="auto" w:sz="4" w:space="0"/>
                    <w:left w:val="nil"/>
                    <w:bottom w:val="single" w:color="auto" w:sz="4" w:space="0"/>
                    <w:right w:val="single" w:color="auto" w:sz="4" w:space="0"/>
                  </w:tcBorders>
                  <w:vAlign w:val="center"/>
                </w:tcPr>
                <w:p w14:paraId="09FF6227">
                  <w:pPr>
                    <w:adjustRightInd w:val="0"/>
                    <w:snapToGrid w:val="0"/>
                    <w:spacing w:line="288" w:lineRule="auto"/>
                    <w:jc w:val="center"/>
                    <w:rPr>
                      <w:color w:val="auto"/>
                      <w:sz w:val="21"/>
                      <w:szCs w:val="21"/>
                      <w:highlight w:val="none"/>
                    </w:rPr>
                  </w:pPr>
                  <w:r>
                    <w:rPr>
                      <w:rFonts w:hint="eastAsia"/>
                      <w:color w:val="auto"/>
                      <w:sz w:val="21"/>
                      <w:szCs w:val="21"/>
                      <w:highlight w:val="none"/>
                    </w:rPr>
                    <w:t>1.2</w:t>
                  </w:r>
                </w:p>
              </w:tc>
            </w:tr>
            <w:tr w14:paraId="5C6E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339A7036">
                  <w:pPr>
                    <w:adjustRightInd w:val="0"/>
                    <w:snapToGrid w:val="0"/>
                    <w:spacing w:line="288" w:lineRule="auto"/>
                    <w:jc w:val="center"/>
                    <w:rPr>
                      <w:color w:val="auto"/>
                      <w:sz w:val="21"/>
                      <w:szCs w:val="21"/>
                      <w:highlight w:val="none"/>
                      <w:lang w:bidi="ar"/>
                    </w:rPr>
                  </w:pPr>
                  <w:r>
                    <w:rPr>
                      <w:rFonts w:hint="eastAsia"/>
                      <w:color w:val="auto"/>
                      <w:sz w:val="21"/>
                      <w:szCs w:val="21"/>
                      <w:highlight w:val="none"/>
                    </w:rPr>
                    <w:t>100-500部分</w:t>
                  </w:r>
                </w:p>
              </w:tc>
              <w:tc>
                <w:tcPr>
                  <w:tcW w:w="2338" w:type="dxa"/>
                  <w:tcBorders>
                    <w:top w:val="single" w:color="auto" w:sz="4" w:space="0"/>
                    <w:left w:val="nil"/>
                    <w:bottom w:val="single" w:color="auto" w:sz="4" w:space="0"/>
                    <w:right w:val="single" w:color="auto" w:sz="4" w:space="0"/>
                  </w:tcBorders>
                  <w:vAlign w:val="center"/>
                </w:tcPr>
                <w:p w14:paraId="1D322ED0">
                  <w:pPr>
                    <w:adjustRightInd w:val="0"/>
                    <w:snapToGrid w:val="0"/>
                    <w:spacing w:line="288" w:lineRule="auto"/>
                    <w:jc w:val="center"/>
                    <w:rPr>
                      <w:color w:val="auto"/>
                      <w:sz w:val="21"/>
                      <w:szCs w:val="21"/>
                      <w:highlight w:val="none"/>
                      <w:lang w:bidi="ar"/>
                    </w:rPr>
                  </w:pPr>
                  <w:r>
                    <w:rPr>
                      <w:rFonts w:hint="eastAsia"/>
                      <w:color w:val="auto"/>
                      <w:sz w:val="21"/>
                      <w:szCs w:val="21"/>
                      <w:highlight w:val="none"/>
                    </w:rPr>
                    <w:t>0.88</w:t>
                  </w:r>
                </w:p>
              </w:tc>
            </w:tr>
          </w:tbl>
          <w:p w14:paraId="0C12CD0C">
            <w:pPr>
              <w:adjustRightInd w:val="0"/>
              <w:snapToGrid w:val="0"/>
              <w:spacing w:line="288" w:lineRule="auto"/>
              <w:ind w:firstLine="420" w:firstLineChars="200"/>
              <w:jc w:val="center"/>
              <w:rPr>
                <w:color w:val="auto"/>
                <w:sz w:val="21"/>
                <w:szCs w:val="21"/>
                <w:highlight w:val="none"/>
                <w:lang w:bidi="ar"/>
              </w:rPr>
            </w:pPr>
            <w:r>
              <w:rPr>
                <w:rFonts w:hint="eastAsia"/>
                <w:color w:val="auto"/>
                <w:sz w:val="21"/>
                <w:szCs w:val="21"/>
                <w:highlight w:val="none"/>
                <w:lang w:bidi="ar"/>
              </w:rPr>
              <w:t>代理服务费不足3000元的按3000元计。</w:t>
            </w:r>
          </w:p>
          <w:p w14:paraId="37DEB356">
            <w:pPr>
              <w:adjustRightInd w:val="0"/>
              <w:snapToGrid w:val="0"/>
              <w:spacing w:line="288" w:lineRule="auto"/>
              <w:jc w:val="left"/>
              <w:rPr>
                <w:color w:val="auto"/>
                <w:sz w:val="21"/>
                <w:szCs w:val="21"/>
                <w:highlight w:val="none"/>
                <w:lang w:bidi="ar"/>
              </w:rPr>
            </w:pPr>
            <w:r>
              <w:rPr>
                <w:rFonts w:hint="eastAsia"/>
                <w:color w:val="auto"/>
                <w:sz w:val="21"/>
                <w:szCs w:val="21"/>
                <w:highlight w:val="none"/>
                <w:lang w:bidi="ar"/>
              </w:rPr>
              <w:t>采购代理服务费由</w:t>
            </w:r>
            <w:r>
              <w:rPr>
                <w:rFonts w:hint="eastAsia"/>
                <w:color w:val="auto"/>
                <w:sz w:val="21"/>
                <w:szCs w:val="21"/>
                <w:highlight w:val="none"/>
              </w:rPr>
              <w:t>成交通知书发出之日起七个工作日内</w:t>
            </w:r>
            <w:r>
              <w:rPr>
                <w:rFonts w:hint="eastAsia"/>
                <w:color w:val="auto"/>
                <w:sz w:val="21"/>
                <w:szCs w:val="21"/>
                <w:highlight w:val="none"/>
                <w:lang w:bidi="ar"/>
              </w:rPr>
              <w:t>向采购代理机构支付。汇入以下账户 ：</w:t>
            </w:r>
          </w:p>
          <w:p w14:paraId="40082925">
            <w:pPr>
              <w:adjustRightInd w:val="0"/>
              <w:snapToGrid w:val="0"/>
              <w:spacing w:line="288" w:lineRule="auto"/>
              <w:jc w:val="left"/>
              <w:rPr>
                <w:color w:val="auto"/>
                <w:sz w:val="21"/>
                <w:szCs w:val="21"/>
                <w:highlight w:val="none"/>
                <w:lang w:bidi="ar"/>
              </w:rPr>
            </w:pPr>
            <w:r>
              <w:rPr>
                <w:rFonts w:hint="eastAsia"/>
                <w:color w:val="auto"/>
                <w:sz w:val="21"/>
                <w:szCs w:val="21"/>
                <w:highlight w:val="none"/>
                <w:lang w:bidi="ar"/>
              </w:rPr>
              <w:t>户 名：浙江求是招标代理有限公司</w:t>
            </w:r>
          </w:p>
          <w:p w14:paraId="08C58117">
            <w:pPr>
              <w:adjustRightInd w:val="0"/>
              <w:snapToGrid w:val="0"/>
              <w:spacing w:line="288" w:lineRule="auto"/>
              <w:jc w:val="left"/>
              <w:rPr>
                <w:color w:val="auto"/>
                <w:sz w:val="21"/>
                <w:szCs w:val="21"/>
                <w:highlight w:val="none"/>
                <w:lang w:bidi="ar"/>
              </w:rPr>
            </w:pPr>
            <w:r>
              <w:rPr>
                <w:rFonts w:hint="eastAsia"/>
                <w:color w:val="auto"/>
                <w:sz w:val="21"/>
                <w:szCs w:val="21"/>
                <w:highlight w:val="none"/>
                <w:lang w:bidi="ar"/>
              </w:rPr>
              <w:t xml:space="preserve">开 户：工行浙大支行 </w:t>
            </w:r>
          </w:p>
          <w:p w14:paraId="0AE23B68">
            <w:pPr>
              <w:adjustRightInd w:val="0"/>
              <w:snapToGrid w:val="0"/>
              <w:spacing w:line="288" w:lineRule="auto"/>
              <w:jc w:val="left"/>
              <w:rPr>
                <w:color w:val="auto"/>
                <w:sz w:val="21"/>
                <w:szCs w:val="21"/>
                <w:highlight w:val="none"/>
              </w:rPr>
            </w:pPr>
            <w:r>
              <w:rPr>
                <w:rFonts w:hint="eastAsia"/>
                <w:color w:val="auto"/>
                <w:sz w:val="21"/>
                <w:szCs w:val="21"/>
                <w:highlight w:val="none"/>
                <w:lang w:bidi="ar"/>
              </w:rPr>
              <w:t>账 号：1202024609900033043</w:t>
            </w:r>
          </w:p>
        </w:tc>
      </w:tr>
      <w:tr w14:paraId="6C25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6D6421BE">
            <w:pPr>
              <w:adjustRightInd w:val="0"/>
              <w:snapToGrid w:val="0"/>
              <w:spacing w:line="288" w:lineRule="auto"/>
              <w:jc w:val="center"/>
              <w:rPr>
                <w:color w:val="auto"/>
                <w:sz w:val="21"/>
                <w:szCs w:val="21"/>
                <w:highlight w:val="none"/>
              </w:rPr>
            </w:pPr>
            <w:r>
              <w:rPr>
                <w:rFonts w:hint="eastAsia"/>
                <w:color w:val="auto"/>
                <w:sz w:val="21"/>
                <w:szCs w:val="21"/>
                <w:highlight w:val="none"/>
              </w:rPr>
              <w:t>（十）</w:t>
            </w:r>
          </w:p>
        </w:tc>
        <w:tc>
          <w:tcPr>
            <w:tcW w:w="909" w:type="pct"/>
            <w:vAlign w:val="center"/>
          </w:tcPr>
          <w:p w14:paraId="43050468">
            <w:pPr>
              <w:adjustRightInd w:val="0"/>
              <w:snapToGrid w:val="0"/>
              <w:spacing w:line="288" w:lineRule="auto"/>
              <w:jc w:val="center"/>
              <w:rPr>
                <w:color w:val="auto"/>
                <w:sz w:val="21"/>
                <w:szCs w:val="21"/>
                <w:highlight w:val="none"/>
              </w:rPr>
            </w:pPr>
            <w:r>
              <w:rPr>
                <w:rFonts w:hint="eastAsia"/>
                <w:color w:val="auto"/>
                <w:spacing w:val="-6"/>
                <w:sz w:val="21"/>
                <w:szCs w:val="21"/>
                <w:highlight w:val="none"/>
              </w:rPr>
              <w:t>磋商保证金（元）</w:t>
            </w:r>
          </w:p>
        </w:tc>
        <w:tc>
          <w:tcPr>
            <w:tcW w:w="3362" w:type="pct"/>
            <w:vAlign w:val="center"/>
          </w:tcPr>
          <w:p w14:paraId="0BDB9490">
            <w:pPr>
              <w:adjustRightInd w:val="0"/>
              <w:snapToGrid w:val="0"/>
              <w:spacing w:line="288" w:lineRule="auto"/>
              <w:rPr>
                <w:color w:val="auto"/>
                <w:sz w:val="21"/>
                <w:szCs w:val="21"/>
                <w:highlight w:val="none"/>
              </w:rPr>
            </w:pPr>
            <w:r>
              <w:rPr>
                <w:rFonts w:hint="eastAsia"/>
                <w:color w:val="auto"/>
                <w:spacing w:val="-6"/>
                <w:sz w:val="21"/>
                <w:szCs w:val="21"/>
                <w:highlight w:val="none"/>
              </w:rPr>
              <w:t>无。</w:t>
            </w:r>
          </w:p>
        </w:tc>
      </w:tr>
      <w:tr w14:paraId="1C34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507582C7">
            <w:pPr>
              <w:adjustRightInd w:val="0"/>
              <w:snapToGrid w:val="0"/>
              <w:spacing w:line="288" w:lineRule="auto"/>
              <w:jc w:val="center"/>
              <w:rPr>
                <w:color w:val="auto"/>
                <w:sz w:val="21"/>
                <w:szCs w:val="21"/>
                <w:highlight w:val="none"/>
              </w:rPr>
            </w:pPr>
            <w:r>
              <w:rPr>
                <w:rFonts w:hint="eastAsia"/>
                <w:color w:val="auto"/>
                <w:sz w:val="21"/>
                <w:szCs w:val="21"/>
                <w:highlight w:val="none"/>
              </w:rPr>
              <w:t>（十一）</w:t>
            </w:r>
          </w:p>
        </w:tc>
        <w:tc>
          <w:tcPr>
            <w:tcW w:w="909" w:type="pct"/>
            <w:vAlign w:val="center"/>
          </w:tcPr>
          <w:p w14:paraId="2FB1699C">
            <w:pPr>
              <w:adjustRightInd w:val="0"/>
              <w:snapToGrid w:val="0"/>
              <w:spacing w:line="288" w:lineRule="auto"/>
              <w:jc w:val="center"/>
              <w:rPr>
                <w:color w:val="auto"/>
                <w:sz w:val="21"/>
                <w:szCs w:val="21"/>
                <w:highlight w:val="none"/>
              </w:rPr>
            </w:pPr>
            <w:r>
              <w:rPr>
                <w:rFonts w:hint="eastAsia"/>
                <w:color w:val="auto"/>
                <w:sz w:val="21"/>
                <w:szCs w:val="21"/>
                <w:highlight w:val="none"/>
              </w:rPr>
              <w:t>联合体响应</w:t>
            </w:r>
          </w:p>
        </w:tc>
        <w:tc>
          <w:tcPr>
            <w:tcW w:w="3362" w:type="pct"/>
            <w:vAlign w:val="center"/>
          </w:tcPr>
          <w:p w14:paraId="5DE3D71A">
            <w:pPr>
              <w:adjustRightInd w:val="0"/>
              <w:snapToGrid w:val="0"/>
              <w:spacing w:line="288" w:lineRule="auto"/>
              <w:rPr>
                <w:color w:val="auto"/>
                <w:sz w:val="21"/>
                <w:szCs w:val="21"/>
                <w:highlight w:val="none"/>
              </w:rPr>
            </w:pPr>
            <w:r>
              <w:rPr>
                <w:rFonts w:hint="eastAsia"/>
                <w:color w:val="auto"/>
                <w:sz w:val="21"/>
                <w:szCs w:val="21"/>
                <w:highlight w:val="none"/>
              </w:rPr>
              <w:t>本项目接受联合体响应。</w:t>
            </w:r>
          </w:p>
        </w:tc>
      </w:tr>
      <w:tr w14:paraId="36FE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27C46972">
            <w:pPr>
              <w:adjustRightInd w:val="0"/>
              <w:snapToGrid w:val="0"/>
              <w:spacing w:line="288" w:lineRule="auto"/>
              <w:jc w:val="center"/>
              <w:rPr>
                <w:color w:val="auto"/>
                <w:sz w:val="21"/>
                <w:szCs w:val="21"/>
                <w:highlight w:val="none"/>
              </w:rPr>
            </w:pPr>
            <w:r>
              <w:rPr>
                <w:rFonts w:hint="eastAsia"/>
                <w:color w:val="auto"/>
                <w:sz w:val="21"/>
                <w:szCs w:val="21"/>
                <w:highlight w:val="none"/>
              </w:rPr>
              <w:t>（十二）</w:t>
            </w:r>
          </w:p>
        </w:tc>
        <w:tc>
          <w:tcPr>
            <w:tcW w:w="909" w:type="pct"/>
            <w:vAlign w:val="center"/>
          </w:tcPr>
          <w:p w14:paraId="64E4B3B9">
            <w:pPr>
              <w:adjustRightInd w:val="0"/>
              <w:snapToGrid w:val="0"/>
              <w:spacing w:line="288" w:lineRule="auto"/>
              <w:jc w:val="center"/>
              <w:rPr>
                <w:color w:val="auto"/>
                <w:sz w:val="21"/>
                <w:szCs w:val="21"/>
                <w:highlight w:val="none"/>
              </w:rPr>
            </w:pPr>
            <w:r>
              <w:rPr>
                <w:rFonts w:hint="eastAsia"/>
                <w:color w:val="auto"/>
                <w:sz w:val="21"/>
                <w:szCs w:val="21"/>
                <w:highlight w:val="none"/>
              </w:rPr>
              <w:t>转包与分包</w:t>
            </w:r>
          </w:p>
        </w:tc>
        <w:tc>
          <w:tcPr>
            <w:tcW w:w="3362" w:type="pct"/>
            <w:vAlign w:val="center"/>
          </w:tcPr>
          <w:p w14:paraId="15C9DA61">
            <w:pPr>
              <w:adjustRightInd w:val="0"/>
              <w:snapToGrid w:val="0"/>
              <w:spacing w:line="288" w:lineRule="auto"/>
              <w:rPr>
                <w:color w:val="auto"/>
                <w:sz w:val="21"/>
                <w:szCs w:val="21"/>
                <w:highlight w:val="none"/>
              </w:rPr>
            </w:pPr>
            <w:r>
              <w:rPr>
                <w:rFonts w:hint="eastAsia"/>
                <w:color w:val="auto"/>
                <w:sz w:val="21"/>
                <w:szCs w:val="21"/>
                <w:highlight w:val="none"/>
              </w:rPr>
              <w:t>1.本项目不允许转包。</w:t>
            </w:r>
          </w:p>
          <w:p w14:paraId="2849B397">
            <w:pPr>
              <w:adjustRightInd w:val="0"/>
              <w:snapToGrid w:val="0"/>
              <w:spacing w:line="288" w:lineRule="auto"/>
              <w:rPr>
                <w:color w:val="auto"/>
                <w:sz w:val="21"/>
                <w:szCs w:val="21"/>
                <w:highlight w:val="none"/>
              </w:rPr>
            </w:pPr>
            <w:r>
              <w:rPr>
                <w:rFonts w:hint="eastAsia"/>
                <w:color w:val="auto"/>
                <w:sz w:val="21"/>
                <w:szCs w:val="21"/>
                <w:highlight w:val="none"/>
              </w:rPr>
              <w:t>2.本项目允许分包，可以分包履行的（非主体、非关键性的工作）具体内容、金额或者比例：</w:t>
            </w:r>
            <w:r>
              <w:rPr>
                <w:rFonts w:hint="eastAsia"/>
                <w:color w:val="auto"/>
                <w:sz w:val="21"/>
                <w:szCs w:val="21"/>
                <w:highlight w:val="none"/>
                <w:u w:val="single"/>
              </w:rPr>
              <w:t>货物运输</w:t>
            </w:r>
            <w:r>
              <w:rPr>
                <w:rFonts w:hint="eastAsia"/>
                <w:color w:val="auto"/>
                <w:sz w:val="21"/>
                <w:szCs w:val="21"/>
                <w:highlight w:val="none"/>
              </w:rPr>
              <w:t>。</w:t>
            </w:r>
          </w:p>
          <w:p w14:paraId="718894FF">
            <w:pPr>
              <w:adjustRightInd w:val="0"/>
              <w:snapToGrid w:val="0"/>
              <w:spacing w:line="288" w:lineRule="auto"/>
              <w:rPr>
                <w:color w:val="auto"/>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14:paraId="4574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73330311">
            <w:pPr>
              <w:adjustRightInd w:val="0"/>
              <w:snapToGrid w:val="0"/>
              <w:spacing w:line="288" w:lineRule="auto"/>
              <w:jc w:val="center"/>
              <w:rPr>
                <w:color w:val="auto"/>
                <w:sz w:val="21"/>
                <w:szCs w:val="21"/>
                <w:highlight w:val="none"/>
              </w:rPr>
            </w:pPr>
            <w:r>
              <w:rPr>
                <w:rFonts w:hint="eastAsia"/>
                <w:color w:val="auto"/>
                <w:sz w:val="21"/>
                <w:szCs w:val="21"/>
                <w:highlight w:val="none"/>
              </w:rPr>
              <w:t>（十三）</w:t>
            </w:r>
          </w:p>
        </w:tc>
        <w:tc>
          <w:tcPr>
            <w:tcW w:w="909" w:type="pct"/>
            <w:vAlign w:val="center"/>
          </w:tcPr>
          <w:p w14:paraId="640BDD12">
            <w:pPr>
              <w:adjustRightInd w:val="0"/>
              <w:snapToGrid w:val="0"/>
              <w:spacing w:line="288" w:lineRule="auto"/>
              <w:jc w:val="center"/>
              <w:rPr>
                <w:color w:val="auto"/>
                <w:sz w:val="21"/>
                <w:szCs w:val="21"/>
                <w:highlight w:val="none"/>
              </w:rPr>
            </w:pPr>
            <w:r>
              <w:rPr>
                <w:rFonts w:hint="eastAsia"/>
                <w:color w:val="auto"/>
                <w:sz w:val="21"/>
                <w:szCs w:val="21"/>
                <w:highlight w:val="none"/>
              </w:rPr>
              <w:t>节能产品、环境标志产品</w:t>
            </w:r>
          </w:p>
        </w:tc>
        <w:tc>
          <w:tcPr>
            <w:tcW w:w="3362" w:type="pct"/>
            <w:vAlign w:val="center"/>
          </w:tcPr>
          <w:p w14:paraId="232DABFB">
            <w:pPr>
              <w:adjustRightInd w:val="0"/>
              <w:snapToGrid w:val="0"/>
              <w:spacing w:line="288" w:lineRule="auto"/>
              <w:jc w:val="left"/>
              <w:rPr>
                <w:color w:val="auto"/>
                <w:sz w:val="21"/>
                <w:szCs w:val="21"/>
                <w:highlight w:val="none"/>
              </w:rPr>
            </w:pPr>
            <w:r>
              <w:rPr>
                <w:rFonts w:hint="eastAsia"/>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807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6344068A">
            <w:pPr>
              <w:adjustRightInd w:val="0"/>
              <w:snapToGrid w:val="0"/>
              <w:spacing w:line="288" w:lineRule="auto"/>
              <w:jc w:val="center"/>
              <w:rPr>
                <w:color w:val="auto"/>
                <w:sz w:val="21"/>
                <w:szCs w:val="21"/>
                <w:highlight w:val="none"/>
              </w:rPr>
            </w:pPr>
            <w:r>
              <w:rPr>
                <w:rFonts w:hint="eastAsia"/>
                <w:color w:val="auto"/>
                <w:sz w:val="21"/>
                <w:szCs w:val="21"/>
                <w:highlight w:val="none"/>
              </w:rPr>
              <w:t>（十四）</w:t>
            </w:r>
          </w:p>
        </w:tc>
        <w:tc>
          <w:tcPr>
            <w:tcW w:w="909" w:type="pct"/>
            <w:vAlign w:val="center"/>
          </w:tcPr>
          <w:p w14:paraId="32BAE0D4">
            <w:pPr>
              <w:adjustRightInd w:val="0"/>
              <w:snapToGrid w:val="0"/>
              <w:spacing w:line="288" w:lineRule="auto"/>
              <w:jc w:val="center"/>
              <w:rPr>
                <w:color w:val="auto"/>
                <w:sz w:val="21"/>
                <w:szCs w:val="21"/>
                <w:highlight w:val="none"/>
              </w:rPr>
            </w:pPr>
            <w:r>
              <w:rPr>
                <w:rFonts w:hint="eastAsia"/>
                <w:b/>
                <w:bCs/>
                <w:color w:val="auto"/>
                <w:sz w:val="21"/>
                <w:szCs w:val="21"/>
                <w:highlight w:val="none"/>
              </w:rPr>
              <w:t>信用记录</w:t>
            </w:r>
          </w:p>
        </w:tc>
        <w:tc>
          <w:tcPr>
            <w:tcW w:w="3362" w:type="pct"/>
            <w:vAlign w:val="center"/>
          </w:tcPr>
          <w:p w14:paraId="561E1AC6">
            <w:pPr>
              <w:adjustRightInd w:val="0"/>
              <w:snapToGrid w:val="0"/>
              <w:spacing w:line="288" w:lineRule="auto"/>
              <w:rPr>
                <w:bCs/>
                <w:color w:val="auto"/>
                <w:sz w:val="21"/>
                <w:szCs w:val="21"/>
                <w:highlight w:val="none"/>
              </w:rPr>
            </w:pPr>
            <w:bookmarkStart w:id="64"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bookmarkEnd w:id="64"/>
          <w:p w14:paraId="5FD28F28">
            <w:pPr>
              <w:adjustRightInd w:val="0"/>
              <w:snapToGrid w:val="0"/>
              <w:spacing w:line="288" w:lineRule="auto"/>
              <w:rPr>
                <w:color w:val="auto"/>
                <w:sz w:val="21"/>
                <w:szCs w:val="21"/>
                <w:highlight w:val="none"/>
              </w:rPr>
            </w:pPr>
            <w:r>
              <w:rPr>
                <w:rFonts w:hint="eastAsia"/>
                <w:color w:val="auto"/>
                <w:sz w:val="21"/>
                <w:szCs w:val="21"/>
                <w:highlight w:val="none"/>
              </w:rPr>
              <w:t>（1）查询渠道：“信用中国”（www.creditchina.gov.cn）、“中国政府采购网”（www.ccgp.gov.cn）；</w:t>
            </w:r>
          </w:p>
          <w:p w14:paraId="57BBAB06">
            <w:pPr>
              <w:adjustRightInd w:val="0"/>
              <w:snapToGrid w:val="0"/>
              <w:spacing w:line="288" w:lineRule="auto"/>
              <w:rPr>
                <w:color w:val="auto"/>
                <w:sz w:val="21"/>
                <w:szCs w:val="21"/>
                <w:highlight w:val="none"/>
              </w:rPr>
            </w:pPr>
            <w:r>
              <w:rPr>
                <w:rFonts w:hint="eastAsia"/>
                <w:color w:val="auto"/>
                <w:sz w:val="21"/>
                <w:szCs w:val="21"/>
                <w:highlight w:val="none"/>
              </w:rPr>
              <w:t>（2）信用信息查询记录和证据留存具体方式：现场查询的供应商的信用记录、查询结果经确认后将与采购文件一起存档；</w:t>
            </w:r>
          </w:p>
          <w:p w14:paraId="7DC265CB">
            <w:pPr>
              <w:adjustRightInd w:val="0"/>
              <w:snapToGrid w:val="0"/>
              <w:spacing w:line="288" w:lineRule="auto"/>
              <w:rPr>
                <w:color w:val="auto"/>
                <w:sz w:val="21"/>
                <w:szCs w:val="21"/>
                <w:highlight w:val="none"/>
              </w:rPr>
            </w:pPr>
            <w:r>
              <w:rPr>
                <w:rFonts w:hint="eastAsia"/>
                <w:color w:val="auto"/>
                <w:sz w:val="21"/>
                <w:szCs w:val="21"/>
                <w:highlight w:val="none"/>
              </w:rPr>
              <w:t>（3）信用信息的使用规则：供应商被列入失信被执行人、重大税收违法案件当事人名单、政府采购严重违法失信行为记录名单的，拒绝其参与政府采购活动。</w:t>
            </w:r>
          </w:p>
          <w:p w14:paraId="4DF6C70A">
            <w:pPr>
              <w:adjustRightInd w:val="0"/>
              <w:snapToGrid w:val="0"/>
              <w:spacing w:line="288" w:lineRule="auto"/>
              <w:rPr>
                <w:color w:val="auto"/>
                <w:sz w:val="21"/>
                <w:szCs w:val="21"/>
                <w:highlight w:val="none"/>
              </w:rPr>
            </w:pPr>
            <w:r>
              <w:rPr>
                <w:rFonts w:hint="eastAsia"/>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AFD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24474BF6">
            <w:pPr>
              <w:adjustRightInd w:val="0"/>
              <w:snapToGrid w:val="0"/>
              <w:spacing w:line="288" w:lineRule="auto"/>
              <w:jc w:val="center"/>
              <w:rPr>
                <w:color w:val="auto"/>
                <w:sz w:val="21"/>
                <w:szCs w:val="21"/>
                <w:highlight w:val="none"/>
              </w:rPr>
            </w:pPr>
            <w:r>
              <w:rPr>
                <w:rFonts w:hint="eastAsia"/>
                <w:color w:val="auto"/>
                <w:sz w:val="21"/>
                <w:szCs w:val="21"/>
                <w:highlight w:val="none"/>
              </w:rPr>
              <w:t>（十五）</w:t>
            </w:r>
          </w:p>
        </w:tc>
        <w:tc>
          <w:tcPr>
            <w:tcW w:w="909" w:type="pct"/>
            <w:vAlign w:val="center"/>
          </w:tcPr>
          <w:p w14:paraId="0AF793AD">
            <w:pPr>
              <w:adjustRightInd w:val="0"/>
              <w:snapToGrid w:val="0"/>
              <w:spacing w:line="288" w:lineRule="auto"/>
              <w:jc w:val="center"/>
              <w:rPr>
                <w:color w:val="auto"/>
                <w:sz w:val="21"/>
                <w:szCs w:val="21"/>
                <w:highlight w:val="none"/>
              </w:rPr>
            </w:pPr>
            <w:r>
              <w:rPr>
                <w:rFonts w:hint="eastAsia"/>
                <w:color w:val="auto"/>
                <w:sz w:val="21"/>
                <w:szCs w:val="21"/>
                <w:highlight w:val="none"/>
              </w:rPr>
              <w:t>资格审查要求的资格证明材料</w:t>
            </w:r>
          </w:p>
        </w:tc>
        <w:tc>
          <w:tcPr>
            <w:tcW w:w="3362" w:type="pct"/>
            <w:vAlign w:val="center"/>
          </w:tcPr>
          <w:p w14:paraId="4BCD0737">
            <w:pPr>
              <w:adjustRightInd w:val="0"/>
              <w:snapToGrid w:val="0"/>
              <w:spacing w:line="288" w:lineRule="auto"/>
              <w:rPr>
                <w:b/>
                <w:bCs/>
                <w:color w:val="auto"/>
                <w:sz w:val="21"/>
                <w:szCs w:val="21"/>
                <w:highlight w:val="none"/>
              </w:rPr>
            </w:pPr>
            <w:r>
              <w:rPr>
                <w:rFonts w:hint="eastAsia"/>
                <w:b/>
                <w:bCs/>
                <w:color w:val="auto"/>
                <w:sz w:val="21"/>
                <w:szCs w:val="21"/>
                <w:highlight w:val="none"/>
              </w:rPr>
              <w:t>资格审查要求的资格证明材料(均需加盖公章)：</w:t>
            </w:r>
          </w:p>
          <w:p w14:paraId="27A04B78">
            <w:pPr>
              <w:adjustRightInd w:val="0"/>
              <w:snapToGrid w:val="0"/>
              <w:spacing w:line="288" w:lineRule="auto"/>
              <w:rPr>
                <w:color w:val="auto"/>
                <w:sz w:val="21"/>
                <w:szCs w:val="21"/>
                <w:highlight w:val="none"/>
              </w:rPr>
            </w:pPr>
            <w:r>
              <w:rPr>
                <w:rFonts w:hint="eastAsia"/>
                <w:color w:val="auto"/>
                <w:sz w:val="21"/>
                <w:szCs w:val="21"/>
                <w:highlight w:val="none"/>
              </w:rPr>
              <w:t>（1）有效的法人或者其他组织的营业执照等证明文件，自然人的身份证明；</w:t>
            </w:r>
          </w:p>
          <w:p w14:paraId="1679CF8B">
            <w:pPr>
              <w:adjustRightInd w:val="0"/>
              <w:snapToGrid w:val="0"/>
              <w:spacing w:line="288" w:lineRule="auto"/>
              <w:rPr>
                <w:color w:val="auto"/>
                <w:sz w:val="21"/>
                <w:szCs w:val="21"/>
                <w:highlight w:val="none"/>
              </w:rPr>
            </w:pPr>
            <w:r>
              <w:rPr>
                <w:rFonts w:hint="eastAsia"/>
                <w:color w:val="auto"/>
                <w:sz w:val="21"/>
                <w:szCs w:val="21"/>
                <w:highlight w:val="none"/>
              </w:rPr>
              <w:t>（2）符合参加政府采购活动应当具备的一般条件的承诺函；</w:t>
            </w:r>
          </w:p>
          <w:p w14:paraId="6663FBC4">
            <w:pPr>
              <w:adjustRightInd w:val="0"/>
              <w:snapToGrid w:val="0"/>
              <w:spacing w:line="288" w:lineRule="auto"/>
              <w:rPr>
                <w:rFonts w:hint="eastAsia" w:eastAsia="宋体"/>
                <w:color w:val="auto"/>
                <w:sz w:val="21"/>
                <w:szCs w:val="21"/>
                <w:highlight w:val="none"/>
                <w:lang w:val="en-US" w:eastAsia="zh-CN"/>
              </w:rPr>
            </w:pPr>
            <w:r>
              <w:rPr>
                <w:rFonts w:hint="eastAsia"/>
                <w:color w:val="auto"/>
                <w:sz w:val="21"/>
                <w:szCs w:val="21"/>
                <w:highlight w:val="none"/>
              </w:rPr>
              <w:t>（3）落实政府采购政策需满足的资格要求：</w:t>
            </w:r>
            <w:r>
              <w:rPr>
                <w:rFonts w:hint="eastAsia"/>
                <w:color w:val="auto"/>
                <w:sz w:val="21"/>
                <w:szCs w:val="21"/>
                <w:highlight w:val="none"/>
                <w:lang w:val="en-US" w:eastAsia="zh-CN"/>
              </w:rPr>
              <w:t>无</w:t>
            </w:r>
          </w:p>
          <w:p w14:paraId="299D50BC">
            <w:pPr>
              <w:adjustRightInd w:val="0"/>
              <w:snapToGrid w:val="0"/>
              <w:spacing w:line="288" w:lineRule="auto"/>
              <w:rPr>
                <w:b/>
                <w:bCs/>
                <w:color w:val="auto"/>
                <w:sz w:val="21"/>
                <w:szCs w:val="21"/>
                <w:highlight w:val="none"/>
              </w:rPr>
            </w:pPr>
            <w:r>
              <w:rPr>
                <w:rFonts w:hint="eastAsia"/>
                <w:color w:val="auto"/>
                <w:sz w:val="21"/>
                <w:szCs w:val="21"/>
                <w:highlight w:val="none"/>
              </w:rPr>
              <w:t>（4）本项目的特定资格要求证明材料：无。</w:t>
            </w:r>
          </w:p>
        </w:tc>
      </w:tr>
      <w:tr w14:paraId="11F0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ACAB9DE">
            <w:pPr>
              <w:adjustRightInd w:val="0"/>
              <w:snapToGrid w:val="0"/>
              <w:spacing w:line="288" w:lineRule="auto"/>
              <w:jc w:val="center"/>
              <w:rPr>
                <w:color w:val="auto"/>
                <w:sz w:val="21"/>
                <w:szCs w:val="21"/>
                <w:highlight w:val="none"/>
              </w:rPr>
            </w:pPr>
            <w:r>
              <w:rPr>
                <w:rFonts w:hint="eastAsia"/>
                <w:color w:val="auto"/>
                <w:sz w:val="21"/>
                <w:szCs w:val="21"/>
                <w:highlight w:val="none"/>
              </w:rPr>
              <w:t>（十六）</w:t>
            </w:r>
          </w:p>
        </w:tc>
        <w:tc>
          <w:tcPr>
            <w:tcW w:w="909" w:type="pct"/>
            <w:vAlign w:val="center"/>
          </w:tcPr>
          <w:p w14:paraId="7445B1D8">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响应文件份数</w:t>
            </w:r>
          </w:p>
        </w:tc>
        <w:tc>
          <w:tcPr>
            <w:tcW w:w="3362" w:type="pct"/>
            <w:vAlign w:val="center"/>
          </w:tcPr>
          <w:p w14:paraId="7525C645">
            <w:pPr>
              <w:adjustRightInd w:val="0"/>
              <w:snapToGrid w:val="0"/>
              <w:spacing w:line="288" w:lineRule="auto"/>
              <w:jc w:val="left"/>
              <w:rPr>
                <w:b/>
                <w:bCs/>
                <w:color w:val="auto"/>
                <w:sz w:val="21"/>
                <w:szCs w:val="21"/>
                <w:highlight w:val="none"/>
              </w:rPr>
            </w:pPr>
            <w:r>
              <w:rPr>
                <w:rFonts w:hint="eastAsia"/>
                <w:b/>
                <w:bCs/>
                <w:color w:val="auto"/>
                <w:sz w:val="21"/>
                <w:szCs w:val="21"/>
                <w:highlight w:val="none"/>
              </w:rPr>
              <w:t>电子加密响应文件：政府采购云平台在线上传一份；备份响应文件：响应文件开启时间前送达（邮寄地址：杭州市西湖区玉古路173号中田大厦21楼，浙江求是招标代理有限公司（俞炳）收，电话：0571-87670302，寄出后将（快递单号、项目名称、公司名称、联系方式等相关信息）发至：zb02@qszb.net，以便查收）。</w:t>
            </w:r>
          </w:p>
          <w:p w14:paraId="7DDC00C1">
            <w:pPr>
              <w:adjustRightInd w:val="0"/>
              <w:snapToGrid w:val="0"/>
              <w:spacing w:line="288" w:lineRule="auto"/>
              <w:jc w:val="left"/>
              <w:rPr>
                <w:b/>
                <w:bCs/>
                <w:color w:val="auto"/>
                <w:sz w:val="21"/>
                <w:szCs w:val="21"/>
                <w:highlight w:val="none"/>
              </w:rPr>
            </w:pPr>
            <w:r>
              <w:rPr>
                <w:rFonts w:hint="eastAsia"/>
                <w:b/>
                <w:bCs/>
                <w:color w:val="auto"/>
                <w:sz w:val="21"/>
                <w:szCs w:val="21"/>
                <w:highlight w:val="none"/>
              </w:rPr>
              <w:t>特别说明：双休日和法定节假日不收件，供应商自行承担邮寄风险。采购人、采购机构不强制或变相强制投标人提交备份投标文件。</w:t>
            </w:r>
          </w:p>
        </w:tc>
      </w:tr>
      <w:tr w14:paraId="77FF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5DD8DAF">
            <w:pPr>
              <w:adjustRightInd w:val="0"/>
              <w:snapToGrid w:val="0"/>
              <w:spacing w:line="288" w:lineRule="auto"/>
              <w:jc w:val="center"/>
              <w:rPr>
                <w:color w:val="auto"/>
                <w:sz w:val="21"/>
                <w:szCs w:val="21"/>
                <w:highlight w:val="none"/>
              </w:rPr>
            </w:pPr>
            <w:r>
              <w:rPr>
                <w:rFonts w:hint="eastAsia"/>
                <w:color w:val="auto"/>
                <w:sz w:val="21"/>
                <w:szCs w:val="21"/>
                <w:highlight w:val="none"/>
              </w:rPr>
              <w:t>（十七）</w:t>
            </w:r>
          </w:p>
        </w:tc>
        <w:tc>
          <w:tcPr>
            <w:tcW w:w="909" w:type="pct"/>
            <w:vAlign w:val="center"/>
          </w:tcPr>
          <w:p w14:paraId="6B25F758">
            <w:pPr>
              <w:adjustRightInd w:val="0"/>
              <w:snapToGrid w:val="0"/>
              <w:spacing w:line="288" w:lineRule="auto"/>
              <w:jc w:val="center"/>
              <w:rPr>
                <w:color w:val="auto"/>
                <w:sz w:val="21"/>
                <w:szCs w:val="21"/>
                <w:highlight w:val="none"/>
              </w:rPr>
            </w:pPr>
            <w:r>
              <w:rPr>
                <w:rFonts w:hint="eastAsia"/>
                <w:b/>
                <w:bCs/>
                <w:color w:val="auto"/>
                <w:sz w:val="21"/>
                <w:szCs w:val="21"/>
                <w:highlight w:val="none"/>
              </w:rPr>
              <w:t>磋商报价</w:t>
            </w:r>
          </w:p>
        </w:tc>
        <w:tc>
          <w:tcPr>
            <w:tcW w:w="3362" w:type="pct"/>
            <w:vAlign w:val="center"/>
          </w:tcPr>
          <w:p w14:paraId="0C7B3581">
            <w:pPr>
              <w:adjustRightInd w:val="0"/>
              <w:snapToGrid w:val="0"/>
              <w:spacing w:line="288" w:lineRule="auto"/>
              <w:rPr>
                <w:color w:val="auto"/>
                <w:sz w:val="21"/>
                <w:szCs w:val="21"/>
                <w:highlight w:val="none"/>
              </w:rPr>
            </w:pPr>
            <w:r>
              <w:rPr>
                <w:rFonts w:hint="eastAsia"/>
                <w:color w:val="auto"/>
                <w:sz w:val="21"/>
                <w:szCs w:val="21"/>
                <w:highlight w:val="none"/>
              </w:rPr>
              <w:t>1.报价应按磋商文件要求的格式编制、填写报价内容（可自行增行），未按磋商文件要求编制、填写的响应文件可能被拒绝；</w:t>
            </w:r>
          </w:p>
          <w:p w14:paraId="7B0E37FC">
            <w:pPr>
              <w:adjustRightInd w:val="0"/>
              <w:snapToGrid w:val="0"/>
              <w:spacing w:line="288" w:lineRule="auto"/>
              <w:rPr>
                <w:color w:val="auto"/>
                <w:sz w:val="21"/>
                <w:szCs w:val="21"/>
                <w:highlight w:val="none"/>
              </w:rPr>
            </w:pPr>
            <w:r>
              <w:rPr>
                <w:rFonts w:hint="eastAsia"/>
                <w:color w:val="auto"/>
                <w:sz w:val="21"/>
                <w:szCs w:val="21"/>
                <w:highlight w:val="none"/>
              </w:rPr>
              <w:t>2.本次磋商采用人民币报价；</w:t>
            </w:r>
          </w:p>
          <w:p w14:paraId="55D8C874">
            <w:pPr>
              <w:adjustRightInd w:val="0"/>
              <w:snapToGrid w:val="0"/>
              <w:spacing w:line="288" w:lineRule="auto"/>
              <w:rPr>
                <w:color w:val="auto"/>
                <w:highlight w:val="none"/>
              </w:rPr>
            </w:pPr>
            <w:r>
              <w:rPr>
                <w:rFonts w:hint="eastAsia"/>
                <w:color w:val="auto"/>
                <w:sz w:val="21"/>
                <w:szCs w:val="21"/>
                <w:highlight w:val="none"/>
              </w:rPr>
              <w:t>3.最后磋商报价是履行合同的最终价格。</w:t>
            </w:r>
          </w:p>
          <w:p w14:paraId="2483DA9B">
            <w:pPr>
              <w:adjustRightInd w:val="0"/>
              <w:snapToGrid w:val="0"/>
              <w:spacing w:line="288" w:lineRule="auto"/>
              <w:rPr>
                <w:color w:val="auto"/>
                <w:sz w:val="21"/>
                <w:szCs w:val="21"/>
                <w:highlight w:val="none"/>
              </w:rPr>
            </w:pPr>
            <w:r>
              <w:rPr>
                <w:rFonts w:hint="eastAsia"/>
                <w:color w:val="auto"/>
                <w:sz w:val="21"/>
                <w:szCs w:val="21"/>
                <w:highlight w:val="none"/>
              </w:rPr>
              <w:t>▲4.采购人将以合同形式有偿取得货物或服务，不接受供应商给予的赠品、回扣或者与采购无关的其他商品、服务。</w:t>
            </w:r>
          </w:p>
          <w:p w14:paraId="3C49E5C0">
            <w:pPr>
              <w:adjustRightInd w:val="0"/>
              <w:snapToGrid w:val="0"/>
              <w:spacing w:line="288" w:lineRule="auto"/>
              <w:rPr>
                <w:color w:val="auto"/>
                <w:sz w:val="21"/>
                <w:szCs w:val="21"/>
                <w:highlight w:val="none"/>
              </w:rPr>
            </w:pPr>
            <w:r>
              <w:rPr>
                <w:rFonts w:hint="eastAsia"/>
                <w:color w:val="auto"/>
                <w:sz w:val="21"/>
                <w:szCs w:val="21"/>
                <w:highlight w:val="none"/>
              </w:rPr>
              <w:t>▲</w:t>
            </w:r>
            <w:r>
              <w:rPr>
                <w:rFonts w:hint="eastAsia"/>
                <w:b/>
                <w:bCs/>
                <w:color w:val="auto"/>
                <w:sz w:val="21"/>
                <w:szCs w:val="21"/>
                <w:highlight w:val="none"/>
              </w:rPr>
              <w:t>5.供应商初次报价低于项目预算50%的，应当在报价文件中提供“报价不影响产品质量或者诚信履约”的说明材料；最终报价低于50%的，应当在最终报价环节提供“报价不影响产品质量或者诚信履约”的说明材料。</w:t>
            </w:r>
          </w:p>
        </w:tc>
      </w:tr>
      <w:tr w14:paraId="0B99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05DDC5C2">
            <w:pPr>
              <w:adjustRightInd w:val="0"/>
              <w:snapToGrid w:val="0"/>
              <w:spacing w:line="288" w:lineRule="auto"/>
              <w:jc w:val="center"/>
              <w:rPr>
                <w:color w:val="auto"/>
                <w:sz w:val="21"/>
                <w:szCs w:val="21"/>
                <w:highlight w:val="none"/>
              </w:rPr>
            </w:pPr>
            <w:r>
              <w:rPr>
                <w:rFonts w:hint="eastAsia"/>
                <w:color w:val="auto"/>
                <w:sz w:val="21"/>
                <w:szCs w:val="21"/>
                <w:highlight w:val="none"/>
              </w:rPr>
              <w:t>（十八）</w:t>
            </w:r>
          </w:p>
        </w:tc>
        <w:tc>
          <w:tcPr>
            <w:tcW w:w="909" w:type="pct"/>
            <w:vAlign w:val="center"/>
          </w:tcPr>
          <w:p w14:paraId="78369F8A">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响应有效期</w:t>
            </w:r>
          </w:p>
        </w:tc>
        <w:tc>
          <w:tcPr>
            <w:tcW w:w="3362" w:type="pct"/>
            <w:vAlign w:val="center"/>
          </w:tcPr>
          <w:p w14:paraId="5E73F84F">
            <w:pPr>
              <w:adjustRightInd w:val="0"/>
              <w:snapToGrid w:val="0"/>
              <w:spacing w:line="288" w:lineRule="auto"/>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14:paraId="6848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0D77A3C">
            <w:pPr>
              <w:adjustRightInd w:val="0"/>
              <w:snapToGrid w:val="0"/>
              <w:spacing w:line="288" w:lineRule="auto"/>
              <w:jc w:val="center"/>
              <w:rPr>
                <w:color w:val="auto"/>
                <w:sz w:val="21"/>
                <w:szCs w:val="21"/>
                <w:highlight w:val="none"/>
              </w:rPr>
            </w:pPr>
            <w:r>
              <w:rPr>
                <w:rFonts w:hint="eastAsia"/>
                <w:color w:val="auto"/>
                <w:sz w:val="21"/>
                <w:szCs w:val="21"/>
                <w:highlight w:val="none"/>
              </w:rPr>
              <w:t>（十九）</w:t>
            </w:r>
          </w:p>
        </w:tc>
        <w:tc>
          <w:tcPr>
            <w:tcW w:w="909" w:type="pct"/>
            <w:vAlign w:val="center"/>
          </w:tcPr>
          <w:p w14:paraId="5851097E">
            <w:pPr>
              <w:adjustRightInd w:val="0"/>
              <w:snapToGrid w:val="0"/>
              <w:spacing w:line="288" w:lineRule="auto"/>
              <w:jc w:val="center"/>
              <w:rPr>
                <w:color w:val="auto"/>
                <w:sz w:val="21"/>
                <w:szCs w:val="21"/>
                <w:highlight w:val="none"/>
              </w:rPr>
            </w:pPr>
            <w:r>
              <w:rPr>
                <w:rFonts w:hint="eastAsia"/>
                <w:color w:val="auto"/>
                <w:sz w:val="21"/>
                <w:szCs w:val="21"/>
                <w:highlight w:val="none"/>
              </w:rPr>
              <w:t>评审方法和评审标准</w:t>
            </w:r>
          </w:p>
        </w:tc>
        <w:tc>
          <w:tcPr>
            <w:tcW w:w="3362" w:type="pct"/>
            <w:vAlign w:val="center"/>
          </w:tcPr>
          <w:p w14:paraId="025E0AC1">
            <w:pPr>
              <w:adjustRightInd w:val="0"/>
              <w:snapToGrid w:val="0"/>
              <w:spacing w:line="288" w:lineRule="auto"/>
              <w:rPr>
                <w:color w:val="auto"/>
                <w:sz w:val="21"/>
                <w:szCs w:val="21"/>
                <w:highlight w:val="none"/>
              </w:rPr>
            </w:pPr>
            <w:r>
              <w:rPr>
                <w:rFonts w:hint="eastAsia"/>
                <w:color w:val="auto"/>
                <w:sz w:val="21"/>
                <w:szCs w:val="21"/>
                <w:highlight w:val="none"/>
              </w:rPr>
              <w:t>详见“第四章  评审方法和评审标准”。</w:t>
            </w:r>
          </w:p>
        </w:tc>
      </w:tr>
      <w:tr w14:paraId="7309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C12094B">
            <w:pPr>
              <w:adjustRightInd w:val="0"/>
              <w:snapToGrid w:val="0"/>
              <w:spacing w:line="288" w:lineRule="auto"/>
              <w:jc w:val="center"/>
              <w:rPr>
                <w:color w:val="auto"/>
                <w:sz w:val="21"/>
                <w:szCs w:val="21"/>
                <w:highlight w:val="none"/>
              </w:rPr>
            </w:pPr>
            <w:r>
              <w:rPr>
                <w:rFonts w:hint="eastAsia"/>
                <w:color w:val="auto"/>
                <w:sz w:val="21"/>
                <w:szCs w:val="21"/>
                <w:highlight w:val="none"/>
              </w:rPr>
              <w:t>（二十）</w:t>
            </w:r>
          </w:p>
        </w:tc>
        <w:tc>
          <w:tcPr>
            <w:tcW w:w="909" w:type="pct"/>
            <w:vAlign w:val="center"/>
          </w:tcPr>
          <w:p w14:paraId="28ECE2DD">
            <w:pPr>
              <w:adjustRightInd w:val="0"/>
              <w:snapToGrid w:val="0"/>
              <w:spacing w:line="288" w:lineRule="auto"/>
              <w:jc w:val="center"/>
              <w:rPr>
                <w:color w:val="auto"/>
                <w:sz w:val="21"/>
                <w:szCs w:val="21"/>
                <w:highlight w:val="none"/>
              </w:rPr>
            </w:pPr>
            <w:r>
              <w:rPr>
                <w:rFonts w:hint="eastAsia"/>
                <w:color w:val="auto"/>
                <w:sz w:val="21"/>
                <w:szCs w:val="21"/>
                <w:highlight w:val="none"/>
              </w:rPr>
              <w:t>评审结果公示</w:t>
            </w:r>
          </w:p>
        </w:tc>
        <w:tc>
          <w:tcPr>
            <w:tcW w:w="3362" w:type="pct"/>
            <w:vAlign w:val="center"/>
          </w:tcPr>
          <w:p w14:paraId="5B60F24F">
            <w:pPr>
              <w:adjustRightInd w:val="0"/>
              <w:snapToGrid w:val="0"/>
              <w:spacing w:line="288" w:lineRule="auto"/>
              <w:jc w:val="left"/>
              <w:rPr>
                <w:color w:val="auto"/>
                <w:sz w:val="21"/>
                <w:szCs w:val="21"/>
                <w:highlight w:val="none"/>
              </w:rPr>
            </w:pPr>
            <w:r>
              <w:rPr>
                <w:rFonts w:hint="eastAsia"/>
                <w:color w:val="auto"/>
                <w:sz w:val="21"/>
                <w:szCs w:val="21"/>
                <w:highlight w:val="none"/>
              </w:rPr>
              <w:t>评审结果公示媒体：浙江政府采购网（http://zfcg.czt.zj.gov.cn）。</w:t>
            </w:r>
          </w:p>
        </w:tc>
      </w:tr>
      <w:tr w14:paraId="4EFC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106F23CE">
            <w:pPr>
              <w:adjustRightInd w:val="0"/>
              <w:snapToGrid w:val="0"/>
              <w:spacing w:line="288" w:lineRule="auto"/>
              <w:jc w:val="center"/>
              <w:rPr>
                <w:color w:val="auto"/>
                <w:sz w:val="21"/>
                <w:szCs w:val="21"/>
                <w:highlight w:val="none"/>
              </w:rPr>
            </w:pPr>
            <w:r>
              <w:rPr>
                <w:rFonts w:hint="eastAsia"/>
                <w:color w:val="auto"/>
                <w:sz w:val="21"/>
                <w:szCs w:val="21"/>
                <w:highlight w:val="none"/>
              </w:rPr>
              <w:t>（二十一）</w:t>
            </w:r>
          </w:p>
        </w:tc>
        <w:tc>
          <w:tcPr>
            <w:tcW w:w="909" w:type="pct"/>
            <w:vAlign w:val="center"/>
          </w:tcPr>
          <w:p w14:paraId="6DC81EC7">
            <w:pPr>
              <w:adjustRightInd w:val="0"/>
              <w:snapToGrid w:val="0"/>
              <w:spacing w:line="288" w:lineRule="auto"/>
              <w:jc w:val="center"/>
              <w:rPr>
                <w:color w:val="auto"/>
                <w:sz w:val="21"/>
                <w:szCs w:val="21"/>
                <w:highlight w:val="none"/>
              </w:rPr>
            </w:pPr>
            <w:r>
              <w:rPr>
                <w:rFonts w:hint="eastAsia"/>
                <w:color w:val="auto"/>
                <w:sz w:val="21"/>
                <w:szCs w:val="21"/>
                <w:highlight w:val="none"/>
              </w:rPr>
              <w:t>签订合同</w:t>
            </w:r>
          </w:p>
        </w:tc>
        <w:tc>
          <w:tcPr>
            <w:tcW w:w="3362" w:type="pct"/>
            <w:vAlign w:val="center"/>
          </w:tcPr>
          <w:p w14:paraId="747192ED">
            <w:pPr>
              <w:adjustRightInd w:val="0"/>
              <w:snapToGrid w:val="0"/>
              <w:spacing w:line="288" w:lineRule="auto"/>
              <w:rPr>
                <w:color w:val="auto"/>
                <w:sz w:val="21"/>
                <w:szCs w:val="21"/>
                <w:highlight w:val="none"/>
              </w:rPr>
            </w:pPr>
            <w:r>
              <w:rPr>
                <w:rFonts w:hint="eastAsia"/>
                <w:color w:val="auto"/>
                <w:sz w:val="21"/>
                <w:szCs w:val="21"/>
                <w:highlight w:val="none"/>
              </w:rPr>
              <w:t>成交通知书发出之日起30日内。</w:t>
            </w:r>
          </w:p>
        </w:tc>
      </w:tr>
      <w:tr w14:paraId="2318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69820E82">
            <w:pPr>
              <w:adjustRightInd w:val="0"/>
              <w:snapToGrid w:val="0"/>
              <w:spacing w:line="288" w:lineRule="auto"/>
              <w:jc w:val="center"/>
              <w:rPr>
                <w:color w:val="auto"/>
                <w:sz w:val="21"/>
                <w:szCs w:val="21"/>
                <w:highlight w:val="none"/>
              </w:rPr>
            </w:pPr>
            <w:r>
              <w:rPr>
                <w:rFonts w:hint="eastAsia"/>
                <w:color w:val="auto"/>
                <w:sz w:val="21"/>
                <w:szCs w:val="21"/>
                <w:highlight w:val="none"/>
              </w:rPr>
              <w:t>（二十二）</w:t>
            </w:r>
          </w:p>
        </w:tc>
        <w:tc>
          <w:tcPr>
            <w:tcW w:w="909" w:type="pct"/>
            <w:vAlign w:val="center"/>
          </w:tcPr>
          <w:p w14:paraId="306C84EA">
            <w:pPr>
              <w:adjustRightInd w:val="0"/>
              <w:snapToGrid w:val="0"/>
              <w:spacing w:line="288" w:lineRule="auto"/>
              <w:jc w:val="center"/>
              <w:rPr>
                <w:color w:val="auto"/>
                <w:sz w:val="21"/>
                <w:szCs w:val="21"/>
                <w:highlight w:val="none"/>
              </w:rPr>
            </w:pPr>
            <w:r>
              <w:rPr>
                <w:rFonts w:hint="eastAsia"/>
                <w:color w:val="auto"/>
                <w:sz w:val="21"/>
                <w:szCs w:val="21"/>
                <w:highlight w:val="none"/>
              </w:rPr>
              <w:t>采购计划文号</w:t>
            </w:r>
          </w:p>
        </w:tc>
        <w:tc>
          <w:tcPr>
            <w:tcW w:w="3362" w:type="pct"/>
            <w:vAlign w:val="center"/>
          </w:tcPr>
          <w:p w14:paraId="7D371F64">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lang w:eastAsia="zh-CN"/>
              </w:rPr>
              <w:t>[2025]40987号</w:t>
            </w:r>
          </w:p>
        </w:tc>
      </w:tr>
      <w:tr w14:paraId="2156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Merge w:val="restart"/>
            <w:vAlign w:val="center"/>
          </w:tcPr>
          <w:p w14:paraId="00607A77">
            <w:pPr>
              <w:adjustRightInd w:val="0"/>
              <w:snapToGrid w:val="0"/>
              <w:spacing w:line="288" w:lineRule="auto"/>
              <w:jc w:val="center"/>
              <w:rPr>
                <w:color w:val="auto"/>
                <w:sz w:val="21"/>
                <w:szCs w:val="21"/>
                <w:highlight w:val="none"/>
              </w:rPr>
            </w:pPr>
            <w:r>
              <w:rPr>
                <w:rFonts w:hint="eastAsia"/>
                <w:color w:val="auto"/>
                <w:sz w:val="21"/>
                <w:szCs w:val="21"/>
                <w:highlight w:val="none"/>
              </w:rPr>
              <w:t>（二十三）</w:t>
            </w:r>
          </w:p>
        </w:tc>
        <w:tc>
          <w:tcPr>
            <w:tcW w:w="909" w:type="pct"/>
            <w:vMerge w:val="restart"/>
            <w:vAlign w:val="center"/>
          </w:tcPr>
          <w:p w14:paraId="5D8E2A72">
            <w:pPr>
              <w:adjustRightInd w:val="0"/>
              <w:snapToGrid w:val="0"/>
              <w:spacing w:line="288" w:lineRule="auto"/>
              <w:jc w:val="center"/>
              <w:rPr>
                <w:color w:val="auto"/>
                <w:sz w:val="21"/>
                <w:szCs w:val="21"/>
                <w:highlight w:val="none"/>
              </w:rPr>
            </w:pPr>
            <w:r>
              <w:rPr>
                <w:rFonts w:hint="eastAsia"/>
                <w:b/>
                <w:color w:val="auto"/>
                <w:sz w:val="21"/>
                <w:szCs w:val="21"/>
                <w:highlight w:val="none"/>
              </w:rPr>
              <w:t>特别说明</w:t>
            </w:r>
          </w:p>
        </w:tc>
        <w:tc>
          <w:tcPr>
            <w:tcW w:w="3362" w:type="pct"/>
            <w:vAlign w:val="center"/>
          </w:tcPr>
          <w:p w14:paraId="0C39CC68">
            <w:pPr>
              <w:spacing w:line="288" w:lineRule="auto"/>
              <w:rPr>
                <w:snapToGrid w:val="0"/>
                <w:color w:val="auto"/>
                <w:kern w:val="28"/>
                <w:sz w:val="21"/>
                <w:szCs w:val="21"/>
                <w:highlight w:val="none"/>
              </w:rPr>
            </w:pPr>
            <w:r>
              <w:rPr>
                <w:rFonts w:hint="eastAsia"/>
                <w:snapToGrid w:val="0"/>
                <w:color w:val="auto"/>
                <w:kern w:val="28"/>
                <w:sz w:val="21"/>
                <w:szCs w:val="21"/>
                <w:highlight w:val="none"/>
              </w:rPr>
              <w:sym w:font="Wingdings 2" w:char="0052"/>
            </w:r>
            <w:r>
              <w:rPr>
                <w:rFonts w:hint="eastAsia"/>
                <w:snapToGrid w:val="0"/>
                <w:color w:val="auto"/>
                <w:kern w:val="28"/>
                <w:sz w:val="21"/>
                <w:szCs w:val="21"/>
                <w:highlight w:val="none"/>
              </w:rPr>
              <w:t>联合体投标的，联合体各方分别提供与联合体协议中规定的分工内容相应的业绩证明材料，业绩数量以提供材料较少的一方为准。</w:t>
            </w:r>
          </w:p>
          <w:p w14:paraId="2229022A">
            <w:pPr>
              <w:spacing w:line="288" w:lineRule="auto"/>
              <w:rPr>
                <w:color w:val="auto"/>
                <w:highlight w:val="none"/>
              </w:rPr>
            </w:pPr>
            <w:r>
              <w:rPr>
                <w:rFonts w:hint="eastAsia"/>
                <w:color w:val="auto"/>
                <w:kern w:val="28"/>
                <w:sz w:val="21"/>
                <w:szCs w:val="21"/>
                <w:highlight w:val="none"/>
              </w:rPr>
              <w:t>☐联合体投标的，由联合体牵头方出具相应的业绩证明材料。</w:t>
            </w:r>
          </w:p>
        </w:tc>
      </w:tr>
      <w:tr w14:paraId="3241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Merge w:val="continue"/>
            <w:vAlign w:val="center"/>
          </w:tcPr>
          <w:p w14:paraId="704A7B90">
            <w:pPr>
              <w:adjustRightInd w:val="0"/>
              <w:snapToGrid w:val="0"/>
              <w:spacing w:line="288" w:lineRule="auto"/>
              <w:jc w:val="center"/>
              <w:rPr>
                <w:color w:val="auto"/>
                <w:sz w:val="21"/>
                <w:szCs w:val="21"/>
                <w:highlight w:val="none"/>
              </w:rPr>
            </w:pPr>
          </w:p>
        </w:tc>
        <w:tc>
          <w:tcPr>
            <w:tcW w:w="909" w:type="pct"/>
            <w:vMerge w:val="continue"/>
            <w:vAlign w:val="center"/>
          </w:tcPr>
          <w:p w14:paraId="0F6F7E09">
            <w:pPr>
              <w:adjustRightInd w:val="0"/>
              <w:snapToGrid w:val="0"/>
              <w:spacing w:line="288" w:lineRule="auto"/>
              <w:jc w:val="center"/>
              <w:rPr>
                <w:color w:val="auto"/>
                <w:sz w:val="21"/>
                <w:szCs w:val="21"/>
                <w:highlight w:val="none"/>
              </w:rPr>
            </w:pPr>
          </w:p>
        </w:tc>
        <w:tc>
          <w:tcPr>
            <w:tcW w:w="3362" w:type="pct"/>
            <w:vAlign w:val="center"/>
          </w:tcPr>
          <w:p w14:paraId="6A0C3D13">
            <w:pPr>
              <w:spacing w:line="288" w:lineRule="auto"/>
              <w:rPr>
                <w:snapToGrid w:val="0"/>
                <w:color w:val="auto"/>
                <w:kern w:val="28"/>
                <w:sz w:val="21"/>
                <w:szCs w:val="21"/>
                <w:highlight w:val="none"/>
              </w:rPr>
            </w:pPr>
            <w:r>
              <w:rPr>
                <w:rFonts w:hint="eastAsia"/>
                <w:snapToGrid w:val="0"/>
                <w:color w:val="auto"/>
                <w:kern w:val="28"/>
                <w:sz w:val="21"/>
                <w:szCs w:val="21"/>
                <w:highlight w:val="none"/>
              </w:rPr>
              <w:sym w:font="Wingdings 2" w:char="0052"/>
            </w:r>
            <w:r>
              <w:rPr>
                <w:rFonts w:hint="eastAsia"/>
                <w:snapToGrid w:val="0"/>
                <w:color w:val="auto"/>
                <w:kern w:val="28"/>
                <w:sz w:val="21"/>
                <w:szCs w:val="21"/>
                <w:highlight w:val="none"/>
              </w:rPr>
              <w:t>联合体响应的，联合体各方均需按磋商文件第四部分评审标准要求提供资信证明文件，否则视为不符合相关要求。</w:t>
            </w:r>
          </w:p>
          <w:p w14:paraId="2A305D1C">
            <w:pPr>
              <w:spacing w:line="288" w:lineRule="auto"/>
              <w:rPr>
                <w:color w:val="auto"/>
                <w:sz w:val="21"/>
                <w:szCs w:val="21"/>
                <w:highlight w:val="none"/>
              </w:rPr>
            </w:pPr>
            <w:r>
              <w:rPr>
                <w:rFonts w:hint="eastAsia" w:cs="Arial"/>
                <w:color w:val="auto"/>
                <w:kern w:val="0"/>
                <w:sz w:val="21"/>
                <w:szCs w:val="21"/>
                <w:highlight w:val="none"/>
              </w:rPr>
              <w:sym w:font="Wingdings" w:char="00A8"/>
            </w:r>
            <w:r>
              <w:rPr>
                <w:rFonts w:hint="eastAsia"/>
                <w:snapToGrid w:val="0"/>
                <w:color w:val="auto"/>
                <w:kern w:val="28"/>
                <w:sz w:val="21"/>
                <w:szCs w:val="21"/>
                <w:highlight w:val="none"/>
              </w:rPr>
              <w:t>联合体响应的，联合体中有一方或者联合体成员根据分工按磋商文件第四部分评审标准要求提供资信证明文件的，视为符合了相关要求。</w:t>
            </w:r>
          </w:p>
        </w:tc>
      </w:tr>
    </w:tbl>
    <w:p w14:paraId="6AA5149C">
      <w:pPr>
        <w:adjustRightInd w:val="0"/>
        <w:snapToGrid w:val="0"/>
        <w:spacing w:line="288" w:lineRule="auto"/>
        <w:jc w:val="center"/>
        <w:outlineLvl w:val="1"/>
        <w:rPr>
          <w:b/>
          <w:bCs/>
          <w:color w:val="auto"/>
          <w:sz w:val="21"/>
          <w:szCs w:val="21"/>
          <w:highlight w:val="none"/>
        </w:rPr>
      </w:pPr>
      <w:r>
        <w:rPr>
          <w:rFonts w:hint="eastAsia"/>
          <w:color w:val="auto"/>
          <w:sz w:val="21"/>
          <w:szCs w:val="21"/>
          <w:highlight w:val="none"/>
        </w:rPr>
        <w:br w:type="page"/>
      </w:r>
      <w:bookmarkStart w:id="65" w:name="_Toc20158"/>
      <w:bookmarkStart w:id="66" w:name="_Toc8486"/>
      <w:bookmarkStart w:id="67" w:name="_Toc20531"/>
      <w:r>
        <w:rPr>
          <w:rFonts w:hint="eastAsia"/>
          <w:b/>
          <w:bCs/>
          <w:color w:val="auto"/>
          <w:sz w:val="21"/>
          <w:szCs w:val="21"/>
          <w:highlight w:val="none"/>
          <w:lang w:bidi="ar"/>
        </w:rPr>
        <w:t>一、总则</w:t>
      </w:r>
      <w:bookmarkEnd w:id="65"/>
      <w:bookmarkEnd w:id="66"/>
      <w:bookmarkEnd w:id="67"/>
    </w:p>
    <w:p w14:paraId="102E87F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供应商应仔细阅读磋商文件的所有内容，按照磋商文件的要求提交响应文件，并对所提供的全部资料的真实性承担法律责任。</w:t>
      </w:r>
    </w:p>
    <w:p w14:paraId="76888323">
      <w:pPr>
        <w:adjustRightInd w:val="0"/>
        <w:snapToGrid w:val="0"/>
        <w:spacing w:line="288" w:lineRule="auto"/>
        <w:outlineLvl w:val="2"/>
        <w:rPr>
          <w:b/>
          <w:bCs/>
          <w:color w:val="auto"/>
          <w:sz w:val="21"/>
          <w:szCs w:val="21"/>
          <w:highlight w:val="none"/>
        </w:rPr>
      </w:pPr>
      <w:bookmarkStart w:id="68" w:name="_Toc20845"/>
      <w:r>
        <w:rPr>
          <w:rFonts w:hint="eastAsia"/>
          <w:b/>
          <w:bCs/>
          <w:color w:val="auto"/>
          <w:sz w:val="21"/>
          <w:szCs w:val="21"/>
          <w:highlight w:val="none"/>
          <w:lang w:bidi="ar"/>
        </w:rPr>
        <w:t>（一）适用范围</w:t>
      </w:r>
      <w:bookmarkEnd w:id="68"/>
    </w:p>
    <w:p w14:paraId="4B05233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本磋商文件适用于浙江树人学院</w:t>
      </w:r>
      <w:r>
        <w:rPr>
          <w:rFonts w:hint="eastAsia"/>
          <w:color w:val="auto"/>
          <w:sz w:val="21"/>
          <w:szCs w:val="21"/>
          <w:highlight w:val="none"/>
          <w:lang w:eastAsia="zh-CN" w:bidi="ar"/>
        </w:rPr>
        <w:t>后勤智慧餐厅与仓储管理系统</w:t>
      </w:r>
      <w:r>
        <w:rPr>
          <w:rFonts w:hint="eastAsia"/>
          <w:color w:val="auto"/>
          <w:sz w:val="21"/>
          <w:szCs w:val="21"/>
          <w:highlight w:val="none"/>
          <w:lang w:bidi="ar"/>
        </w:rPr>
        <w:t>项目的磋商、评审、成交、验收、合同履约、付款等（法律、法规另有规定的，从其规定）。</w:t>
      </w:r>
    </w:p>
    <w:p w14:paraId="2E944A4F">
      <w:pPr>
        <w:adjustRightInd w:val="0"/>
        <w:snapToGrid w:val="0"/>
        <w:spacing w:line="288" w:lineRule="auto"/>
        <w:outlineLvl w:val="2"/>
        <w:rPr>
          <w:b/>
          <w:bCs/>
          <w:color w:val="auto"/>
          <w:sz w:val="21"/>
          <w:szCs w:val="21"/>
          <w:highlight w:val="none"/>
        </w:rPr>
      </w:pPr>
      <w:bookmarkStart w:id="69" w:name="_Toc1771"/>
      <w:r>
        <w:rPr>
          <w:rFonts w:hint="eastAsia"/>
          <w:b/>
          <w:bCs/>
          <w:color w:val="auto"/>
          <w:sz w:val="21"/>
          <w:szCs w:val="21"/>
          <w:highlight w:val="none"/>
          <w:lang w:bidi="ar"/>
        </w:rPr>
        <w:t>（二）定义</w:t>
      </w:r>
      <w:bookmarkEnd w:id="69"/>
    </w:p>
    <w:p w14:paraId="370AA24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1.“采购人”系指浙江树人学院。</w:t>
      </w:r>
    </w:p>
    <w:p w14:paraId="4E5E0DC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2.“采购代理机构”系指组织本次竞争性磋商的浙江求是招标代理有限公司。</w:t>
      </w:r>
    </w:p>
    <w:p w14:paraId="40FEB95B">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3.“供应商”系指提交响应文件和报价、参与竞争性磋商采购活动的法人、其他组织或者自然人。</w:t>
      </w:r>
    </w:p>
    <w:p w14:paraId="7FD43D7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4.“负责人”系指法人企业的法定负责人，或其他组织为法律、行政法规规定代表单位行使职权的主要负责人，或自然人本人。</w:t>
      </w:r>
    </w:p>
    <w:p w14:paraId="4E2638A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5.“书面形式”包括合同书、信件和数据电文(包括电报、电传、传真、电子数据交换和电子邮件)等可以有形地表现所载内容的形式。</w:t>
      </w:r>
    </w:p>
    <w:p w14:paraId="781B586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6.“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2BCA267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7.“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1）。</w:t>
      </w:r>
    </w:p>
    <w:p w14:paraId="6011713D">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磋商文件对响应文件签署、盖章的要求适用于电子签名。</w:t>
      </w:r>
    </w:p>
    <w:p w14:paraId="5679F680">
      <w:pPr>
        <w:adjustRightInd w:val="0"/>
        <w:snapToGrid w:val="0"/>
        <w:spacing w:line="288" w:lineRule="auto"/>
        <w:ind w:firstLine="420" w:firstLineChars="200"/>
        <w:jc w:val="left"/>
        <w:rPr>
          <w:color w:val="auto"/>
          <w:sz w:val="21"/>
          <w:szCs w:val="21"/>
          <w:highlight w:val="none"/>
          <w:lang w:bidi="ar"/>
        </w:rPr>
      </w:pPr>
      <w:r>
        <w:rPr>
          <w:rFonts w:hint="eastAsia"/>
          <w:color w:val="auto"/>
          <w:sz w:val="21"/>
          <w:szCs w:val="21"/>
          <w:highlight w:val="none"/>
          <w:lang w:bidi="ar"/>
        </w:rPr>
        <w:t>8.“▲” 系指实质性要求条款，“★”系指重要技</w:t>
      </w:r>
      <w:r>
        <w:rPr>
          <w:rFonts w:hint="eastAsia" w:ascii="宋体" w:hAnsi="宋体" w:eastAsia="宋体" w:cs="宋体"/>
          <w:color w:val="auto"/>
          <w:sz w:val="21"/>
          <w:szCs w:val="21"/>
          <w:highlight w:val="none"/>
          <w:lang w:bidi="ar"/>
        </w:rPr>
        <w:t>术指标。</w:t>
      </w:r>
      <w:r>
        <w:rPr>
          <w:rFonts w:hint="eastAsia" w:ascii="宋体" w:hAnsi="宋体" w:eastAsia="宋体" w:cs="宋体"/>
          <w:b/>
          <w:bCs/>
          <w:color w:val="auto"/>
          <w:sz w:val="21"/>
          <w:szCs w:val="21"/>
          <w:highlight w:val="none"/>
        </w:rPr>
        <w:t>“</w:t>
      </w:r>
      <w:r>
        <w:rPr>
          <w:rFonts w:hint="eastAsia"/>
          <w:snapToGrid w:val="0"/>
          <w:color w:val="auto"/>
          <w:kern w:val="28"/>
          <w:sz w:val="21"/>
          <w:szCs w:val="21"/>
          <w:highlight w:val="none"/>
        </w:rPr>
        <w:sym w:font="Wingdings 2" w:char="0052"/>
      </w:r>
      <w:r>
        <w:rPr>
          <w:rFonts w:hint="eastAsia" w:ascii="宋体" w:hAnsi="宋体" w:eastAsia="宋体" w:cs="宋体"/>
          <w:b/>
          <w:bCs/>
          <w:color w:val="auto"/>
          <w:sz w:val="21"/>
          <w:szCs w:val="21"/>
          <w:highlight w:val="none"/>
        </w:rPr>
        <w:t>” 系指适用本项目的要求，“</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sz w:val="21"/>
          <w:szCs w:val="21"/>
          <w:highlight w:val="none"/>
        </w:rPr>
        <w:t>” 系指不适用本项目的要求。</w:t>
      </w:r>
    </w:p>
    <w:p w14:paraId="3F9D03A0">
      <w:pPr>
        <w:adjustRightInd w:val="0"/>
        <w:snapToGrid w:val="0"/>
        <w:spacing w:line="288" w:lineRule="auto"/>
        <w:outlineLvl w:val="2"/>
        <w:rPr>
          <w:b/>
          <w:bCs/>
          <w:color w:val="auto"/>
          <w:sz w:val="21"/>
          <w:szCs w:val="21"/>
          <w:highlight w:val="none"/>
        </w:rPr>
      </w:pPr>
      <w:bookmarkStart w:id="70" w:name="_Toc17284"/>
      <w:r>
        <w:rPr>
          <w:rFonts w:hint="eastAsia"/>
          <w:b/>
          <w:bCs/>
          <w:color w:val="auto"/>
          <w:sz w:val="21"/>
          <w:szCs w:val="21"/>
          <w:highlight w:val="none"/>
          <w:lang w:bidi="ar"/>
        </w:rPr>
        <w:t>（三）采购方式</w:t>
      </w:r>
      <w:bookmarkEnd w:id="70"/>
    </w:p>
    <w:p w14:paraId="28B5485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本次采购采用竞争性磋商（线上电子交易）方式进行。</w:t>
      </w:r>
    </w:p>
    <w:p w14:paraId="0210D30D">
      <w:pPr>
        <w:adjustRightInd w:val="0"/>
        <w:snapToGrid w:val="0"/>
        <w:spacing w:line="288" w:lineRule="auto"/>
        <w:outlineLvl w:val="2"/>
        <w:rPr>
          <w:b/>
          <w:bCs/>
          <w:color w:val="auto"/>
          <w:sz w:val="21"/>
          <w:szCs w:val="21"/>
          <w:highlight w:val="none"/>
        </w:rPr>
      </w:pPr>
      <w:bookmarkStart w:id="71" w:name="_Toc30063"/>
      <w:r>
        <w:rPr>
          <w:rFonts w:hint="eastAsia"/>
          <w:b/>
          <w:bCs/>
          <w:color w:val="auto"/>
          <w:sz w:val="21"/>
          <w:szCs w:val="21"/>
          <w:highlight w:val="none"/>
          <w:lang w:bidi="ar"/>
        </w:rPr>
        <w:t>（四）竞争性磋商委托</w:t>
      </w:r>
      <w:bookmarkEnd w:id="71"/>
    </w:p>
    <w:p w14:paraId="7868F7C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1.▲供应商授权代表必须为供应商本单位在职职工，并提供</w:t>
      </w:r>
      <w:r>
        <w:rPr>
          <w:rFonts w:hint="eastAsia"/>
          <w:color w:val="auto"/>
          <w:sz w:val="21"/>
          <w:szCs w:val="21"/>
          <w:highlight w:val="none"/>
          <w:lang w:eastAsia="zh-CN" w:bidi="ar"/>
        </w:rPr>
        <w:t>2024年7月1日</w:t>
      </w:r>
      <w:r>
        <w:rPr>
          <w:rFonts w:hint="eastAsia"/>
          <w:color w:val="auto"/>
          <w:sz w:val="21"/>
          <w:szCs w:val="21"/>
          <w:highlight w:val="none"/>
          <w:lang w:bidi="ar"/>
        </w:rPr>
        <w:t>至今任意一月社保缴纳证明（授权代表为法定代表人可不提供）。</w:t>
      </w:r>
    </w:p>
    <w:p w14:paraId="3D71FAB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2.▲如供应商代表不是法定代表人，须提供法定代表人授权委托书（格式详见磋商文件第六章）。</w:t>
      </w:r>
    </w:p>
    <w:p w14:paraId="48EFDF03">
      <w:pPr>
        <w:adjustRightInd w:val="0"/>
        <w:snapToGrid w:val="0"/>
        <w:spacing w:line="288" w:lineRule="auto"/>
        <w:outlineLvl w:val="2"/>
        <w:rPr>
          <w:b/>
          <w:bCs/>
          <w:color w:val="auto"/>
          <w:sz w:val="21"/>
          <w:szCs w:val="21"/>
          <w:highlight w:val="none"/>
        </w:rPr>
      </w:pPr>
      <w:bookmarkStart w:id="72" w:name="_Toc27578"/>
      <w:r>
        <w:rPr>
          <w:rFonts w:hint="eastAsia"/>
          <w:b/>
          <w:bCs/>
          <w:color w:val="auto"/>
          <w:sz w:val="21"/>
          <w:szCs w:val="21"/>
          <w:highlight w:val="none"/>
          <w:lang w:bidi="ar"/>
        </w:rPr>
        <w:t>（五）磋商费用</w:t>
      </w:r>
      <w:bookmarkEnd w:id="72"/>
    </w:p>
    <w:p w14:paraId="5B2BFB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1.不论磋商结果如何，供应商均应自行承担所有与磋商有关的全部费用。</w:t>
      </w:r>
    </w:p>
    <w:p w14:paraId="69CE0A7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2.成交供应商在成交通知书发出之日起七个工作日内，向采购代理机构交纳代理服务费。</w:t>
      </w:r>
    </w:p>
    <w:p w14:paraId="7FA1665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6B56853E">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4.代理服务费收费标准（差额累进）：详见须知前附表。</w:t>
      </w:r>
    </w:p>
    <w:p w14:paraId="41AB5BA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5.磋商保证金（元）：无。</w:t>
      </w:r>
    </w:p>
    <w:p w14:paraId="6E930EEB">
      <w:pPr>
        <w:adjustRightInd w:val="0"/>
        <w:snapToGrid w:val="0"/>
        <w:spacing w:line="288" w:lineRule="auto"/>
        <w:outlineLvl w:val="2"/>
        <w:rPr>
          <w:b/>
          <w:bCs/>
          <w:color w:val="auto"/>
          <w:sz w:val="21"/>
          <w:szCs w:val="21"/>
          <w:highlight w:val="none"/>
        </w:rPr>
      </w:pPr>
      <w:bookmarkStart w:id="73" w:name="_Toc23335"/>
      <w:r>
        <w:rPr>
          <w:rFonts w:hint="eastAsia"/>
          <w:b/>
          <w:bCs/>
          <w:color w:val="auto"/>
          <w:sz w:val="21"/>
          <w:szCs w:val="21"/>
          <w:highlight w:val="none"/>
          <w:lang w:bidi="ar"/>
        </w:rPr>
        <w:t>（六）联合体响应</w:t>
      </w:r>
      <w:bookmarkEnd w:id="73"/>
    </w:p>
    <w:p w14:paraId="393DD23F">
      <w:pPr>
        <w:adjustRightInd w:val="0"/>
        <w:snapToGrid w:val="0"/>
        <w:spacing w:line="288" w:lineRule="auto"/>
        <w:ind w:firstLine="420" w:firstLineChars="200"/>
        <w:rPr>
          <w:color w:val="auto"/>
          <w:sz w:val="21"/>
          <w:szCs w:val="21"/>
          <w:highlight w:val="none"/>
          <w:lang w:bidi="ar"/>
        </w:rPr>
      </w:pPr>
      <w:bookmarkStart w:id="74" w:name="_Toc29347"/>
      <w:r>
        <w:rPr>
          <w:rFonts w:hint="eastAsia"/>
          <w:color w:val="auto"/>
          <w:sz w:val="21"/>
          <w:szCs w:val="21"/>
          <w:highlight w:val="none"/>
          <w:lang w:bidi="ar"/>
        </w:rPr>
        <w:t>1.是否接受联合体响应：详见《第一章 竞争性磋商公告》。</w:t>
      </w:r>
    </w:p>
    <w:p w14:paraId="6DB07FE9">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2.接受联合体响应的，组成联合体的各方应遵守以下规定：</w:t>
      </w:r>
    </w:p>
    <w:p w14:paraId="09B8D3E5">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1）两个以上的自然人、法人或者其他组织可以组成一个联合体，以一个供应商的身份共同参加政府采购。以联合体形式参加政府采购的，应当在响应文件中提交《联合协议》，载明联合体各方承担的工作和义务。未提交有效的《联合协议》的联合体投标无效；</w:t>
      </w:r>
    </w:p>
    <w:p w14:paraId="14F3FF8D">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（2）联合体各方应当共同与采购人签订采购合同，就采购合同约定的事项对采购人承担连带责任；</w:t>
      </w:r>
    </w:p>
    <w:p w14:paraId="05AD4896">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3）联合体中有同类资质的供应商按照联合体分工承担相同工作的，按照资质等级较低的供应商确定资质等级（联合体投标的，联合体各方分别提供与联合体协议中规定的分工内容相应的业绩证明材料，业绩数量以提供材料较少的一方为准）；以联合体形式参加政府采购活动的，联合体各方不得再单独参加或者与其他供应商另外组成联合体参加同一合同项下的政府采购活动；以联合体形式参加政府采购活动，联合体各方均为中小企业的，联合体视同中小企业。其中，联合体各方均为小微企业的，联合体视同小微企业；</w:t>
      </w:r>
    </w:p>
    <w:p w14:paraId="24995B5E">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4）联合体形式参加政府采购的，采购文件中有明确规定联合体各方均须提供的材料应当由联合体各成员共同签、章（或分别提供各自签、章）；采购文件没有明确规定联合体各方均须提供的材料可以由联合投标协议书中载明的牵头人（主办方）按规定进行签、章，牵头人（主办方）代表联合体签、章的，对联合体各成员方同样具有约束力；</w:t>
      </w:r>
    </w:p>
    <w:p w14:paraId="34A225F3">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（5）联合体形式参加政府采购的，履约保证金、采购代理服务费可由牵头人（主办方）一方缴纳，也可以由联合体各方按联合投标协议书约定共同缴纳。</w:t>
      </w:r>
    </w:p>
    <w:p w14:paraId="70E08A8F">
      <w:pPr>
        <w:adjustRightInd w:val="0"/>
        <w:snapToGrid w:val="0"/>
        <w:spacing w:line="288" w:lineRule="auto"/>
        <w:outlineLvl w:val="2"/>
        <w:rPr>
          <w:b/>
          <w:bCs/>
          <w:color w:val="auto"/>
          <w:sz w:val="21"/>
          <w:szCs w:val="21"/>
          <w:highlight w:val="none"/>
        </w:rPr>
      </w:pPr>
      <w:r>
        <w:rPr>
          <w:rFonts w:hint="eastAsia"/>
          <w:b/>
          <w:bCs/>
          <w:color w:val="auto"/>
          <w:sz w:val="21"/>
          <w:szCs w:val="21"/>
          <w:highlight w:val="none"/>
          <w:lang w:bidi="ar"/>
        </w:rPr>
        <w:t>（七）转包与分包</w:t>
      </w:r>
      <w:bookmarkEnd w:id="74"/>
    </w:p>
    <w:p w14:paraId="4D2EC2B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1.本项目不允许转包。</w:t>
      </w:r>
    </w:p>
    <w:p w14:paraId="5A90C2E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2.供应商根据磋商文件的规定和采购项目的实际情况，拟在成交后将成交项目的非主体、非关键性工作分包的，应当在响应文件中载明分包承担主体，分包承担主体应当具备相应资质条件且不得再次分包。</w:t>
      </w:r>
      <w:r>
        <w:rPr>
          <w:rFonts w:hint="eastAsia"/>
          <w:color w:val="auto"/>
          <w:sz w:val="21"/>
          <w:szCs w:val="21"/>
          <w:highlight w:val="none"/>
        </w:rPr>
        <w:t>同意将非主体、非关键性的</w:t>
      </w:r>
      <w:r>
        <w:rPr>
          <w:rFonts w:hint="eastAsia"/>
          <w:color w:val="auto"/>
          <w:sz w:val="21"/>
          <w:szCs w:val="21"/>
          <w:highlight w:val="none"/>
          <w:u w:val="single"/>
        </w:rPr>
        <w:t>货物运输</w:t>
      </w:r>
      <w:r>
        <w:rPr>
          <w:rFonts w:hint="eastAsia"/>
          <w:color w:val="auto"/>
          <w:sz w:val="21"/>
          <w:szCs w:val="21"/>
          <w:highlight w:val="none"/>
        </w:rPr>
        <w:t>工作分包。</w:t>
      </w:r>
    </w:p>
    <w:p w14:paraId="581D96A5">
      <w:pPr>
        <w:adjustRightInd w:val="0"/>
        <w:snapToGrid w:val="0"/>
        <w:spacing w:line="288" w:lineRule="auto"/>
        <w:outlineLvl w:val="2"/>
        <w:rPr>
          <w:b/>
          <w:bCs/>
          <w:color w:val="auto"/>
          <w:sz w:val="21"/>
          <w:szCs w:val="21"/>
          <w:highlight w:val="none"/>
        </w:rPr>
      </w:pPr>
      <w:bookmarkStart w:id="75" w:name="_Toc9434"/>
      <w:r>
        <w:rPr>
          <w:rFonts w:hint="eastAsia"/>
          <w:b/>
          <w:bCs/>
          <w:color w:val="auto"/>
          <w:sz w:val="21"/>
          <w:szCs w:val="21"/>
          <w:highlight w:val="none"/>
          <w:lang w:bidi="ar"/>
        </w:rPr>
        <w:t>（八）质疑和投诉</w:t>
      </w:r>
      <w:bookmarkEnd w:id="75"/>
    </w:p>
    <w:p w14:paraId="74723334">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1.供应商认为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采购公告中载明的政府采购监督管理部门提起投诉。</w:t>
      </w:r>
    </w:p>
    <w:p w14:paraId="017E9286">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2.供应商提出质疑应当提交质疑函和必要的证明材料，质疑函范本、投诉书范本请到浙江政府采购网下载专区下载。质疑函应当包括下列内容：</w:t>
      </w:r>
    </w:p>
    <w:p w14:paraId="0D6C8DD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（1）供应商的姓名或者名称、地址、邮编、联系人及联系电话；</w:t>
      </w:r>
    </w:p>
    <w:p w14:paraId="3FA1E34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（2）质疑项目的名称、编号；</w:t>
      </w:r>
    </w:p>
    <w:p w14:paraId="0477071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（3）具体、明确的质疑事项和与质疑事项相关的请求；</w:t>
      </w:r>
    </w:p>
    <w:p w14:paraId="7D443F9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（4）事实依据；</w:t>
      </w:r>
    </w:p>
    <w:p w14:paraId="0DD6F7D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（5）必要的法律依据；</w:t>
      </w:r>
    </w:p>
    <w:p w14:paraId="73D6A1D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（6）提出质疑的日期。</w:t>
      </w:r>
    </w:p>
    <w:p w14:paraId="5CAB614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供应商为自然人的，应当由本人签名；供应商为法人或者其他组织的，应当由法定代表人、主要负责人，或者其授权代表签名或者盖章，并加盖公章。</w:t>
      </w:r>
    </w:p>
    <w:p w14:paraId="1F5D8DFA">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lang w:bidi="ar"/>
        </w:rPr>
        <w:t>3.提出质疑的供应商应当是参与本项目磋商响应活动的供应商。</w:t>
      </w:r>
      <w:r>
        <w:rPr>
          <w:rFonts w:hint="eastAsia"/>
          <w:b/>
          <w:bCs/>
          <w:color w:val="auto"/>
          <w:sz w:val="21"/>
          <w:szCs w:val="21"/>
          <w:highlight w:val="none"/>
          <w:lang w:bidi="ar"/>
        </w:rPr>
        <w:t>供应商在法定质疑期内应一次性提出针对同一采购程序环节的质疑。</w:t>
      </w:r>
    </w:p>
    <w:p w14:paraId="681D030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4.根据《政府采购质疑和投诉办法》第三十七条的规定，投诉人在全国范围12个月内三次以上投诉查无实据的，由财政部门列入不良行为记录名单。</w:t>
      </w:r>
    </w:p>
    <w:p w14:paraId="5F89A28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投诉人有下列行为之一的，属于虚假、恶意投诉，由财政部门列入不良行为记录名单，禁止其1至3年内参加政府采购活动：</w:t>
      </w:r>
    </w:p>
    <w:p w14:paraId="5FB3601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（1）捏造事实；</w:t>
      </w:r>
    </w:p>
    <w:p w14:paraId="10406CD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（2）提供虚假材料；</w:t>
      </w:r>
    </w:p>
    <w:p w14:paraId="553DD79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（3）以非法手段取得证明材料。证据来源的合法性存在明显疑问，投诉人无法证明其取得方式合法的，视为以非法手段取得证明材料。</w:t>
      </w:r>
    </w:p>
    <w:p w14:paraId="5D00BCDE">
      <w:pPr>
        <w:adjustRightInd w:val="0"/>
        <w:snapToGrid w:val="0"/>
        <w:spacing w:line="288" w:lineRule="auto"/>
        <w:outlineLvl w:val="2"/>
        <w:rPr>
          <w:b/>
          <w:color w:val="auto"/>
          <w:spacing w:val="-6"/>
          <w:kern w:val="0"/>
          <w:sz w:val="21"/>
          <w:szCs w:val="21"/>
          <w:highlight w:val="none"/>
        </w:rPr>
      </w:pPr>
      <w:bookmarkStart w:id="76" w:name="_Toc26211"/>
      <w:r>
        <w:rPr>
          <w:rFonts w:hint="eastAsia"/>
          <w:b/>
          <w:color w:val="auto"/>
          <w:spacing w:val="-6"/>
          <w:kern w:val="0"/>
          <w:sz w:val="21"/>
          <w:szCs w:val="21"/>
          <w:highlight w:val="none"/>
          <w:lang w:bidi="ar"/>
        </w:rPr>
        <w:t>（九）采购项目需要落实的政府采购政策</w:t>
      </w:r>
      <w:bookmarkEnd w:id="76"/>
    </w:p>
    <w:p w14:paraId="3C8F95EF">
      <w:pPr>
        <w:adjustRightInd w:val="0"/>
        <w:snapToGrid w:val="0"/>
        <w:spacing w:line="288" w:lineRule="auto"/>
        <w:ind w:firstLine="398" w:firstLineChars="200"/>
        <w:jc w:val="left"/>
        <w:rPr>
          <w:color w:val="auto"/>
          <w:spacing w:val="-6"/>
          <w:sz w:val="21"/>
          <w:szCs w:val="21"/>
          <w:highlight w:val="none"/>
        </w:rPr>
      </w:pPr>
      <w:r>
        <w:rPr>
          <w:rFonts w:hint="eastAsia"/>
          <w:b/>
          <w:bCs/>
          <w:color w:val="auto"/>
          <w:spacing w:val="-6"/>
          <w:sz w:val="21"/>
          <w:szCs w:val="21"/>
          <w:highlight w:val="none"/>
          <w:lang w:bidi="ar"/>
        </w:rPr>
        <w:t>1.</w:t>
      </w:r>
      <w:r>
        <w:rPr>
          <w:rFonts w:hint="eastAsia"/>
          <w:color w:val="auto"/>
          <w:spacing w:val="-6"/>
          <w:sz w:val="21"/>
          <w:szCs w:val="21"/>
          <w:highlight w:val="none"/>
          <w:lang w:bidi="ar"/>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C74DB97">
      <w:pPr>
        <w:adjustRightInd w:val="0"/>
        <w:snapToGrid w:val="0"/>
        <w:spacing w:line="288" w:lineRule="auto"/>
        <w:ind w:firstLine="398" w:firstLineChars="200"/>
        <w:jc w:val="left"/>
        <w:rPr>
          <w:b/>
          <w:bCs/>
          <w:color w:val="auto"/>
          <w:spacing w:val="-6"/>
          <w:sz w:val="21"/>
          <w:szCs w:val="21"/>
          <w:highlight w:val="none"/>
        </w:rPr>
      </w:pPr>
      <w:r>
        <w:rPr>
          <w:rFonts w:hint="eastAsia"/>
          <w:b/>
          <w:bCs/>
          <w:color w:val="auto"/>
          <w:spacing w:val="-6"/>
          <w:sz w:val="21"/>
          <w:szCs w:val="21"/>
          <w:highlight w:val="none"/>
          <w:lang w:bidi="ar"/>
        </w:rPr>
        <w:t>2.支持中小企业发展</w:t>
      </w:r>
    </w:p>
    <w:p w14:paraId="14ECFB54">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8F74C44">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符合中小企业划分标准的个体工商户，在政府采购活动中视同中小企业。</w:t>
      </w:r>
    </w:p>
    <w:p w14:paraId="0A4941B7">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在政府采购活动中，供应商提供的货物、工程或者服务符合下列情形的，享受中小企业扶持政策：</w:t>
      </w:r>
    </w:p>
    <w:p w14:paraId="087ED12C">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15461198">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在货物采购项目中，供应商提供的货物既有中小企业制造货物，也有大型企业制造货物的，不享受中小企业扶持政策。</w:t>
      </w:r>
    </w:p>
    <w:p w14:paraId="3A78F4E0">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以联合体形式参加政府采购活动，联合体各方均为中小企业的，联合体视同中小企业。其中，联合体各方均为小微企业的，联合体视同小微企业。</w:t>
      </w:r>
    </w:p>
    <w:p w14:paraId="4C160EBA">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对于未预留份额专门面向中小企业的政府采购货物或服务项目，以及预留份额政府采购货物或服务项目中的非预留部分标项，对小型和微型企业的最后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A48514C">
      <w:pPr>
        <w:adjustRightInd w:val="0"/>
        <w:snapToGrid w:val="0"/>
        <w:spacing w:line="288" w:lineRule="auto"/>
        <w:ind w:firstLine="396" w:firstLineChars="200"/>
        <w:jc w:val="left"/>
        <w:rPr>
          <w:color w:val="auto"/>
          <w:spacing w:val="-6"/>
          <w:sz w:val="21"/>
          <w:szCs w:val="21"/>
          <w:highlight w:val="none"/>
          <w:u w:val="single"/>
        </w:rPr>
      </w:pPr>
      <w:r>
        <w:rPr>
          <w:rFonts w:hint="eastAsia"/>
          <w:color w:val="auto"/>
          <w:spacing w:val="-6"/>
          <w:sz w:val="21"/>
          <w:szCs w:val="21"/>
          <w:highlight w:val="none"/>
          <w:u w:val="single"/>
          <w:lang w:bidi="ar"/>
        </w:rPr>
        <w:t>符合《关于促进残疾人就业政府采购政策的通知》（财库〔2017〕141号）规定的条件并提供《残疾人福利性单位声明函》的残疾人福利性单位视同小型、微型企业；</w:t>
      </w:r>
    </w:p>
    <w:p w14:paraId="44F3DCCB">
      <w:pPr>
        <w:adjustRightInd w:val="0"/>
        <w:snapToGrid w:val="0"/>
        <w:spacing w:line="288" w:lineRule="auto"/>
        <w:ind w:firstLine="396" w:firstLineChars="200"/>
        <w:jc w:val="left"/>
        <w:rPr>
          <w:color w:val="auto"/>
          <w:spacing w:val="-6"/>
          <w:sz w:val="21"/>
          <w:szCs w:val="21"/>
          <w:highlight w:val="none"/>
          <w:u w:val="single"/>
        </w:rPr>
      </w:pPr>
      <w:r>
        <w:rPr>
          <w:rFonts w:hint="eastAsia"/>
          <w:color w:val="auto"/>
          <w:spacing w:val="-6"/>
          <w:sz w:val="21"/>
          <w:szCs w:val="21"/>
          <w:highlight w:val="none"/>
          <w:u w:val="single"/>
          <w:lang w:bidi="ar"/>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DC87AD2">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F8F5CF7">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中小企业享受扶持政策获得政府采购合同的，小微企业不得将合同分包给大中型企业，中型企业不得将合同分包给大型企业。</w:t>
      </w:r>
    </w:p>
    <w:p w14:paraId="18B74B55">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14:paraId="62D9FD10">
      <w:pPr>
        <w:adjustRightInd w:val="0"/>
        <w:snapToGrid w:val="0"/>
        <w:spacing w:line="288" w:lineRule="auto"/>
        <w:ind w:firstLine="398" w:firstLineChars="200"/>
        <w:jc w:val="left"/>
        <w:rPr>
          <w:b/>
          <w:bCs/>
          <w:color w:val="auto"/>
          <w:spacing w:val="-6"/>
          <w:sz w:val="21"/>
          <w:szCs w:val="21"/>
          <w:highlight w:val="none"/>
          <w:lang w:bidi="ar"/>
        </w:rPr>
      </w:pPr>
      <w:r>
        <w:rPr>
          <w:rFonts w:hint="eastAsia"/>
          <w:b/>
          <w:bCs/>
          <w:color w:val="auto"/>
          <w:spacing w:val="-6"/>
          <w:sz w:val="21"/>
          <w:szCs w:val="21"/>
          <w:highlight w:val="none"/>
          <w:lang w:bidi="ar"/>
        </w:rPr>
        <w:t>3.支持绿色发展</w:t>
      </w:r>
    </w:p>
    <w:p w14:paraId="795B5100">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3.1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p>
    <w:p w14:paraId="395B5C7D">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▲采购人拟采购的产品属于政府强制采购的节能产品品目清单范围的，供应商相应的响应产品未获得国家确定的认证机构出具的、处于有效期之内的节能产品认证证书的，响应无效。</w:t>
      </w:r>
    </w:p>
    <w:p w14:paraId="070B089D">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3.2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CF79627">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3.3鼓励供应商在参加政府采购过程中开展绿色设计、选择绿色材料、打造绿色制造工艺、开展绿色运输、做好废弃产品回收处理，实现产品全周期的绿色环保。</w:t>
      </w:r>
    </w:p>
    <w:p w14:paraId="7672E239">
      <w:pPr>
        <w:adjustRightInd w:val="0"/>
        <w:snapToGrid w:val="0"/>
        <w:spacing w:line="288" w:lineRule="auto"/>
        <w:ind w:firstLine="398" w:firstLineChars="200"/>
        <w:jc w:val="left"/>
        <w:rPr>
          <w:b/>
          <w:bCs/>
          <w:color w:val="auto"/>
          <w:spacing w:val="-6"/>
          <w:sz w:val="21"/>
          <w:szCs w:val="21"/>
          <w:highlight w:val="none"/>
          <w:lang w:bidi="ar"/>
        </w:rPr>
      </w:pPr>
      <w:r>
        <w:rPr>
          <w:rFonts w:hint="eastAsia"/>
          <w:b/>
          <w:bCs/>
          <w:color w:val="auto"/>
          <w:spacing w:val="-6"/>
          <w:sz w:val="21"/>
          <w:szCs w:val="21"/>
          <w:highlight w:val="none"/>
          <w:lang w:bidi="ar"/>
        </w:rPr>
        <w:t>4.支持创新发展</w:t>
      </w:r>
    </w:p>
    <w:p w14:paraId="561D35F5">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4.1 采购人优先采购被认定为首台套产品和“制造精品”的自主创新产品。</w:t>
      </w:r>
    </w:p>
    <w:p w14:paraId="326FF7D2">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BABB740">
      <w:pPr>
        <w:adjustRightInd w:val="0"/>
        <w:snapToGrid w:val="0"/>
        <w:spacing w:line="288" w:lineRule="auto"/>
        <w:jc w:val="center"/>
        <w:rPr>
          <w:b/>
          <w:bCs/>
          <w:color w:val="auto"/>
          <w:sz w:val="21"/>
          <w:szCs w:val="21"/>
          <w:highlight w:val="none"/>
        </w:rPr>
      </w:pPr>
      <w:r>
        <w:rPr>
          <w:rFonts w:hint="eastAsia"/>
          <w:color w:val="auto"/>
          <w:sz w:val="21"/>
          <w:szCs w:val="21"/>
          <w:highlight w:val="none"/>
          <w:lang w:bidi="ar"/>
        </w:rPr>
        <w:br w:type="page"/>
      </w:r>
      <w:bookmarkStart w:id="77" w:name="_Toc4778"/>
      <w:bookmarkStart w:id="78" w:name="_Toc22518"/>
      <w:bookmarkStart w:id="79" w:name="_Toc4366"/>
      <w:r>
        <w:rPr>
          <w:rFonts w:hint="eastAsia"/>
          <w:b/>
          <w:bCs/>
          <w:color w:val="auto"/>
          <w:sz w:val="21"/>
          <w:szCs w:val="21"/>
          <w:highlight w:val="none"/>
          <w:lang w:bidi="ar"/>
        </w:rPr>
        <w:t>二、磋商文件</w:t>
      </w:r>
      <w:bookmarkEnd w:id="77"/>
      <w:bookmarkEnd w:id="78"/>
      <w:bookmarkEnd w:id="79"/>
    </w:p>
    <w:p w14:paraId="7F205425">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（一）磋商文件的构成</w:t>
      </w:r>
    </w:p>
    <w:p w14:paraId="1822F2C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本磋商文件由以下部分组成：</w:t>
      </w:r>
    </w:p>
    <w:p w14:paraId="02971DD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1.采购邀请；</w:t>
      </w:r>
    </w:p>
    <w:p w14:paraId="695CDCB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2.采购需求；</w:t>
      </w:r>
    </w:p>
    <w:p w14:paraId="6011FCE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3.供应商须知</w:t>
      </w:r>
    </w:p>
    <w:p w14:paraId="697801E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4.评审方法和评审标准；</w:t>
      </w:r>
    </w:p>
    <w:p w14:paraId="3D9142A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5.拟签订的合同文本；</w:t>
      </w:r>
    </w:p>
    <w:p w14:paraId="6FC94AA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6.响应文件格式；</w:t>
      </w:r>
    </w:p>
    <w:p w14:paraId="05385B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7.本项目磋商文件的澄清、答复、修改、补充的内容。</w:t>
      </w:r>
    </w:p>
    <w:p w14:paraId="58162115">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（二）供应商的风险</w:t>
      </w:r>
    </w:p>
    <w:p w14:paraId="741E6BC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供应商没有按照磋商文件要求提供全部资料，或者供应商没有对磋商文件在各方面作出实质性响应是供应商的风险，并可能导致其响应被拒绝。</w:t>
      </w:r>
    </w:p>
    <w:p w14:paraId="75245677">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（三）磋商文件的澄清与修改</w:t>
      </w:r>
    </w:p>
    <w:p w14:paraId="10ED530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1.已获取采购文件的潜在供应商，若有问题需要澄清，应于响应文件提交（上传）截止时间前，以书面形式向采购代理机构提出。</w:t>
      </w:r>
    </w:p>
    <w:p w14:paraId="701CD1A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0695639A">
      <w:pPr>
        <w:adjustRightInd w:val="0"/>
        <w:snapToGrid w:val="0"/>
        <w:spacing w:line="288" w:lineRule="auto"/>
        <w:ind w:firstLine="420" w:firstLineChars="200"/>
        <w:rPr>
          <w:b/>
          <w:bCs/>
          <w:color w:val="auto"/>
          <w:sz w:val="21"/>
          <w:szCs w:val="21"/>
          <w:highlight w:val="none"/>
          <w:lang w:bidi="ar"/>
        </w:rPr>
      </w:pPr>
      <w:r>
        <w:rPr>
          <w:rFonts w:hint="eastAsia"/>
          <w:color w:val="auto"/>
          <w:sz w:val="21"/>
          <w:szCs w:val="21"/>
          <w:highlight w:val="none"/>
          <w:lang w:bidi="ar"/>
        </w:rPr>
        <w:t>3.磋商文件澄清、答复、修改、补充的内容为磋商文件的组成部分。当磋商文件与磋商文件的答复、澄清、修改、补充通知就同一内容的表述不一致时，以最后发出的文件为准。</w:t>
      </w:r>
    </w:p>
    <w:p w14:paraId="45DF9CAD">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4.磋商文件的澄清、答复、修改、补充都应该通过本采购代理机构以法定形式发布，采购人非通过本机构，不得擅自澄清、答复、修改、补充磋商文件。</w:t>
      </w:r>
    </w:p>
    <w:p w14:paraId="6A0FE59D">
      <w:pPr>
        <w:adjustRightInd w:val="0"/>
        <w:snapToGrid w:val="0"/>
        <w:spacing w:line="288" w:lineRule="auto"/>
        <w:ind w:firstLine="422" w:firstLineChars="200"/>
        <w:jc w:val="left"/>
        <w:rPr>
          <w:b/>
          <w:bCs/>
          <w:color w:val="auto"/>
          <w:sz w:val="21"/>
          <w:szCs w:val="21"/>
          <w:highlight w:val="none"/>
          <w:lang w:bidi="ar"/>
        </w:rPr>
      </w:pPr>
      <w:r>
        <w:rPr>
          <w:rFonts w:hint="eastAsia"/>
          <w:b/>
          <w:bCs/>
          <w:color w:val="auto"/>
          <w:sz w:val="21"/>
          <w:szCs w:val="21"/>
          <w:highlight w:val="none"/>
          <w:lang w:bidi="ar"/>
        </w:rPr>
        <w:t>5.▲响应文件未按磋商文件的澄清、修改的内容编制，又不符合实质性要求的，响应无效。</w:t>
      </w:r>
    </w:p>
    <w:p w14:paraId="5E0F20E5">
      <w:pPr>
        <w:adjustRightInd w:val="0"/>
        <w:snapToGrid w:val="0"/>
        <w:spacing w:line="288" w:lineRule="auto"/>
        <w:ind w:firstLine="420" w:firstLineChars="200"/>
        <w:jc w:val="center"/>
        <w:rPr>
          <w:b/>
          <w:bCs/>
          <w:color w:val="auto"/>
          <w:sz w:val="21"/>
          <w:szCs w:val="21"/>
          <w:highlight w:val="none"/>
        </w:rPr>
      </w:pPr>
      <w:r>
        <w:rPr>
          <w:rFonts w:hint="eastAsia"/>
          <w:color w:val="auto"/>
          <w:sz w:val="21"/>
          <w:szCs w:val="21"/>
          <w:highlight w:val="none"/>
          <w:lang w:bidi="ar"/>
        </w:rPr>
        <w:br w:type="page"/>
      </w:r>
      <w:bookmarkStart w:id="80" w:name="_Toc9298"/>
      <w:bookmarkStart w:id="81" w:name="_Toc18945"/>
      <w:bookmarkStart w:id="82" w:name="_Toc3808"/>
      <w:r>
        <w:rPr>
          <w:rFonts w:hint="eastAsia"/>
          <w:b/>
          <w:bCs/>
          <w:color w:val="auto"/>
          <w:sz w:val="21"/>
          <w:szCs w:val="21"/>
          <w:highlight w:val="none"/>
          <w:lang w:bidi="ar"/>
        </w:rPr>
        <w:t>三、响应文件的编制</w:t>
      </w:r>
      <w:bookmarkEnd w:id="80"/>
      <w:bookmarkEnd w:id="81"/>
      <w:bookmarkEnd w:id="82"/>
    </w:p>
    <w:p w14:paraId="48CD1316">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（一）响应文件的组成</w:t>
      </w:r>
    </w:p>
    <w:p w14:paraId="2C32949F">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响应文件（电子加密响应文件）由</w:t>
      </w:r>
      <w:r>
        <w:rPr>
          <w:rFonts w:hint="eastAsia"/>
          <w:b/>
          <w:color w:val="auto"/>
          <w:spacing w:val="-6"/>
          <w:sz w:val="21"/>
          <w:szCs w:val="21"/>
          <w:highlight w:val="none"/>
          <w:lang w:bidi="ar"/>
        </w:rPr>
        <w:t>资格文件、报价文件、商务技术文件三部分</w:t>
      </w:r>
      <w:r>
        <w:rPr>
          <w:rFonts w:hint="eastAsia"/>
          <w:bCs/>
          <w:color w:val="auto"/>
          <w:spacing w:val="-6"/>
          <w:sz w:val="21"/>
          <w:szCs w:val="21"/>
          <w:highlight w:val="none"/>
          <w:lang w:bidi="ar"/>
        </w:rPr>
        <w:t>组成（格式详见磋商文件第六章）。供应商应将响应文件各部分</w:t>
      </w:r>
      <w:r>
        <w:rPr>
          <w:rFonts w:hint="eastAsia"/>
          <w:b/>
          <w:color w:val="auto"/>
          <w:spacing w:val="-6"/>
          <w:sz w:val="21"/>
          <w:szCs w:val="21"/>
          <w:highlight w:val="none"/>
          <w:lang w:bidi="ar"/>
        </w:rPr>
        <w:t>分别上传</w:t>
      </w:r>
      <w:r>
        <w:rPr>
          <w:rFonts w:hint="eastAsia"/>
          <w:bCs/>
          <w:color w:val="auto"/>
          <w:spacing w:val="-6"/>
          <w:sz w:val="21"/>
          <w:szCs w:val="21"/>
          <w:highlight w:val="none"/>
          <w:lang w:bidi="ar"/>
        </w:rPr>
        <w:t>至政府采购云平台指定位置。</w:t>
      </w:r>
    </w:p>
    <w:p w14:paraId="3D29B236">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响应文件组成：详见“第六章  响应文件格式”目录。</w:t>
      </w:r>
    </w:p>
    <w:p w14:paraId="3BD56A3C">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（二）响应文件的签署和份数</w:t>
      </w:r>
    </w:p>
    <w:p w14:paraId="6C83BDC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48D26DE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2.响应文件须由供应商在规定位置加盖公章，供应商应写全称。</w:t>
      </w:r>
    </w:p>
    <w:p w14:paraId="631C955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3.响应文件不得涂改，若有修改错漏处，须由供应商加盖公章，或者由法定代表人或其授权的代表签名。响应文件因字迹潦草或表达不清所引起的后果由供应商负责。</w:t>
      </w:r>
    </w:p>
    <w:p w14:paraId="4EC4B977">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4.响应文件份数：</w:t>
      </w:r>
    </w:p>
    <w:p w14:paraId="61B67AFB">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电子加密响应文件：政府采购云平台在线上传一份；备份响应文件：密封包装后EMS或顺丰邮寄形式递交一份（邮寄地址：杭州市西湖区玉古路173号中田大厦21楼，浙江求是招标代理有限公司（俞炳）收，电话：0571-87670302，寄出后将（快递单号、项目名称、公司名称、联系方式等相关信息）发至：zb02@qszb.net，以便查收）。</w:t>
      </w:r>
    </w:p>
    <w:p w14:paraId="73F70A3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特别说明：双休日和法定节假日不收件，供应商自行承担邮寄风险。</w:t>
      </w:r>
    </w:p>
    <w:p w14:paraId="0B507F9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备注：</w:t>
      </w:r>
      <w:r>
        <w:rPr>
          <w:rFonts w:hint="eastAsia"/>
          <w:b/>
          <w:bCs/>
          <w:color w:val="auto"/>
          <w:sz w:val="21"/>
          <w:szCs w:val="21"/>
          <w:highlight w:val="none"/>
        </w:rPr>
        <w:t>采购人、采购机构不强制或变相强制投标人提交备份投标文件。</w:t>
      </w:r>
    </w:p>
    <w:p w14:paraId="0FFF3CA3">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（三）响应文件的上传、递交、修改和撤回</w:t>
      </w:r>
    </w:p>
    <w:p w14:paraId="72715F3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1.响应文件的上传、递交：</w:t>
      </w:r>
    </w:p>
    <w:p w14:paraId="0C92603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（1）电子加密响应文件的上传：</w:t>
      </w:r>
    </w:p>
    <w:p w14:paraId="0B11182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▲1）供应商应在响应文件提交截止时间前将电子加密响应文件成功上传至政府采购云平台，否则响应无效；</w:t>
      </w:r>
    </w:p>
    <w:p w14:paraId="3CDCE2B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2）电子加密响应文件成功上传后，供应商可自行打印响应文件接收回执。</w:t>
      </w:r>
    </w:p>
    <w:p w14:paraId="3642C24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（2）备份响应文件的密封包装、递交：</w:t>
      </w:r>
    </w:p>
    <w:p w14:paraId="2C7AD73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1）供应商在政府采购云平台完成电子加密响应文件的上传后，可以EMS或顺丰邮寄形式在响应文件提交截止时间前递交以介质（U盘）存储的数据电文形式的备份响应文件；</w:t>
      </w:r>
    </w:p>
    <w:p w14:paraId="1B0A764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2）备份响应文件应当密封包装并在包装上标注响应项目名称、供应商名称并加盖公章（非电子签章），供应商逾期送达或者未密封包装的备份响应文件采购代理机构将予以拒收；</w:t>
      </w:r>
    </w:p>
    <w:p w14:paraId="0314051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▲3）通过政府采购云平台成功上传的电子加密响应文件已按时解密的，备份响应文件自动失效。</w:t>
      </w:r>
    </w:p>
    <w:p w14:paraId="4AA5D200">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▲4）响应截止时间前，供应商仅递交备份响应文件而未将电子加密响应文件成功上传至政府采购云平台的，响应无效。</w:t>
      </w:r>
    </w:p>
    <w:p w14:paraId="51F3323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5653803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3.供应商因未在线参加开标而导致电子加密响应文件无法按时解密等一切后果由供应商自行承担。</w:t>
      </w:r>
    </w:p>
    <w:p w14:paraId="353C802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4.供应商应按照磋商文件和政府采购云平台的要求，根据响应文件的组成规定的内容及顺序通过政采云电子交易客户端（政采云响应客户端）编制加密响应文件。</w:t>
      </w:r>
    </w:p>
    <w:p w14:paraId="63DA5B16">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备注：</w:t>
      </w:r>
    </w:p>
    <w:p w14:paraId="33ACC5D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供应商可通过浙江省“电子交易/不见面开评标”学习专题提前进行专题学习，熟悉操作，避免影响采购活动（https://edu.zcygov.cn/luban/e-biding）。</w:t>
      </w:r>
    </w:p>
    <w:p w14:paraId="4E0E8157">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（四）响应文件的语言及计量</w:t>
      </w:r>
    </w:p>
    <w:p w14:paraId="68A54E3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0530E1B0">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（五）磋商报价</w:t>
      </w:r>
    </w:p>
    <w:p w14:paraId="6899DF5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1.报价应按磋商文件要求的格式编制、填写报价内容（可自行增行），未按磋商文件要求编制、填写的响应文件可能被拒绝。</w:t>
      </w:r>
    </w:p>
    <w:p w14:paraId="5EF3821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2.本次磋商采用人民币报价。</w:t>
      </w:r>
    </w:p>
    <w:p w14:paraId="4B5CBE3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3.最后磋商报价是履行合同的最终价格，有关本项目实施所涉及的一切费用均计入报价。</w:t>
      </w:r>
    </w:p>
    <w:p w14:paraId="397D3664">
      <w:pPr>
        <w:pStyle w:val="20"/>
        <w:widowControl w:val="0"/>
        <w:adjustRightInd w:val="0"/>
        <w:snapToGrid w:val="0"/>
        <w:spacing w:before="0" w:beforeAutospacing="0" w:after="0" w:afterAutospacing="0" w:line="288" w:lineRule="auto"/>
        <w:ind w:firstLine="210" w:firstLineChars="100"/>
        <w:rPr>
          <w:color w:val="auto"/>
          <w:kern w:val="2"/>
          <w:sz w:val="21"/>
          <w:szCs w:val="21"/>
          <w:highlight w:val="none"/>
        </w:rPr>
      </w:pPr>
      <w:r>
        <w:rPr>
          <w:rFonts w:hint="eastAsia"/>
          <w:color w:val="auto"/>
          <w:kern w:val="2"/>
          <w:sz w:val="21"/>
          <w:szCs w:val="21"/>
          <w:highlight w:val="none"/>
          <w:lang w:bidi="ar"/>
        </w:rPr>
        <w:t>▲4.采购人将以合同形式有偿取得货物或服务，不接受供应商给予的赠品、回扣或者与采购无关的其他商品、服务。</w:t>
      </w:r>
    </w:p>
    <w:p w14:paraId="613B2587">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（六）响应有效期</w:t>
      </w:r>
    </w:p>
    <w:p w14:paraId="2F5682A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▲从提交响应文件的截止之日起90天。在原响应有效期满之前，如果出现特殊情况，采购人或采购代理机构以书面形式通知供应商延长响应有效期。</w:t>
      </w:r>
    </w:p>
    <w:p w14:paraId="3EC0FAC4">
      <w:pPr>
        <w:widowControl/>
        <w:adjustRightInd w:val="0"/>
        <w:snapToGrid w:val="0"/>
        <w:spacing w:line="288" w:lineRule="auto"/>
        <w:jc w:val="center"/>
        <w:rPr>
          <w:b/>
          <w:bCs/>
          <w:color w:val="auto"/>
          <w:sz w:val="21"/>
          <w:szCs w:val="21"/>
          <w:highlight w:val="none"/>
        </w:rPr>
      </w:pPr>
      <w:r>
        <w:rPr>
          <w:rFonts w:hint="eastAsia"/>
          <w:b/>
          <w:bCs/>
          <w:color w:val="auto"/>
          <w:sz w:val="21"/>
          <w:szCs w:val="21"/>
          <w:highlight w:val="none"/>
          <w:lang w:bidi="ar"/>
        </w:rPr>
        <w:br w:type="page"/>
      </w:r>
      <w:bookmarkStart w:id="83" w:name="_Toc23561"/>
      <w:bookmarkStart w:id="84" w:name="_Toc25348"/>
      <w:bookmarkStart w:id="85" w:name="_Toc214"/>
      <w:r>
        <w:rPr>
          <w:rFonts w:hint="eastAsia"/>
          <w:b/>
          <w:bCs/>
          <w:color w:val="auto"/>
          <w:sz w:val="21"/>
          <w:szCs w:val="21"/>
          <w:highlight w:val="none"/>
          <w:lang w:bidi="ar"/>
        </w:rPr>
        <w:t>四、响应无效的情形</w:t>
      </w:r>
      <w:bookmarkEnd w:id="83"/>
      <w:bookmarkEnd w:id="84"/>
      <w:bookmarkEnd w:id="85"/>
    </w:p>
    <w:p w14:paraId="6CBAD37F">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1.在资格审查时，如发现下列情形之一的，响应文件将被视为无效</w:t>
      </w:r>
    </w:p>
    <w:p w14:paraId="67C5D21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（1）资格证明材料不全的，或者不符合磋商文件要求的；</w:t>
      </w:r>
    </w:p>
    <w:p w14:paraId="5D825AC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（2）供应商不具备磋商文件中规定的资格要求的；</w:t>
      </w:r>
    </w:p>
    <w:p w14:paraId="53EBF10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（3）资格文件未按要求签署、盖章的。</w:t>
      </w:r>
    </w:p>
    <w:p w14:paraId="5AE278F9">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2.在符合性审查、商务技术评审时，如发现下列情形之一的，响应文件将被视为无效</w:t>
      </w:r>
    </w:p>
    <w:p w14:paraId="0DC07C60">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（1）商务技术文件未按要求签署、盖章的；</w:t>
      </w:r>
    </w:p>
    <w:p w14:paraId="00512DF8">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（2）未提供或未按要求提供响应函、法定代表人授权委托书；</w:t>
      </w:r>
    </w:p>
    <w:p w14:paraId="6650E5E6">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（3）法定代表人委托授权代表参加响应但未提供符合要求的授权代表社保缴纳证明的；</w:t>
      </w:r>
    </w:p>
    <w:p w14:paraId="3646E84A">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（4）未提供采购需求偏离表的；</w:t>
      </w:r>
    </w:p>
    <w:p w14:paraId="28E213B1">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（5）明显不符合磋商文件要求，</w:t>
      </w:r>
      <w:r>
        <w:rPr>
          <w:rFonts w:hint="eastAsia"/>
          <w:color w:val="auto"/>
          <w:spacing w:val="-6"/>
          <w:sz w:val="21"/>
          <w:szCs w:val="21"/>
          <w:highlight w:val="none"/>
          <w:lang w:bidi="ar"/>
        </w:rPr>
        <w:t>或</w:t>
      </w:r>
      <w:r>
        <w:rPr>
          <w:rFonts w:hint="eastAsia"/>
          <w:color w:val="auto"/>
          <w:sz w:val="21"/>
          <w:szCs w:val="21"/>
          <w:highlight w:val="none"/>
          <w:lang w:bidi="ar"/>
        </w:rPr>
        <w:t>负偏离达到规定数目的</w:t>
      </w:r>
      <w:r>
        <w:rPr>
          <w:rFonts w:hint="eastAsia"/>
          <w:color w:val="auto"/>
          <w:spacing w:val="-6"/>
          <w:sz w:val="21"/>
          <w:szCs w:val="21"/>
          <w:highlight w:val="none"/>
          <w:lang w:bidi="ar"/>
        </w:rPr>
        <w:t>；</w:t>
      </w:r>
    </w:p>
    <w:p w14:paraId="62036E4F">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（6）响应技术方案不明确，存在一个或一个以上备选（替代）供应商案的；</w:t>
      </w:r>
    </w:p>
    <w:p w14:paraId="5EC8CFB7">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（7）响应文件含有采购人不能接受的附加条件的；</w:t>
      </w:r>
    </w:p>
    <w:p w14:paraId="08951C4E">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（8）响应文件中法人授权书所载内容与本项目内容有异的；</w:t>
      </w:r>
    </w:p>
    <w:p w14:paraId="779E617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（9）未响应磋商文件“▲”标记条款要求的，响应无效。</w:t>
      </w:r>
    </w:p>
    <w:p w14:paraId="5A2D2D48">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（10）法律、法规和磋商文件规定的其他无效情形。</w:t>
      </w:r>
    </w:p>
    <w:p w14:paraId="4D0485B5">
      <w:pPr>
        <w:adjustRightInd w:val="0"/>
        <w:snapToGrid w:val="0"/>
        <w:spacing w:line="288" w:lineRule="auto"/>
        <w:ind w:firstLine="422" w:firstLineChars="200"/>
        <w:jc w:val="left"/>
        <w:rPr>
          <w:b/>
          <w:bCs/>
          <w:color w:val="auto"/>
          <w:sz w:val="21"/>
          <w:szCs w:val="21"/>
          <w:highlight w:val="none"/>
          <w:lang w:bidi="ar"/>
        </w:rPr>
      </w:pPr>
      <w:r>
        <w:rPr>
          <w:b/>
          <w:bCs/>
          <w:color w:val="auto"/>
          <w:sz w:val="21"/>
          <w:szCs w:val="21"/>
          <w:highlight w:val="none"/>
          <w:lang w:bidi="ar"/>
        </w:rPr>
        <w:t>3.在磋商评审时，如发现下列情形之一的，视为退出磋商，响应无效</w:t>
      </w:r>
    </w:p>
    <w:p w14:paraId="1AB9FB62">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（1）未按规定时间提交磋商记录；</w:t>
      </w:r>
    </w:p>
    <w:p w14:paraId="520E1842">
      <w:pPr>
        <w:adjustRightInd w:val="0"/>
        <w:snapToGrid w:val="0"/>
        <w:spacing w:line="288" w:lineRule="auto"/>
        <w:ind w:firstLine="420" w:firstLineChars="200"/>
        <w:jc w:val="left"/>
        <w:rPr>
          <w:color w:val="auto"/>
          <w:sz w:val="21"/>
          <w:szCs w:val="21"/>
          <w:highlight w:val="none"/>
          <w:lang w:bidi="ar"/>
        </w:rPr>
      </w:pPr>
      <w:r>
        <w:rPr>
          <w:rFonts w:hint="eastAsia"/>
          <w:color w:val="auto"/>
          <w:sz w:val="21"/>
          <w:szCs w:val="21"/>
          <w:highlight w:val="none"/>
          <w:lang w:bidi="ar"/>
        </w:rPr>
        <w:t>（2）磋商记录未响应磋商内容或要求的。</w:t>
      </w:r>
    </w:p>
    <w:p w14:paraId="69CB2AEF">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lang w:bidi="ar"/>
        </w:rPr>
        <w:t>4.在报价评审时，如发现下列情形之一的，响应文件将被视为无效</w:t>
      </w:r>
    </w:p>
    <w:p w14:paraId="2FCCC3D8">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（1）最后报价超过磋商文件中规定的预算金额或最高限价的；</w:t>
      </w:r>
    </w:p>
    <w:p w14:paraId="03FA43D8">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（2）所提交的最后报价中出现不是唯一的、有选择性的报价的；</w:t>
      </w:r>
    </w:p>
    <w:p w14:paraId="31BE84EF">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（3）最后报价填写不完整或字迹不能辨认或有漏项的；</w:t>
      </w:r>
    </w:p>
    <w:p w14:paraId="5BA5D5DC">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（4）供应商对根据修正原则修正后的最后报价不确认的；</w:t>
      </w:r>
    </w:p>
    <w:p w14:paraId="622F6C9F">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（5）未按规定提交最后报价的，视为退出磋商，响应无效。</w:t>
      </w:r>
    </w:p>
    <w:p w14:paraId="42294751">
      <w:pPr>
        <w:widowControl/>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特别说明：磋商小组认为供应商的最后报价明显低于其他供应商最后报价，有可能影响产品质量或者不能诚信履约的，应当要求其在磋商小组要求的时间内提供书面说明，必要时提交相关证明材料；供应商不能证明其最后报价合理性的，磋商小组应当将其作为无效响应处理。</w:t>
      </w:r>
    </w:p>
    <w:p w14:paraId="29A57146">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5.有下列情形之一的，视为供应商串通，其响应无效</w:t>
      </w:r>
    </w:p>
    <w:p w14:paraId="5C8347C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（1）不同供应商的响应文件由同一单位或者个人编制；</w:t>
      </w:r>
    </w:p>
    <w:p w14:paraId="5D1AB48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（2）不同供应商委托同一单位或者个人办理磋商事宜；</w:t>
      </w:r>
    </w:p>
    <w:p w14:paraId="2259849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（3）不同供应商的响应文件载明的项目管理成员或者联系人员为同一人；</w:t>
      </w:r>
    </w:p>
    <w:p w14:paraId="7B54A52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（4）不同供应商的响应文件异常一致或者最后报价呈规律性差异；</w:t>
      </w:r>
    </w:p>
    <w:p w14:paraId="4D081839">
      <w:pPr>
        <w:widowControl/>
        <w:adjustRightInd w:val="0"/>
        <w:snapToGrid w:val="0"/>
        <w:spacing w:line="288" w:lineRule="auto"/>
        <w:ind w:firstLine="420" w:firstLineChars="200"/>
        <w:jc w:val="left"/>
        <w:rPr>
          <w:color w:val="auto"/>
          <w:sz w:val="21"/>
          <w:szCs w:val="21"/>
          <w:highlight w:val="none"/>
          <w:lang w:bidi="ar"/>
        </w:rPr>
      </w:pPr>
      <w:r>
        <w:rPr>
          <w:rFonts w:hint="eastAsia"/>
          <w:color w:val="auto"/>
          <w:sz w:val="21"/>
          <w:szCs w:val="21"/>
          <w:highlight w:val="none"/>
          <w:lang w:bidi="ar"/>
        </w:rPr>
        <w:t>（5）不同供应商的响应文件相互混装。</w:t>
      </w:r>
    </w:p>
    <w:p w14:paraId="24F9161B">
      <w:pPr>
        <w:widowControl/>
        <w:adjustRightInd w:val="0"/>
        <w:snapToGrid w:val="0"/>
        <w:spacing w:line="288" w:lineRule="auto"/>
        <w:ind w:firstLine="398" w:firstLineChars="200"/>
        <w:jc w:val="left"/>
        <w:rPr>
          <w:b/>
          <w:color w:val="auto"/>
          <w:spacing w:val="-6"/>
          <w:sz w:val="21"/>
          <w:szCs w:val="21"/>
          <w:highlight w:val="none"/>
        </w:rPr>
      </w:pPr>
      <w:r>
        <w:rPr>
          <w:rFonts w:hint="eastAsia"/>
          <w:b/>
          <w:color w:val="auto"/>
          <w:spacing w:val="-6"/>
          <w:sz w:val="21"/>
          <w:szCs w:val="21"/>
          <w:highlight w:val="none"/>
        </w:rPr>
        <w:t>6.参与同一个采购包（标项）的供应商存在下列情形之一的，其响应文件无效：</w:t>
      </w:r>
    </w:p>
    <w:p w14:paraId="0DAD2CA1">
      <w:pPr>
        <w:widowControl/>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rPr>
        <w:t>（1）不同供应商的电子响应文件上传计算机的网卡MAC地址、CPU序列号或硬盘序列号等硬件信息相同的；</w:t>
      </w:r>
    </w:p>
    <w:p w14:paraId="2EE81AA7">
      <w:pPr>
        <w:widowControl/>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rPr>
        <w:t>（2）上传的电子响应文件若出现使用本项目其他响应供应商的数字证书加密的，或者加盖本项目其他响应供应商的电子印章的；</w:t>
      </w:r>
    </w:p>
    <w:p w14:paraId="2F90278F">
      <w:pPr>
        <w:widowControl/>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rPr>
        <w:t>（3）不同供应商的响应文件的内容存在三处（含）以上错误一致，且无法合理解释的；</w:t>
      </w:r>
    </w:p>
    <w:p w14:paraId="57A41CC9">
      <w:pPr>
        <w:adjustRightInd w:val="0"/>
        <w:snapToGrid w:val="0"/>
        <w:spacing w:line="288" w:lineRule="auto"/>
        <w:ind w:firstLine="396" w:firstLineChars="200"/>
        <w:rPr>
          <w:color w:val="auto"/>
          <w:sz w:val="21"/>
          <w:szCs w:val="21"/>
          <w:highlight w:val="none"/>
        </w:rPr>
      </w:pPr>
      <w:r>
        <w:rPr>
          <w:rFonts w:hint="eastAsia"/>
          <w:color w:val="auto"/>
          <w:spacing w:val="-6"/>
          <w:sz w:val="21"/>
          <w:szCs w:val="21"/>
          <w:highlight w:val="none"/>
        </w:rPr>
        <w:t>（4）不同供应商联系人为同一人或不同联系人的联系电话一致，且无法合理解释的。</w:t>
      </w:r>
    </w:p>
    <w:p w14:paraId="7516BD71">
      <w:pPr>
        <w:adjustRightInd w:val="0"/>
        <w:snapToGrid w:val="0"/>
        <w:spacing w:line="288" w:lineRule="auto"/>
        <w:jc w:val="center"/>
        <w:rPr>
          <w:b/>
          <w:bCs/>
          <w:color w:val="auto"/>
          <w:sz w:val="21"/>
          <w:szCs w:val="21"/>
          <w:highlight w:val="none"/>
        </w:rPr>
      </w:pPr>
      <w:r>
        <w:rPr>
          <w:rFonts w:hint="eastAsia"/>
          <w:color w:val="auto"/>
          <w:sz w:val="21"/>
          <w:szCs w:val="21"/>
          <w:highlight w:val="none"/>
          <w:lang w:bidi="ar"/>
        </w:rPr>
        <w:br w:type="page"/>
      </w:r>
      <w:bookmarkStart w:id="86" w:name="_Toc1084"/>
      <w:bookmarkStart w:id="87" w:name="_Toc3984"/>
      <w:bookmarkStart w:id="88" w:name="_Toc8287"/>
      <w:r>
        <w:rPr>
          <w:rFonts w:hint="eastAsia"/>
          <w:b/>
          <w:bCs/>
          <w:color w:val="auto"/>
          <w:sz w:val="21"/>
          <w:szCs w:val="21"/>
          <w:highlight w:val="none"/>
          <w:lang w:bidi="ar"/>
        </w:rPr>
        <w:t>五、响应文件开启</w:t>
      </w:r>
      <w:bookmarkEnd w:id="86"/>
      <w:bookmarkEnd w:id="87"/>
      <w:bookmarkEnd w:id="88"/>
    </w:p>
    <w:p w14:paraId="692CA778">
      <w:pPr>
        <w:autoSpaceDE w:val="0"/>
        <w:autoSpaceDN w:val="0"/>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采购代理机构按照磋商文件规定的时间通过电子交易平台组织开启，所有供应商均应当准时在线参加。供应商不足3家的，不得开启。</w:t>
      </w:r>
    </w:p>
    <w:p w14:paraId="0573D1B4">
      <w:pPr>
        <w:autoSpaceDE w:val="0"/>
        <w:autoSpaceDN w:val="0"/>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开启时，电子交易平台按开启时间自动提取所有响应文件。采购人或代理机构依托电子交易平台发起开始解密指令，供应商按照平台提示和磋商文件的规定在半小时内完成在线解密。</w:t>
      </w:r>
    </w:p>
    <w:p w14:paraId="4E7C33CC">
      <w:pP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lang w:bidi="ar"/>
        </w:rPr>
        <w:t>响应文件未按时解密，供应商提供了备份响应文件的，以备份响应文件作为依据，否则视为响应文件撤回。响应文件已按时解密的，备份响应文件自动失效。</w:t>
      </w:r>
    </w:p>
    <w:p w14:paraId="5A8D2734">
      <w:pPr>
        <w:adjustRightInd w:val="0"/>
        <w:snapToGrid w:val="0"/>
        <w:spacing w:line="288" w:lineRule="auto"/>
        <w:ind w:firstLine="398" w:firstLineChars="200"/>
        <w:rPr>
          <w:b/>
          <w:bCs/>
          <w:color w:val="auto"/>
          <w:spacing w:val="-6"/>
          <w:sz w:val="21"/>
          <w:szCs w:val="21"/>
          <w:highlight w:val="none"/>
        </w:rPr>
      </w:pPr>
      <w:r>
        <w:rPr>
          <w:rFonts w:hint="eastAsia"/>
          <w:b/>
          <w:bCs/>
          <w:color w:val="auto"/>
          <w:spacing w:val="-6"/>
          <w:sz w:val="21"/>
          <w:szCs w:val="21"/>
          <w:highlight w:val="none"/>
          <w:lang w:bidi="ar"/>
        </w:rPr>
        <w:t xml:space="preserve"> </w:t>
      </w:r>
    </w:p>
    <w:p w14:paraId="13BBBF68">
      <w:pPr>
        <w:adjustRightInd w:val="0"/>
        <w:snapToGrid w:val="0"/>
        <w:spacing w:line="288" w:lineRule="auto"/>
        <w:ind w:firstLine="398" w:firstLineChars="200"/>
        <w:rPr>
          <w:b/>
          <w:bCs/>
          <w:color w:val="auto"/>
          <w:spacing w:val="-6"/>
          <w:sz w:val="21"/>
          <w:szCs w:val="21"/>
          <w:highlight w:val="none"/>
        </w:rPr>
      </w:pPr>
      <w:r>
        <w:rPr>
          <w:rFonts w:hint="eastAsia"/>
          <w:b/>
          <w:bCs/>
          <w:color w:val="auto"/>
          <w:spacing w:val="-6"/>
          <w:sz w:val="21"/>
          <w:szCs w:val="21"/>
          <w:highlight w:val="none"/>
          <w:lang w:bidi="ar"/>
        </w:rPr>
        <w:t>特别说明：如遇政府采购云平台电子化开启或评审程序调整的，按调整后程序执行。</w:t>
      </w:r>
    </w:p>
    <w:p w14:paraId="1672462D">
      <w:pPr>
        <w:adjustRightInd w:val="0"/>
        <w:snapToGrid w:val="0"/>
        <w:spacing w:line="288" w:lineRule="auto"/>
        <w:jc w:val="center"/>
        <w:rPr>
          <w:b/>
          <w:bCs/>
          <w:color w:val="auto"/>
          <w:sz w:val="21"/>
          <w:szCs w:val="21"/>
          <w:highlight w:val="none"/>
        </w:rPr>
      </w:pPr>
      <w:r>
        <w:rPr>
          <w:rFonts w:hint="eastAsia"/>
          <w:color w:val="auto"/>
          <w:sz w:val="21"/>
          <w:szCs w:val="21"/>
          <w:highlight w:val="none"/>
          <w:lang w:bidi="ar"/>
        </w:rPr>
        <w:br w:type="page"/>
      </w:r>
      <w:bookmarkStart w:id="89" w:name="_Toc23435"/>
      <w:bookmarkStart w:id="90" w:name="_Toc5170"/>
      <w:bookmarkStart w:id="91" w:name="_Toc15451"/>
      <w:r>
        <w:rPr>
          <w:rFonts w:hint="eastAsia"/>
          <w:b/>
          <w:bCs/>
          <w:color w:val="auto"/>
          <w:sz w:val="21"/>
          <w:szCs w:val="21"/>
          <w:highlight w:val="none"/>
          <w:lang w:bidi="ar"/>
        </w:rPr>
        <w:t>六、评审程序</w:t>
      </w:r>
      <w:bookmarkEnd w:id="89"/>
      <w:bookmarkEnd w:id="90"/>
      <w:bookmarkEnd w:id="91"/>
    </w:p>
    <w:p w14:paraId="2F0564EB">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磋商小组成员应当按照客观、公正、审慎的原则，根据磋商文件规定的评审程序、评审方法和评审标准进行独立评审。磋商文件内容违反国家有关强制性规定的，磋商小组应当停止评审并向采购人或者采购代理机构说明情况。</w:t>
      </w:r>
    </w:p>
    <w:p w14:paraId="17DD4EE9">
      <w:pPr>
        <w:widowControl/>
        <w:adjustRightInd w:val="0"/>
        <w:snapToGrid w:val="0"/>
        <w:spacing w:line="288" w:lineRule="auto"/>
        <w:ind w:firstLine="422" w:firstLineChars="200"/>
        <w:jc w:val="left"/>
        <w:rPr>
          <w:b/>
          <w:color w:val="auto"/>
          <w:sz w:val="21"/>
          <w:szCs w:val="21"/>
          <w:highlight w:val="none"/>
          <w:lang w:bidi="ar"/>
        </w:rPr>
      </w:pPr>
      <w:r>
        <w:rPr>
          <w:rFonts w:hint="eastAsia"/>
          <w:b/>
          <w:color w:val="auto"/>
          <w:sz w:val="21"/>
          <w:szCs w:val="21"/>
          <w:highlight w:val="none"/>
          <w:lang w:bidi="ar"/>
        </w:rPr>
        <w:t>（一）磋商小组的组成</w:t>
      </w:r>
    </w:p>
    <w:p w14:paraId="7886F209">
      <w:pPr>
        <w:adjustRightInd w:val="0"/>
        <w:snapToGrid w:val="0"/>
        <w:spacing w:line="288" w:lineRule="auto"/>
        <w:ind w:firstLine="420"/>
        <w:rPr>
          <w:color w:val="auto"/>
          <w:kern w:val="0"/>
          <w:sz w:val="21"/>
          <w:szCs w:val="21"/>
          <w:highlight w:val="none"/>
          <w:lang w:bidi="ar"/>
        </w:rPr>
      </w:pPr>
      <w:r>
        <w:rPr>
          <w:rFonts w:hint="eastAsia"/>
          <w:color w:val="auto"/>
          <w:kern w:val="0"/>
          <w:sz w:val="21"/>
          <w:szCs w:val="21"/>
          <w:highlight w:val="none"/>
          <w:lang w:bidi="ar"/>
        </w:rPr>
        <w:t>磋商小组由采购人代表和评审专家共</w:t>
      </w:r>
      <w:r>
        <w:rPr>
          <w:rFonts w:hint="eastAsia"/>
          <w:color w:val="auto"/>
          <w:kern w:val="0"/>
          <w:sz w:val="21"/>
          <w:szCs w:val="21"/>
          <w:highlight w:val="none"/>
          <w:lang w:val="en-US" w:eastAsia="zh-CN" w:bidi="ar"/>
        </w:rPr>
        <w:t>3</w:t>
      </w:r>
      <w:r>
        <w:rPr>
          <w:rFonts w:hint="eastAsia"/>
          <w:color w:val="auto"/>
          <w:kern w:val="0"/>
          <w:sz w:val="21"/>
          <w:szCs w:val="21"/>
          <w:highlight w:val="none"/>
          <w:lang w:bidi="ar"/>
        </w:rPr>
        <w:t>人及以上单数组成，其中评审专家人数不得少于磋商小组成员总数的2/3。</w:t>
      </w:r>
    </w:p>
    <w:p w14:paraId="43D5050F">
      <w:pPr>
        <w:widowControl/>
        <w:adjustRightInd w:val="0"/>
        <w:snapToGrid w:val="0"/>
        <w:spacing w:line="288" w:lineRule="auto"/>
        <w:ind w:firstLine="422" w:firstLineChars="200"/>
        <w:jc w:val="left"/>
        <w:rPr>
          <w:b/>
          <w:color w:val="auto"/>
          <w:sz w:val="21"/>
          <w:szCs w:val="21"/>
          <w:highlight w:val="none"/>
        </w:rPr>
      </w:pPr>
      <w:r>
        <w:rPr>
          <w:rFonts w:hint="eastAsia"/>
          <w:b/>
          <w:color w:val="auto"/>
          <w:sz w:val="21"/>
          <w:szCs w:val="21"/>
          <w:highlight w:val="none"/>
          <w:lang w:bidi="ar"/>
        </w:rPr>
        <w:t>（二）资格审查</w:t>
      </w:r>
    </w:p>
    <w:p w14:paraId="6AD7F901">
      <w:pPr>
        <w:adjustRightInd w:val="0"/>
        <w:snapToGrid w:val="0"/>
        <w:spacing w:line="288" w:lineRule="auto"/>
        <w:ind w:firstLine="420" w:firstLineChars="200"/>
        <w:rPr>
          <w:color w:val="auto"/>
          <w:sz w:val="21"/>
          <w:szCs w:val="21"/>
          <w:highlight w:val="none"/>
        </w:rPr>
      </w:pPr>
      <w:r>
        <w:rPr>
          <w:rFonts w:hint="eastAsia"/>
          <w:color w:val="auto"/>
          <w:kern w:val="0"/>
          <w:sz w:val="21"/>
          <w:szCs w:val="21"/>
          <w:highlight w:val="none"/>
          <w:lang w:bidi="ar"/>
        </w:rPr>
        <w:t>响应文件开启后，</w:t>
      </w:r>
      <w:r>
        <w:rPr>
          <w:rFonts w:hint="eastAsia"/>
          <w:color w:val="auto"/>
          <w:sz w:val="21"/>
          <w:szCs w:val="21"/>
          <w:highlight w:val="none"/>
          <w:lang w:bidi="ar"/>
        </w:rPr>
        <w:t>磋商小组依据法律法规和磋商文件的规定，对供应商的资格条件进行审查。</w:t>
      </w:r>
    </w:p>
    <w:p w14:paraId="4770C00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对未通过资格审查的供应商，磋商小组告知其未通过的原因。</w:t>
      </w:r>
    </w:p>
    <w:p w14:paraId="09B5341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通过资格审查的供应商不足3家的，不再评标。</w:t>
      </w:r>
    </w:p>
    <w:p w14:paraId="70F66030">
      <w:pP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lang w:bidi="ar"/>
        </w:rPr>
        <w:t>（三）信用信息查询</w:t>
      </w:r>
    </w:p>
    <w:p w14:paraId="34EE35B6">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根据财库[2016]125号《关于在政府采购活动中查询及使用信用记录有关问题的通知》要求，采购代理机构会对供应商信用记录进行查询并甄别。信用信息查询的截止时点：响应截止时间；</w:t>
      </w:r>
    </w:p>
    <w:p w14:paraId="7A4C22D0">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（1）查询渠道：“信用中国”（www.creditchina.gov.cn）、“中国政府采购网”（www.ccgp.gov.cn）。</w:t>
      </w:r>
    </w:p>
    <w:p w14:paraId="0387B589">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（2）</w:t>
      </w:r>
      <w:r>
        <w:rPr>
          <w:rFonts w:hint="eastAsia"/>
          <w:color w:val="auto"/>
          <w:sz w:val="21"/>
          <w:szCs w:val="21"/>
          <w:highlight w:val="none"/>
        </w:rPr>
        <w:t>信用信息查询记录和证据留存具体方式：现场查询的供应商的信用记录、查询结果经确认后将与采购文件一起存档</w:t>
      </w:r>
      <w:r>
        <w:rPr>
          <w:rFonts w:hint="eastAsia"/>
          <w:color w:val="auto"/>
          <w:kern w:val="0"/>
          <w:sz w:val="21"/>
          <w:szCs w:val="21"/>
          <w:highlight w:val="none"/>
          <w:lang w:bidi="ar"/>
        </w:rPr>
        <w:t>。</w:t>
      </w:r>
    </w:p>
    <w:p w14:paraId="1DBF3BB0">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（3）信用信息的使用规则：供应商被列入失信被执行人、重大税收违法案件当事人名单、政府采购严重违法失信行为记录名单的，拒绝其参与政府采购活动。</w:t>
      </w:r>
    </w:p>
    <w:p w14:paraId="0905BD12">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DC2B244">
      <w:pPr>
        <w:adjustRightInd w:val="0"/>
        <w:snapToGrid w:val="0"/>
        <w:spacing w:line="288" w:lineRule="auto"/>
        <w:ind w:firstLine="426" w:firstLineChars="202"/>
        <w:rPr>
          <w:b/>
          <w:color w:val="auto"/>
          <w:kern w:val="0"/>
          <w:sz w:val="21"/>
          <w:szCs w:val="21"/>
          <w:highlight w:val="none"/>
        </w:rPr>
      </w:pPr>
      <w:r>
        <w:rPr>
          <w:rFonts w:hint="eastAsia"/>
          <w:b/>
          <w:color w:val="auto"/>
          <w:kern w:val="0"/>
          <w:sz w:val="21"/>
          <w:szCs w:val="21"/>
          <w:highlight w:val="none"/>
          <w:lang w:bidi="ar"/>
        </w:rPr>
        <w:t>（四）符合性审查</w:t>
      </w:r>
    </w:p>
    <w:p w14:paraId="2AEAA484">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磋商小组对符合资格的供应商的响应文件进行符合性审查，以确定其是否满足磋商文件的符合性审查要求。</w:t>
      </w:r>
    </w:p>
    <w:p w14:paraId="508C2365">
      <w:pPr>
        <w:adjustRightInd w:val="0"/>
        <w:snapToGrid w:val="0"/>
        <w:spacing w:line="288" w:lineRule="auto"/>
        <w:ind w:firstLine="426" w:firstLineChars="202"/>
        <w:rPr>
          <w:b/>
          <w:bCs/>
          <w:color w:val="auto"/>
          <w:kern w:val="0"/>
          <w:sz w:val="21"/>
          <w:szCs w:val="21"/>
          <w:highlight w:val="none"/>
        </w:rPr>
      </w:pPr>
      <w:r>
        <w:rPr>
          <w:rFonts w:hint="eastAsia"/>
          <w:b/>
          <w:bCs/>
          <w:color w:val="auto"/>
          <w:kern w:val="0"/>
          <w:sz w:val="21"/>
          <w:szCs w:val="21"/>
          <w:highlight w:val="none"/>
          <w:lang w:bidi="ar"/>
        </w:rPr>
        <w:t>（五）磋商</w:t>
      </w:r>
    </w:p>
    <w:p w14:paraId="15E61735">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磋商小组所有成员应当集中与单一供应商分别进行磋商，并给予所有参加磋商的供应商平等的磋商机会。</w:t>
      </w:r>
    </w:p>
    <w:p w14:paraId="52D78E04">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在磋商过程中，磋商小组可以根据磋商文件和磋商情况实质性变动采购需求中的技术、服务要求以及合同草案条款，但不得变动磋商文件中的其他内容。实质性变动的内容，须经采购人代表确认。</w:t>
      </w:r>
    </w:p>
    <w:p w14:paraId="30CA08B5">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对磋商文件作出的实质性变动是磋商文件的有效组成部分，磋商小组通过政府采购云平台以书面形式同时通知所有参加磋商的供应商。</w:t>
      </w:r>
    </w:p>
    <w:p w14:paraId="5B87C6B4">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供应商应当按照磋商文件的变动情况和磋商小组的要求通过政府采购云平台提交磋商记录，并由其法定代表人或授权代表签名或者加盖公章。</w:t>
      </w:r>
    </w:p>
    <w:p w14:paraId="7F0A1626">
      <w:pPr>
        <w:adjustRightInd w:val="0"/>
        <w:snapToGrid w:val="0"/>
        <w:spacing w:line="288" w:lineRule="auto"/>
        <w:ind w:firstLine="426" w:firstLineChars="202"/>
        <w:rPr>
          <w:b/>
          <w:bCs/>
          <w:color w:val="auto"/>
          <w:kern w:val="0"/>
          <w:sz w:val="21"/>
          <w:szCs w:val="21"/>
          <w:highlight w:val="none"/>
        </w:rPr>
      </w:pPr>
      <w:r>
        <w:rPr>
          <w:rFonts w:hint="eastAsia"/>
          <w:b/>
          <w:bCs/>
          <w:color w:val="auto"/>
          <w:kern w:val="0"/>
          <w:sz w:val="21"/>
          <w:szCs w:val="21"/>
          <w:highlight w:val="none"/>
          <w:lang w:bidi="ar"/>
        </w:rPr>
        <w:t>（六）最后报价</w:t>
      </w:r>
    </w:p>
    <w:p w14:paraId="49909D27">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磋商文件能够详细列明采购标的的技术、服务要求的，磋商结束后，磋商小组应当要求所有实质性响应的供应商在规定时间内提交最后报价，提交最后报价的供应商不得少于3家。</w:t>
      </w:r>
    </w:p>
    <w:p w14:paraId="6A830970">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B16A617">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最后报价是供应商响应文件的有效组成部分。符合《政府采购竞争性磋商采购方式管理暂行办法》（财库〔2014〕214号）第三条第一、四项情形的，提交最后报价的供应商可以为2家。</w:t>
      </w:r>
    </w:p>
    <w:p w14:paraId="4B875358">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最后报价的修正原则：</w:t>
      </w:r>
    </w:p>
    <w:p w14:paraId="51D3B712">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磋商小组对响应文件的最后报价进行审核，对发现计算、书写等错误的，按以下原则进行修正：</w:t>
      </w:r>
    </w:p>
    <w:p w14:paraId="1DF10942">
      <w:pPr>
        <w:adjustRightInd w:val="0"/>
        <w:snapToGrid w:val="0"/>
        <w:spacing w:line="288" w:lineRule="auto"/>
        <w:ind w:firstLine="420" w:firstLineChars="200"/>
        <w:rPr>
          <w:color w:val="auto"/>
          <w:kern w:val="0"/>
          <w:sz w:val="21"/>
          <w:szCs w:val="21"/>
          <w:highlight w:val="none"/>
          <w:lang w:bidi="ar"/>
        </w:rPr>
      </w:pPr>
      <w:r>
        <w:rPr>
          <w:rFonts w:hint="eastAsia"/>
          <w:color w:val="auto"/>
          <w:kern w:val="0"/>
          <w:sz w:val="21"/>
          <w:szCs w:val="21"/>
          <w:highlight w:val="none"/>
          <w:lang w:bidi="ar"/>
        </w:rPr>
        <w:t>1.《最后报价一览表》与响应文件中响应内容不一致的，以《最后报价一览表》为准。</w:t>
      </w:r>
    </w:p>
    <w:p w14:paraId="4991A2CC">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2.大写金额和小写金额不一致的，以大写金额为准。</w:t>
      </w:r>
    </w:p>
    <w:p w14:paraId="029CFEDF">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3.单价金额小数点或者百分比有明显错位的，以《最后报价一览表》的总价为准，并修改单价。</w:t>
      </w:r>
    </w:p>
    <w:p w14:paraId="6425D3B2">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4.总价金额与按单价汇总金额不一致的，以单价金额计算结果为准。</w:t>
      </w:r>
    </w:p>
    <w:p w14:paraId="249292AD">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5.同时出现两种以上不一致的，按照前款规定的顺序修正。</w:t>
      </w:r>
    </w:p>
    <w:p w14:paraId="58B62F49">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6.以修正后的总价作为最后报价。</w:t>
      </w:r>
    </w:p>
    <w:p w14:paraId="1C35C20E">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▲供应商对根据修正原则修正后的最后报价不确认的，响应无效。</w:t>
      </w:r>
    </w:p>
    <w:p w14:paraId="7768DFFF">
      <w:pPr>
        <w:adjustRightInd w:val="0"/>
        <w:snapToGrid w:val="0"/>
        <w:spacing w:line="288" w:lineRule="auto"/>
        <w:ind w:firstLine="426" w:firstLineChars="202"/>
        <w:rPr>
          <w:b/>
          <w:color w:val="auto"/>
          <w:kern w:val="0"/>
          <w:sz w:val="21"/>
          <w:szCs w:val="21"/>
          <w:highlight w:val="none"/>
        </w:rPr>
      </w:pPr>
      <w:r>
        <w:rPr>
          <w:rFonts w:hint="eastAsia"/>
          <w:b/>
          <w:color w:val="auto"/>
          <w:kern w:val="0"/>
          <w:sz w:val="21"/>
          <w:szCs w:val="21"/>
          <w:highlight w:val="none"/>
          <w:lang w:bidi="ar"/>
        </w:rPr>
        <w:t>（七）综合评分</w:t>
      </w:r>
    </w:p>
    <w:p w14:paraId="13A2497E">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经磋商确定最终采购需求和提交最后报价的供应商后，由磋商小组采用</w:t>
      </w:r>
      <w:r>
        <w:rPr>
          <w:rFonts w:hint="eastAsia"/>
          <w:b/>
          <w:bCs/>
          <w:color w:val="auto"/>
          <w:kern w:val="0"/>
          <w:sz w:val="21"/>
          <w:szCs w:val="21"/>
          <w:highlight w:val="none"/>
          <w:lang w:bidi="ar"/>
        </w:rPr>
        <w:t>综合评分法</w:t>
      </w:r>
      <w:r>
        <w:rPr>
          <w:rFonts w:hint="eastAsia"/>
          <w:color w:val="auto"/>
          <w:kern w:val="0"/>
          <w:sz w:val="21"/>
          <w:szCs w:val="21"/>
          <w:highlight w:val="none"/>
          <w:lang w:bidi="ar"/>
        </w:rPr>
        <w:t>对提交最后报价的供应商的响应文件和最后报价进行综合评分。</w:t>
      </w:r>
    </w:p>
    <w:p w14:paraId="58B3BCE8">
      <w:pPr>
        <w:adjustRightInd w:val="0"/>
        <w:snapToGrid w:val="0"/>
        <w:spacing w:line="288" w:lineRule="auto"/>
        <w:ind w:firstLine="426" w:firstLineChars="202"/>
        <w:rPr>
          <w:b/>
          <w:color w:val="auto"/>
          <w:kern w:val="0"/>
          <w:sz w:val="21"/>
          <w:szCs w:val="21"/>
          <w:highlight w:val="none"/>
        </w:rPr>
      </w:pPr>
      <w:r>
        <w:rPr>
          <w:rFonts w:hint="eastAsia"/>
          <w:b/>
          <w:color w:val="auto"/>
          <w:kern w:val="0"/>
          <w:sz w:val="21"/>
          <w:szCs w:val="21"/>
          <w:highlight w:val="none"/>
          <w:lang w:bidi="ar"/>
        </w:rPr>
        <w:t>（八）汇总商务技术得分</w:t>
      </w:r>
    </w:p>
    <w:p w14:paraId="48E7E7E1">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磋商小组各成员独立对提交最后报价的供应商的商务技术文件进行评价，并汇总商务技术得分情况。</w:t>
      </w:r>
    </w:p>
    <w:p w14:paraId="672F368B">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B475068">
      <w:pPr>
        <w:adjustRightInd w:val="0"/>
        <w:snapToGrid w:val="0"/>
        <w:spacing w:line="288" w:lineRule="auto"/>
        <w:ind w:firstLine="426" w:firstLineChars="202"/>
        <w:rPr>
          <w:b/>
          <w:color w:val="auto"/>
          <w:kern w:val="0"/>
          <w:sz w:val="21"/>
          <w:szCs w:val="21"/>
          <w:highlight w:val="none"/>
        </w:rPr>
      </w:pPr>
      <w:r>
        <w:rPr>
          <w:rFonts w:hint="eastAsia"/>
          <w:b/>
          <w:color w:val="auto"/>
          <w:kern w:val="0"/>
          <w:sz w:val="21"/>
          <w:szCs w:val="21"/>
          <w:highlight w:val="none"/>
          <w:lang w:bidi="ar"/>
        </w:rPr>
        <w:t>（九）排序与推荐</w:t>
      </w:r>
    </w:p>
    <w:p w14:paraId="06E1D3AB">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小组应当根据综合评分情况，按照评审得分由高到低顺序推荐3名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由磋商小组举手表决，按少数服从多数原则最终确定排名顺序。</w:t>
      </w:r>
    </w:p>
    <w:p w14:paraId="042220BD">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提供相同品牌产品且通过资格审查、符合性审查的不同供应商参加同一合同项下磋商的，按一家供应商计算，评审后得分最高的同品牌供应商获得成交供应商推荐资格；评审得分相同的，由采磋商小组按照磋商文件规定的方式确定一个供应商获得成交供应商推荐资格，磋商文件未规定的采取随机抽取方式确定，其他同品牌供应商不作为成交候选人。</w:t>
      </w:r>
    </w:p>
    <w:p w14:paraId="0FE9227C">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非单一产品采购项目，采购人应当根据采购项目技术构成、产品价格比重等合理确定核心产品，并在磋商文件中载明。多家供应商提供的核心产品品牌相同的，按前款规定处理。</w:t>
      </w:r>
    </w:p>
    <w:p w14:paraId="2C4E682F">
      <w:pPr>
        <w:adjustRightInd w:val="0"/>
        <w:snapToGrid w:val="0"/>
        <w:spacing w:line="288" w:lineRule="auto"/>
        <w:ind w:firstLine="426" w:firstLineChars="202"/>
        <w:rPr>
          <w:b/>
          <w:color w:val="auto"/>
          <w:kern w:val="0"/>
          <w:sz w:val="21"/>
          <w:szCs w:val="21"/>
          <w:highlight w:val="none"/>
        </w:rPr>
      </w:pPr>
      <w:r>
        <w:rPr>
          <w:rFonts w:hint="eastAsia"/>
          <w:b/>
          <w:color w:val="auto"/>
          <w:kern w:val="0"/>
          <w:sz w:val="21"/>
          <w:szCs w:val="21"/>
          <w:highlight w:val="none"/>
          <w:lang w:bidi="ar"/>
        </w:rPr>
        <w:t>（十）编写评标报告</w:t>
      </w:r>
    </w:p>
    <w:p w14:paraId="60C595DC">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3A567993">
      <w:pPr>
        <w:widowControl/>
        <w:adjustRightInd w:val="0"/>
        <w:snapToGrid w:val="0"/>
        <w:spacing w:line="288" w:lineRule="auto"/>
        <w:jc w:val="center"/>
        <w:rPr>
          <w:b/>
          <w:color w:val="auto"/>
          <w:spacing w:val="-6"/>
          <w:sz w:val="21"/>
          <w:szCs w:val="21"/>
          <w:highlight w:val="none"/>
        </w:rPr>
      </w:pPr>
      <w:r>
        <w:rPr>
          <w:rFonts w:hint="eastAsia"/>
          <w:b/>
          <w:color w:val="auto"/>
          <w:spacing w:val="-6"/>
          <w:sz w:val="21"/>
          <w:szCs w:val="21"/>
          <w:highlight w:val="none"/>
          <w:lang w:bidi="ar"/>
        </w:rPr>
        <w:br w:type="page"/>
      </w:r>
      <w:bookmarkStart w:id="92" w:name="_Toc25991"/>
      <w:bookmarkStart w:id="93" w:name="_Toc23275"/>
      <w:bookmarkStart w:id="94" w:name="_Toc10268"/>
      <w:r>
        <w:rPr>
          <w:rFonts w:hint="eastAsia"/>
          <w:b/>
          <w:color w:val="auto"/>
          <w:spacing w:val="-6"/>
          <w:sz w:val="21"/>
          <w:szCs w:val="21"/>
          <w:highlight w:val="none"/>
          <w:lang w:bidi="ar"/>
        </w:rPr>
        <w:t>七、成交与合同</w:t>
      </w:r>
      <w:bookmarkEnd w:id="92"/>
      <w:bookmarkEnd w:id="93"/>
      <w:bookmarkEnd w:id="94"/>
    </w:p>
    <w:p w14:paraId="5AA51FF4">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（一）成交</w:t>
      </w:r>
    </w:p>
    <w:p w14:paraId="54F1796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C8B472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2.采购代理机构在成交供应商确定后2个工作日内公告成交结果，同时向成交供应商发出成交通知书，并将磋商文件随成交结果同时公告。</w:t>
      </w:r>
    </w:p>
    <w:p w14:paraId="1CB7E5AB">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lang w:bidi="ar"/>
        </w:rPr>
        <w:t>3.评审结果公示媒体：浙江政府采购网（http://zfcg.czt.zj.gov.cn）。</w:t>
      </w:r>
    </w:p>
    <w:p w14:paraId="0AA84655">
      <w:pPr>
        <w:adjustRightInd w:val="0"/>
        <w:snapToGrid w:val="0"/>
        <w:spacing w:line="288" w:lineRule="auto"/>
        <w:jc w:val="left"/>
        <w:rPr>
          <w:b/>
          <w:bCs/>
          <w:color w:val="auto"/>
          <w:sz w:val="21"/>
          <w:szCs w:val="21"/>
          <w:highlight w:val="none"/>
        </w:rPr>
      </w:pPr>
      <w:r>
        <w:rPr>
          <w:rFonts w:hint="eastAsia"/>
          <w:b/>
          <w:bCs/>
          <w:color w:val="auto"/>
          <w:sz w:val="21"/>
          <w:szCs w:val="21"/>
          <w:highlight w:val="none"/>
          <w:lang w:bidi="ar"/>
        </w:rPr>
        <w:t>（二）合同授予</w:t>
      </w:r>
    </w:p>
    <w:p w14:paraId="068701C1">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4D994F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509A43B">
      <w:pPr>
        <w:adjustRightInd w:val="0"/>
        <w:snapToGrid w:val="0"/>
        <w:spacing w:line="288" w:lineRule="auto"/>
        <w:rPr>
          <w:color w:val="auto"/>
          <w:sz w:val="21"/>
          <w:szCs w:val="21"/>
          <w:highlight w:val="none"/>
        </w:rPr>
      </w:pPr>
      <w:r>
        <w:rPr>
          <w:rFonts w:hint="eastAsia"/>
          <w:color w:val="auto"/>
          <w:sz w:val="21"/>
          <w:szCs w:val="21"/>
          <w:highlight w:val="none"/>
          <w:lang w:bidi="ar"/>
        </w:rPr>
        <w:t xml:space="preserve"> </w:t>
      </w:r>
    </w:p>
    <w:p w14:paraId="4B46B81A">
      <w:pPr>
        <w:adjustRightInd w:val="0"/>
        <w:snapToGrid w:val="0"/>
        <w:spacing w:line="288" w:lineRule="auto"/>
        <w:jc w:val="center"/>
        <w:outlineLvl w:val="1"/>
        <w:rPr>
          <w:b/>
          <w:color w:val="auto"/>
          <w:spacing w:val="-6"/>
          <w:sz w:val="21"/>
          <w:szCs w:val="21"/>
          <w:highlight w:val="none"/>
        </w:rPr>
      </w:pPr>
      <w:bookmarkStart w:id="95" w:name="_Toc28309"/>
      <w:bookmarkStart w:id="96" w:name="_Toc14986"/>
      <w:bookmarkStart w:id="97" w:name="_Toc30128"/>
      <w:r>
        <w:rPr>
          <w:rFonts w:hint="eastAsia"/>
          <w:b/>
          <w:color w:val="auto"/>
          <w:spacing w:val="-6"/>
          <w:sz w:val="21"/>
          <w:szCs w:val="21"/>
          <w:highlight w:val="none"/>
          <w:lang w:bidi="ar"/>
        </w:rPr>
        <w:t>八、验  收</w:t>
      </w:r>
      <w:bookmarkEnd w:id="95"/>
      <w:bookmarkEnd w:id="96"/>
      <w:bookmarkEnd w:id="97"/>
    </w:p>
    <w:p w14:paraId="18CB0119">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01F03480">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采购人可以邀请参加本项目的其他供应商或者第三方机构参与验收。参与验收的供应商或者第三方机构的意见作为验收书的参考资料一并存档。</w:t>
      </w:r>
    </w:p>
    <w:p w14:paraId="2125251C">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4F5F0E">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1632E76">
      <w:pPr>
        <w:adjustRightInd w:val="0"/>
        <w:snapToGrid w:val="0"/>
        <w:spacing w:line="288" w:lineRule="auto"/>
        <w:rPr>
          <w:color w:val="auto"/>
          <w:sz w:val="21"/>
          <w:szCs w:val="21"/>
          <w:highlight w:val="none"/>
        </w:rPr>
      </w:pPr>
      <w:r>
        <w:rPr>
          <w:rFonts w:hint="eastAsia"/>
          <w:color w:val="auto"/>
          <w:sz w:val="21"/>
          <w:szCs w:val="21"/>
          <w:highlight w:val="none"/>
          <w:lang w:bidi="ar"/>
        </w:rPr>
        <w:t xml:space="preserve"> </w:t>
      </w:r>
    </w:p>
    <w:p w14:paraId="26FC32DA">
      <w:pPr>
        <w:adjustRightInd w:val="0"/>
        <w:snapToGrid w:val="0"/>
        <w:spacing w:line="288" w:lineRule="auto"/>
        <w:jc w:val="center"/>
        <w:outlineLvl w:val="1"/>
        <w:rPr>
          <w:b/>
          <w:bCs/>
          <w:color w:val="auto"/>
          <w:sz w:val="21"/>
          <w:szCs w:val="21"/>
          <w:highlight w:val="none"/>
        </w:rPr>
      </w:pPr>
      <w:bookmarkStart w:id="98" w:name="_Toc10913"/>
      <w:bookmarkStart w:id="99" w:name="_Toc14993"/>
      <w:bookmarkStart w:id="100" w:name="_Toc2819"/>
      <w:r>
        <w:rPr>
          <w:rFonts w:hint="eastAsia"/>
          <w:b/>
          <w:bCs/>
          <w:color w:val="auto"/>
          <w:sz w:val="21"/>
          <w:szCs w:val="21"/>
          <w:highlight w:val="none"/>
          <w:lang w:bidi="ar"/>
        </w:rPr>
        <w:t>九、可中止电子交易活动的情形</w:t>
      </w:r>
      <w:bookmarkEnd w:id="98"/>
      <w:bookmarkEnd w:id="99"/>
      <w:bookmarkEnd w:id="100"/>
    </w:p>
    <w:p w14:paraId="3C253E5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采购过程中出现以下情形，导致电子交易平台无法正常运行，或者无法保证电子交易的公平、公正和安全时，采购代理机构可中止电子交易活动。</w:t>
      </w:r>
    </w:p>
    <w:p w14:paraId="2CC60F2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1.电子交易平台发生故障而无法登录访问的；</w:t>
      </w:r>
    </w:p>
    <w:p w14:paraId="038FDDC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2.电子交易平台应用或数据库出现错误，不能进行正常操作的；</w:t>
      </w:r>
    </w:p>
    <w:p w14:paraId="75CE710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3.电子交易平台发现严重安全漏洞，有潜在泄密危险的；</w:t>
      </w:r>
    </w:p>
    <w:p w14:paraId="48745E7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4.病毒发作导致不能进行正常操作的；</w:t>
      </w:r>
    </w:p>
    <w:p w14:paraId="4F7FACF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5.其他无法保证电子交易的公平、公正和安全的情况。</w:t>
      </w:r>
    </w:p>
    <w:p w14:paraId="498035AF">
      <w:pPr>
        <w:spacing w:line="288" w:lineRule="auto"/>
        <w:ind w:firstLine="420" w:firstLineChars="200"/>
        <w:jc w:val="both"/>
        <w:rPr>
          <w:rFonts w:hint="eastAsia"/>
          <w:color w:val="auto"/>
          <w:sz w:val="21"/>
          <w:szCs w:val="21"/>
          <w:highlight w:val="none"/>
          <w:lang w:bidi="ar"/>
        </w:rPr>
        <w:sectPr>
          <w:footerReference r:id="rId9" w:type="first"/>
          <w:footerReference r:id="rId8" w:type="default"/>
          <w:pgSz w:w="11900" w:h="16840"/>
          <w:pgMar w:top="1247" w:right="1247" w:bottom="1247" w:left="1247" w:header="0" w:footer="692" w:gutter="0"/>
          <w:pgBorders>
            <w:top w:val="none" w:sz="0" w:space="0"/>
            <w:left w:val="none" w:sz="0" w:space="0"/>
            <w:bottom w:val="none" w:sz="0" w:space="0"/>
            <w:right w:val="none" w:sz="0" w:space="0"/>
          </w:pgBorders>
          <w:cols w:space="720" w:num="1"/>
          <w:titlePg/>
          <w:docGrid w:linePitch="326" w:charSpace="0"/>
        </w:sectPr>
      </w:pPr>
      <w:r>
        <w:rPr>
          <w:rFonts w:hint="eastAsia"/>
          <w:color w:val="auto"/>
          <w:sz w:val="21"/>
          <w:szCs w:val="21"/>
          <w:highlight w:val="none"/>
          <w:lang w:bidi="ar"/>
        </w:rPr>
        <w:t>出现前款规定情形，不影响采购公平、公正性的，采购代理机构可以待上述情形消除后继续组织电子交易活动；影响或可能影响采购公平、公正性的，应当重新采购。</w:t>
      </w:r>
      <w:bookmarkStart w:id="101" w:name="_Toc30075"/>
      <w:bookmarkStart w:id="102" w:name="_Toc11891"/>
      <w:bookmarkStart w:id="103" w:name="_Toc148"/>
      <w:bookmarkStart w:id="104" w:name="_Toc2552"/>
      <w:bookmarkStart w:id="105" w:name="_Toc17065"/>
      <w:bookmarkStart w:id="106" w:name="_Toc29975"/>
      <w:bookmarkStart w:id="107" w:name="_Toc566"/>
    </w:p>
    <w:p w14:paraId="2130C676">
      <w:pPr>
        <w:spacing w:line="288" w:lineRule="auto"/>
        <w:ind w:firstLine="643" w:firstLineChars="200"/>
        <w:jc w:val="center"/>
        <w:rPr>
          <w:b/>
          <w:bCs/>
          <w:color w:val="auto"/>
          <w:sz w:val="32"/>
          <w:szCs w:val="32"/>
          <w:highlight w:val="none"/>
        </w:rPr>
      </w:pPr>
      <w:r>
        <w:rPr>
          <w:rFonts w:hint="eastAsia"/>
          <w:b/>
          <w:bCs/>
          <w:color w:val="auto"/>
          <w:sz w:val="32"/>
          <w:szCs w:val="32"/>
          <w:highlight w:val="none"/>
        </w:rPr>
        <w:t>第四章  评审方法和评审标准</w:t>
      </w:r>
      <w:bookmarkEnd w:id="101"/>
      <w:bookmarkEnd w:id="102"/>
      <w:bookmarkEnd w:id="103"/>
      <w:bookmarkEnd w:id="104"/>
      <w:bookmarkEnd w:id="105"/>
      <w:bookmarkEnd w:id="106"/>
      <w:bookmarkEnd w:id="107"/>
    </w:p>
    <w:p w14:paraId="02B35B57">
      <w:pPr>
        <w:adjustRightInd w:val="0"/>
        <w:snapToGrid w:val="0"/>
        <w:spacing w:line="288" w:lineRule="auto"/>
        <w:outlineLvl w:val="1"/>
        <w:rPr>
          <w:b/>
          <w:bCs/>
          <w:color w:val="auto"/>
          <w:sz w:val="21"/>
          <w:szCs w:val="21"/>
          <w:highlight w:val="none"/>
        </w:rPr>
      </w:pPr>
      <w:bookmarkStart w:id="108" w:name="_Toc27117"/>
      <w:bookmarkStart w:id="109" w:name="_Toc11056"/>
      <w:bookmarkStart w:id="110" w:name="_Toc31576"/>
      <w:r>
        <w:rPr>
          <w:rFonts w:hint="eastAsia"/>
          <w:b/>
          <w:bCs/>
          <w:color w:val="auto"/>
          <w:sz w:val="21"/>
          <w:szCs w:val="21"/>
          <w:highlight w:val="none"/>
        </w:rPr>
        <w:t>一、评审方法</w:t>
      </w:r>
      <w:bookmarkEnd w:id="108"/>
      <w:bookmarkEnd w:id="109"/>
      <w:bookmarkEnd w:id="110"/>
    </w:p>
    <w:p w14:paraId="4321D9E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14:paraId="4A910BF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14:paraId="74213A0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w:t>
      </w:r>
    </w:p>
    <w:p w14:paraId="436A8C65">
      <w:pPr>
        <w:numPr>
          <w:ilvl w:val="0"/>
          <w:numId w:val="1"/>
        </w:numPr>
        <w:adjustRightInd w:val="0"/>
        <w:snapToGrid w:val="0"/>
        <w:spacing w:line="288" w:lineRule="auto"/>
        <w:outlineLvl w:val="1"/>
        <w:rPr>
          <w:b/>
          <w:bCs/>
          <w:color w:val="auto"/>
          <w:sz w:val="21"/>
          <w:szCs w:val="21"/>
          <w:highlight w:val="none"/>
        </w:rPr>
      </w:pPr>
      <w:bookmarkStart w:id="111" w:name="_Toc24337"/>
      <w:bookmarkStart w:id="112" w:name="_Toc20584"/>
      <w:bookmarkStart w:id="113" w:name="_Toc12885"/>
      <w:r>
        <w:rPr>
          <w:rFonts w:hint="eastAsia"/>
          <w:b/>
          <w:bCs/>
          <w:color w:val="auto"/>
          <w:sz w:val="21"/>
          <w:szCs w:val="21"/>
          <w:highlight w:val="none"/>
        </w:rPr>
        <w:t>评审标准</w:t>
      </w:r>
      <w:bookmarkEnd w:id="111"/>
      <w:bookmarkEnd w:id="112"/>
      <w:bookmarkEnd w:id="113"/>
    </w:p>
    <w:tbl>
      <w:tblPr>
        <w:tblStyle w:val="25"/>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604"/>
        <w:gridCol w:w="7559"/>
      </w:tblGrid>
      <w:tr w14:paraId="4F538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03EB93CE">
            <w:pPr>
              <w:adjustRightInd w:val="0"/>
              <w:snapToGrid w:val="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314" w:type="pct"/>
            <w:vAlign w:val="center"/>
          </w:tcPr>
          <w:p w14:paraId="02827C28">
            <w:pPr>
              <w:adjustRightInd w:val="0"/>
              <w:snapToGrid w:val="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3933" w:type="pct"/>
            <w:vAlign w:val="center"/>
          </w:tcPr>
          <w:p w14:paraId="7AE9D51F">
            <w:pPr>
              <w:adjustRightInd w:val="0"/>
              <w:snapToGrid w:val="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评分细则</w:t>
            </w:r>
          </w:p>
        </w:tc>
      </w:tr>
      <w:tr w14:paraId="673E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00" w:type="pct"/>
            <w:gridSpan w:val="3"/>
            <w:vAlign w:val="center"/>
          </w:tcPr>
          <w:p w14:paraId="49D889F1">
            <w:pPr>
              <w:adjustRightInd w:val="0"/>
              <w:snapToGrid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价格分（30）</w:t>
            </w:r>
          </w:p>
        </w:tc>
      </w:tr>
      <w:tr w14:paraId="6EA3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2" w:type="pct"/>
            <w:vAlign w:val="center"/>
          </w:tcPr>
          <w:p w14:paraId="6D5745DF">
            <w:pPr>
              <w:adjustRightInd w:val="0"/>
              <w:snapToGrid w:val="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最后磋商报价</w:t>
            </w:r>
          </w:p>
        </w:tc>
        <w:tc>
          <w:tcPr>
            <w:tcW w:w="314" w:type="pct"/>
            <w:vAlign w:val="center"/>
          </w:tcPr>
          <w:p w14:paraId="7C7E2C51">
            <w:pPr>
              <w:adjustRightInd w:val="0"/>
              <w:snapToGrid w:val="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30</w:t>
            </w:r>
          </w:p>
        </w:tc>
        <w:tc>
          <w:tcPr>
            <w:tcW w:w="3933" w:type="pct"/>
            <w:vAlign w:val="center"/>
          </w:tcPr>
          <w:p w14:paraId="3A51F082">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0F5B454C">
            <w:pPr>
              <w:adjustRightInd w:val="0"/>
              <w:snapToGrid w:val="0"/>
              <w:rPr>
                <w:rFonts w:ascii="宋体" w:hAnsi="宋体" w:eastAsia="宋体" w:cs="宋体"/>
                <w:color w:val="auto"/>
                <w:highlight w:val="none"/>
              </w:rPr>
            </w:pPr>
            <w:r>
              <w:rPr>
                <w:rFonts w:hint="eastAsia" w:ascii="宋体" w:hAnsi="宋体" w:eastAsia="宋体" w:cs="宋体"/>
                <w:color w:val="auto"/>
                <w:sz w:val="21"/>
                <w:szCs w:val="21"/>
                <w:highlight w:val="none"/>
              </w:rPr>
              <w:t>磋商报价得分=（磋商基准价/最后磋商报价）×30%×100</w:t>
            </w:r>
          </w:p>
        </w:tc>
      </w:tr>
      <w:tr w14:paraId="3844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00" w:type="pct"/>
            <w:gridSpan w:val="3"/>
            <w:vAlign w:val="center"/>
          </w:tcPr>
          <w:p w14:paraId="15AFED21">
            <w:pPr>
              <w:adjustRightInd w:val="0"/>
              <w:snapToGrid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商务分（5）</w:t>
            </w:r>
          </w:p>
        </w:tc>
      </w:tr>
      <w:tr w14:paraId="61D2A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10113501">
            <w:pPr>
              <w:adjustRightInd w:val="0"/>
              <w:snapToGrid w:val="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业绩</w:t>
            </w:r>
          </w:p>
        </w:tc>
        <w:tc>
          <w:tcPr>
            <w:tcW w:w="314" w:type="pct"/>
            <w:vAlign w:val="center"/>
          </w:tcPr>
          <w:p w14:paraId="7FFE44E8">
            <w:pPr>
              <w:adjustRightInd w:val="0"/>
              <w:snapToGrid w:val="0"/>
              <w:jc w:val="center"/>
              <w:rPr>
                <w:rFonts w:ascii="宋体" w:hAnsi="宋体" w:eastAsia="宋体" w:cs="宋体"/>
                <w:b/>
                <w:bCs/>
                <w:color w:val="auto"/>
                <w:sz w:val="21"/>
                <w:szCs w:val="21"/>
                <w:highlight w:val="none"/>
              </w:rPr>
            </w:pPr>
            <w:r>
              <w:rPr>
                <w:rFonts w:ascii="宋体" w:hAnsi="宋体" w:eastAsia="宋体" w:cs="宋体"/>
                <w:b/>
                <w:bCs/>
                <w:color w:val="auto"/>
                <w:sz w:val="21"/>
                <w:szCs w:val="21"/>
                <w:highlight w:val="none"/>
              </w:rPr>
              <w:t>3</w:t>
            </w:r>
          </w:p>
        </w:tc>
        <w:tc>
          <w:tcPr>
            <w:tcW w:w="3933" w:type="pct"/>
            <w:vAlign w:val="center"/>
          </w:tcPr>
          <w:p w14:paraId="67FE4552">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【客观分】供应商自202</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年1月1日以来（以合同签订时间为准）同类合同业绩（以提供的完整合同扫描件为准）：每提供1份完整合同业绩得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分，最高得3分。</w:t>
            </w:r>
          </w:p>
        </w:tc>
      </w:tr>
      <w:tr w14:paraId="4726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0896E37F">
            <w:pPr>
              <w:adjustRightInd w:val="0"/>
              <w:snapToGrid w:val="0"/>
              <w:jc w:val="center"/>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政策功能</w:t>
            </w:r>
          </w:p>
        </w:tc>
        <w:tc>
          <w:tcPr>
            <w:tcW w:w="314" w:type="pct"/>
            <w:vAlign w:val="center"/>
          </w:tcPr>
          <w:p w14:paraId="695DF934">
            <w:pPr>
              <w:adjustRightInd w:val="0"/>
              <w:snapToGrid w:val="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3933" w:type="pct"/>
            <w:vAlign w:val="center"/>
          </w:tcPr>
          <w:p w14:paraId="0E8AA10E">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586E8B94">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响应产品属于品目清单范围且提供国家确定的认证机构出具的有效的节能产品认证证书（扫描件）的得1分；</w:t>
            </w:r>
          </w:p>
          <w:p w14:paraId="6652E5BF">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响应产品属于品目清单范围且提供国家确定的认证机构出具的有效的环境标志产品认证证书（扫描件）的得1分。</w:t>
            </w:r>
          </w:p>
          <w:p w14:paraId="1AC558AF">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注：政府强制采购的节能产品的除外。</w:t>
            </w:r>
          </w:p>
        </w:tc>
      </w:tr>
      <w:tr w14:paraId="2F1C6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00" w:type="pct"/>
            <w:gridSpan w:val="3"/>
            <w:vAlign w:val="center"/>
          </w:tcPr>
          <w:p w14:paraId="53AAB944">
            <w:pPr>
              <w:adjustRightInd w:val="0"/>
              <w:snapToGrid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技术分（65）</w:t>
            </w:r>
          </w:p>
        </w:tc>
      </w:tr>
      <w:tr w14:paraId="6E89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5352E045">
            <w:pPr>
              <w:adjustRightInd w:val="0"/>
              <w:snapToGrid w:val="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产品响应程度</w:t>
            </w:r>
          </w:p>
        </w:tc>
        <w:tc>
          <w:tcPr>
            <w:tcW w:w="314" w:type="pct"/>
            <w:vAlign w:val="center"/>
          </w:tcPr>
          <w:p w14:paraId="4CB68DEB">
            <w:pPr>
              <w:adjustRightInd w:val="0"/>
              <w:snapToGrid w:val="0"/>
              <w:jc w:val="center"/>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15</w:t>
            </w:r>
          </w:p>
        </w:tc>
        <w:tc>
          <w:tcPr>
            <w:tcW w:w="3933" w:type="pct"/>
            <w:vAlign w:val="center"/>
          </w:tcPr>
          <w:p w14:paraId="3BEEE49A">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5339A9A9">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不符合（负偏离）技术要求中标注“▲”条款（不可偏离）的响应文件无效，满足或明显优于磋商文件明确的全部技术条款要求的该项得满分；</w:t>
            </w:r>
          </w:p>
          <w:p w14:paraId="2A1A8647">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允许偏离的功能、性能和技术指标低于招标需求（负偏离）的每项扣</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1E40207">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负偏离</w:t>
            </w:r>
            <w:r>
              <w:rPr>
                <w:rFonts w:hint="eastAsia" w:cs="宋体"/>
                <w:color w:val="auto"/>
                <w:sz w:val="21"/>
                <w:szCs w:val="21"/>
                <w:highlight w:val="none"/>
                <w:lang w:val="en-US" w:eastAsia="zh-CN"/>
              </w:rPr>
              <w:t>5项</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的响应文件无效。</w:t>
            </w:r>
          </w:p>
        </w:tc>
      </w:tr>
      <w:tr w14:paraId="2B1C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52" w:type="pct"/>
            <w:vMerge w:val="restart"/>
            <w:vAlign w:val="center"/>
          </w:tcPr>
          <w:p w14:paraId="532DB977">
            <w:pPr>
              <w:adjustRightInd w:val="0"/>
              <w:snapToGrid w:val="0"/>
              <w:jc w:val="center"/>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技术方案</w:t>
            </w:r>
          </w:p>
        </w:tc>
        <w:tc>
          <w:tcPr>
            <w:tcW w:w="314" w:type="pct"/>
            <w:vAlign w:val="center"/>
          </w:tcPr>
          <w:p w14:paraId="12FBC6EE">
            <w:pPr>
              <w:adjustRightInd w:val="0"/>
              <w:snapToGrid w:val="0"/>
              <w:jc w:val="center"/>
              <w:rPr>
                <w:rFonts w:hint="eastAsia" w:ascii="宋体" w:hAnsi="宋体" w:eastAsia="宋体" w:cs="宋体"/>
                <w:b/>
                <w:bCs/>
                <w:color w:val="auto"/>
                <w:sz w:val="21"/>
                <w:szCs w:val="21"/>
                <w:highlight w:val="none"/>
                <w:lang w:eastAsia="zh-CN"/>
              </w:rPr>
            </w:pPr>
            <w:r>
              <w:rPr>
                <w:rFonts w:hint="eastAsia" w:cs="宋体"/>
                <w:b/>
                <w:bCs/>
                <w:color w:val="auto"/>
                <w:sz w:val="21"/>
                <w:szCs w:val="21"/>
                <w:highlight w:val="none"/>
                <w:lang w:val="en-US" w:eastAsia="zh-CN"/>
              </w:rPr>
              <w:t>3</w:t>
            </w:r>
          </w:p>
        </w:tc>
        <w:tc>
          <w:tcPr>
            <w:tcW w:w="3933" w:type="pct"/>
            <w:vAlign w:val="center"/>
          </w:tcPr>
          <w:p w14:paraId="73B76558">
            <w:pPr>
              <w:adjustRightInd w:val="0"/>
              <w:snapToGrid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【主观分】</w:t>
            </w:r>
            <w:r>
              <w:rPr>
                <w:rFonts w:hint="eastAsia" w:cs="宋体"/>
                <w:color w:val="auto"/>
                <w:sz w:val="21"/>
                <w:szCs w:val="21"/>
                <w:highlight w:val="none"/>
                <w:lang w:val="en-US" w:eastAsia="zh-CN"/>
              </w:rPr>
              <w:t>供应商针对智慧食堂综合管理系统PC端提供的技术开发方案的先进性、可行性（评分范围：3,2,1,0）。</w:t>
            </w:r>
          </w:p>
        </w:tc>
      </w:tr>
      <w:tr w14:paraId="2AF1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Merge w:val="continue"/>
            <w:vAlign w:val="center"/>
          </w:tcPr>
          <w:p w14:paraId="31BAF8DC">
            <w:pPr>
              <w:adjustRightInd w:val="0"/>
              <w:snapToGrid w:val="0"/>
              <w:jc w:val="center"/>
              <w:rPr>
                <w:rFonts w:ascii="宋体" w:hAnsi="宋体" w:eastAsia="宋体" w:cs="宋体"/>
                <w:b/>
                <w:bCs/>
                <w:color w:val="auto"/>
                <w:sz w:val="21"/>
                <w:szCs w:val="21"/>
                <w:highlight w:val="none"/>
              </w:rPr>
            </w:pPr>
          </w:p>
        </w:tc>
        <w:tc>
          <w:tcPr>
            <w:tcW w:w="314" w:type="pct"/>
            <w:vAlign w:val="center"/>
          </w:tcPr>
          <w:p w14:paraId="3532AA0C">
            <w:pPr>
              <w:adjustRightInd w:val="0"/>
              <w:snapToGrid w:val="0"/>
              <w:jc w:val="center"/>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3</w:t>
            </w:r>
          </w:p>
        </w:tc>
        <w:tc>
          <w:tcPr>
            <w:tcW w:w="3933" w:type="pct"/>
            <w:vAlign w:val="center"/>
          </w:tcPr>
          <w:p w14:paraId="3343DCC2">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【主观分】供应商针对智慧食堂综合管理系统移动端提供的技术开发方案的先进性、可行性（评分范围：3,2,1,0）。</w:t>
            </w:r>
          </w:p>
        </w:tc>
      </w:tr>
      <w:tr w14:paraId="1ABC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Merge w:val="continue"/>
            <w:vAlign w:val="center"/>
          </w:tcPr>
          <w:p w14:paraId="2C98462B">
            <w:pPr>
              <w:adjustRightInd w:val="0"/>
              <w:snapToGrid w:val="0"/>
              <w:jc w:val="center"/>
              <w:rPr>
                <w:rFonts w:ascii="宋体" w:hAnsi="宋体" w:eastAsia="宋体" w:cs="宋体"/>
                <w:b/>
                <w:bCs/>
                <w:color w:val="auto"/>
                <w:sz w:val="21"/>
                <w:szCs w:val="21"/>
                <w:highlight w:val="none"/>
              </w:rPr>
            </w:pPr>
          </w:p>
        </w:tc>
        <w:tc>
          <w:tcPr>
            <w:tcW w:w="314" w:type="pct"/>
            <w:vAlign w:val="center"/>
          </w:tcPr>
          <w:p w14:paraId="47B0BEF3">
            <w:pPr>
              <w:adjustRightInd w:val="0"/>
              <w:snapToGrid w:val="0"/>
              <w:jc w:val="center"/>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3</w:t>
            </w:r>
          </w:p>
        </w:tc>
        <w:tc>
          <w:tcPr>
            <w:tcW w:w="3933" w:type="pct"/>
            <w:vAlign w:val="center"/>
          </w:tcPr>
          <w:p w14:paraId="0E2FD36B">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【主观分】供应商针对智慧食堂综合管理系统（第三方应用）提供的技术开发方案的先进性、可行性（评分范围：3,2,1,0）。</w:t>
            </w:r>
          </w:p>
        </w:tc>
      </w:tr>
      <w:tr w14:paraId="03EC4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Merge w:val="continue"/>
            <w:vAlign w:val="center"/>
          </w:tcPr>
          <w:p w14:paraId="6F454387">
            <w:pPr>
              <w:adjustRightInd w:val="0"/>
              <w:snapToGrid w:val="0"/>
              <w:jc w:val="center"/>
              <w:rPr>
                <w:rFonts w:ascii="宋体" w:hAnsi="宋体" w:eastAsia="宋体" w:cs="宋体"/>
                <w:b/>
                <w:bCs/>
                <w:color w:val="auto"/>
                <w:sz w:val="21"/>
                <w:szCs w:val="21"/>
                <w:highlight w:val="none"/>
              </w:rPr>
            </w:pPr>
          </w:p>
        </w:tc>
        <w:tc>
          <w:tcPr>
            <w:tcW w:w="314" w:type="pct"/>
            <w:vAlign w:val="center"/>
          </w:tcPr>
          <w:p w14:paraId="6ED9F04D">
            <w:pPr>
              <w:adjustRightInd w:val="0"/>
              <w:snapToGrid w:val="0"/>
              <w:jc w:val="center"/>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3</w:t>
            </w:r>
          </w:p>
        </w:tc>
        <w:tc>
          <w:tcPr>
            <w:tcW w:w="3933" w:type="pct"/>
            <w:vAlign w:val="center"/>
          </w:tcPr>
          <w:p w14:paraId="4C23D6D6">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【主观分】供应商针对</w:t>
            </w:r>
            <w:r>
              <w:rPr>
                <w:rFonts w:hint="eastAsia" w:cs="宋体"/>
                <w:color w:val="auto"/>
                <w:sz w:val="21"/>
                <w:szCs w:val="21"/>
                <w:highlight w:val="none"/>
                <w:lang w:val="en-US" w:eastAsia="zh-CN"/>
              </w:rPr>
              <w:t>智能</w:t>
            </w:r>
            <w:r>
              <w:rPr>
                <w:rFonts w:hint="eastAsia" w:ascii="宋体" w:hAnsi="宋体" w:eastAsia="宋体" w:cs="宋体"/>
                <w:color w:val="auto"/>
                <w:sz w:val="21"/>
                <w:szCs w:val="21"/>
                <w:highlight w:val="none"/>
              </w:rPr>
              <w:t>仓储管理系统提供的技术开发方案的先进性、可行性（评分范围：3,2,1,0）。</w:t>
            </w:r>
          </w:p>
        </w:tc>
      </w:tr>
      <w:tr w14:paraId="13EA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Merge w:val="continue"/>
            <w:vAlign w:val="center"/>
          </w:tcPr>
          <w:p w14:paraId="7D3D7A9A">
            <w:pPr>
              <w:adjustRightInd w:val="0"/>
              <w:snapToGrid w:val="0"/>
              <w:jc w:val="center"/>
              <w:rPr>
                <w:rFonts w:ascii="宋体" w:hAnsi="宋体" w:eastAsia="宋体" w:cs="宋体"/>
                <w:b/>
                <w:bCs/>
                <w:color w:val="auto"/>
                <w:sz w:val="21"/>
                <w:szCs w:val="21"/>
                <w:highlight w:val="none"/>
              </w:rPr>
            </w:pPr>
          </w:p>
        </w:tc>
        <w:tc>
          <w:tcPr>
            <w:tcW w:w="314" w:type="pct"/>
            <w:vAlign w:val="center"/>
          </w:tcPr>
          <w:p w14:paraId="404CBE30">
            <w:pPr>
              <w:adjustRightInd w:val="0"/>
              <w:snapToGrid w:val="0"/>
              <w:jc w:val="center"/>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3</w:t>
            </w:r>
          </w:p>
        </w:tc>
        <w:tc>
          <w:tcPr>
            <w:tcW w:w="3933" w:type="pct"/>
            <w:vAlign w:val="center"/>
          </w:tcPr>
          <w:p w14:paraId="1EC8BCF0">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【主观分】供应商针对</w:t>
            </w:r>
            <w:r>
              <w:rPr>
                <w:rFonts w:hint="eastAsia" w:cs="宋体"/>
                <w:color w:val="auto"/>
                <w:sz w:val="21"/>
                <w:szCs w:val="21"/>
                <w:highlight w:val="none"/>
                <w:lang w:val="en-US" w:eastAsia="zh-CN"/>
              </w:rPr>
              <w:t>智能订单（采购订单）、智能结算（财务管理、数据报表、记账信息）</w:t>
            </w:r>
            <w:r>
              <w:rPr>
                <w:rFonts w:hint="eastAsia" w:ascii="宋体" w:hAnsi="宋体" w:eastAsia="宋体" w:cs="宋体"/>
                <w:color w:val="auto"/>
                <w:sz w:val="21"/>
                <w:szCs w:val="21"/>
                <w:highlight w:val="none"/>
              </w:rPr>
              <w:t>提供的技术开发方案的先进性、可行性（评分范围：3,2,1,0）。</w:t>
            </w:r>
          </w:p>
        </w:tc>
      </w:tr>
      <w:tr w14:paraId="3BE0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Merge w:val="continue"/>
            <w:vAlign w:val="center"/>
          </w:tcPr>
          <w:p w14:paraId="6F1B48FF">
            <w:pPr>
              <w:adjustRightInd w:val="0"/>
              <w:snapToGrid w:val="0"/>
              <w:jc w:val="center"/>
              <w:rPr>
                <w:rFonts w:ascii="宋体" w:hAnsi="宋体" w:eastAsia="宋体" w:cs="宋体"/>
                <w:b/>
                <w:bCs/>
                <w:color w:val="auto"/>
                <w:sz w:val="21"/>
                <w:szCs w:val="21"/>
                <w:highlight w:val="none"/>
              </w:rPr>
            </w:pPr>
          </w:p>
        </w:tc>
        <w:tc>
          <w:tcPr>
            <w:tcW w:w="314" w:type="pct"/>
            <w:vAlign w:val="center"/>
          </w:tcPr>
          <w:p w14:paraId="0DBA22FF">
            <w:pPr>
              <w:adjustRightInd w:val="0"/>
              <w:snapToGrid w:val="0"/>
              <w:jc w:val="center"/>
              <w:rPr>
                <w:rFonts w:hint="default" w:cs="宋体"/>
                <w:b/>
                <w:bCs/>
                <w:color w:val="auto"/>
                <w:sz w:val="21"/>
                <w:szCs w:val="21"/>
                <w:highlight w:val="none"/>
                <w:lang w:val="en-US" w:eastAsia="zh-CN"/>
              </w:rPr>
            </w:pPr>
            <w:r>
              <w:rPr>
                <w:rFonts w:hint="eastAsia" w:cs="宋体"/>
                <w:b/>
                <w:bCs/>
                <w:color w:val="auto"/>
                <w:sz w:val="21"/>
                <w:szCs w:val="21"/>
                <w:highlight w:val="none"/>
                <w:lang w:val="en-US" w:eastAsia="zh-CN"/>
              </w:rPr>
              <w:t>3</w:t>
            </w:r>
          </w:p>
        </w:tc>
        <w:tc>
          <w:tcPr>
            <w:tcW w:w="3933" w:type="pct"/>
            <w:vAlign w:val="center"/>
          </w:tcPr>
          <w:p w14:paraId="60F2B276">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【主观分】供应商针对智能电子验收秤</w:t>
            </w:r>
            <w:r>
              <w:rPr>
                <w:rFonts w:hint="eastAsia" w:cs="宋体"/>
                <w:color w:val="auto"/>
                <w:sz w:val="21"/>
                <w:szCs w:val="21"/>
                <w:highlight w:val="none"/>
                <w:lang w:eastAsia="zh-CN"/>
              </w:rPr>
              <w:t>（</w:t>
            </w:r>
            <w:r>
              <w:rPr>
                <w:rFonts w:hint="eastAsia" w:cs="宋体"/>
                <w:color w:val="auto"/>
                <w:sz w:val="21"/>
                <w:szCs w:val="21"/>
                <w:highlight w:val="none"/>
                <w:lang w:val="en-US" w:eastAsia="zh-CN"/>
              </w:rPr>
              <w:t>智能验收、采购验收台账）</w:t>
            </w:r>
            <w:r>
              <w:rPr>
                <w:rFonts w:hint="eastAsia" w:ascii="宋体" w:hAnsi="宋体" w:eastAsia="宋体" w:cs="宋体"/>
                <w:color w:val="auto"/>
                <w:sz w:val="21"/>
                <w:szCs w:val="21"/>
                <w:highlight w:val="none"/>
              </w:rPr>
              <w:t>提供的技术开发方案的先进性、可行性（评分范围：3,2,1,0）。</w:t>
            </w:r>
          </w:p>
        </w:tc>
      </w:tr>
      <w:tr w14:paraId="6F38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Merge w:val="continue"/>
            <w:vAlign w:val="center"/>
          </w:tcPr>
          <w:p w14:paraId="503590EB">
            <w:pPr>
              <w:adjustRightInd w:val="0"/>
              <w:snapToGrid w:val="0"/>
              <w:jc w:val="center"/>
              <w:rPr>
                <w:rFonts w:ascii="宋体" w:hAnsi="宋体" w:eastAsia="宋体" w:cs="宋体"/>
                <w:b/>
                <w:bCs/>
                <w:color w:val="auto"/>
                <w:sz w:val="21"/>
                <w:szCs w:val="21"/>
                <w:highlight w:val="none"/>
              </w:rPr>
            </w:pPr>
          </w:p>
        </w:tc>
        <w:tc>
          <w:tcPr>
            <w:tcW w:w="314" w:type="pct"/>
            <w:vAlign w:val="center"/>
          </w:tcPr>
          <w:p w14:paraId="3CB59909">
            <w:pPr>
              <w:adjustRightInd w:val="0"/>
              <w:snapToGrid w:val="0"/>
              <w:jc w:val="center"/>
              <w:rPr>
                <w:rFonts w:hint="default" w:cs="宋体"/>
                <w:b/>
                <w:bCs/>
                <w:color w:val="auto"/>
                <w:sz w:val="21"/>
                <w:szCs w:val="21"/>
                <w:highlight w:val="none"/>
                <w:lang w:val="en-US" w:eastAsia="zh-CN"/>
              </w:rPr>
            </w:pPr>
            <w:r>
              <w:rPr>
                <w:rFonts w:hint="eastAsia" w:cs="宋体"/>
                <w:b/>
                <w:bCs/>
                <w:color w:val="auto"/>
                <w:sz w:val="21"/>
                <w:szCs w:val="21"/>
                <w:highlight w:val="none"/>
                <w:lang w:val="en-US" w:eastAsia="zh-CN"/>
              </w:rPr>
              <w:t>2</w:t>
            </w:r>
          </w:p>
        </w:tc>
        <w:tc>
          <w:tcPr>
            <w:tcW w:w="3933" w:type="pct"/>
            <w:vAlign w:val="center"/>
          </w:tcPr>
          <w:p w14:paraId="01385140">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【主观分】供应商针对</w:t>
            </w:r>
            <w:r>
              <w:rPr>
                <w:rFonts w:hint="eastAsia" w:cs="宋体"/>
                <w:color w:val="auto"/>
                <w:sz w:val="21"/>
                <w:szCs w:val="21"/>
                <w:highlight w:val="none"/>
                <w:lang w:val="en-US" w:eastAsia="zh-CN"/>
              </w:rPr>
              <w:t>食材食谱、进销存（</w:t>
            </w:r>
            <w:r>
              <w:rPr>
                <w:rFonts w:hint="eastAsia"/>
                <w:color w:val="auto"/>
                <w:sz w:val="21"/>
                <w:szCs w:val="21"/>
                <w:highlight w:val="none"/>
                <w:lang w:val="en-US" w:eastAsia="zh-CN"/>
              </w:rPr>
              <w:t>食材反算）</w:t>
            </w:r>
            <w:r>
              <w:rPr>
                <w:rFonts w:hint="eastAsia" w:ascii="宋体" w:hAnsi="宋体" w:eastAsia="宋体" w:cs="宋体"/>
                <w:color w:val="auto"/>
                <w:sz w:val="21"/>
                <w:szCs w:val="21"/>
                <w:highlight w:val="none"/>
              </w:rPr>
              <w:t>管理系统提供的技术开发方案的先进性、可行性（评分范围：2,1,</w:t>
            </w:r>
            <w:r>
              <w:rPr>
                <w:rFonts w:hint="eastAsia" w:cs="宋体"/>
                <w:color w:val="auto"/>
                <w:sz w:val="21"/>
                <w:szCs w:val="21"/>
                <w:highlight w:val="none"/>
                <w:lang w:val="en-US" w:eastAsia="zh-CN"/>
              </w:rPr>
              <w:t>0.5,</w:t>
            </w:r>
            <w:r>
              <w:rPr>
                <w:rFonts w:hint="eastAsia" w:ascii="宋体" w:hAnsi="宋体" w:eastAsia="宋体" w:cs="宋体"/>
                <w:color w:val="auto"/>
                <w:sz w:val="21"/>
                <w:szCs w:val="21"/>
                <w:highlight w:val="none"/>
              </w:rPr>
              <w:t>0）。</w:t>
            </w:r>
          </w:p>
        </w:tc>
      </w:tr>
      <w:tr w14:paraId="4149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Merge w:val="continue"/>
            <w:vAlign w:val="center"/>
          </w:tcPr>
          <w:p w14:paraId="6428CC75">
            <w:pPr>
              <w:adjustRightInd w:val="0"/>
              <w:snapToGrid w:val="0"/>
              <w:jc w:val="center"/>
              <w:rPr>
                <w:rFonts w:ascii="宋体" w:hAnsi="宋体" w:eastAsia="宋体" w:cs="宋体"/>
                <w:b/>
                <w:bCs/>
                <w:color w:val="auto"/>
                <w:sz w:val="21"/>
                <w:szCs w:val="21"/>
                <w:highlight w:val="none"/>
              </w:rPr>
            </w:pPr>
          </w:p>
        </w:tc>
        <w:tc>
          <w:tcPr>
            <w:tcW w:w="314" w:type="pct"/>
            <w:vAlign w:val="center"/>
          </w:tcPr>
          <w:p w14:paraId="767C8D51">
            <w:pPr>
              <w:adjustRightInd w:val="0"/>
              <w:snapToGrid w:val="0"/>
              <w:jc w:val="center"/>
              <w:rPr>
                <w:rFonts w:hint="default" w:cs="宋体"/>
                <w:b/>
                <w:bCs/>
                <w:color w:val="auto"/>
                <w:sz w:val="21"/>
                <w:szCs w:val="21"/>
                <w:highlight w:val="none"/>
                <w:lang w:val="en-US" w:eastAsia="zh-CN"/>
              </w:rPr>
            </w:pPr>
            <w:r>
              <w:rPr>
                <w:rFonts w:hint="eastAsia" w:cs="宋体"/>
                <w:b/>
                <w:bCs/>
                <w:color w:val="auto"/>
                <w:sz w:val="21"/>
                <w:szCs w:val="21"/>
                <w:highlight w:val="none"/>
                <w:lang w:val="en-US" w:eastAsia="zh-CN"/>
              </w:rPr>
              <w:t>3</w:t>
            </w:r>
          </w:p>
        </w:tc>
        <w:tc>
          <w:tcPr>
            <w:tcW w:w="3933" w:type="pct"/>
            <w:vAlign w:val="center"/>
          </w:tcPr>
          <w:p w14:paraId="551687BD">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【主观分】供应商针对</w:t>
            </w:r>
            <w:r>
              <w:rPr>
                <w:rFonts w:hint="eastAsia" w:cs="宋体"/>
                <w:color w:val="auto"/>
                <w:sz w:val="21"/>
                <w:szCs w:val="21"/>
                <w:highlight w:val="none"/>
                <w:lang w:val="en-US" w:eastAsia="zh-CN"/>
              </w:rPr>
              <w:t>自定义驾驶舱</w:t>
            </w:r>
            <w:r>
              <w:rPr>
                <w:rFonts w:hint="eastAsia" w:ascii="宋体" w:hAnsi="宋体" w:eastAsia="宋体" w:cs="宋体"/>
                <w:color w:val="auto"/>
                <w:sz w:val="21"/>
                <w:szCs w:val="21"/>
                <w:highlight w:val="none"/>
              </w:rPr>
              <w:t>系统</w:t>
            </w:r>
            <w:r>
              <w:rPr>
                <w:rFonts w:hint="eastAsia" w:cs="宋体"/>
                <w:color w:val="auto"/>
                <w:sz w:val="21"/>
                <w:szCs w:val="21"/>
                <w:highlight w:val="none"/>
                <w:lang w:eastAsia="zh-CN"/>
              </w:rPr>
              <w:t>（</w:t>
            </w:r>
            <w:r>
              <w:rPr>
                <w:rFonts w:hint="eastAsia" w:cs="宋体"/>
                <w:color w:val="auto"/>
                <w:sz w:val="21"/>
                <w:szCs w:val="21"/>
                <w:highlight w:val="none"/>
                <w:lang w:val="en-US" w:eastAsia="zh-CN"/>
              </w:rPr>
              <w:t>从业人员、智能台账（食品安全相关数据报表等及分析）、AIOT智慧管理系统（物联感知）、阳光厨房、智能预警、AI分析功能、食品追溯等</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提供的技术开发方案的先进性、可行性</w:t>
            </w:r>
            <w:r>
              <w:rPr>
                <w:rFonts w:hint="eastAsia" w:cs="宋体"/>
                <w:color w:val="auto"/>
                <w:sz w:val="21"/>
                <w:szCs w:val="21"/>
                <w:highlight w:val="none"/>
                <w:lang w:eastAsia="zh-CN"/>
              </w:rPr>
              <w:t>（提供</w:t>
            </w:r>
            <w:r>
              <w:rPr>
                <w:rFonts w:hint="eastAsia" w:cs="宋体"/>
                <w:color w:val="auto"/>
                <w:sz w:val="21"/>
                <w:szCs w:val="21"/>
                <w:highlight w:val="none"/>
                <w:lang w:val="en-US" w:eastAsia="zh-CN"/>
              </w:rPr>
              <w:t>证明材料，不提供不得分</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（评分范围：3,2,1,0）。</w:t>
            </w:r>
          </w:p>
        </w:tc>
      </w:tr>
      <w:tr w14:paraId="569D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Merge w:val="continue"/>
            <w:vAlign w:val="center"/>
          </w:tcPr>
          <w:p w14:paraId="2DCB74B2">
            <w:pPr>
              <w:adjustRightInd w:val="0"/>
              <w:snapToGrid w:val="0"/>
              <w:jc w:val="center"/>
              <w:rPr>
                <w:rFonts w:hint="eastAsia" w:ascii="宋体" w:hAnsi="宋体" w:eastAsia="宋体" w:cs="宋体"/>
                <w:b/>
                <w:bCs/>
                <w:color w:val="auto"/>
                <w:sz w:val="21"/>
                <w:szCs w:val="21"/>
                <w:highlight w:val="none"/>
              </w:rPr>
            </w:pPr>
          </w:p>
        </w:tc>
        <w:tc>
          <w:tcPr>
            <w:tcW w:w="314" w:type="pct"/>
            <w:vAlign w:val="center"/>
          </w:tcPr>
          <w:p w14:paraId="23913709">
            <w:pPr>
              <w:adjustRightInd w:val="0"/>
              <w:snapToGrid w:val="0"/>
              <w:jc w:val="center"/>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2</w:t>
            </w:r>
          </w:p>
        </w:tc>
        <w:tc>
          <w:tcPr>
            <w:tcW w:w="3933" w:type="pct"/>
          </w:tcPr>
          <w:p w14:paraId="27FC8A2D">
            <w:pPr>
              <w:adjustRightInd w:val="0"/>
              <w:snapToGrid w:val="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【主观分】供应商</w:t>
            </w:r>
            <w:r>
              <w:rPr>
                <w:rFonts w:hint="eastAsia" w:cs="宋体"/>
                <w:color w:val="auto"/>
                <w:sz w:val="21"/>
                <w:szCs w:val="21"/>
                <w:highlight w:val="none"/>
                <w:lang w:val="en-US" w:eastAsia="zh-CN"/>
              </w:rPr>
              <w:t>应急保障技术方案：保障断网时应急使用的方案的</w:t>
            </w:r>
            <w:r>
              <w:rPr>
                <w:rFonts w:hint="eastAsia" w:ascii="宋体" w:hAnsi="宋体" w:eastAsia="宋体" w:cs="宋体"/>
                <w:color w:val="auto"/>
                <w:sz w:val="21"/>
                <w:szCs w:val="21"/>
                <w:highlight w:val="none"/>
              </w:rPr>
              <w:t>先进性、可行性（评分范围：2,1,0.5,0）。</w:t>
            </w:r>
          </w:p>
        </w:tc>
      </w:tr>
      <w:tr w14:paraId="22AB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56CEBADB">
            <w:pPr>
              <w:adjustRightInd w:val="0"/>
              <w:snapToGrid w:val="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项目实施方案</w:t>
            </w:r>
          </w:p>
        </w:tc>
        <w:tc>
          <w:tcPr>
            <w:tcW w:w="314" w:type="pct"/>
            <w:vAlign w:val="center"/>
          </w:tcPr>
          <w:p w14:paraId="55E1BF8E">
            <w:pPr>
              <w:adjustRightInd w:val="0"/>
              <w:snapToGrid w:val="0"/>
              <w:jc w:val="center"/>
              <w:rPr>
                <w:rFonts w:hint="eastAsia" w:ascii="宋体" w:hAnsi="宋体" w:eastAsia="宋体" w:cs="宋体"/>
                <w:b/>
                <w:bCs/>
                <w:color w:val="auto"/>
                <w:sz w:val="21"/>
                <w:szCs w:val="21"/>
                <w:highlight w:val="none"/>
                <w:lang w:eastAsia="zh-CN"/>
              </w:rPr>
            </w:pPr>
            <w:r>
              <w:rPr>
                <w:rFonts w:hint="eastAsia" w:cs="宋体"/>
                <w:b/>
                <w:bCs/>
                <w:color w:val="auto"/>
                <w:sz w:val="21"/>
                <w:szCs w:val="21"/>
                <w:highlight w:val="none"/>
                <w:lang w:val="en-US" w:eastAsia="zh-CN"/>
              </w:rPr>
              <w:t>4</w:t>
            </w:r>
          </w:p>
        </w:tc>
        <w:tc>
          <w:tcPr>
            <w:tcW w:w="3933" w:type="pct"/>
          </w:tcPr>
          <w:p w14:paraId="729CB1EF">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【主观分】项目实施计划详细完整程度，符合项目进度要求，投入人员数量和综合素质（评分范围：4,3,2,1,0）。</w:t>
            </w:r>
          </w:p>
        </w:tc>
      </w:tr>
      <w:tr w14:paraId="5B6C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6B2B68CB">
            <w:pPr>
              <w:adjustRightInd w:val="0"/>
              <w:snapToGrid w:val="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安装调试</w:t>
            </w:r>
          </w:p>
        </w:tc>
        <w:tc>
          <w:tcPr>
            <w:tcW w:w="314" w:type="pct"/>
            <w:vAlign w:val="center"/>
          </w:tcPr>
          <w:p w14:paraId="4417A44C">
            <w:pPr>
              <w:adjustRightInd w:val="0"/>
              <w:snapToGrid w:val="0"/>
              <w:jc w:val="center"/>
              <w:rPr>
                <w:rFonts w:hint="eastAsia" w:ascii="宋体" w:hAnsi="宋体" w:eastAsia="宋体" w:cs="宋体"/>
                <w:b/>
                <w:bCs/>
                <w:color w:val="auto"/>
                <w:sz w:val="21"/>
                <w:szCs w:val="21"/>
                <w:highlight w:val="none"/>
                <w:lang w:eastAsia="zh-CN"/>
              </w:rPr>
            </w:pPr>
            <w:r>
              <w:rPr>
                <w:rFonts w:hint="eastAsia" w:cs="宋体"/>
                <w:b/>
                <w:bCs/>
                <w:color w:val="auto"/>
                <w:sz w:val="21"/>
                <w:szCs w:val="21"/>
                <w:highlight w:val="none"/>
                <w:lang w:val="en-US" w:eastAsia="zh-CN"/>
              </w:rPr>
              <w:t>2</w:t>
            </w:r>
          </w:p>
        </w:tc>
        <w:tc>
          <w:tcPr>
            <w:tcW w:w="3933" w:type="pct"/>
          </w:tcPr>
          <w:p w14:paraId="2925F47C">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【主观分】安装、调试方法或方案的详细完整度、合理可行性（评分范围：2,1,0.5,0）。</w:t>
            </w:r>
          </w:p>
        </w:tc>
      </w:tr>
      <w:tr w14:paraId="1E67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2B0C22C5">
            <w:pPr>
              <w:adjustRightInd w:val="0"/>
              <w:snapToGrid w:val="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售后服务</w:t>
            </w:r>
          </w:p>
        </w:tc>
        <w:tc>
          <w:tcPr>
            <w:tcW w:w="314" w:type="pct"/>
            <w:vAlign w:val="center"/>
          </w:tcPr>
          <w:p w14:paraId="250759A3">
            <w:pPr>
              <w:adjustRightInd w:val="0"/>
              <w:snapToGrid w:val="0"/>
              <w:jc w:val="center"/>
              <w:rPr>
                <w:rFonts w:hint="eastAsia" w:ascii="宋体" w:hAnsi="宋体" w:eastAsia="宋体" w:cs="宋体"/>
                <w:b/>
                <w:bCs/>
                <w:color w:val="auto"/>
                <w:sz w:val="21"/>
                <w:szCs w:val="21"/>
                <w:highlight w:val="none"/>
                <w:lang w:eastAsia="zh-CN"/>
              </w:rPr>
            </w:pPr>
            <w:r>
              <w:rPr>
                <w:rFonts w:hint="eastAsia" w:cs="宋体"/>
                <w:b/>
                <w:bCs/>
                <w:color w:val="auto"/>
                <w:sz w:val="21"/>
                <w:szCs w:val="21"/>
                <w:highlight w:val="none"/>
                <w:lang w:val="en-US" w:eastAsia="zh-CN"/>
              </w:rPr>
              <w:t>2</w:t>
            </w:r>
          </w:p>
        </w:tc>
        <w:tc>
          <w:tcPr>
            <w:tcW w:w="3933" w:type="pct"/>
          </w:tcPr>
          <w:p w14:paraId="32FF944D">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【主观分】售后服务方案、售后服务承诺的可行性及服务承诺落实的保障措施（评分范围：2,1,0.5,0）。</w:t>
            </w:r>
          </w:p>
        </w:tc>
      </w:tr>
      <w:tr w14:paraId="75BC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0A432D23">
            <w:pPr>
              <w:adjustRightInd w:val="0"/>
              <w:snapToGrid w:val="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技术服务、培训</w:t>
            </w:r>
          </w:p>
        </w:tc>
        <w:tc>
          <w:tcPr>
            <w:tcW w:w="314" w:type="pct"/>
            <w:vAlign w:val="center"/>
          </w:tcPr>
          <w:p w14:paraId="1B6A2315">
            <w:pPr>
              <w:adjustRightInd w:val="0"/>
              <w:snapToGrid w:val="0"/>
              <w:jc w:val="center"/>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2</w:t>
            </w:r>
          </w:p>
        </w:tc>
        <w:tc>
          <w:tcPr>
            <w:tcW w:w="3933" w:type="pct"/>
          </w:tcPr>
          <w:p w14:paraId="7853A4BD">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【主观分】服务力量和服务保障，培训计划内容、培训范围，实施及针对性（评分范围：2,1,</w:t>
            </w:r>
            <w:r>
              <w:rPr>
                <w:rFonts w:hint="eastAsia" w:cs="宋体"/>
                <w:color w:val="auto"/>
                <w:sz w:val="21"/>
                <w:szCs w:val="21"/>
                <w:highlight w:val="none"/>
                <w:lang w:val="en-US" w:eastAsia="zh-CN"/>
              </w:rPr>
              <w:t>0.5,</w:t>
            </w:r>
            <w:r>
              <w:rPr>
                <w:rFonts w:hint="eastAsia" w:ascii="宋体" w:hAnsi="宋体" w:eastAsia="宋体" w:cs="宋体"/>
                <w:color w:val="auto"/>
                <w:sz w:val="21"/>
                <w:szCs w:val="21"/>
                <w:highlight w:val="none"/>
              </w:rPr>
              <w:t>0）。</w:t>
            </w:r>
          </w:p>
        </w:tc>
      </w:tr>
      <w:tr w14:paraId="75C7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0C552AFF">
            <w:pPr>
              <w:adjustRightInd w:val="0"/>
              <w:snapToGrid w:val="0"/>
              <w:jc w:val="center"/>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演示</w:t>
            </w:r>
          </w:p>
        </w:tc>
        <w:tc>
          <w:tcPr>
            <w:tcW w:w="314" w:type="pct"/>
            <w:vAlign w:val="center"/>
          </w:tcPr>
          <w:p w14:paraId="28F988CA">
            <w:pPr>
              <w:adjustRightInd w:val="0"/>
              <w:snapToGrid w:val="0"/>
              <w:jc w:val="center"/>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15</w:t>
            </w:r>
          </w:p>
        </w:tc>
        <w:tc>
          <w:tcPr>
            <w:tcW w:w="3933" w:type="pct"/>
          </w:tcPr>
          <w:p w14:paraId="18B503DA">
            <w:pPr>
              <w:adjustRightInd w:val="0"/>
              <w:snapToGrid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主观分</w:t>
            </w:r>
            <w:r>
              <w:rPr>
                <w:rFonts w:hint="eastAsia" w:ascii="宋体" w:hAnsi="宋体" w:eastAsia="宋体" w:cs="宋体"/>
                <w:color w:val="auto"/>
                <w:sz w:val="21"/>
                <w:szCs w:val="21"/>
                <w:highlight w:val="none"/>
                <w:lang w:eastAsia="zh-CN"/>
              </w:rPr>
              <w:t>】供应商根据第二章 采购需求“4.演示”的要求提供演示，根据演示内容与采购需求的契合程度（每项演示评分范围：</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,0）。</w:t>
            </w:r>
          </w:p>
        </w:tc>
      </w:tr>
    </w:tbl>
    <w:p w14:paraId="5B94BC28">
      <w:pPr>
        <w:adjustRightInd w:val="0"/>
        <w:snapToGrid w:val="0"/>
        <w:spacing w:line="288" w:lineRule="auto"/>
        <w:jc w:val="left"/>
        <w:rPr>
          <w:rFonts w:hint="eastAsia" w:cs="Times New Roman"/>
          <w:b/>
          <w:color w:val="auto"/>
          <w:sz w:val="21"/>
          <w:szCs w:val="21"/>
          <w:highlight w:val="none"/>
        </w:rPr>
      </w:pPr>
      <w:r>
        <w:rPr>
          <w:rFonts w:hint="eastAsia" w:cs="Times New Roman"/>
          <w:b/>
          <w:color w:val="auto"/>
          <w:sz w:val="21"/>
          <w:szCs w:val="21"/>
          <w:highlight w:val="none"/>
        </w:rPr>
        <w:t>说明：</w:t>
      </w:r>
    </w:p>
    <w:p w14:paraId="44E3C639">
      <w:pPr>
        <w:adjustRightInd w:val="0"/>
        <w:snapToGrid w:val="0"/>
        <w:spacing w:line="288" w:lineRule="auto"/>
        <w:jc w:val="left"/>
        <w:rPr>
          <w:rFonts w:cs="Times New Roman"/>
          <w:b/>
          <w:color w:val="auto"/>
          <w:sz w:val="21"/>
          <w:szCs w:val="21"/>
          <w:highlight w:val="none"/>
        </w:rPr>
      </w:pPr>
      <w:r>
        <w:rPr>
          <w:rFonts w:cs="Times New Roman"/>
          <w:b/>
          <w:color w:val="auto"/>
          <w:sz w:val="21"/>
          <w:szCs w:val="21"/>
          <w:highlight w:val="none"/>
        </w:rPr>
        <w:t>1.</w:t>
      </w:r>
      <w:r>
        <w:rPr>
          <w:rFonts w:hint="eastAsia" w:cs="Times New Roman"/>
          <w:b/>
          <w:color w:val="auto"/>
          <w:sz w:val="21"/>
          <w:szCs w:val="21"/>
          <w:highlight w:val="none"/>
        </w:rPr>
        <w:t>根据《政府采购促进中小企业发展管理办法》（财库〔2020〕46号）、《关于进一步加大政府采购支持中小企业力度的通知》（财库〔</w:t>
      </w:r>
      <w:r>
        <w:rPr>
          <w:rFonts w:cs="Times New Roman"/>
          <w:b/>
          <w:color w:val="auto"/>
          <w:sz w:val="21"/>
          <w:szCs w:val="21"/>
          <w:highlight w:val="none"/>
        </w:rPr>
        <w:t>2022〕19号）</w:t>
      </w:r>
      <w:r>
        <w:rPr>
          <w:rFonts w:hint="eastAsia" w:cs="Times New Roman"/>
          <w:b/>
          <w:color w:val="auto"/>
          <w:sz w:val="21"/>
          <w:szCs w:val="21"/>
          <w:highlight w:val="none"/>
        </w:rPr>
        <w:t>的规定：对符合规定的小微企业报价给予</w:t>
      </w:r>
      <w:r>
        <w:rPr>
          <w:rFonts w:hint="eastAsia" w:cs="Times New Roman"/>
          <w:b/>
          <w:color w:val="auto"/>
          <w:sz w:val="21"/>
          <w:szCs w:val="21"/>
          <w:highlight w:val="none"/>
          <w:lang w:eastAsia="zh-CN"/>
        </w:rPr>
        <w:t>10%</w:t>
      </w:r>
      <w:r>
        <w:rPr>
          <w:rFonts w:hint="eastAsia" w:cs="Times New Roman"/>
          <w:b/>
          <w:color w:val="auto"/>
          <w:sz w:val="21"/>
          <w:szCs w:val="21"/>
          <w:highlight w:val="none"/>
        </w:rPr>
        <w:t>的扣除后计算价格得分。</w:t>
      </w:r>
    </w:p>
    <w:p w14:paraId="08C2559A">
      <w:pPr>
        <w:adjustRightInd w:val="0"/>
        <w:snapToGrid w:val="0"/>
        <w:spacing w:line="288" w:lineRule="auto"/>
        <w:ind w:firstLine="396" w:firstLineChars="200"/>
        <w:jc w:val="left"/>
        <w:rPr>
          <w:b/>
          <w:color w:val="auto"/>
          <w:sz w:val="21"/>
          <w:szCs w:val="21"/>
          <w:highlight w:val="none"/>
        </w:rPr>
      </w:pPr>
      <w:r>
        <w:rPr>
          <w:rFonts w:hint="eastAsia" w:cs="Times New Roman"/>
          <w:color w:val="auto"/>
          <w:spacing w:val="-6"/>
          <w:sz w:val="21"/>
          <w:szCs w:val="21"/>
          <w:highlight w:val="none"/>
          <w:u w:val="single"/>
        </w:rPr>
        <w:t>注：对于联合协议或者分包意向协议约定小微企业的合同份额占到合同总金额30%以上的，对联合体或者大中型企业的报价给予</w:t>
      </w:r>
      <w:r>
        <w:rPr>
          <w:rFonts w:hint="eastAsia" w:cs="Times New Roman"/>
          <w:color w:val="auto"/>
          <w:spacing w:val="-6"/>
          <w:sz w:val="21"/>
          <w:szCs w:val="21"/>
          <w:highlight w:val="none"/>
          <w:u w:val="single"/>
          <w:lang w:eastAsia="zh-CN"/>
        </w:rPr>
        <w:t>4%</w:t>
      </w:r>
      <w:r>
        <w:rPr>
          <w:rFonts w:hint="eastAsia" w:cs="Times New Roman"/>
          <w:color w:val="auto"/>
          <w:spacing w:val="-6"/>
          <w:sz w:val="21"/>
          <w:szCs w:val="21"/>
          <w:highlight w:val="none"/>
          <w:u w:val="single"/>
        </w:rPr>
        <w:t>的扣除，用扣除后的价格参加评审。组成联合体或者接受分包的小微企业与联合体内其他企业、分包企业之间存在直接控股、管理关系的，不享受价格扣除优惠政策。</w:t>
      </w:r>
    </w:p>
    <w:p w14:paraId="5F364800">
      <w:pPr>
        <w:adjustRightInd w:val="0"/>
        <w:snapToGrid w:val="0"/>
        <w:spacing w:line="288" w:lineRule="auto"/>
        <w:rPr>
          <w:rFonts w:cs="Times New Roman"/>
          <w:b/>
          <w:bCs/>
          <w:color w:val="auto"/>
          <w:spacing w:val="-6"/>
          <w:sz w:val="21"/>
          <w:szCs w:val="21"/>
          <w:highlight w:val="none"/>
        </w:rPr>
      </w:pPr>
      <w:bookmarkStart w:id="114" w:name="_Hlk81817373"/>
      <w:r>
        <w:rPr>
          <w:rFonts w:hint="eastAsia" w:cs="Times New Roman"/>
          <w:b/>
          <w:bCs/>
          <w:color w:val="auto"/>
          <w:spacing w:val="-6"/>
          <w:sz w:val="21"/>
          <w:szCs w:val="21"/>
          <w:highlight w:val="none"/>
        </w:rPr>
        <w:t>2</w:t>
      </w:r>
      <w:r>
        <w:rPr>
          <w:rFonts w:cs="Times New Roman"/>
          <w:b/>
          <w:bCs/>
          <w:color w:val="auto"/>
          <w:spacing w:val="-6"/>
          <w:sz w:val="21"/>
          <w:szCs w:val="21"/>
          <w:highlight w:val="none"/>
        </w:rPr>
        <w:t>.</w:t>
      </w:r>
      <w:r>
        <w:rPr>
          <w:rFonts w:hint="eastAsia" w:cs="Times New Roman"/>
          <w:b/>
          <w:bCs/>
          <w:color w:val="auto"/>
          <w:spacing w:val="-6"/>
          <w:sz w:val="21"/>
          <w:szCs w:val="21"/>
          <w:highlight w:val="none"/>
        </w:rPr>
        <w:t>根据《</w:t>
      </w:r>
      <w:r>
        <w:rPr>
          <w:rFonts w:cs="Times New Roman"/>
          <w:b/>
          <w:bCs/>
          <w:color w:val="auto"/>
          <w:spacing w:val="-6"/>
          <w:sz w:val="21"/>
          <w:szCs w:val="21"/>
          <w:highlight w:val="none"/>
        </w:rPr>
        <w:t>关于政府采购支持监狱企业发展有关问题的通知</w:t>
      </w:r>
      <w:r>
        <w:rPr>
          <w:rFonts w:hint="eastAsia" w:cs="Times New Roman"/>
          <w:b/>
          <w:bCs/>
          <w:color w:val="auto"/>
          <w:spacing w:val="-6"/>
          <w:sz w:val="21"/>
          <w:szCs w:val="21"/>
          <w:highlight w:val="none"/>
        </w:rPr>
        <w:t>》（</w:t>
      </w:r>
      <w:r>
        <w:rPr>
          <w:rFonts w:cs="Times New Roman"/>
          <w:b/>
          <w:bCs/>
          <w:color w:val="auto"/>
          <w:spacing w:val="-6"/>
          <w:sz w:val="21"/>
          <w:szCs w:val="21"/>
          <w:highlight w:val="none"/>
        </w:rPr>
        <w:t>财库[2014]68号</w:t>
      </w:r>
      <w:r>
        <w:rPr>
          <w:rFonts w:hint="eastAsia" w:cs="Times New Roman"/>
          <w:b/>
          <w:bCs/>
          <w:color w:val="auto"/>
          <w:spacing w:val="-6"/>
          <w:sz w:val="21"/>
          <w:szCs w:val="21"/>
          <w:highlight w:val="none"/>
        </w:rPr>
        <w:t>）的规定，</w:t>
      </w:r>
      <w:r>
        <w:rPr>
          <w:rFonts w:hint="eastAsia"/>
          <w:color w:val="auto"/>
          <w:kern w:val="0"/>
          <w:sz w:val="21"/>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114"/>
    <w:p w14:paraId="6F899111">
      <w:pPr>
        <w:adjustRightInd w:val="0"/>
        <w:snapToGrid w:val="0"/>
        <w:spacing w:line="288" w:lineRule="auto"/>
        <w:rPr>
          <w:b/>
          <w:color w:val="auto"/>
          <w:sz w:val="21"/>
          <w:szCs w:val="21"/>
          <w:highlight w:val="none"/>
        </w:rPr>
      </w:pPr>
      <w:r>
        <w:rPr>
          <w:rFonts w:hint="eastAsia" w:cs="Times New Roman"/>
          <w:b/>
          <w:bCs/>
          <w:color w:val="auto"/>
          <w:spacing w:val="-6"/>
          <w:sz w:val="21"/>
          <w:szCs w:val="21"/>
          <w:highlight w:val="none"/>
        </w:rPr>
        <w:t>3</w:t>
      </w:r>
      <w:r>
        <w:rPr>
          <w:rFonts w:cs="Times New Roman"/>
          <w:b/>
          <w:bCs/>
          <w:color w:val="auto"/>
          <w:spacing w:val="-6"/>
          <w:sz w:val="21"/>
          <w:szCs w:val="21"/>
          <w:highlight w:val="none"/>
        </w:rPr>
        <w:t>.</w:t>
      </w:r>
      <w:r>
        <w:rPr>
          <w:rFonts w:hint="eastAsia" w:cs="Times New Roman"/>
          <w:b/>
          <w:bCs/>
          <w:color w:val="auto"/>
          <w:spacing w:val="-6"/>
          <w:sz w:val="21"/>
          <w:szCs w:val="21"/>
          <w:highlight w:val="none"/>
        </w:rPr>
        <w:t>根据《关于促进残疾人就业政府采购政策的通知》（财库[2017]141号）的规定，</w:t>
      </w:r>
      <w:r>
        <w:rPr>
          <w:rFonts w:hint="eastAsia"/>
          <w:color w:val="auto"/>
          <w:sz w:val="21"/>
          <w:szCs w:val="21"/>
          <w:highlight w:val="none"/>
        </w:rPr>
        <w:t>符合条件的残疾人福利性单位在参加政府采购活动时，提供财库</w:t>
      </w:r>
      <w:r>
        <w:rPr>
          <w:color w:val="auto"/>
          <w:sz w:val="21"/>
          <w:szCs w:val="21"/>
          <w:highlight w:val="none"/>
        </w:rPr>
        <w:t>[2017]141号</w:t>
      </w:r>
      <w:r>
        <w:rPr>
          <w:rFonts w:hint="eastAsia"/>
          <w:color w:val="auto"/>
          <w:sz w:val="21"/>
          <w:szCs w:val="21"/>
          <w:highlight w:val="none"/>
        </w:rPr>
        <w:t>文件规定的《残疾人福利性单位声明函》的，在政府采购活动中，残疾人福利性单位视同小型、微型企业，享受预留份额、评审中价格扣除等促进中小企业发展的政府采购政策。</w:t>
      </w:r>
      <w:r>
        <w:rPr>
          <w:rFonts w:cs="Times New Roman"/>
          <w:color w:val="auto"/>
          <w:spacing w:val="-6"/>
          <w:sz w:val="21"/>
          <w:szCs w:val="21"/>
          <w:highlight w:val="none"/>
        </w:rPr>
        <w:t>残疾人福利性单位属于小型、微型企业的，不重复享受政策。</w:t>
      </w:r>
    </w:p>
    <w:p w14:paraId="303A5819">
      <w:pPr>
        <w:adjustRightInd w:val="0"/>
        <w:snapToGrid w:val="0"/>
        <w:spacing w:line="288" w:lineRule="auto"/>
        <w:jc w:val="center"/>
        <w:rPr>
          <w:b/>
          <w:bCs/>
          <w:color w:val="auto"/>
          <w:sz w:val="32"/>
          <w:szCs w:val="32"/>
          <w:highlight w:val="none"/>
        </w:rPr>
      </w:pPr>
      <w:r>
        <w:rPr>
          <w:rFonts w:hint="eastAsia"/>
          <w:color w:val="auto"/>
          <w:sz w:val="21"/>
          <w:szCs w:val="21"/>
          <w:highlight w:val="none"/>
        </w:rPr>
        <w:br w:type="page"/>
      </w:r>
      <w:bookmarkStart w:id="115" w:name="_Toc10679"/>
      <w:bookmarkStart w:id="116" w:name="_Toc25268"/>
      <w:bookmarkStart w:id="117" w:name="_Toc5658"/>
      <w:bookmarkStart w:id="118" w:name="_Toc17541"/>
      <w:bookmarkStart w:id="119" w:name="_Toc14756"/>
      <w:bookmarkStart w:id="120" w:name="_Toc16710"/>
      <w:bookmarkStart w:id="121" w:name="_Toc24744"/>
      <w:r>
        <w:rPr>
          <w:rFonts w:hint="eastAsia"/>
          <w:b/>
          <w:bCs/>
          <w:color w:val="auto"/>
          <w:sz w:val="32"/>
          <w:szCs w:val="32"/>
          <w:highlight w:val="none"/>
        </w:rPr>
        <w:t>第五章  拟签订的合同文本</w:t>
      </w:r>
      <w:bookmarkEnd w:id="115"/>
      <w:bookmarkEnd w:id="116"/>
      <w:bookmarkEnd w:id="117"/>
      <w:bookmarkEnd w:id="118"/>
      <w:bookmarkEnd w:id="119"/>
      <w:bookmarkEnd w:id="120"/>
      <w:bookmarkEnd w:id="121"/>
    </w:p>
    <w:p w14:paraId="09F678D8">
      <w:pPr>
        <w:adjustRightInd w:val="0"/>
        <w:snapToGrid w:val="0"/>
        <w:spacing w:line="288" w:lineRule="auto"/>
        <w:jc w:val="center"/>
        <w:rPr>
          <w:rFonts w:hint="eastAsia"/>
          <w:b/>
          <w:bCs/>
          <w:color w:val="auto"/>
          <w:sz w:val="21"/>
          <w:szCs w:val="21"/>
          <w:highlight w:val="none"/>
        </w:rPr>
      </w:pPr>
    </w:p>
    <w:p w14:paraId="571F7EBB">
      <w:pPr>
        <w:adjustRightInd w:val="0"/>
        <w:snapToGrid w:val="0"/>
        <w:spacing w:line="288" w:lineRule="auto"/>
        <w:jc w:val="center"/>
        <w:rPr>
          <w:b/>
          <w:bCs/>
          <w:color w:val="auto"/>
          <w:sz w:val="21"/>
          <w:szCs w:val="21"/>
          <w:highlight w:val="none"/>
        </w:rPr>
      </w:pPr>
      <w:r>
        <w:rPr>
          <w:rFonts w:hint="eastAsia"/>
          <w:b/>
          <w:bCs/>
          <w:color w:val="auto"/>
          <w:sz w:val="21"/>
          <w:szCs w:val="21"/>
          <w:highlight w:val="none"/>
          <w:lang w:eastAsia="zh-CN"/>
        </w:rPr>
        <w:t>后勤智慧餐厅与仓储管理系统</w:t>
      </w:r>
      <w:r>
        <w:rPr>
          <w:rFonts w:hint="eastAsia"/>
          <w:b/>
          <w:bCs/>
          <w:color w:val="auto"/>
          <w:sz w:val="21"/>
          <w:szCs w:val="21"/>
          <w:highlight w:val="none"/>
        </w:rPr>
        <w:t>政府采购合同</w:t>
      </w:r>
    </w:p>
    <w:p w14:paraId="634E9E43">
      <w:pPr>
        <w:spacing w:line="288" w:lineRule="auto"/>
        <w:rPr>
          <w:rFonts w:hint="eastAsia"/>
          <w:color w:val="auto"/>
          <w:spacing w:val="-6"/>
          <w:sz w:val="21"/>
          <w:szCs w:val="21"/>
          <w:highlight w:val="none"/>
        </w:rPr>
      </w:pPr>
    </w:p>
    <w:p w14:paraId="50E15CC3">
      <w:pPr>
        <w:spacing w:line="288" w:lineRule="auto"/>
        <w:rPr>
          <w:color w:val="auto"/>
          <w:spacing w:val="-6"/>
          <w:sz w:val="21"/>
          <w:szCs w:val="21"/>
          <w:highlight w:val="none"/>
        </w:rPr>
      </w:pPr>
      <w:r>
        <w:rPr>
          <w:rFonts w:hint="eastAsia"/>
          <w:color w:val="auto"/>
          <w:spacing w:val="-6"/>
          <w:sz w:val="21"/>
          <w:szCs w:val="21"/>
          <w:highlight w:val="none"/>
        </w:rPr>
        <w:t>确认书编号：</w:t>
      </w:r>
      <w:r>
        <w:rPr>
          <w:rFonts w:hint="eastAsia"/>
          <w:color w:val="auto"/>
          <w:spacing w:val="-6"/>
          <w:sz w:val="21"/>
          <w:szCs w:val="21"/>
          <w:highlight w:val="none"/>
          <w:u w:val="single"/>
          <w:lang w:eastAsia="zh-CN"/>
        </w:rPr>
        <w:t>[2025]40987号</w:t>
      </w:r>
      <w:r>
        <w:rPr>
          <w:rFonts w:hint="eastAsia"/>
          <w:color w:val="auto"/>
          <w:spacing w:val="-6"/>
          <w:sz w:val="21"/>
          <w:szCs w:val="21"/>
          <w:highlight w:val="none"/>
          <w:u w:val="single"/>
        </w:rPr>
        <w:t xml:space="preserve">  </w:t>
      </w:r>
      <w:r>
        <w:rPr>
          <w:rFonts w:hint="eastAsia"/>
          <w:color w:val="auto"/>
          <w:spacing w:val="-6"/>
          <w:sz w:val="21"/>
          <w:szCs w:val="21"/>
          <w:highlight w:val="none"/>
        </w:rPr>
        <w:t xml:space="preserve"> 合同编号</w:t>
      </w:r>
    </w:p>
    <w:p w14:paraId="70A5006D">
      <w:pPr>
        <w:spacing w:line="288" w:lineRule="auto"/>
        <w:rPr>
          <w:color w:val="auto"/>
          <w:spacing w:val="-6"/>
          <w:sz w:val="21"/>
          <w:szCs w:val="21"/>
          <w:highlight w:val="none"/>
          <w:u w:val="single"/>
        </w:rPr>
      </w:pPr>
      <w:r>
        <w:rPr>
          <w:rFonts w:hint="eastAsia"/>
          <w:color w:val="auto"/>
          <w:spacing w:val="-6"/>
          <w:sz w:val="21"/>
          <w:szCs w:val="21"/>
          <w:highlight w:val="none"/>
        </w:rPr>
        <w:t xml:space="preserve">甲方（需方）： </w:t>
      </w:r>
      <w:r>
        <w:rPr>
          <w:rFonts w:hint="eastAsia"/>
          <w:color w:val="auto"/>
          <w:spacing w:val="-6"/>
          <w:sz w:val="21"/>
          <w:szCs w:val="21"/>
          <w:highlight w:val="none"/>
          <w:u w:val="single"/>
        </w:rPr>
        <w:t xml:space="preserve">      浙江树人学院       </w:t>
      </w:r>
    </w:p>
    <w:p w14:paraId="6ACACBB8">
      <w:pPr>
        <w:snapToGrid w:val="0"/>
        <w:spacing w:line="288" w:lineRule="auto"/>
        <w:rPr>
          <w:color w:val="auto"/>
          <w:spacing w:val="-6"/>
          <w:sz w:val="21"/>
          <w:szCs w:val="21"/>
          <w:highlight w:val="none"/>
          <w:u w:val="single"/>
        </w:rPr>
      </w:pPr>
      <w:r>
        <w:rPr>
          <w:rFonts w:hint="eastAsia"/>
          <w:color w:val="auto"/>
          <w:spacing w:val="-6"/>
          <w:sz w:val="21"/>
          <w:szCs w:val="21"/>
          <w:highlight w:val="none"/>
        </w:rPr>
        <w:t xml:space="preserve">乙方（供方）： </w:t>
      </w:r>
      <w:r>
        <w:rPr>
          <w:rFonts w:hint="eastAsia"/>
          <w:color w:val="auto"/>
          <w:spacing w:val="-6"/>
          <w:sz w:val="21"/>
          <w:szCs w:val="21"/>
          <w:highlight w:val="none"/>
          <w:u w:val="single"/>
        </w:rPr>
        <w:t xml:space="preserve">                          </w:t>
      </w:r>
    </w:p>
    <w:p w14:paraId="0B47CA05">
      <w:pPr>
        <w:spacing w:line="288" w:lineRule="auto"/>
        <w:rPr>
          <w:color w:val="auto"/>
          <w:spacing w:val="-6"/>
          <w:sz w:val="21"/>
          <w:szCs w:val="21"/>
          <w:highlight w:val="none"/>
        </w:rPr>
      </w:pPr>
      <w:r>
        <w:rPr>
          <w:rFonts w:hint="eastAsia"/>
          <w:color w:val="auto"/>
          <w:spacing w:val="-6"/>
          <w:sz w:val="21"/>
          <w:szCs w:val="21"/>
          <w:highlight w:val="none"/>
        </w:rPr>
        <w:t>采购代理机构：浙江求是招标代理有限公司</w:t>
      </w:r>
    </w:p>
    <w:p w14:paraId="2DDFB1D5">
      <w:pPr>
        <w:spacing w:line="288" w:lineRule="auto"/>
        <w:rPr>
          <w:color w:val="auto"/>
          <w:spacing w:val="-6"/>
          <w:sz w:val="21"/>
          <w:szCs w:val="21"/>
          <w:highlight w:val="none"/>
        </w:rPr>
      </w:pPr>
      <w:r>
        <w:rPr>
          <w:rFonts w:hint="eastAsia"/>
          <w:color w:val="auto"/>
          <w:spacing w:val="-6"/>
          <w:sz w:val="21"/>
          <w:szCs w:val="21"/>
          <w:highlight w:val="none"/>
        </w:rPr>
        <w:t>签约时间、地点：年  月   日，</w:t>
      </w:r>
      <w:r>
        <w:rPr>
          <w:rFonts w:hint="eastAsia"/>
          <w:color w:val="auto"/>
          <w:spacing w:val="-6"/>
          <w:sz w:val="21"/>
          <w:szCs w:val="21"/>
          <w:highlight w:val="none"/>
          <w:u w:val="single"/>
        </w:rPr>
        <w:t>杭州</w:t>
      </w:r>
    </w:p>
    <w:p w14:paraId="0C51A97B">
      <w:pPr>
        <w:spacing w:line="288" w:lineRule="auto"/>
        <w:rPr>
          <w:color w:val="auto"/>
          <w:spacing w:val="-6"/>
          <w:sz w:val="21"/>
          <w:szCs w:val="21"/>
          <w:highlight w:val="none"/>
          <w:lang w:bidi="ar"/>
        </w:rPr>
      </w:pPr>
      <w:r>
        <w:rPr>
          <w:rFonts w:hint="eastAsia"/>
          <w:b/>
          <w:bCs/>
          <w:color w:val="auto"/>
          <w:spacing w:val="-6"/>
          <w:sz w:val="21"/>
          <w:szCs w:val="21"/>
          <w:highlight w:val="none"/>
        </w:rPr>
        <w:t>政策落实</w:t>
      </w:r>
      <w:r>
        <w:rPr>
          <w:rFonts w:hint="eastAsia"/>
          <w:color w:val="auto"/>
          <w:spacing w:val="-6"/>
          <w:sz w:val="21"/>
          <w:szCs w:val="21"/>
          <w:highlight w:val="none"/>
        </w:rPr>
        <w:t>：</w:t>
      </w:r>
      <w:r>
        <w:rPr>
          <w:rFonts w:hint="eastAsia"/>
          <w:b/>
          <w:bCs/>
          <w:color w:val="auto"/>
          <w:spacing w:val="-6"/>
          <w:sz w:val="21"/>
          <w:szCs w:val="21"/>
          <w:highlight w:val="none"/>
          <w:lang w:bidi="ar"/>
        </w:rPr>
        <w:t>根据《关于印发中小企业划型标准规定的通知》（工信部联企业〔2011〕300号）中的中小微型划分标准，乙方为</w:t>
      </w:r>
      <w:r>
        <w:rPr>
          <w:rFonts w:hint="eastAsia"/>
          <w:b/>
          <w:bCs/>
          <w:color w:val="auto"/>
          <w:spacing w:val="-6"/>
          <w:sz w:val="21"/>
          <w:szCs w:val="21"/>
          <w:highlight w:val="none"/>
          <w:u w:val="single"/>
          <w:lang w:bidi="ar"/>
        </w:rPr>
        <w:t xml:space="preserve">    </w:t>
      </w:r>
      <w:r>
        <w:rPr>
          <w:rFonts w:hint="eastAsia"/>
          <w:b/>
          <w:bCs/>
          <w:color w:val="auto"/>
          <w:spacing w:val="-6"/>
          <w:sz w:val="21"/>
          <w:szCs w:val="21"/>
          <w:highlight w:val="none"/>
          <w:lang w:bidi="ar"/>
        </w:rPr>
        <w:t>型企业，</w:t>
      </w:r>
      <w:r>
        <w:rPr>
          <w:rFonts w:hint="eastAsia"/>
          <w:color w:val="auto"/>
          <w:spacing w:val="-6"/>
          <w:sz w:val="21"/>
          <w:szCs w:val="21"/>
          <w:highlight w:val="none"/>
          <w:u w:val="single"/>
        </w:rPr>
        <w:t>（企业类型：</w:t>
      </w:r>
      <w:r>
        <w:rPr>
          <w:rFonts w:hint="eastAsia"/>
          <w:color w:val="auto"/>
          <w:sz w:val="21"/>
          <w:szCs w:val="21"/>
          <w:highlight w:val="none"/>
          <w:u w:val="single"/>
        </w:rPr>
        <w:sym w:font="Wingdings 2" w:char="00A3"/>
      </w:r>
      <w:r>
        <w:rPr>
          <w:rFonts w:hint="eastAsia"/>
          <w:color w:val="auto"/>
          <w:sz w:val="21"/>
          <w:szCs w:val="21"/>
          <w:highlight w:val="none"/>
          <w:u w:val="single"/>
        </w:rPr>
        <w:t>大型</w:t>
      </w:r>
      <w:r>
        <w:rPr>
          <w:rFonts w:hint="eastAsia"/>
          <w:color w:val="auto"/>
          <w:sz w:val="21"/>
          <w:szCs w:val="21"/>
          <w:highlight w:val="none"/>
          <w:u w:val="single"/>
        </w:rPr>
        <w:sym w:font="Wingdings 2" w:char="00A3"/>
      </w:r>
      <w:r>
        <w:rPr>
          <w:rFonts w:hint="eastAsia"/>
          <w:color w:val="auto"/>
          <w:sz w:val="21"/>
          <w:szCs w:val="21"/>
          <w:highlight w:val="none"/>
          <w:u w:val="single"/>
        </w:rPr>
        <w:t>中型</w:t>
      </w:r>
      <w:r>
        <w:rPr>
          <w:rFonts w:hint="eastAsia"/>
          <w:color w:val="auto"/>
          <w:sz w:val="21"/>
          <w:szCs w:val="21"/>
          <w:highlight w:val="none"/>
          <w:u w:val="single"/>
        </w:rPr>
        <w:sym w:font="Wingdings 2" w:char="00A3"/>
      </w:r>
      <w:r>
        <w:rPr>
          <w:rFonts w:hint="eastAsia"/>
          <w:color w:val="auto"/>
          <w:sz w:val="21"/>
          <w:szCs w:val="21"/>
          <w:highlight w:val="none"/>
          <w:u w:val="single"/>
        </w:rPr>
        <w:t>小微型</w:t>
      </w:r>
      <w:r>
        <w:rPr>
          <w:rFonts w:hint="eastAsia"/>
          <w:color w:val="auto"/>
          <w:spacing w:val="-6"/>
          <w:sz w:val="21"/>
          <w:szCs w:val="21"/>
          <w:highlight w:val="none"/>
          <w:u w:val="single"/>
        </w:rPr>
        <w:t>）</w:t>
      </w:r>
      <w:r>
        <w:rPr>
          <w:rFonts w:hint="eastAsia"/>
          <w:b/>
          <w:bCs/>
          <w:color w:val="auto"/>
          <w:spacing w:val="-6"/>
          <w:sz w:val="21"/>
          <w:szCs w:val="21"/>
          <w:highlight w:val="none"/>
          <w:lang w:bidi="ar"/>
        </w:rPr>
        <w:t>。</w:t>
      </w:r>
    </w:p>
    <w:p w14:paraId="1281CB7D">
      <w:pPr>
        <w:pStyle w:val="7"/>
        <w:spacing w:line="288" w:lineRule="auto"/>
        <w:rPr>
          <w:rFonts w:hAnsi="宋体" w:cs="宋体"/>
          <w:color w:val="auto"/>
          <w:sz w:val="21"/>
          <w:szCs w:val="21"/>
          <w:highlight w:val="none"/>
        </w:rPr>
      </w:pPr>
    </w:p>
    <w:p w14:paraId="0B67510B">
      <w:pPr>
        <w:pStyle w:val="65"/>
        <w:adjustRightInd w:val="0"/>
        <w:snapToGrid w:val="0"/>
        <w:spacing w:line="288" w:lineRule="auto"/>
        <w:ind w:firstLine="396" w:firstLineChars="200"/>
        <w:rPr>
          <w:rFonts w:ascii="宋体" w:hAnsi="宋体" w:eastAsia="宋体" w:cs="宋体"/>
          <w:color w:val="auto"/>
          <w:highlight w:val="none"/>
          <w:lang w:val="zh-TW" w:eastAsia="zh-TW"/>
        </w:rPr>
      </w:pPr>
      <w:r>
        <w:rPr>
          <w:rFonts w:hint="eastAsia" w:ascii="宋体" w:hAnsi="宋体" w:eastAsia="宋体" w:cs="宋体"/>
          <w:color w:val="auto"/>
          <w:spacing w:val="-6"/>
          <w:highlight w:val="none"/>
          <w:u w:val="single"/>
        </w:rPr>
        <w:t>浙江求是招标代理有限公司</w:t>
      </w:r>
      <w:r>
        <w:rPr>
          <w:rFonts w:hint="eastAsia" w:ascii="宋体" w:hAnsi="宋体" w:eastAsia="宋体" w:cs="宋体"/>
          <w:color w:val="auto"/>
          <w:spacing w:val="-6"/>
          <w:highlight w:val="none"/>
        </w:rPr>
        <w:t>受浙江树人学院委托，</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u w:val="single"/>
          <w:lang w:eastAsia="zh-CN"/>
        </w:rPr>
        <w:t>后勤智慧餐厅与仓储管理系统</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（采购编号：</w:t>
      </w:r>
      <w:r>
        <w:rPr>
          <w:rFonts w:hint="eastAsia" w:ascii="宋体" w:hAnsi="宋体" w:eastAsia="宋体" w:cs="宋体"/>
          <w:color w:val="auto"/>
          <w:spacing w:val="-6"/>
          <w:highlight w:val="none"/>
          <w:lang w:eastAsia="zh-CN"/>
        </w:rPr>
        <w:t>QSZBB250106ZHCS</w:t>
      </w:r>
      <w:r>
        <w:rPr>
          <w:rFonts w:hint="eastAsia" w:ascii="宋体" w:hAnsi="宋体" w:eastAsia="宋体" w:cs="宋体"/>
          <w:color w:val="auto"/>
          <w:spacing w:val="-6"/>
          <w:highlight w:val="none"/>
        </w:rPr>
        <w:t xml:space="preserve"> ）项目经</w:t>
      </w:r>
      <w:r>
        <w:rPr>
          <w:rFonts w:hint="eastAsia" w:ascii="宋体" w:hAnsi="宋体" w:eastAsia="宋体" w:cs="宋体"/>
          <w:color w:val="auto"/>
          <w:spacing w:val="-6"/>
          <w:highlight w:val="none"/>
          <w:u w:val="single"/>
        </w:rPr>
        <w:t xml:space="preserve"> 竞争性磋商 </w:t>
      </w:r>
      <w:r>
        <w:rPr>
          <w:rFonts w:hint="eastAsia" w:ascii="宋体" w:hAnsi="宋体" w:eastAsia="宋体" w:cs="宋体"/>
          <w:color w:val="auto"/>
          <w:spacing w:val="-6"/>
          <w:highlight w:val="none"/>
        </w:rPr>
        <w:t>，确定</w:t>
      </w:r>
      <w:r>
        <w:rPr>
          <w:rFonts w:hint="eastAsia" w:ascii="宋体" w:hAnsi="宋体" w:eastAsia="宋体" w:cs="宋体"/>
          <w:color w:val="auto"/>
          <w:spacing w:val="-6"/>
          <w:highlight w:val="none"/>
          <w:u w:val="single"/>
        </w:rPr>
        <w:t xml:space="preserve">   （供应商名称）</w:t>
      </w:r>
      <w:r>
        <w:rPr>
          <w:rFonts w:hint="eastAsia" w:ascii="宋体" w:hAnsi="宋体" w:eastAsia="宋体" w:cs="宋体"/>
          <w:color w:val="auto"/>
          <w:spacing w:val="-6"/>
          <w:highlight w:val="none"/>
        </w:rPr>
        <w:t>为供货单位。依据《中华人民共和国民法典》及相关法律法规，本着相互合作、互利互惠的原则，经充分协商，订立本合同。</w:t>
      </w:r>
      <w:r>
        <w:rPr>
          <w:rFonts w:hint="eastAsia" w:ascii="宋体" w:hAnsi="宋体" w:eastAsia="宋体" w:cs="宋体"/>
          <w:color w:val="auto"/>
          <w:highlight w:val="none"/>
          <w:lang w:val="zh-TW" w:eastAsia="zh-TW"/>
        </w:rPr>
        <w:t>下列文件构成本合同的组成部分，应该认为是一个整体，彼此相互解释，相互补充。</w:t>
      </w:r>
      <w:r>
        <w:rPr>
          <w:rFonts w:hint="eastAsia" w:ascii="宋体" w:hAnsi="宋体" w:eastAsia="宋体" w:cs="宋体"/>
          <w:color w:val="auto"/>
          <w:highlight w:val="none"/>
        </w:rPr>
        <w:t>这些文件包括但不限于：</w:t>
      </w:r>
    </w:p>
    <w:p w14:paraId="55D87612">
      <w:pPr>
        <w:pStyle w:val="65"/>
        <w:adjustRightInd w:val="0"/>
        <w:snapToGrid w:val="0"/>
        <w:spacing w:line="288"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zh-TW" w:eastAsia="zh-TW"/>
        </w:rPr>
        <w:t>本合同协议书</w:t>
      </w:r>
    </w:p>
    <w:p w14:paraId="20BE8BA2">
      <w:pPr>
        <w:pStyle w:val="65"/>
        <w:adjustRightInd w:val="0"/>
        <w:snapToGrid w:val="0"/>
        <w:spacing w:line="288" w:lineRule="auto"/>
        <w:ind w:firstLine="420" w:firstLineChars="200"/>
        <w:rPr>
          <w:rFonts w:ascii="宋体" w:hAnsi="宋体" w:eastAsia="宋体" w:cs="宋体"/>
          <w:color w:val="auto"/>
          <w:highlight w:val="none"/>
          <w:lang w:val="zh-TW" w:eastAsia="zh-TW"/>
        </w:rPr>
      </w:pPr>
      <w:r>
        <w:rPr>
          <w:rFonts w:hint="eastAsia" w:ascii="宋体" w:hAnsi="宋体" w:eastAsia="宋体" w:cs="宋体"/>
          <w:color w:val="auto"/>
          <w:highlight w:val="none"/>
        </w:rPr>
        <w:t>2、成交</w:t>
      </w:r>
      <w:r>
        <w:rPr>
          <w:rFonts w:hint="eastAsia" w:ascii="宋体" w:hAnsi="宋体" w:eastAsia="宋体" w:cs="宋体"/>
          <w:color w:val="auto"/>
          <w:highlight w:val="none"/>
          <w:lang w:val="zh-TW" w:eastAsia="zh-TW"/>
        </w:rPr>
        <w:t>通知书</w:t>
      </w:r>
    </w:p>
    <w:p w14:paraId="0A8A1774">
      <w:pPr>
        <w:pStyle w:val="65"/>
        <w:adjustRightInd w:val="0"/>
        <w:snapToGrid w:val="0"/>
        <w:spacing w:line="288" w:lineRule="auto"/>
        <w:ind w:firstLine="420" w:firstLineChars="200"/>
        <w:rPr>
          <w:rFonts w:ascii="宋体" w:hAnsi="宋体" w:eastAsia="宋体" w:cs="宋体"/>
          <w:color w:val="auto"/>
          <w:highlight w:val="none"/>
          <w:lang w:val="zh-TW" w:eastAsia="zh-TW"/>
        </w:rPr>
      </w:pPr>
      <w:r>
        <w:rPr>
          <w:rFonts w:hint="eastAsia" w:ascii="宋体" w:hAnsi="宋体" w:eastAsia="宋体" w:cs="宋体"/>
          <w:color w:val="auto"/>
          <w:highlight w:val="none"/>
        </w:rPr>
        <w:t>3、磋商响应</w:t>
      </w:r>
      <w:r>
        <w:rPr>
          <w:rFonts w:hint="eastAsia" w:ascii="宋体" w:hAnsi="宋体" w:eastAsia="宋体" w:cs="宋体"/>
          <w:color w:val="auto"/>
          <w:highlight w:val="none"/>
          <w:lang w:val="zh-TW" w:eastAsia="zh-TW"/>
        </w:rPr>
        <w:t>文件（含</w:t>
      </w:r>
      <w:r>
        <w:rPr>
          <w:rFonts w:hint="eastAsia" w:ascii="宋体" w:hAnsi="宋体" w:eastAsia="宋体" w:cs="宋体"/>
          <w:color w:val="auto"/>
          <w:highlight w:val="none"/>
        </w:rPr>
        <w:t>磋商承诺</w:t>
      </w:r>
      <w:r>
        <w:rPr>
          <w:rFonts w:hint="eastAsia" w:ascii="宋体" w:hAnsi="宋体" w:eastAsia="宋体" w:cs="宋体"/>
          <w:color w:val="auto"/>
          <w:highlight w:val="none"/>
          <w:lang w:val="zh-TW" w:eastAsia="zh-TW"/>
        </w:rPr>
        <w:t>文件）</w:t>
      </w:r>
    </w:p>
    <w:p w14:paraId="02347457">
      <w:pPr>
        <w:pStyle w:val="65"/>
        <w:adjustRightInd w:val="0"/>
        <w:snapToGrid w:val="0"/>
        <w:spacing w:line="288" w:lineRule="auto"/>
        <w:ind w:firstLine="420"/>
        <w:rPr>
          <w:rFonts w:ascii="宋体" w:hAnsi="宋体" w:eastAsia="宋体" w:cs="宋体"/>
          <w:color w:val="auto"/>
          <w:highlight w:val="none"/>
        </w:rPr>
      </w:pPr>
      <w:r>
        <w:rPr>
          <w:rFonts w:hint="eastAsia" w:ascii="宋体" w:hAnsi="宋体" w:eastAsia="宋体" w:cs="宋体"/>
          <w:color w:val="auto"/>
          <w:highlight w:val="none"/>
        </w:rPr>
        <w:t>4、竞争性磋商</w:t>
      </w:r>
      <w:r>
        <w:rPr>
          <w:rFonts w:hint="eastAsia" w:ascii="宋体" w:hAnsi="宋体" w:eastAsia="宋体" w:cs="宋体"/>
          <w:color w:val="auto"/>
          <w:highlight w:val="none"/>
          <w:lang w:val="zh-TW" w:eastAsia="zh-TW"/>
        </w:rPr>
        <w:t>文件（含</w:t>
      </w:r>
      <w:r>
        <w:rPr>
          <w:rFonts w:hint="eastAsia" w:ascii="宋体" w:hAnsi="宋体" w:eastAsia="宋体" w:cs="宋体"/>
          <w:color w:val="auto"/>
          <w:highlight w:val="none"/>
          <w:lang w:val="zh-TW"/>
        </w:rPr>
        <w:t>采购</w:t>
      </w:r>
      <w:r>
        <w:rPr>
          <w:rFonts w:hint="eastAsia" w:ascii="宋体" w:hAnsi="宋体" w:eastAsia="宋体" w:cs="宋体"/>
          <w:color w:val="auto"/>
          <w:highlight w:val="none"/>
          <w:lang w:val="zh-TW" w:eastAsia="zh-TW"/>
        </w:rPr>
        <w:t>文件补充）</w:t>
      </w:r>
    </w:p>
    <w:p w14:paraId="7DBAF389">
      <w:pPr>
        <w:pStyle w:val="65"/>
        <w:adjustRightInd w:val="0"/>
        <w:snapToGrid w:val="0"/>
        <w:spacing w:line="288" w:lineRule="auto"/>
        <w:ind w:firstLine="420"/>
        <w:rPr>
          <w:rFonts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val="zh-TW" w:eastAsia="zh-TW"/>
        </w:rPr>
        <w:t>其他合同文件</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p>
    <w:p w14:paraId="06F1C3C3">
      <w:pPr>
        <w:pStyle w:val="65"/>
        <w:adjustRightInd w:val="0"/>
        <w:snapToGri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上述各项合同文件包括合同当事人就该项合同文件所作出的补充和修改，属于同一类内容的文件，应以最新签署的为准。</w:t>
      </w:r>
    </w:p>
    <w:p w14:paraId="69DDF05B">
      <w:pPr>
        <w:spacing w:line="288" w:lineRule="auto"/>
        <w:rPr>
          <w:b/>
          <w:color w:val="auto"/>
          <w:spacing w:val="-6"/>
          <w:sz w:val="21"/>
          <w:szCs w:val="21"/>
          <w:highlight w:val="none"/>
        </w:rPr>
      </w:pPr>
      <w:r>
        <w:rPr>
          <w:rFonts w:hint="eastAsia"/>
          <w:b/>
          <w:color w:val="auto"/>
          <w:spacing w:val="-6"/>
          <w:sz w:val="21"/>
          <w:szCs w:val="21"/>
          <w:highlight w:val="none"/>
        </w:rPr>
        <w:t>第一条：采购商品清单及合同价格</w:t>
      </w:r>
    </w:p>
    <w:tbl>
      <w:tblPr>
        <w:tblStyle w:val="2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679"/>
        <w:gridCol w:w="1481"/>
        <w:gridCol w:w="856"/>
        <w:gridCol w:w="704"/>
        <w:gridCol w:w="927"/>
        <w:gridCol w:w="1065"/>
        <w:gridCol w:w="2138"/>
      </w:tblGrid>
      <w:tr w14:paraId="6DD5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396" w:type="pct"/>
            <w:tcBorders>
              <w:top w:val="single" w:color="auto" w:sz="4" w:space="0"/>
              <w:left w:val="single" w:color="auto" w:sz="4" w:space="0"/>
              <w:bottom w:val="single" w:color="auto" w:sz="4" w:space="0"/>
              <w:right w:val="single" w:color="auto" w:sz="4" w:space="0"/>
            </w:tcBorders>
            <w:vAlign w:val="center"/>
          </w:tcPr>
          <w:p w14:paraId="66E45D3E">
            <w:pPr>
              <w:spacing w:line="288" w:lineRule="auto"/>
              <w:jc w:val="center"/>
              <w:rPr>
                <w:color w:val="auto"/>
                <w:spacing w:val="-6"/>
                <w:sz w:val="21"/>
                <w:szCs w:val="21"/>
                <w:highlight w:val="none"/>
              </w:rPr>
            </w:pPr>
            <w:r>
              <w:rPr>
                <w:rFonts w:hint="eastAsia"/>
                <w:color w:val="auto"/>
                <w:spacing w:val="-6"/>
                <w:sz w:val="21"/>
                <w:szCs w:val="21"/>
                <w:highlight w:val="none"/>
              </w:rPr>
              <w:t>序号</w:t>
            </w:r>
          </w:p>
        </w:tc>
        <w:tc>
          <w:tcPr>
            <w:tcW w:w="873" w:type="pct"/>
            <w:tcBorders>
              <w:top w:val="single" w:color="auto" w:sz="4" w:space="0"/>
              <w:left w:val="nil"/>
              <w:bottom w:val="single" w:color="auto" w:sz="4" w:space="0"/>
              <w:right w:val="single" w:color="auto" w:sz="4" w:space="0"/>
            </w:tcBorders>
            <w:vAlign w:val="center"/>
          </w:tcPr>
          <w:p w14:paraId="6F171C50">
            <w:pPr>
              <w:spacing w:line="288" w:lineRule="auto"/>
              <w:jc w:val="center"/>
              <w:rPr>
                <w:color w:val="auto"/>
                <w:spacing w:val="-6"/>
                <w:sz w:val="21"/>
                <w:szCs w:val="21"/>
                <w:highlight w:val="none"/>
              </w:rPr>
            </w:pPr>
            <w:r>
              <w:rPr>
                <w:rFonts w:hint="eastAsia"/>
                <w:color w:val="auto"/>
                <w:spacing w:val="-6"/>
                <w:sz w:val="21"/>
                <w:szCs w:val="21"/>
                <w:highlight w:val="none"/>
              </w:rPr>
              <w:t>货物名称</w:t>
            </w:r>
          </w:p>
        </w:tc>
        <w:tc>
          <w:tcPr>
            <w:tcW w:w="770" w:type="pct"/>
            <w:tcBorders>
              <w:top w:val="single" w:color="auto" w:sz="4" w:space="0"/>
              <w:left w:val="nil"/>
              <w:bottom w:val="single" w:color="auto" w:sz="4" w:space="0"/>
              <w:right w:val="single" w:color="auto" w:sz="4" w:space="0"/>
            </w:tcBorders>
            <w:vAlign w:val="center"/>
          </w:tcPr>
          <w:p w14:paraId="2953F773">
            <w:pPr>
              <w:spacing w:line="288" w:lineRule="auto"/>
              <w:jc w:val="center"/>
              <w:rPr>
                <w:color w:val="auto"/>
                <w:spacing w:val="-6"/>
                <w:sz w:val="21"/>
                <w:szCs w:val="21"/>
                <w:highlight w:val="none"/>
              </w:rPr>
            </w:pPr>
            <w:r>
              <w:rPr>
                <w:rFonts w:hint="eastAsia"/>
                <w:color w:val="auto"/>
                <w:spacing w:val="-6"/>
                <w:sz w:val="21"/>
                <w:szCs w:val="21"/>
                <w:highlight w:val="none"/>
              </w:rPr>
              <w:t>规格型号</w:t>
            </w:r>
          </w:p>
        </w:tc>
        <w:tc>
          <w:tcPr>
            <w:tcW w:w="445" w:type="pct"/>
            <w:tcBorders>
              <w:top w:val="single" w:color="auto" w:sz="4" w:space="0"/>
              <w:left w:val="nil"/>
              <w:bottom w:val="single" w:color="auto" w:sz="4" w:space="0"/>
              <w:right w:val="single" w:color="auto" w:sz="4" w:space="0"/>
            </w:tcBorders>
            <w:vAlign w:val="center"/>
          </w:tcPr>
          <w:p w14:paraId="0CC146B4">
            <w:pPr>
              <w:spacing w:line="288" w:lineRule="auto"/>
              <w:jc w:val="center"/>
              <w:rPr>
                <w:color w:val="auto"/>
                <w:spacing w:val="-6"/>
                <w:sz w:val="21"/>
                <w:szCs w:val="21"/>
                <w:highlight w:val="none"/>
              </w:rPr>
            </w:pPr>
            <w:r>
              <w:rPr>
                <w:rFonts w:hint="eastAsia"/>
                <w:color w:val="auto"/>
                <w:spacing w:val="-6"/>
                <w:sz w:val="21"/>
                <w:szCs w:val="21"/>
                <w:highlight w:val="none"/>
              </w:rPr>
              <w:t>数量</w:t>
            </w:r>
          </w:p>
        </w:tc>
        <w:tc>
          <w:tcPr>
            <w:tcW w:w="366" w:type="pct"/>
            <w:tcBorders>
              <w:top w:val="single" w:color="auto" w:sz="4" w:space="0"/>
              <w:left w:val="nil"/>
              <w:bottom w:val="single" w:color="auto" w:sz="4" w:space="0"/>
              <w:right w:val="single" w:color="auto" w:sz="4" w:space="0"/>
            </w:tcBorders>
            <w:vAlign w:val="center"/>
          </w:tcPr>
          <w:p w14:paraId="50E06151">
            <w:pPr>
              <w:spacing w:line="288" w:lineRule="auto"/>
              <w:jc w:val="center"/>
              <w:rPr>
                <w:color w:val="auto"/>
                <w:spacing w:val="-6"/>
                <w:sz w:val="21"/>
                <w:szCs w:val="21"/>
                <w:highlight w:val="none"/>
              </w:rPr>
            </w:pPr>
            <w:r>
              <w:rPr>
                <w:rFonts w:hint="eastAsia"/>
                <w:color w:val="auto"/>
                <w:spacing w:val="-6"/>
                <w:sz w:val="21"/>
                <w:szCs w:val="21"/>
                <w:highlight w:val="none"/>
              </w:rPr>
              <w:t>单位</w:t>
            </w:r>
          </w:p>
        </w:tc>
        <w:tc>
          <w:tcPr>
            <w:tcW w:w="481" w:type="pct"/>
            <w:tcBorders>
              <w:top w:val="single" w:color="auto" w:sz="4" w:space="0"/>
              <w:left w:val="nil"/>
              <w:bottom w:val="single" w:color="auto" w:sz="4" w:space="0"/>
              <w:right w:val="single" w:color="auto" w:sz="4" w:space="0"/>
            </w:tcBorders>
            <w:vAlign w:val="center"/>
          </w:tcPr>
          <w:p w14:paraId="5565ED93">
            <w:pPr>
              <w:spacing w:line="288" w:lineRule="auto"/>
              <w:jc w:val="center"/>
              <w:rPr>
                <w:color w:val="auto"/>
                <w:spacing w:val="-6"/>
                <w:sz w:val="21"/>
                <w:szCs w:val="21"/>
                <w:highlight w:val="none"/>
              </w:rPr>
            </w:pPr>
            <w:r>
              <w:rPr>
                <w:rFonts w:hint="eastAsia"/>
                <w:color w:val="auto"/>
                <w:spacing w:val="-6"/>
                <w:sz w:val="21"/>
                <w:szCs w:val="21"/>
                <w:highlight w:val="none"/>
              </w:rPr>
              <w:t>单价</w:t>
            </w:r>
          </w:p>
        </w:tc>
        <w:tc>
          <w:tcPr>
            <w:tcW w:w="554" w:type="pct"/>
            <w:tcBorders>
              <w:top w:val="single" w:color="auto" w:sz="4" w:space="0"/>
              <w:left w:val="nil"/>
              <w:bottom w:val="single" w:color="auto" w:sz="4" w:space="0"/>
              <w:right w:val="single" w:color="auto" w:sz="4" w:space="0"/>
            </w:tcBorders>
            <w:vAlign w:val="center"/>
          </w:tcPr>
          <w:p w14:paraId="721EBAA6">
            <w:pPr>
              <w:spacing w:line="288" w:lineRule="auto"/>
              <w:jc w:val="center"/>
              <w:rPr>
                <w:color w:val="auto"/>
                <w:spacing w:val="-6"/>
                <w:sz w:val="21"/>
                <w:szCs w:val="21"/>
                <w:highlight w:val="none"/>
              </w:rPr>
            </w:pPr>
            <w:r>
              <w:rPr>
                <w:rFonts w:hint="eastAsia"/>
                <w:color w:val="auto"/>
                <w:spacing w:val="-6"/>
                <w:sz w:val="21"/>
                <w:szCs w:val="21"/>
                <w:highlight w:val="none"/>
              </w:rPr>
              <w:t>金额</w:t>
            </w:r>
          </w:p>
        </w:tc>
        <w:tc>
          <w:tcPr>
            <w:tcW w:w="1112" w:type="pct"/>
            <w:tcBorders>
              <w:top w:val="single" w:color="auto" w:sz="4" w:space="0"/>
              <w:left w:val="nil"/>
              <w:bottom w:val="single" w:color="auto" w:sz="4" w:space="0"/>
              <w:right w:val="single" w:color="auto" w:sz="4" w:space="0"/>
            </w:tcBorders>
            <w:vAlign w:val="center"/>
          </w:tcPr>
          <w:p w14:paraId="415FE390">
            <w:pPr>
              <w:spacing w:line="288" w:lineRule="auto"/>
              <w:jc w:val="center"/>
              <w:rPr>
                <w:color w:val="auto"/>
                <w:spacing w:val="-6"/>
                <w:sz w:val="21"/>
                <w:szCs w:val="21"/>
                <w:highlight w:val="none"/>
              </w:rPr>
            </w:pPr>
            <w:r>
              <w:rPr>
                <w:rFonts w:hint="eastAsia"/>
                <w:color w:val="auto"/>
                <w:spacing w:val="-6"/>
                <w:sz w:val="21"/>
                <w:szCs w:val="21"/>
                <w:highlight w:val="none"/>
              </w:rPr>
              <w:t>生产厂家</w:t>
            </w:r>
          </w:p>
        </w:tc>
      </w:tr>
      <w:tr w14:paraId="4B38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396" w:type="pct"/>
            <w:tcBorders>
              <w:top w:val="single" w:color="auto" w:sz="4" w:space="0"/>
              <w:left w:val="single" w:color="auto" w:sz="4" w:space="0"/>
              <w:bottom w:val="single" w:color="auto" w:sz="4" w:space="0"/>
              <w:right w:val="single" w:color="auto" w:sz="4" w:space="0"/>
            </w:tcBorders>
            <w:vAlign w:val="center"/>
          </w:tcPr>
          <w:p w14:paraId="611AAF91">
            <w:pPr>
              <w:spacing w:line="288" w:lineRule="auto"/>
              <w:jc w:val="center"/>
              <w:rPr>
                <w:color w:val="auto"/>
                <w:spacing w:val="-6"/>
                <w:sz w:val="21"/>
                <w:szCs w:val="21"/>
                <w:highlight w:val="none"/>
              </w:rPr>
            </w:pPr>
            <w:r>
              <w:rPr>
                <w:rFonts w:hint="eastAsia"/>
                <w:color w:val="auto"/>
                <w:spacing w:val="-6"/>
                <w:sz w:val="21"/>
                <w:szCs w:val="21"/>
                <w:highlight w:val="none"/>
              </w:rPr>
              <w:t>1</w:t>
            </w:r>
          </w:p>
        </w:tc>
        <w:tc>
          <w:tcPr>
            <w:tcW w:w="873" w:type="pct"/>
            <w:tcBorders>
              <w:top w:val="single" w:color="auto" w:sz="4" w:space="0"/>
              <w:left w:val="nil"/>
              <w:bottom w:val="single" w:color="auto" w:sz="4" w:space="0"/>
              <w:right w:val="single" w:color="auto" w:sz="4" w:space="0"/>
            </w:tcBorders>
            <w:vAlign w:val="center"/>
          </w:tcPr>
          <w:p w14:paraId="0D417BE6">
            <w:pPr>
              <w:spacing w:line="288" w:lineRule="auto"/>
              <w:rPr>
                <w:color w:val="auto"/>
                <w:spacing w:val="-6"/>
                <w:sz w:val="21"/>
                <w:szCs w:val="21"/>
                <w:highlight w:val="none"/>
              </w:rPr>
            </w:pPr>
          </w:p>
        </w:tc>
        <w:tc>
          <w:tcPr>
            <w:tcW w:w="770" w:type="pct"/>
            <w:tcBorders>
              <w:top w:val="single" w:color="auto" w:sz="4" w:space="0"/>
              <w:left w:val="nil"/>
              <w:bottom w:val="single" w:color="auto" w:sz="4" w:space="0"/>
              <w:right w:val="single" w:color="auto" w:sz="4" w:space="0"/>
            </w:tcBorders>
            <w:vAlign w:val="center"/>
          </w:tcPr>
          <w:p w14:paraId="016BFF74">
            <w:pPr>
              <w:spacing w:line="288" w:lineRule="auto"/>
              <w:rPr>
                <w:color w:val="auto"/>
                <w:spacing w:val="-6"/>
                <w:sz w:val="21"/>
                <w:szCs w:val="21"/>
                <w:highlight w:val="none"/>
              </w:rPr>
            </w:pPr>
          </w:p>
        </w:tc>
        <w:tc>
          <w:tcPr>
            <w:tcW w:w="445" w:type="pct"/>
            <w:tcBorders>
              <w:top w:val="single" w:color="auto" w:sz="4" w:space="0"/>
              <w:left w:val="nil"/>
              <w:bottom w:val="single" w:color="auto" w:sz="4" w:space="0"/>
              <w:right w:val="single" w:color="auto" w:sz="4" w:space="0"/>
            </w:tcBorders>
            <w:vAlign w:val="center"/>
          </w:tcPr>
          <w:p w14:paraId="3A6238B6">
            <w:pPr>
              <w:spacing w:line="288" w:lineRule="auto"/>
              <w:rPr>
                <w:color w:val="auto"/>
                <w:spacing w:val="-6"/>
                <w:sz w:val="21"/>
                <w:szCs w:val="21"/>
                <w:highlight w:val="none"/>
              </w:rPr>
            </w:pPr>
          </w:p>
        </w:tc>
        <w:tc>
          <w:tcPr>
            <w:tcW w:w="366" w:type="pct"/>
            <w:tcBorders>
              <w:top w:val="single" w:color="auto" w:sz="4" w:space="0"/>
              <w:left w:val="nil"/>
              <w:bottom w:val="single" w:color="auto" w:sz="4" w:space="0"/>
              <w:right w:val="single" w:color="auto" w:sz="4" w:space="0"/>
            </w:tcBorders>
            <w:vAlign w:val="center"/>
          </w:tcPr>
          <w:p w14:paraId="42B8FB1B">
            <w:pPr>
              <w:spacing w:line="288" w:lineRule="auto"/>
              <w:jc w:val="center"/>
              <w:rPr>
                <w:color w:val="auto"/>
                <w:spacing w:val="-6"/>
                <w:sz w:val="21"/>
                <w:szCs w:val="21"/>
                <w:highlight w:val="none"/>
              </w:rPr>
            </w:pPr>
          </w:p>
        </w:tc>
        <w:tc>
          <w:tcPr>
            <w:tcW w:w="481" w:type="pct"/>
            <w:tcBorders>
              <w:top w:val="single" w:color="auto" w:sz="4" w:space="0"/>
              <w:left w:val="nil"/>
              <w:bottom w:val="single" w:color="auto" w:sz="4" w:space="0"/>
              <w:right w:val="single" w:color="auto" w:sz="4" w:space="0"/>
            </w:tcBorders>
            <w:vAlign w:val="center"/>
          </w:tcPr>
          <w:p w14:paraId="493903E0">
            <w:pPr>
              <w:spacing w:line="288" w:lineRule="auto"/>
              <w:rPr>
                <w:color w:val="auto"/>
                <w:spacing w:val="-6"/>
                <w:sz w:val="21"/>
                <w:szCs w:val="21"/>
                <w:highlight w:val="none"/>
              </w:rPr>
            </w:pPr>
          </w:p>
        </w:tc>
        <w:tc>
          <w:tcPr>
            <w:tcW w:w="554" w:type="pct"/>
            <w:tcBorders>
              <w:top w:val="single" w:color="auto" w:sz="4" w:space="0"/>
              <w:left w:val="nil"/>
              <w:bottom w:val="single" w:color="auto" w:sz="4" w:space="0"/>
              <w:right w:val="single" w:color="auto" w:sz="4" w:space="0"/>
            </w:tcBorders>
            <w:vAlign w:val="center"/>
          </w:tcPr>
          <w:p w14:paraId="7B4F82C2">
            <w:pPr>
              <w:spacing w:line="288" w:lineRule="auto"/>
              <w:rPr>
                <w:color w:val="auto"/>
                <w:spacing w:val="-6"/>
                <w:sz w:val="21"/>
                <w:szCs w:val="21"/>
                <w:highlight w:val="none"/>
              </w:rPr>
            </w:pPr>
          </w:p>
        </w:tc>
        <w:tc>
          <w:tcPr>
            <w:tcW w:w="1112" w:type="pct"/>
            <w:tcBorders>
              <w:top w:val="single" w:color="auto" w:sz="4" w:space="0"/>
              <w:left w:val="nil"/>
              <w:bottom w:val="single" w:color="auto" w:sz="4" w:space="0"/>
              <w:right w:val="single" w:color="auto" w:sz="4" w:space="0"/>
            </w:tcBorders>
            <w:vAlign w:val="center"/>
          </w:tcPr>
          <w:p w14:paraId="0A858F40">
            <w:pPr>
              <w:spacing w:line="288" w:lineRule="auto"/>
              <w:rPr>
                <w:color w:val="auto"/>
                <w:spacing w:val="-6"/>
                <w:sz w:val="21"/>
                <w:szCs w:val="21"/>
                <w:highlight w:val="none"/>
              </w:rPr>
            </w:pPr>
          </w:p>
        </w:tc>
      </w:tr>
      <w:tr w14:paraId="6E2F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396" w:type="pct"/>
            <w:tcBorders>
              <w:top w:val="single" w:color="auto" w:sz="4" w:space="0"/>
              <w:left w:val="single" w:color="auto" w:sz="4" w:space="0"/>
              <w:bottom w:val="single" w:color="auto" w:sz="4" w:space="0"/>
              <w:right w:val="single" w:color="auto" w:sz="4" w:space="0"/>
            </w:tcBorders>
            <w:vAlign w:val="center"/>
          </w:tcPr>
          <w:p w14:paraId="225A35C4">
            <w:pPr>
              <w:spacing w:line="288" w:lineRule="auto"/>
              <w:jc w:val="center"/>
              <w:rPr>
                <w:color w:val="auto"/>
                <w:spacing w:val="-6"/>
                <w:sz w:val="21"/>
                <w:szCs w:val="21"/>
                <w:highlight w:val="none"/>
              </w:rPr>
            </w:pPr>
            <w:r>
              <w:rPr>
                <w:rFonts w:hint="eastAsia"/>
                <w:color w:val="auto"/>
                <w:spacing w:val="-6"/>
                <w:sz w:val="21"/>
                <w:szCs w:val="21"/>
                <w:highlight w:val="none"/>
              </w:rPr>
              <w:t>2</w:t>
            </w:r>
          </w:p>
        </w:tc>
        <w:tc>
          <w:tcPr>
            <w:tcW w:w="873" w:type="pct"/>
            <w:tcBorders>
              <w:top w:val="single" w:color="auto" w:sz="4" w:space="0"/>
              <w:left w:val="nil"/>
              <w:bottom w:val="single" w:color="auto" w:sz="4" w:space="0"/>
              <w:right w:val="single" w:color="auto" w:sz="4" w:space="0"/>
            </w:tcBorders>
            <w:vAlign w:val="center"/>
          </w:tcPr>
          <w:p w14:paraId="5590A19F">
            <w:pPr>
              <w:spacing w:line="288" w:lineRule="auto"/>
              <w:rPr>
                <w:color w:val="auto"/>
                <w:spacing w:val="-6"/>
                <w:sz w:val="21"/>
                <w:szCs w:val="21"/>
                <w:highlight w:val="none"/>
              </w:rPr>
            </w:pPr>
          </w:p>
        </w:tc>
        <w:tc>
          <w:tcPr>
            <w:tcW w:w="770" w:type="pct"/>
            <w:tcBorders>
              <w:top w:val="single" w:color="auto" w:sz="4" w:space="0"/>
              <w:left w:val="nil"/>
              <w:bottom w:val="single" w:color="auto" w:sz="4" w:space="0"/>
              <w:right w:val="single" w:color="auto" w:sz="4" w:space="0"/>
            </w:tcBorders>
            <w:vAlign w:val="center"/>
          </w:tcPr>
          <w:p w14:paraId="211F91DF">
            <w:pPr>
              <w:spacing w:line="288" w:lineRule="auto"/>
              <w:rPr>
                <w:color w:val="auto"/>
                <w:spacing w:val="-6"/>
                <w:sz w:val="21"/>
                <w:szCs w:val="21"/>
                <w:highlight w:val="none"/>
              </w:rPr>
            </w:pPr>
          </w:p>
        </w:tc>
        <w:tc>
          <w:tcPr>
            <w:tcW w:w="445" w:type="pct"/>
            <w:tcBorders>
              <w:top w:val="single" w:color="auto" w:sz="4" w:space="0"/>
              <w:left w:val="nil"/>
              <w:bottom w:val="single" w:color="auto" w:sz="4" w:space="0"/>
              <w:right w:val="single" w:color="auto" w:sz="4" w:space="0"/>
            </w:tcBorders>
            <w:vAlign w:val="center"/>
          </w:tcPr>
          <w:p w14:paraId="5F23CC32">
            <w:pPr>
              <w:spacing w:line="288" w:lineRule="auto"/>
              <w:rPr>
                <w:color w:val="auto"/>
                <w:spacing w:val="-6"/>
                <w:sz w:val="21"/>
                <w:szCs w:val="21"/>
                <w:highlight w:val="none"/>
              </w:rPr>
            </w:pPr>
          </w:p>
        </w:tc>
        <w:tc>
          <w:tcPr>
            <w:tcW w:w="366" w:type="pct"/>
            <w:tcBorders>
              <w:top w:val="single" w:color="auto" w:sz="4" w:space="0"/>
              <w:left w:val="nil"/>
              <w:bottom w:val="single" w:color="auto" w:sz="4" w:space="0"/>
              <w:right w:val="single" w:color="auto" w:sz="4" w:space="0"/>
            </w:tcBorders>
            <w:vAlign w:val="center"/>
          </w:tcPr>
          <w:p w14:paraId="3B65C4AC">
            <w:pPr>
              <w:spacing w:line="288" w:lineRule="auto"/>
              <w:jc w:val="center"/>
              <w:rPr>
                <w:color w:val="auto"/>
                <w:spacing w:val="-6"/>
                <w:sz w:val="21"/>
                <w:szCs w:val="21"/>
                <w:highlight w:val="none"/>
              </w:rPr>
            </w:pPr>
          </w:p>
        </w:tc>
        <w:tc>
          <w:tcPr>
            <w:tcW w:w="481" w:type="pct"/>
            <w:tcBorders>
              <w:top w:val="single" w:color="auto" w:sz="4" w:space="0"/>
              <w:left w:val="nil"/>
              <w:bottom w:val="single" w:color="auto" w:sz="4" w:space="0"/>
              <w:right w:val="single" w:color="auto" w:sz="4" w:space="0"/>
            </w:tcBorders>
            <w:vAlign w:val="center"/>
          </w:tcPr>
          <w:p w14:paraId="5A3F76F3">
            <w:pPr>
              <w:spacing w:line="288" w:lineRule="auto"/>
              <w:rPr>
                <w:color w:val="auto"/>
                <w:spacing w:val="-6"/>
                <w:sz w:val="21"/>
                <w:szCs w:val="21"/>
                <w:highlight w:val="none"/>
              </w:rPr>
            </w:pPr>
          </w:p>
        </w:tc>
        <w:tc>
          <w:tcPr>
            <w:tcW w:w="554" w:type="pct"/>
            <w:tcBorders>
              <w:top w:val="single" w:color="auto" w:sz="4" w:space="0"/>
              <w:left w:val="nil"/>
              <w:bottom w:val="single" w:color="auto" w:sz="4" w:space="0"/>
              <w:right w:val="single" w:color="auto" w:sz="4" w:space="0"/>
            </w:tcBorders>
            <w:vAlign w:val="center"/>
          </w:tcPr>
          <w:p w14:paraId="0811A1FE">
            <w:pPr>
              <w:spacing w:line="288" w:lineRule="auto"/>
              <w:rPr>
                <w:color w:val="auto"/>
                <w:spacing w:val="-6"/>
                <w:sz w:val="21"/>
                <w:szCs w:val="21"/>
                <w:highlight w:val="none"/>
              </w:rPr>
            </w:pPr>
          </w:p>
        </w:tc>
        <w:tc>
          <w:tcPr>
            <w:tcW w:w="1112" w:type="pct"/>
            <w:tcBorders>
              <w:top w:val="single" w:color="auto" w:sz="4" w:space="0"/>
              <w:left w:val="nil"/>
              <w:bottom w:val="single" w:color="auto" w:sz="4" w:space="0"/>
              <w:right w:val="single" w:color="auto" w:sz="4" w:space="0"/>
            </w:tcBorders>
            <w:vAlign w:val="center"/>
          </w:tcPr>
          <w:p w14:paraId="7E4B1671">
            <w:pPr>
              <w:spacing w:line="288" w:lineRule="auto"/>
              <w:rPr>
                <w:color w:val="auto"/>
                <w:spacing w:val="-6"/>
                <w:sz w:val="21"/>
                <w:szCs w:val="21"/>
                <w:highlight w:val="none"/>
              </w:rPr>
            </w:pPr>
          </w:p>
        </w:tc>
      </w:tr>
      <w:tr w14:paraId="44E4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396" w:type="pct"/>
            <w:tcBorders>
              <w:top w:val="single" w:color="auto" w:sz="4" w:space="0"/>
              <w:left w:val="single" w:color="auto" w:sz="4" w:space="0"/>
              <w:bottom w:val="single" w:color="auto" w:sz="4" w:space="0"/>
              <w:right w:val="single" w:color="auto" w:sz="4" w:space="0"/>
            </w:tcBorders>
            <w:vAlign w:val="center"/>
          </w:tcPr>
          <w:p w14:paraId="44022367">
            <w:pPr>
              <w:spacing w:line="288" w:lineRule="auto"/>
              <w:jc w:val="center"/>
              <w:rPr>
                <w:color w:val="auto"/>
                <w:spacing w:val="-6"/>
                <w:sz w:val="21"/>
                <w:szCs w:val="21"/>
                <w:highlight w:val="none"/>
              </w:rPr>
            </w:pPr>
            <w:r>
              <w:rPr>
                <w:rFonts w:hint="eastAsia"/>
                <w:color w:val="auto"/>
                <w:spacing w:val="-6"/>
                <w:sz w:val="21"/>
                <w:szCs w:val="21"/>
                <w:highlight w:val="none"/>
              </w:rPr>
              <w:t>3</w:t>
            </w:r>
          </w:p>
        </w:tc>
        <w:tc>
          <w:tcPr>
            <w:tcW w:w="873" w:type="pct"/>
            <w:tcBorders>
              <w:top w:val="single" w:color="auto" w:sz="4" w:space="0"/>
              <w:left w:val="nil"/>
              <w:bottom w:val="single" w:color="auto" w:sz="4" w:space="0"/>
              <w:right w:val="single" w:color="auto" w:sz="4" w:space="0"/>
            </w:tcBorders>
            <w:vAlign w:val="center"/>
          </w:tcPr>
          <w:p w14:paraId="7A8E16A6">
            <w:pPr>
              <w:spacing w:line="288" w:lineRule="auto"/>
              <w:rPr>
                <w:color w:val="auto"/>
                <w:spacing w:val="-6"/>
                <w:sz w:val="21"/>
                <w:szCs w:val="21"/>
                <w:highlight w:val="none"/>
              </w:rPr>
            </w:pPr>
          </w:p>
        </w:tc>
        <w:tc>
          <w:tcPr>
            <w:tcW w:w="770" w:type="pct"/>
            <w:tcBorders>
              <w:top w:val="single" w:color="auto" w:sz="4" w:space="0"/>
              <w:left w:val="nil"/>
              <w:bottom w:val="single" w:color="auto" w:sz="4" w:space="0"/>
              <w:right w:val="single" w:color="auto" w:sz="4" w:space="0"/>
            </w:tcBorders>
            <w:vAlign w:val="center"/>
          </w:tcPr>
          <w:p w14:paraId="7343BDAF">
            <w:pPr>
              <w:spacing w:line="288" w:lineRule="auto"/>
              <w:rPr>
                <w:color w:val="auto"/>
                <w:spacing w:val="-6"/>
                <w:sz w:val="21"/>
                <w:szCs w:val="21"/>
                <w:highlight w:val="none"/>
              </w:rPr>
            </w:pPr>
          </w:p>
        </w:tc>
        <w:tc>
          <w:tcPr>
            <w:tcW w:w="445" w:type="pct"/>
            <w:tcBorders>
              <w:top w:val="single" w:color="auto" w:sz="4" w:space="0"/>
              <w:left w:val="nil"/>
              <w:bottom w:val="single" w:color="auto" w:sz="4" w:space="0"/>
              <w:right w:val="single" w:color="auto" w:sz="4" w:space="0"/>
            </w:tcBorders>
            <w:vAlign w:val="center"/>
          </w:tcPr>
          <w:p w14:paraId="0C746447">
            <w:pPr>
              <w:spacing w:line="288" w:lineRule="auto"/>
              <w:rPr>
                <w:color w:val="auto"/>
                <w:spacing w:val="-6"/>
                <w:sz w:val="21"/>
                <w:szCs w:val="21"/>
                <w:highlight w:val="none"/>
              </w:rPr>
            </w:pPr>
          </w:p>
        </w:tc>
        <w:tc>
          <w:tcPr>
            <w:tcW w:w="366" w:type="pct"/>
            <w:tcBorders>
              <w:top w:val="single" w:color="auto" w:sz="4" w:space="0"/>
              <w:left w:val="nil"/>
              <w:bottom w:val="single" w:color="auto" w:sz="4" w:space="0"/>
              <w:right w:val="single" w:color="auto" w:sz="4" w:space="0"/>
            </w:tcBorders>
            <w:vAlign w:val="center"/>
          </w:tcPr>
          <w:p w14:paraId="3C456E63">
            <w:pPr>
              <w:spacing w:line="288" w:lineRule="auto"/>
              <w:jc w:val="left"/>
              <w:rPr>
                <w:color w:val="auto"/>
                <w:spacing w:val="-6"/>
                <w:sz w:val="21"/>
                <w:szCs w:val="21"/>
                <w:highlight w:val="none"/>
              </w:rPr>
            </w:pPr>
          </w:p>
        </w:tc>
        <w:tc>
          <w:tcPr>
            <w:tcW w:w="481" w:type="pct"/>
            <w:tcBorders>
              <w:top w:val="single" w:color="auto" w:sz="4" w:space="0"/>
              <w:left w:val="nil"/>
              <w:bottom w:val="single" w:color="auto" w:sz="4" w:space="0"/>
              <w:right w:val="single" w:color="auto" w:sz="4" w:space="0"/>
            </w:tcBorders>
            <w:vAlign w:val="center"/>
          </w:tcPr>
          <w:p w14:paraId="4E4CDBC5">
            <w:pPr>
              <w:spacing w:line="288" w:lineRule="auto"/>
              <w:rPr>
                <w:color w:val="auto"/>
                <w:spacing w:val="-6"/>
                <w:sz w:val="21"/>
                <w:szCs w:val="21"/>
                <w:highlight w:val="none"/>
              </w:rPr>
            </w:pPr>
          </w:p>
        </w:tc>
        <w:tc>
          <w:tcPr>
            <w:tcW w:w="554" w:type="pct"/>
            <w:tcBorders>
              <w:top w:val="single" w:color="auto" w:sz="4" w:space="0"/>
              <w:left w:val="nil"/>
              <w:bottom w:val="single" w:color="auto" w:sz="4" w:space="0"/>
              <w:right w:val="single" w:color="auto" w:sz="4" w:space="0"/>
            </w:tcBorders>
            <w:vAlign w:val="center"/>
          </w:tcPr>
          <w:p w14:paraId="3C433D37">
            <w:pPr>
              <w:spacing w:line="288" w:lineRule="auto"/>
              <w:rPr>
                <w:color w:val="auto"/>
                <w:spacing w:val="-6"/>
                <w:sz w:val="21"/>
                <w:szCs w:val="21"/>
                <w:highlight w:val="none"/>
              </w:rPr>
            </w:pPr>
          </w:p>
        </w:tc>
        <w:tc>
          <w:tcPr>
            <w:tcW w:w="1112" w:type="pct"/>
            <w:tcBorders>
              <w:top w:val="single" w:color="auto" w:sz="4" w:space="0"/>
              <w:left w:val="nil"/>
              <w:bottom w:val="single" w:color="auto" w:sz="4" w:space="0"/>
              <w:right w:val="single" w:color="auto" w:sz="4" w:space="0"/>
            </w:tcBorders>
            <w:vAlign w:val="center"/>
          </w:tcPr>
          <w:p w14:paraId="03BF7817">
            <w:pPr>
              <w:spacing w:line="288" w:lineRule="auto"/>
              <w:rPr>
                <w:color w:val="auto"/>
                <w:spacing w:val="-6"/>
                <w:sz w:val="21"/>
                <w:szCs w:val="21"/>
                <w:highlight w:val="none"/>
              </w:rPr>
            </w:pPr>
          </w:p>
        </w:tc>
      </w:tr>
      <w:tr w14:paraId="32E9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269" w:type="pct"/>
            <w:gridSpan w:val="2"/>
            <w:tcBorders>
              <w:top w:val="single" w:color="auto" w:sz="4" w:space="0"/>
              <w:left w:val="single" w:color="auto" w:sz="4" w:space="0"/>
              <w:bottom w:val="single" w:color="auto" w:sz="4" w:space="0"/>
              <w:right w:val="single" w:color="auto" w:sz="4" w:space="0"/>
            </w:tcBorders>
            <w:vAlign w:val="center"/>
          </w:tcPr>
          <w:p w14:paraId="54ECA8D9">
            <w:pPr>
              <w:spacing w:line="288" w:lineRule="auto"/>
              <w:jc w:val="center"/>
              <w:rPr>
                <w:color w:val="auto"/>
                <w:spacing w:val="-6"/>
                <w:sz w:val="21"/>
                <w:szCs w:val="21"/>
                <w:highlight w:val="none"/>
              </w:rPr>
            </w:pPr>
            <w:r>
              <w:rPr>
                <w:rFonts w:hint="eastAsia"/>
                <w:color w:val="auto"/>
                <w:spacing w:val="-6"/>
                <w:sz w:val="21"/>
                <w:szCs w:val="21"/>
                <w:highlight w:val="none"/>
              </w:rPr>
              <w:t>合同总价（人民币大写）</w:t>
            </w:r>
          </w:p>
        </w:tc>
        <w:tc>
          <w:tcPr>
            <w:tcW w:w="2063" w:type="pct"/>
            <w:gridSpan w:val="4"/>
            <w:tcBorders>
              <w:top w:val="single" w:color="auto" w:sz="4" w:space="0"/>
              <w:left w:val="nil"/>
              <w:bottom w:val="single" w:color="auto" w:sz="4" w:space="0"/>
              <w:right w:val="single" w:color="auto" w:sz="4" w:space="0"/>
            </w:tcBorders>
          </w:tcPr>
          <w:p w14:paraId="62AD33A4">
            <w:pPr>
              <w:spacing w:line="288" w:lineRule="auto"/>
              <w:rPr>
                <w:color w:val="auto"/>
                <w:spacing w:val="-6"/>
                <w:sz w:val="21"/>
                <w:szCs w:val="21"/>
                <w:highlight w:val="none"/>
              </w:rPr>
            </w:pPr>
          </w:p>
        </w:tc>
        <w:tc>
          <w:tcPr>
            <w:tcW w:w="1666" w:type="pct"/>
            <w:gridSpan w:val="2"/>
            <w:tcBorders>
              <w:top w:val="single" w:color="auto" w:sz="4" w:space="0"/>
              <w:left w:val="nil"/>
              <w:bottom w:val="single" w:color="auto" w:sz="4" w:space="0"/>
              <w:right w:val="single" w:color="auto" w:sz="4" w:space="0"/>
            </w:tcBorders>
            <w:vAlign w:val="center"/>
          </w:tcPr>
          <w:p w14:paraId="7A160A3A">
            <w:pPr>
              <w:spacing w:line="288" w:lineRule="auto"/>
              <w:rPr>
                <w:color w:val="auto"/>
                <w:spacing w:val="-6"/>
                <w:sz w:val="21"/>
                <w:szCs w:val="21"/>
                <w:highlight w:val="none"/>
              </w:rPr>
            </w:pPr>
            <w:r>
              <w:rPr>
                <w:rFonts w:hint="eastAsia"/>
                <w:color w:val="auto"/>
                <w:spacing w:val="-6"/>
                <w:sz w:val="21"/>
                <w:szCs w:val="21"/>
                <w:highlight w:val="none"/>
              </w:rPr>
              <w:t>小写：</w:t>
            </w:r>
          </w:p>
        </w:tc>
      </w:tr>
    </w:tbl>
    <w:p w14:paraId="3C9D2E02">
      <w:pPr>
        <w:pStyle w:val="65"/>
        <w:adjustRightInd w:val="0"/>
        <w:spacing w:line="288" w:lineRule="auto"/>
        <w:rPr>
          <w:rFonts w:ascii="宋体" w:hAnsi="宋体" w:eastAsia="宋体" w:cs="宋体"/>
          <w:color w:val="auto"/>
          <w:highlight w:val="none"/>
        </w:rPr>
      </w:pPr>
      <w:r>
        <w:rPr>
          <w:rFonts w:hint="eastAsia" w:ascii="宋体" w:hAnsi="宋体" w:eastAsia="宋体" w:cs="宋体"/>
          <w:color w:val="auto"/>
          <w:highlight w:val="none"/>
        </w:rPr>
        <w:t>注：1、以上合同总价包括将货物运抵甲方指定地点的运费及安装调试、验收、培训等一切费用。</w:t>
      </w:r>
    </w:p>
    <w:p w14:paraId="2EF27E68">
      <w:pPr>
        <w:pStyle w:val="65"/>
        <w:adjustRightInd w:val="0"/>
        <w:spacing w:line="288" w:lineRule="auto"/>
        <w:rPr>
          <w:rFonts w:ascii="宋体" w:hAnsi="宋体" w:eastAsia="宋体" w:cs="宋体"/>
          <w:color w:val="auto"/>
          <w:spacing w:val="-6"/>
          <w:highlight w:val="none"/>
        </w:rPr>
      </w:pPr>
      <w:r>
        <w:rPr>
          <w:rFonts w:hint="eastAsia" w:ascii="宋体" w:hAnsi="宋体" w:eastAsia="宋体" w:cs="宋体"/>
          <w:color w:val="auto"/>
          <w:highlight w:val="none"/>
        </w:rPr>
        <w:t>2、技术参数另附（如有）。</w:t>
      </w:r>
    </w:p>
    <w:p w14:paraId="55CECABF">
      <w:pPr>
        <w:snapToGrid w:val="0"/>
        <w:spacing w:line="288" w:lineRule="auto"/>
        <w:ind w:firstLine="375"/>
        <w:rPr>
          <w:color w:val="auto"/>
          <w:spacing w:val="-6"/>
          <w:sz w:val="21"/>
          <w:szCs w:val="21"/>
          <w:highlight w:val="none"/>
        </w:rPr>
      </w:pPr>
    </w:p>
    <w:p w14:paraId="5726D212">
      <w:pPr>
        <w:snapToGrid w:val="0"/>
        <w:spacing w:line="288" w:lineRule="auto"/>
        <w:rPr>
          <w:b/>
          <w:color w:val="auto"/>
          <w:spacing w:val="-6"/>
          <w:sz w:val="21"/>
          <w:szCs w:val="21"/>
          <w:highlight w:val="none"/>
        </w:rPr>
      </w:pPr>
      <w:r>
        <w:rPr>
          <w:rFonts w:hint="eastAsia"/>
          <w:b/>
          <w:color w:val="auto"/>
          <w:spacing w:val="-6"/>
          <w:sz w:val="21"/>
          <w:szCs w:val="21"/>
          <w:highlight w:val="none"/>
        </w:rPr>
        <w:t>第二条：质量保证</w:t>
      </w:r>
    </w:p>
    <w:p w14:paraId="384EEAA5">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1、乙方应按采购文件规定的要求，向甲方提供符合技术规格和质量标准的原装合格产品。</w:t>
      </w:r>
    </w:p>
    <w:p w14:paraId="77300717">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 xml:space="preserve">2、乙方为合同产品提供自验收合格起 </w:t>
      </w:r>
      <w:r>
        <w:rPr>
          <w:rFonts w:hint="eastAsia" w:ascii="宋体" w:hAnsi="宋体" w:eastAsia="宋体" w:cs="宋体"/>
          <w:color w:val="auto"/>
          <w:highlight w:val="none"/>
          <w:u w:val="single"/>
          <w:lang w:val="zh-TW" w:eastAsia="zh-TW"/>
        </w:rPr>
        <w:t xml:space="preserve">   </w:t>
      </w:r>
      <w:r>
        <w:rPr>
          <w:rFonts w:hint="eastAsia" w:ascii="宋体" w:hAnsi="宋体" w:eastAsia="宋体" w:cs="宋体"/>
          <w:color w:val="auto"/>
          <w:highlight w:val="none"/>
          <w:lang w:val="zh-TW" w:eastAsia="zh-TW"/>
        </w:rPr>
        <w:t>年的质保期。</w:t>
      </w:r>
    </w:p>
    <w:p w14:paraId="592D49C7">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3、乙方对质保期内合同产品出现的质量及安全问题负责处理解决，并承担一切费用。</w:t>
      </w:r>
    </w:p>
    <w:p w14:paraId="52457D8C">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4、合同产品在质保期内因产品本身的质量问题发生故障，乙方应负责免费更换。对经更换仍达不到技术要求者，可按以下办法处理（由甲方选择）：</w:t>
      </w:r>
    </w:p>
    <w:p w14:paraId="42721A2F">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⑴再次更换：由乙方承担所发生的全部费用。</w:t>
      </w:r>
    </w:p>
    <w:p w14:paraId="6D1C3C37">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⑵贬值处理：由甲乙双方合议定价（合议定价范围为原件的5%—50%）。</w:t>
      </w:r>
    </w:p>
    <w:p w14:paraId="604558F1">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⑶退货处理：乙方应退还甲方支付的合同款，同时应承担合同产品的直接费用（运输、保险、检验、货款利息及银行手续费等，其中银行利息按同期银行贷款利率的150%计算）。</w:t>
      </w:r>
    </w:p>
    <w:p w14:paraId="1536F1B2">
      <w:pPr>
        <w:snapToGrid w:val="0"/>
        <w:spacing w:line="288" w:lineRule="auto"/>
        <w:ind w:firstLine="396" w:firstLineChars="200"/>
        <w:rPr>
          <w:color w:val="auto"/>
          <w:spacing w:val="-6"/>
          <w:sz w:val="21"/>
          <w:szCs w:val="21"/>
          <w:highlight w:val="none"/>
        </w:rPr>
      </w:pPr>
    </w:p>
    <w:p w14:paraId="45BAE971">
      <w:pPr>
        <w:snapToGrid w:val="0"/>
        <w:spacing w:line="288" w:lineRule="auto"/>
        <w:rPr>
          <w:b/>
          <w:color w:val="auto"/>
          <w:spacing w:val="-6"/>
          <w:sz w:val="21"/>
          <w:szCs w:val="21"/>
          <w:highlight w:val="none"/>
        </w:rPr>
      </w:pPr>
      <w:r>
        <w:rPr>
          <w:rFonts w:hint="eastAsia"/>
          <w:b/>
          <w:color w:val="auto"/>
          <w:spacing w:val="-6"/>
          <w:sz w:val="21"/>
          <w:szCs w:val="21"/>
          <w:highlight w:val="none"/>
        </w:rPr>
        <w:t>第三条：技术资料</w:t>
      </w:r>
    </w:p>
    <w:p w14:paraId="5DD62A4D">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1、乙方应按采购文件规定的时间向甲方提供使用货物的全部技术资料。</w:t>
      </w:r>
    </w:p>
    <w:p w14:paraId="519736CC">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2、未经事先书面同意，双方不得将有关合同或任何合同条文、规格、计划、图纸、样品或资料提供给与履行本合同无关的任何其他人。即使向履行本合同有关的人员提供，也应注意保密并限于履行合同的必需范围。</w:t>
      </w:r>
    </w:p>
    <w:p w14:paraId="7DE68095">
      <w:pPr>
        <w:snapToGrid w:val="0"/>
        <w:spacing w:line="288" w:lineRule="auto"/>
        <w:ind w:firstLine="396" w:firstLineChars="200"/>
        <w:rPr>
          <w:color w:val="auto"/>
          <w:spacing w:val="-6"/>
          <w:sz w:val="21"/>
          <w:szCs w:val="21"/>
          <w:highlight w:val="none"/>
        </w:rPr>
      </w:pPr>
    </w:p>
    <w:p w14:paraId="1D4AB165">
      <w:pPr>
        <w:snapToGrid w:val="0"/>
        <w:spacing w:line="288" w:lineRule="auto"/>
        <w:ind w:left="340" w:hanging="340" w:hangingChars="171"/>
        <w:rPr>
          <w:b/>
          <w:color w:val="auto"/>
          <w:spacing w:val="-6"/>
          <w:sz w:val="21"/>
          <w:szCs w:val="21"/>
          <w:highlight w:val="none"/>
        </w:rPr>
      </w:pPr>
      <w:r>
        <w:rPr>
          <w:rFonts w:hint="eastAsia"/>
          <w:b/>
          <w:color w:val="auto"/>
          <w:spacing w:val="-6"/>
          <w:sz w:val="21"/>
          <w:szCs w:val="21"/>
          <w:highlight w:val="none"/>
        </w:rPr>
        <w:t>第四条：知识产权</w:t>
      </w:r>
    </w:p>
    <w:p w14:paraId="0184D2B3">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乙方保证所提供的合同产品或其任何一部分均不会侵犯任何第三方的知识产权，如有侵犯知识产权情况发生，乙方应承担全部责任。</w:t>
      </w:r>
    </w:p>
    <w:p w14:paraId="4782F4A9">
      <w:pPr>
        <w:snapToGrid w:val="0"/>
        <w:spacing w:line="288" w:lineRule="auto"/>
        <w:ind w:firstLine="396" w:firstLineChars="200"/>
        <w:rPr>
          <w:color w:val="auto"/>
          <w:spacing w:val="-6"/>
          <w:sz w:val="21"/>
          <w:szCs w:val="21"/>
          <w:highlight w:val="none"/>
        </w:rPr>
      </w:pPr>
    </w:p>
    <w:p w14:paraId="158A7A0D">
      <w:pPr>
        <w:snapToGrid w:val="0"/>
        <w:spacing w:line="288" w:lineRule="auto"/>
        <w:rPr>
          <w:b/>
          <w:color w:val="auto"/>
          <w:spacing w:val="-6"/>
          <w:sz w:val="21"/>
          <w:szCs w:val="21"/>
          <w:highlight w:val="none"/>
        </w:rPr>
      </w:pPr>
      <w:r>
        <w:rPr>
          <w:rFonts w:hint="eastAsia"/>
          <w:b/>
          <w:color w:val="auto"/>
          <w:spacing w:val="-6"/>
          <w:sz w:val="21"/>
          <w:szCs w:val="21"/>
          <w:highlight w:val="none"/>
        </w:rPr>
        <w:t>第五条：交货时间、地点</w:t>
      </w:r>
    </w:p>
    <w:p w14:paraId="208BBB77">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乙方应于合同签订之日起</w:t>
      </w:r>
      <w:r>
        <w:rPr>
          <w:rFonts w:hint="eastAsia"/>
          <w:color w:val="auto"/>
          <w:spacing w:val="-6"/>
          <w:sz w:val="21"/>
          <w:szCs w:val="21"/>
          <w:highlight w:val="none"/>
          <w:u w:val="single"/>
        </w:rPr>
        <w:t xml:space="preserve">   </w:t>
      </w:r>
      <w:r>
        <w:rPr>
          <w:rFonts w:hint="eastAsia"/>
          <w:color w:val="auto"/>
          <w:spacing w:val="-6"/>
          <w:sz w:val="21"/>
          <w:szCs w:val="21"/>
          <w:highlight w:val="none"/>
        </w:rPr>
        <w:t>日内安装完毕并交付。</w:t>
      </w:r>
    </w:p>
    <w:p w14:paraId="3F210530">
      <w:pPr>
        <w:snapToGrid w:val="0"/>
        <w:spacing w:line="288" w:lineRule="auto"/>
        <w:ind w:firstLine="396" w:firstLineChars="200"/>
        <w:rPr>
          <w:color w:val="auto"/>
          <w:spacing w:val="-6"/>
          <w:sz w:val="21"/>
          <w:szCs w:val="21"/>
          <w:highlight w:val="none"/>
        </w:rPr>
      </w:pPr>
    </w:p>
    <w:p w14:paraId="02B67A1B">
      <w:pPr>
        <w:snapToGrid w:val="0"/>
        <w:spacing w:line="288" w:lineRule="auto"/>
        <w:rPr>
          <w:b/>
          <w:color w:val="auto"/>
          <w:spacing w:val="-6"/>
          <w:sz w:val="21"/>
          <w:szCs w:val="21"/>
          <w:highlight w:val="none"/>
        </w:rPr>
      </w:pPr>
      <w:r>
        <w:rPr>
          <w:rFonts w:hint="eastAsia"/>
          <w:b/>
          <w:color w:val="auto"/>
          <w:spacing w:val="-6"/>
          <w:sz w:val="21"/>
          <w:szCs w:val="21"/>
          <w:highlight w:val="none"/>
        </w:rPr>
        <w:t>第六条：售后服务</w:t>
      </w:r>
    </w:p>
    <w:p w14:paraId="7E692BBF">
      <w:pPr>
        <w:snapToGrid w:val="0"/>
        <w:spacing w:line="288" w:lineRule="auto"/>
        <w:ind w:firstLine="420"/>
        <w:rPr>
          <w:color w:val="auto"/>
          <w:spacing w:val="-6"/>
          <w:sz w:val="21"/>
          <w:szCs w:val="21"/>
          <w:highlight w:val="none"/>
        </w:rPr>
      </w:pPr>
      <w:r>
        <w:rPr>
          <w:rFonts w:hint="eastAsia"/>
          <w:color w:val="auto"/>
          <w:spacing w:val="-6"/>
          <w:sz w:val="21"/>
          <w:szCs w:val="21"/>
          <w:highlight w:val="none"/>
        </w:rPr>
        <w:t>1、合同产品自验收合格后起免费保修</w:t>
      </w:r>
      <w:r>
        <w:rPr>
          <w:rFonts w:hint="eastAsia"/>
          <w:color w:val="auto"/>
          <w:spacing w:val="-6"/>
          <w:sz w:val="21"/>
          <w:szCs w:val="21"/>
          <w:highlight w:val="none"/>
          <w:u w:val="single"/>
        </w:rPr>
        <w:t xml:space="preserve">   </w:t>
      </w:r>
      <w:r>
        <w:rPr>
          <w:rFonts w:hint="eastAsia"/>
          <w:color w:val="auto"/>
          <w:spacing w:val="-6"/>
          <w:sz w:val="21"/>
          <w:szCs w:val="21"/>
          <w:highlight w:val="none"/>
        </w:rPr>
        <w:t>年。保修期内出现无法排除的故障，乙方需无条件为甲方更换同型号产品。超过保修期的合同产品，乙方提供终生维修，维修时只收部件（材料）成本费。</w:t>
      </w:r>
    </w:p>
    <w:p w14:paraId="46701AB7">
      <w:pPr>
        <w:snapToGrid w:val="0"/>
        <w:spacing w:line="288" w:lineRule="auto"/>
        <w:ind w:firstLine="420"/>
        <w:rPr>
          <w:color w:val="auto"/>
          <w:spacing w:val="-6"/>
          <w:sz w:val="21"/>
          <w:szCs w:val="21"/>
          <w:highlight w:val="none"/>
        </w:rPr>
      </w:pPr>
      <w:r>
        <w:rPr>
          <w:rFonts w:hint="eastAsia"/>
          <w:color w:val="auto"/>
          <w:spacing w:val="-6"/>
          <w:sz w:val="21"/>
          <w:szCs w:val="21"/>
          <w:highlight w:val="none"/>
        </w:rPr>
        <w:t>2、因人为因素出现的故障不在免费保修范围内，乙方同意为甲方进行维修并收取适当的维修费用。</w:t>
      </w:r>
    </w:p>
    <w:p w14:paraId="49E9DEDE">
      <w:pPr>
        <w:snapToGrid w:val="0"/>
        <w:spacing w:line="288" w:lineRule="auto"/>
        <w:ind w:firstLine="420"/>
        <w:rPr>
          <w:color w:val="auto"/>
          <w:spacing w:val="-6"/>
          <w:sz w:val="21"/>
          <w:szCs w:val="21"/>
          <w:highlight w:val="none"/>
        </w:rPr>
      </w:pPr>
      <w:r>
        <w:rPr>
          <w:rFonts w:hint="eastAsia"/>
          <w:color w:val="auto"/>
          <w:spacing w:val="-6"/>
          <w:sz w:val="21"/>
          <w:szCs w:val="21"/>
          <w:highlight w:val="none"/>
        </w:rPr>
        <w:t>3、维修响应时间：</w:t>
      </w:r>
      <w:r>
        <w:rPr>
          <w:rFonts w:hint="eastAsia"/>
          <w:color w:val="auto"/>
          <w:spacing w:val="-6"/>
          <w:sz w:val="21"/>
          <w:szCs w:val="21"/>
          <w:highlight w:val="none"/>
          <w:u w:val="single"/>
        </w:rPr>
        <w:t xml:space="preserve">   </w:t>
      </w:r>
      <w:r>
        <w:rPr>
          <w:rFonts w:hint="eastAsia"/>
          <w:color w:val="auto"/>
          <w:spacing w:val="-6"/>
          <w:sz w:val="21"/>
          <w:szCs w:val="21"/>
          <w:highlight w:val="none"/>
        </w:rPr>
        <w:t>小时以内，电话技术支持；若需上门维修，则</w:t>
      </w:r>
      <w:r>
        <w:rPr>
          <w:rFonts w:hint="eastAsia"/>
          <w:color w:val="auto"/>
          <w:spacing w:val="-6"/>
          <w:sz w:val="21"/>
          <w:szCs w:val="21"/>
          <w:highlight w:val="none"/>
          <w:u w:val="single"/>
        </w:rPr>
        <w:t xml:space="preserve">   </w:t>
      </w:r>
      <w:r>
        <w:rPr>
          <w:rFonts w:hint="eastAsia"/>
          <w:color w:val="auto"/>
          <w:spacing w:val="-6"/>
          <w:sz w:val="21"/>
          <w:szCs w:val="21"/>
          <w:highlight w:val="none"/>
        </w:rPr>
        <w:t>小时内到达现场并进行维修；</w:t>
      </w:r>
      <w:r>
        <w:rPr>
          <w:rFonts w:hint="eastAsia"/>
          <w:color w:val="auto"/>
          <w:spacing w:val="-6"/>
          <w:sz w:val="21"/>
          <w:szCs w:val="21"/>
          <w:highlight w:val="none"/>
          <w:u w:val="single"/>
        </w:rPr>
        <w:t xml:space="preserve">   </w:t>
      </w:r>
      <w:r>
        <w:rPr>
          <w:rFonts w:hint="eastAsia"/>
          <w:color w:val="auto"/>
          <w:spacing w:val="-6"/>
          <w:sz w:val="21"/>
          <w:szCs w:val="21"/>
          <w:highlight w:val="none"/>
        </w:rPr>
        <w:t>小时内无法修复完成的设备，乙方提供同类型的备用设备以保障学校工作的开展。</w:t>
      </w:r>
    </w:p>
    <w:p w14:paraId="28F3C165">
      <w:pPr>
        <w:snapToGrid w:val="0"/>
        <w:spacing w:line="288" w:lineRule="auto"/>
        <w:ind w:firstLine="420"/>
        <w:rPr>
          <w:color w:val="auto"/>
          <w:spacing w:val="-6"/>
          <w:sz w:val="21"/>
          <w:szCs w:val="21"/>
          <w:highlight w:val="none"/>
        </w:rPr>
      </w:pPr>
      <w:r>
        <w:rPr>
          <w:rFonts w:hint="eastAsia"/>
          <w:color w:val="auto"/>
          <w:spacing w:val="-6"/>
          <w:sz w:val="21"/>
          <w:szCs w:val="21"/>
          <w:highlight w:val="none"/>
        </w:rPr>
        <w:t>4、人员培训：乙方承诺提供人次的免费培训（包括非杭州地区培训的交通费、住宿费等）工作。</w:t>
      </w:r>
    </w:p>
    <w:p w14:paraId="088D5B93">
      <w:pPr>
        <w:snapToGrid w:val="0"/>
        <w:spacing w:line="288" w:lineRule="auto"/>
        <w:ind w:firstLine="420"/>
        <w:rPr>
          <w:color w:val="auto"/>
          <w:spacing w:val="-6"/>
          <w:sz w:val="21"/>
          <w:szCs w:val="21"/>
          <w:highlight w:val="none"/>
        </w:rPr>
      </w:pPr>
    </w:p>
    <w:p w14:paraId="731D8491">
      <w:pPr>
        <w:snapToGrid w:val="0"/>
        <w:spacing w:line="288" w:lineRule="auto"/>
        <w:rPr>
          <w:b/>
          <w:color w:val="auto"/>
          <w:spacing w:val="-6"/>
          <w:sz w:val="21"/>
          <w:szCs w:val="21"/>
          <w:highlight w:val="none"/>
        </w:rPr>
      </w:pPr>
      <w:r>
        <w:rPr>
          <w:rFonts w:hint="eastAsia"/>
          <w:b/>
          <w:color w:val="auto"/>
          <w:spacing w:val="-6"/>
          <w:sz w:val="21"/>
          <w:szCs w:val="21"/>
          <w:highlight w:val="none"/>
        </w:rPr>
        <w:t>第七条：调试与验收</w:t>
      </w:r>
    </w:p>
    <w:p w14:paraId="0B9BE00C">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1、甲方对乙方提交的合同产品依据采购文件上的技术规格要求和国家有关质量标准进行现场签收活动：外观、说明书符合采购文件技术要求的，给予签收，不合格的不予签收。</w:t>
      </w:r>
    </w:p>
    <w:p w14:paraId="37CF1074">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2、乙方交货前应对合同产品作出全面检查，对验收文件进行整理并列出清单，作为甲方收货验收和使用的技术条件依据。</w:t>
      </w:r>
    </w:p>
    <w:p w14:paraId="3A71ED1A">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3、甲方对乙方提供的合同产品在进行调试时，乙方需负责安装并培训甲方的使用操作人员，并协助甲方一起调试，直到符合技术要求，甲方才做最终验收。</w:t>
      </w:r>
    </w:p>
    <w:p w14:paraId="46586342">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4、对技术复杂的货物，双方同意请法定的专业检测机构参与验收，并由其出具质量检测报告。</w:t>
      </w:r>
    </w:p>
    <w:p w14:paraId="2E179245">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5、验收时乙方必须在现场。</w:t>
      </w:r>
    </w:p>
    <w:p w14:paraId="0C188558">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6、出现重大质量问题分歧时，甲、乙双方同意提请国家法定检测机构进行检测（对检测机构无法经协商达成一致时，由甲方单方委托、乙方给予配合&lt;如提供必要的文件、资料等&gt;；就检测机构的选任进行协商的期限为自出现重大质量问题分歧之日起的三个工作日），检测结果证明产品无质量问题，由甲方承担检测费用并接收合同产品；检测结果证明产品有质量问题，由乙方承担检测费用，并同意甲方无条件退货，同时支付甲方货款总价10％的赔偿金。</w:t>
      </w:r>
    </w:p>
    <w:p w14:paraId="3FB01360">
      <w:pPr>
        <w:snapToGrid w:val="0"/>
        <w:spacing w:line="288" w:lineRule="auto"/>
        <w:ind w:firstLine="398" w:firstLineChars="200"/>
        <w:rPr>
          <w:b/>
          <w:color w:val="auto"/>
          <w:spacing w:val="-6"/>
          <w:sz w:val="21"/>
          <w:szCs w:val="21"/>
          <w:highlight w:val="none"/>
        </w:rPr>
      </w:pPr>
      <w:r>
        <w:rPr>
          <w:rFonts w:hint="eastAsia"/>
          <w:b/>
          <w:color w:val="auto"/>
          <w:spacing w:val="-6"/>
          <w:sz w:val="21"/>
          <w:szCs w:val="21"/>
          <w:highlight w:val="none"/>
        </w:rPr>
        <w:t>7、乙方在合同履行中造成的人员伤亡及财产损失，由乙方自行承担。</w:t>
      </w:r>
    </w:p>
    <w:p w14:paraId="31AE3AA6">
      <w:pPr>
        <w:snapToGrid w:val="0"/>
        <w:spacing w:line="288" w:lineRule="auto"/>
        <w:ind w:firstLine="396" w:firstLineChars="200"/>
        <w:rPr>
          <w:color w:val="auto"/>
          <w:spacing w:val="-6"/>
          <w:sz w:val="21"/>
          <w:szCs w:val="21"/>
          <w:highlight w:val="none"/>
        </w:rPr>
      </w:pPr>
    </w:p>
    <w:p w14:paraId="035E933F">
      <w:pPr>
        <w:snapToGrid w:val="0"/>
        <w:spacing w:line="288" w:lineRule="auto"/>
        <w:rPr>
          <w:b/>
          <w:color w:val="auto"/>
          <w:spacing w:val="-6"/>
          <w:sz w:val="21"/>
          <w:szCs w:val="21"/>
          <w:highlight w:val="none"/>
        </w:rPr>
      </w:pPr>
      <w:r>
        <w:rPr>
          <w:rFonts w:hint="eastAsia"/>
          <w:b/>
          <w:color w:val="auto"/>
          <w:spacing w:val="-6"/>
          <w:sz w:val="21"/>
          <w:szCs w:val="21"/>
          <w:highlight w:val="none"/>
        </w:rPr>
        <w:t>第八条：货款的支付</w:t>
      </w:r>
    </w:p>
    <w:p w14:paraId="6F8349A7">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合同签订时，乙方向甲方提交合同总价1%的履约保证金，履约保证金在合同履约期间无违约情形的，项目履约完成后，于一周内退还（不计息）；提交方式：支票、汇票、本票或金融机构、担保机构出具的保函等非现金形式。</w:t>
      </w:r>
    </w:p>
    <w:p w14:paraId="748283B5">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2、乙方为中小企业的，合同生效以及具备实施条件后7个工作日内，且乙方已向甲方提交银行、保险公司等金融机构出具的预付款保函的，甲方向乙方支付合同总价的40%；项目履约完成，经甲方验收合格后，收到发票后7个工作日内，甲方向乙方支付合同总价的60%。</w:t>
      </w:r>
    </w:p>
    <w:p w14:paraId="47597DB0">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乙方为大型企业的，项目履约完成，经甲方验收合格后，收到发票后7个工作日内，甲方向乙方支付合同总价的100%。</w:t>
      </w:r>
    </w:p>
    <w:p w14:paraId="0AD5D3A6">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在签订合同时，乙方明确表示无需预付款或者主动要求降低预付款比例的，可降低预付款比例（预付款保函同步调整）。</w:t>
      </w:r>
    </w:p>
    <w:p w14:paraId="6F2BE905">
      <w:pPr>
        <w:snapToGrid w:val="0"/>
        <w:spacing w:line="288" w:lineRule="auto"/>
        <w:ind w:firstLine="396" w:firstLineChars="200"/>
        <w:rPr>
          <w:color w:val="auto"/>
          <w:spacing w:val="-6"/>
          <w:sz w:val="21"/>
          <w:szCs w:val="21"/>
          <w:highlight w:val="none"/>
        </w:rPr>
      </w:pPr>
    </w:p>
    <w:p w14:paraId="0443DB9C">
      <w:pPr>
        <w:snapToGrid w:val="0"/>
        <w:spacing w:line="288" w:lineRule="auto"/>
        <w:rPr>
          <w:b/>
          <w:color w:val="auto"/>
          <w:spacing w:val="-6"/>
          <w:sz w:val="21"/>
          <w:szCs w:val="21"/>
          <w:highlight w:val="none"/>
        </w:rPr>
      </w:pPr>
      <w:r>
        <w:rPr>
          <w:rFonts w:hint="eastAsia"/>
          <w:b/>
          <w:color w:val="auto"/>
          <w:spacing w:val="-6"/>
          <w:sz w:val="21"/>
          <w:szCs w:val="21"/>
          <w:highlight w:val="none"/>
        </w:rPr>
        <w:t>第九条：违约责任</w:t>
      </w:r>
    </w:p>
    <w:p w14:paraId="40F859BB">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1、甲方逾期支付货款的，自逾期之日起，向乙方每日偿付未付价款万分之二点一的滞纳金。</w:t>
      </w:r>
    </w:p>
    <w:p w14:paraId="705E9A79">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2、乙方逾期履行合同的，自逾期之日起，向甲方每日偿付合同总价万分之二点一的滞纳金；逾期个月，乙方需支付合同总额20%作为违约金，同时甲方有权要求终止合同。</w:t>
      </w:r>
    </w:p>
    <w:p w14:paraId="22DE855A">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0B23A6EB">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4、乙方所供合同产品不能达到质量功能要求无法通过验收，应在甲方规定的时间内进行整改，经整改后在学校二次验收中继续无法通过，合同产品由乙方在验收后一周内运离安装地点，所需费用由乙方承担。如乙方在一个月内不处理合同产品，视为放弃该产品，甲方有权自行处置。同时，乙方要支付给甲方总货款的20％作为违约赔偿金。</w:t>
      </w:r>
    </w:p>
    <w:p w14:paraId="7415EBC5">
      <w:pPr>
        <w:snapToGrid w:val="0"/>
        <w:spacing w:line="288" w:lineRule="auto"/>
        <w:ind w:firstLine="396" w:firstLineChars="200"/>
        <w:rPr>
          <w:color w:val="auto"/>
          <w:spacing w:val="-6"/>
          <w:sz w:val="21"/>
          <w:szCs w:val="21"/>
          <w:highlight w:val="none"/>
        </w:rPr>
      </w:pPr>
    </w:p>
    <w:p w14:paraId="09C77898">
      <w:pPr>
        <w:snapToGrid w:val="0"/>
        <w:spacing w:line="288" w:lineRule="auto"/>
        <w:rPr>
          <w:b/>
          <w:color w:val="auto"/>
          <w:spacing w:val="-6"/>
          <w:sz w:val="21"/>
          <w:szCs w:val="21"/>
          <w:highlight w:val="none"/>
        </w:rPr>
      </w:pPr>
      <w:r>
        <w:rPr>
          <w:rFonts w:hint="eastAsia"/>
          <w:b/>
          <w:color w:val="auto"/>
          <w:spacing w:val="-6"/>
          <w:sz w:val="21"/>
          <w:szCs w:val="21"/>
          <w:highlight w:val="none"/>
        </w:rPr>
        <w:t>第十条：不可抗力事件处理</w:t>
      </w:r>
    </w:p>
    <w:p w14:paraId="27C956DA">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1、在合同有效期内，任何一方因不可抗力事件导致不能履行合同，则合同履行期可延长，其延长期与不可抗力影响期相同。</w:t>
      </w:r>
    </w:p>
    <w:p w14:paraId="5A4CEF54">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2、不可抗力事件发生后，应立即通知对方，并寄送有关权威机构出具的证明。</w:t>
      </w:r>
    </w:p>
    <w:p w14:paraId="6B93E7D3">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3、不可抗力事件延续120天以上，双方通过友好协商，确定是否继续履行合同。</w:t>
      </w:r>
    </w:p>
    <w:p w14:paraId="39BF11C6">
      <w:pPr>
        <w:snapToGrid w:val="0"/>
        <w:spacing w:line="288" w:lineRule="auto"/>
        <w:ind w:firstLine="396" w:firstLineChars="200"/>
        <w:rPr>
          <w:color w:val="auto"/>
          <w:spacing w:val="-6"/>
          <w:sz w:val="21"/>
          <w:szCs w:val="21"/>
          <w:highlight w:val="none"/>
        </w:rPr>
      </w:pPr>
    </w:p>
    <w:p w14:paraId="052BC827">
      <w:pPr>
        <w:snapToGrid w:val="0"/>
        <w:spacing w:line="288" w:lineRule="auto"/>
        <w:rPr>
          <w:b/>
          <w:color w:val="auto"/>
          <w:spacing w:val="-6"/>
          <w:sz w:val="21"/>
          <w:szCs w:val="21"/>
          <w:highlight w:val="none"/>
        </w:rPr>
      </w:pPr>
      <w:r>
        <w:rPr>
          <w:rFonts w:hint="eastAsia"/>
          <w:b/>
          <w:color w:val="auto"/>
          <w:spacing w:val="-6"/>
          <w:sz w:val="21"/>
          <w:szCs w:val="21"/>
          <w:highlight w:val="none"/>
        </w:rPr>
        <w:t>第十一条：争议解决</w:t>
      </w:r>
    </w:p>
    <w:p w14:paraId="0E7E2B48">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本合同未尽事宜由三方协商解决，如协商不成，三方同意将本合同引起的争议提交甲方所在地法院解决。</w:t>
      </w:r>
    </w:p>
    <w:p w14:paraId="57366CCA">
      <w:pPr>
        <w:snapToGrid w:val="0"/>
        <w:spacing w:line="288" w:lineRule="auto"/>
        <w:ind w:firstLine="396" w:firstLineChars="200"/>
        <w:rPr>
          <w:color w:val="auto"/>
          <w:spacing w:val="-6"/>
          <w:sz w:val="21"/>
          <w:szCs w:val="21"/>
          <w:highlight w:val="none"/>
        </w:rPr>
      </w:pPr>
    </w:p>
    <w:p w14:paraId="20B5AD88">
      <w:pPr>
        <w:snapToGrid w:val="0"/>
        <w:spacing w:line="288" w:lineRule="auto"/>
        <w:rPr>
          <w:b/>
          <w:color w:val="auto"/>
          <w:spacing w:val="-6"/>
          <w:sz w:val="21"/>
          <w:szCs w:val="21"/>
          <w:highlight w:val="none"/>
        </w:rPr>
      </w:pPr>
      <w:r>
        <w:rPr>
          <w:rFonts w:hint="eastAsia"/>
          <w:b/>
          <w:color w:val="auto"/>
          <w:spacing w:val="-6"/>
          <w:sz w:val="21"/>
          <w:szCs w:val="21"/>
          <w:highlight w:val="none"/>
        </w:rPr>
        <w:t>第十二条：其它</w:t>
      </w:r>
    </w:p>
    <w:p w14:paraId="3F4EE71F">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1、本合同所有附件、采购文件、投标文件、中标通知书通知书均为合同的有效组成部分，与本合同具有同等法律效力。</w:t>
      </w:r>
    </w:p>
    <w:p w14:paraId="767CE57E">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2、在执行本合同的过程中，所有经双方签署确认的文件（包括会议纪要、补充协议、往来信函）即成为本合同的有效组成部分。</w:t>
      </w:r>
    </w:p>
    <w:p w14:paraId="5C5F54C1">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3、如一方地址、电话、传真号码有变更，应在变更当日内书面通知对方，否则，应承担相应责任。</w:t>
      </w:r>
    </w:p>
    <w:p w14:paraId="10A3549F">
      <w:pPr>
        <w:snapToGrid w:val="0"/>
        <w:spacing w:line="288" w:lineRule="auto"/>
        <w:ind w:firstLine="396" w:firstLineChars="200"/>
        <w:rPr>
          <w:color w:val="auto"/>
          <w:spacing w:val="-6"/>
          <w:sz w:val="21"/>
          <w:szCs w:val="21"/>
          <w:highlight w:val="none"/>
        </w:rPr>
      </w:pPr>
    </w:p>
    <w:p w14:paraId="0B128991">
      <w:pPr>
        <w:snapToGrid w:val="0"/>
        <w:spacing w:line="288" w:lineRule="auto"/>
        <w:rPr>
          <w:b/>
          <w:color w:val="auto"/>
          <w:spacing w:val="-6"/>
          <w:sz w:val="21"/>
          <w:szCs w:val="21"/>
          <w:highlight w:val="none"/>
        </w:rPr>
      </w:pPr>
      <w:r>
        <w:rPr>
          <w:rFonts w:hint="eastAsia"/>
          <w:b/>
          <w:color w:val="auto"/>
          <w:spacing w:val="-6"/>
          <w:sz w:val="21"/>
          <w:szCs w:val="21"/>
          <w:highlight w:val="none"/>
        </w:rPr>
        <w:t>第十三条：合同生效</w:t>
      </w:r>
    </w:p>
    <w:p w14:paraId="2624AE65">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1、合同经三方法定代表人或授权代表签字并加盖单位公章后生效。</w:t>
      </w:r>
    </w:p>
    <w:p w14:paraId="23B96918">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2、合同执行中涉及采购资金和采购内容修改或补充的，须经财政部门审批，并签书面补充协议报政府采购监督管理部门备案，方可作为主合同不可分割的一部分。</w:t>
      </w:r>
    </w:p>
    <w:p w14:paraId="78DA0C39">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3、本合同未尽事宜，遵照《民法典》有关条文执行。</w:t>
      </w:r>
    </w:p>
    <w:p w14:paraId="778B2560">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4、本合同一式</w:t>
      </w:r>
      <w:r>
        <w:rPr>
          <w:rFonts w:hint="eastAsia"/>
          <w:color w:val="auto"/>
          <w:spacing w:val="-6"/>
          <w:sz w:val="21"/>
          <w:szCs w:val="21"/>
          <w:highlight w:val="none"/>
          <w:u w:val="single"/>
        </w:rPr>
        <w:t xml:space="preserve">   </w:t>
      </w:r>
      <w:r>
        <w:rPr>
          <w:rFonts w:hint="eastAsia"/>
          <w:color w:val="auto"/>
          <w:spacing w:val="-6"/>
          <w:sz w:val="21"/>
          <w:szCs w:val="21"/>
          <w:highlight w:val="none"/>
        </w:rPr>
        <w:t>份，甲方执</w:t>
      </w:r>
      <w:r>
        <w:rPr>
          <w:rFonts w:hint="eastAsia"/>
          <w:color w:val="auto"/>
          <w:spacing w:val="-6"/>
          <w:sz w:val="21"/>
          <w:szCs w:val="21"/>
          <w:highlight w:val="none"/>
          <w:u w:val="single"/>
        </w:rPr>
        <w:t xml:space="preserve"> 叁 </w:t>
      </w:r>
      <w:r>
        <w:rPr>
          <w:rFonts w:hint="eastAsia"/>
          <w:color w:val="auto"/>
          <w:spacing w:val="-6"/>
          <w:sz w:val="21"/>
          <w:szCs w:val="21"/>
          <w:highlight w:val="none"/>
        </w:rPr>
        <w:t>份，乙方执</w:t>
      </w:r>
      <w:r>
        <w:rPr>
          <w:rFonts w:hint="eastAsia"/>
          <w:color w:val="auto"/>
          <w:spacing w:val="-6"/>
          <w:sz w:val="21"/>
          <w:szCs w:val="21"/>
          <w:highlight w:val="none"/>
          <w:u w:val="single"/>
        </w:rPr>
        <w:t xml:space="preserve">   </w:t>
      </w:r>
      <w:r>
        <w:rPr>
          <w:rFonts w:hint="eastAsia"/>
          <w:color w:val="auto"/>
          <w:spacing w:val="-6"/>
          <w:sz w:val="21"/>
          <w:szCs w:val="21"/>
          <w:highlight w:val="none"/>
        </w:rPr>
        <w:t>份，采购代理机构执</w:t>
      </w:r>
      <w:r>
        <w:rPr>
          <w:rFonts w:hint="eastAsia"/>
          <w:color w:val="auto"/>
          <w:spacing w:val="-6"/>
          <w:sz w:val="21"/>
          <w:szCs w:val="21"/>
          <w:highlight w:val="none"/>
          <w:u w:val="single"/>
        </w:rPr>
        <w:t xml:space="preserve"> 壹 </w:t>
      </w:r>
      <w:r>
        <w:rPr>
          <w:rFonts w:hint="eastAsia"/>
          <w:color w:val="auto"/>
          <w:spacing w:val="-6"/>
          <w:sz w:val="21"/>
          <w:szCs w:val="21"/>
          <w:highlight w:val="none"/>
        </w:rPr>
        <w:t>份，经三方签字、盖公章并在乙方履约保证金到帐后生效。</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9"/>
        <w:gridCol w:w="4601"/>
      </w:tblGrid>
      <w:tr w14:paraId="33EA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608" w:type="pct"/>
            <w:tcBorders>
              <w:top w:val="single" w:color="auto" w:sz="4" w:space="0"/>
              <w:left w:val="single" w:color="auto" w:sz="4" w:space="0"/>
              <w:bottom w:val="single" w:color="auto" w:sz="4" w:space="0"/>
              <w:right w:val="single" w:color="auto" w:sz="4" w:space="0"/>
            </w:tcBorders>
            <w:vAlign w:val="center"/>
          </w:tcPr>
          <w:p w14:paraId="109E5D44">
            <w:pPr>
              <w:spacing w:line="288" w:lineRule="auto"/>
              <w:rPr>
                <w:color w:val="auto"/>
                <w:spacing w:val="-6"/>
                <w:sz w:val="21"/>
                <w:szCs w:val="21"/>
                <w:highlight w:val="none"/>
              </w:rPr>
            </w:pPr>
            <w:r>
              <w:rPr>
                <w:rFonts w:hint="eastAsia"/>
                <w:color w:val="auto"/>
                <w:spacing w:val="-6"/>
                <w:sz w:val="21"/>
                <w:szCs w:val="21"/>
                <w:highlight w:val="none"/>
              </w:rPr>
              <w:t>甲方（需方）：浙江树人学院（公章）</w:t>
            </w:r>
          </w:p>
        </w:tc>
        <w:tc>
          <w:tcPr>
            <w:tcW w:w="2391" w:type="pct"/>
            <w:tcBorders>
              <w:top w:val="single" w:color="auto" w:sz="4" w:space="0"/>
              <w:left w:val="nil"/>
              <w:bottom w:val="single" w:color="auto" w:sz="4" w:space="0"/>
              <w:right w:val="single" w:color="auto" w:sz="4" w:space="0"/>
            </w:tcBorders>
            <w:vAlign w:val="center"/>
          </w:tcPr>
          <w:p w14:paraId="672D8219">
            <w:pPr>
              <w:spacing w:line="288" w:lineRule="auto"/>
              <w:rPr>
                <w:color w:val="auto"/>
                <w:spacing w:val="-6"/>
                <w:sz w:val="21"/>
                <w:szCs w:val="21"/>
                <w:highlight w:val="none"/>
              </w:rPr>
            </w:pPr>
            <w:r>
              <w:rPr>
                <w:rFonts w:hint="eastAsia"/>
                <w:color w:val="auto"/>
                <w:spacing w:val="-6"/>
                <w:sz w:val="21"/>
                <w:szCs w:val="21"/>
                <w:highlight w:val="none"/>
              </w:rPr>
              <w:t>乙方（供方）：（公章）</w:t>
            </w:r>
          </w:p>
        </w:tc>
      </w:tr>
      <w:tr w14:paraId="138E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08" w:type="pct"/>
            <w:tcBorders>
              <w:top w:val="single" w:color="auto" w:sz="4" w:space="0"/>
              <w:left w:val="single" w:color="auto" w:sz="4" w:space="0"/>
              <w:bottom w:val="single" w:color="auto" w:sz="4" w:space="0"/>
              <w:right w:val="single" w:color="auto" w:sz="4" w:space="0"/>
            </w:tcBorders>
            <w:vAlign w:val="center"/>
          </w:tcPr>
          <w:p w14:paraId="075B5802">
            <w:pPr>
              <w:spacing w:line="288" w:lineRule="auto"/>
              <w:rPr>
                <w:color w:val="auto"/>
                <w:spacing w:val="-6"/>
                <w:sz w:val="21"/>
                <w:szCs w:val="21"/>
                <w:highlight w:val="none"/>
              </w:rPr>
            </w:pPr>
            <w:r>
              <w:rPr>
                <w:rFonts w:hint="eastAsia"/>
                <w:color w:val="auto"/>
                <w:spacing w:val="-6"/>
                <w:sz w:val="21"/>
                <w:szCs w:val="21"/>
                <w:highlight w:val="none"/>
              </w:rPr>
              <w:t>甲方代表：</w:t>
            </w:r>
          </w:p>
          <w:p w14:paraId="3790FE0D">
            <w:pPr>
              <w:spacing w:line="288" w:lineRule="auto"/>
              <w:rPr>
                <w:color w:val="auto"/>
                <w:spacing w:val="-6"/>
                <w:sz w:val="21"/>
                <w:szCs w:val="21"/>
                <w:highlight w:val="none"/>
              </w:rPr>
            </w:pPr>
            <w:r>
              <w:rPr>
                <w:rFonts w:hint="eastAsia"/>
                <w:color w:val="auto"/>
                <w:spacing w:val="-6"/>
                <w:sz w:val="21"/>
                <w:szCs w:val="21"/>
                <w:highlight w:val="none"/>
              </w:rPr>
              <w:t>(签字）</w:t>
            </w:r>
          </w:p>
        </w:tc>
        <w:tc>
          <w:tcPr>
            <w:tcW w:w="2391" w:type="pct"/>
            <w:tcBorders>
              <w:top w:val="single" w:color="auto" w:sz="4" w:space="0"/>
              <w:left w:val="nil"/>
              <w:bottom w:val="single" w:color="auto" w:sz="4" w:space="0"/>
              <w:right w:val="single" w:color="auto" w:sz="4" w:space="0"/>
            </w:tcBorders>
            <w:vAlign w:val="center"/>
          </w:tcPr>
          <w:p w14:paraId="607FDEAF">
            <w:pPr>
              <w:spacing w:line="288" w:lineRule="auto"/>
              <w:rPr>
                <w:color w:val="auto"/>
                <w:spacing w:val="-6"/>
                <w:sz w:val="21"/>
                <w:szCs w:val="21"/>
                <w:highlight w:val="none"/>
              </w:rPr>
            </w:pPr>
            <w:r>
              <w:rPr>
                <w:rFonts w:hint="eastAsia"/>
                <w:color w:val="auto"/>
                <w:spacing w:val="-6"/>
                <w:sz w:val="21"/>
                <w:szCs w:val="21"/>
                <w:highlight w:val="none"/>
              </w:rPr>
              <w:t>乙方代表：</w:t>
            </w:r>
          </w:p>
          <w:p w14:paraId="23077197">
            <w:pPr>
              <w:spacing w:line="288" w:lineRule="auto"/>
              <w:rPr>
                <w:color w:val="auto"/>
                <w:spacing w:val="-6"/>
                <w:sz w:val="21"/>
                <w:szCs w:val="21"/>
                <w:highlight w:val="none"/>
              </w:rPr>
            </w:pPr>
            <w:r>
              <w:rPr>
                <w:rFonts w:hint="eastAsia"/>
                <w:color w:val="auto"/>
                <w:spacing w:val="-6"/>
                <w:sz w:val="21"/>
                <w:szCs w:val="21"/>
                <w:highlight w:val="none"/>
              </w:rPr>
              <w:t>（签字）</w:t>
            </w:r>
          </w:p>
        </w:tc>
      </w:tr>
      <w:tr w14:paraId="6B1D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44FD00A7">
            <w:pPr>
              <w:spacing w:line="288" w:lineRule="auto"/>
              <w:rPr>
                <w:color w:val="auto"/>
                <w:spacing w:val="-6"/>
                <w:sz w:val="21"/>
                <w:szCs w:val="21"/>
                <w:highlight w:val="none"/>
              </w:rPr>
            </w:pPr>
            <w:r>
              <w:rPr>
                <w:rFonts w:hint="eastAsia"/>
                <w:color w:val="auto"/>
                <w:spacing w:val="-6"/>
                <w:sz w:val="21"/>
                <w:szCs w:val="21"/>
                <w:highlight w:val="none"/>
              </w:rPr>
              <w:t>地址： 杭州市树人街8号</w:t>
            </w:r>
          </w:p>
        </w:tc>
        <w:tc>
          <w:tcPr>
            <w:tcW w:w="2391" w:type="pct"/>
            <w:tcBorders>
              <w:top w:val="single" w:color="auto" w:sz="4" w:space="0"/>
              <w:left w:val="nil"/>
              <w:bottom w:val="single" w:color="auto" w:sz="4" w:space="0"/>
              <w:right w:val="single" w:color="auto" w:sz="4" w:space="0"/>
            </w:tcBorders>
            <w:vAlign w:val="center"/>
          </w:tcPr>
          <w:p w14:paraId="6B1078AF">
            <w:pPr>
              <w:spacing w:line="288" w:lineRule="auto"/>
              <w:rPr>
                <w:color w:val="auto"/>
                <w:spacing w:val="-6"/>
                <w:sz w:val="21"/>
                <w:szCs w:val="21"/>
                <w:highlight w:val="none"/>
              </w:rPr>
            </w:pPr>
            <w:r>
              <w:rPr>
                <w:rFonts w:hint="eastAsia"/>
                <w:color w:val="auto"/>
                <w:spacing w:val="-6"/>
                <w:sz w:val="21"/>
                <w:szCs w:val="21"/>
                <w:highlight w:val="none"/>
              </w:rPr>
              <w:t>地址：</w:t>
            </w:r>
          </w:p>
        </w:tc>
      </w:tr>
      <w:tr w14:paraId="19AC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06F445B6">
            <w:pPr>
              <w:spacing w:line="288" w:lineRule="auto"/>
              <w:rPr>
                <w:color w:val="auto"/>
                <w:spacing w:val="-6"/>
                <w:sz w:val="21"/>
                <w:szCs w:val="21"/>
                <w:highlight w:val="none"/>
              </w:rPr>
            </w:pPr>
            <w:r>
              <w:rPr>
                <w:rFonts w:hint="eastAsia"/>
                <w:color w:val="auto"/>
                <w:spacing w:val="-6"/>
                <w:sz w:val="21"/>
                <w:szCs w:val="21"/>
                <w:highlight w:val="none"/>
              </w:rPr>
              <w:t>邮编： 310015</w:t>
            </w:r>
          </w:p>
        </w:tc>
        <w:tc>
          <w:tcPr>
            <w:tcW w:w="2391" w:type="pct"/>
            <w:tcBorders>
              <w:top w:val="single" w:color="auto" w:sz="4" w:space="0"/>
              <w:left w:val="nil"/>
              <w:bottom w:val="single" w:color="auto" w:sz="4" w:space="0"/>
              <w:right w:val="single" w:color="auto" w:sz="4" w:space="0"/>
            </w:tcBorders>
            <w:vAlign w:val="center"/>
          </w:tcPr>
          <w:p w14:paraId="756F2C48">
            <w:pPr>
              <w:spacing w:line="288" w:lineRule="auto"/>
              <w:rPr>
                <w:color w:val="auto"/>
                <w:spacing w:val="-6"/>
                <w:sz w:val="21"/>
                <w:szCs w:val="21"/>
                <w:highlight w:val="none"/>
              </w:rPr>
            </w:pPr>
            <w:r>
              <w:rPr>
                <w:rFonts w:hint="eastAsia"/>
                <w:color w:val="auto"/>
                <w:spacing w:val="-6"/>
                <w:sz w:val="21"/>
                <w:szCs w:val="21"/>
                <w:highlight w:val="none"/>
              </w:rPr>
              <w:t>邮编：</w:t>
            </w:r>
          </w:p>
        </w:tc>
      </w:tr>
      <w:tr w14:paraId="7594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527F6C14">
            <w:pPr>
              <w:spacing w:line="288" w:lineRule="auto"/>
              <w:rPr>
                <w:color w:val="auto"/>
                <w:spacing w:val="-6"/>
                <w:sz w:val="21"/>
                <w:szCs w:val="21"/>
                <w:highlight w:val="none"/>
              </w:rPr>
            </w:pPr>
            <w:r>
              <w:rPr>
                <w:rFonts w:hint="eastAsia"/>
                <w:color w:val="auto"/>
                <w:spacing w:val="-6"/>
                <w:sz w:val="21"/>
                <w:szCs w:val="21"/>
                <w:highlight w:val="none"/>
              </w:rPr>
              <w:t>电话： 0571-88297206</w:t>
            </w:r>
          </w:p>
        </w:tc>
        <w:tc>
          <w:tcPr>
            <w:tcW w:w="2391" w:type="pct"/>
            <w:tcBorders>
              <w:top w:val="single" w:color="auto" w:sz="4" w:space="0"/>
              <w:left w:val="nil"/>
              <w:bottom w:val="single" w:color="auto" w:sz="4" w:space="0"/>
              <w:right w:val="single" w:color="auto" w:sz="4" w:space="0"/>
            </w:tcBorders>
            <w:vAlign w:val="center"/>
          </w:tcPr>
          <w:p w14:paraId="3ED66BFC">
            <w:pPr>
              <w:spacing w:line="288" w:lineRule="auto"/>
              <w:rPr>
                <w:color w:val="auto"/>
                <w:spacing w:val="-6"/>
                <w:sz w:val="21"/>
                <w:szCs w:val="21"/>
                <w:highlight w:val="none"/>
              </w:rPr>
            </w:pPr>
            <w:r>
              <w:rPr>
                <w:rFonts w:hint="eastAsia"/>
                <w:color w:val="auto"/>
                <w:spacing w:val="-6"/>
                <w:sz w:val="21"/>
                <w:szCs w:val="21"/>
                <w:highlight w:val="none"/>
              </w:rPr>
              <w:t>电话：</w:t>
            </w:r>
          </w:p>
        </w:tc>
      </w:tr>
      <w:tr w14:paraId="16E4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4754B8C3">
            <w:pPr>
              <w:spacing w:line="288" w:lineRule="auto"/>
              <w:rPr>
                <w:color w:val="auto"/>
                <w:spacing w:val="-6"/>
                <w:sz w:val="21"/>
                <w:szCs w:val="21"/>
                <w:highlight w:val="none"/>
              </w:rPr>
            </w:pPr>
            <w:r>
              <w:rPr>
                <w:rFonts w:hint="eastAsia"/>
                <w:color w:val="auto"/>
                <w:spacing w:val="-6"/>
                <w:sz w:val="21"/>
                <w:szCs w:val="21"/>
                <w:highlight w:val="none"/>
              </w:rPr>
              <w:t>传真： 0571-88297206</w:t>
            </w:r>
          </w:p>
        </w:tc>
        <w:tc>
          <w:tcPr>
            <w:tcW w:w="2391" w:type="pct"/>
            <w:tcBorders>
              <w:top w:val="single" w:color="auto" w:sz="4" w:space="0"/>
              <w:left w:val="nil"/>
              <w:bottom w:val="single" w:color="auto" w:sz="4" w:space="0"/>
              <w:right w:val="single" w:color="auto" w:sz="4" w:space="0"/>
            </w:tcBorders>
            <w:vAlign w:val="center"/>
          </w:tcPr>
          <w:p w14:paraId="118BD513">
            <w:pPr>
              <w:spacing w:line="288" w:lineRule="auto"/>
              <w:rPr>
                <w:color w:val="auto"/>
                <w:spacing w:val="-6"/>
                <w:sz w:val="21"/>
                <w:szCs w:val="21"/>
                <w:highlight w:val="none"/>
              </w:rPr>
            </w:pPr>
            <w:r>
              <w:rPr>
                <w:rFonts w:hint="eastAsia"/>
                <w:color w:val="auto"/>
                <w:spacing w:val="-6"/>
                <w:sz w:val="21"/>
                <w:szCs w:val="21"/>
                <w:highlight w:val="none"/>
              </w:rPr>
              <w:t>传真：</w:t>
            </w:r>
          </w:p>
        </w:tc>
      </w:tr>
      <w:tr w14:paraId="50FF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69781A44">
            <w:pPr>
              <w:spacing w:line="288" w:lineRule="auto"/>
              <w:rPr>
                <w:color w:val="auto"/>
                <w:spacing w:val="-6"/>
                <w:sz w:val="21"/>
                <w:szCs w:val="21"/>
                <w:highlight w:val="none"/>
              </w:rPr>
            </w:pPr>
            <w:r>
              <w:rPr>
                <w:rFonts w:hint="eastAsia"/>
                <w:color w:val="auto"/>
                <w:spacing w:val="-6"/>
                <w:sz w:val="21"/>
                <w:szCs w:val="21"/>
                <w:highlight w:val="none"/>
              </w:rPr>
              <w:t>开户银行：工行浙江省分行营业部上塘北路支行</w:t>
            </w:r>
          </w:p>
        </w:tc>
        <w:tc>
          <w:tcPr>
            <w:tcW w:w="2391" w:type="pct"/>
            <w:tcBorders>
              <w:top w:val="single" w:color="auto" w:sz="4" w:space="0"/>
              <w:left w:val="nil"/>
              <w:bottom w:val="single" w:color="auto" w:sz="4" w:space="0"/>
              <w:right w:val="single" w:color="auto" w:sz="4" w:space="0"/>
            </w:tcBorders>
            <w:vAlign w:val="center"/>
          </w:tcPr>
          <w:p w14:paraId="23A1C2F9">
            <w:pPr>
              <w:spacing w:line="288" w:lineRule="auto"/>
              <w:rPr>
                <w:color w:val="auto"/>
                <w:spacing w:val="-6"/>
                <w:sz w:val="21"/>
                <w:szCs w:val="21"/>
                <w:highlight w:val="none"/>
              </w:rPr>
            </w:pPr>
            <w:r>
              <w:rPr>
                <w:rFonts w:hint="eastAsia"/>
                <w:color w:val="auto"/>
                <w:spacing w:val="-6"/>
                <w:sz w:val="21"/>
                <w:szCs w:val="21"/>
                <w:highlight w:val="none"/>
              </w:rPr>
              <w:t>开户银行：</w:t>
            </w:r>
          </w:p>
        </w:tc>
      </w:tr>
      <w:tr w14:paraId="2287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1C6A2BA3">
            <w:pPr>
              <w:spacing w:line="288" w:lineRule="auto"/>
              <w:rPr>
                <w:color w:val="auto"/>
                <w:spacing w:val="-6"/>
                <w:sz w:val="21"/>
                <w:szCs w:val="21"/>
                <w:highlight w:val="none"/>
              </w:rPr>
            </w:pPr>
            <w:r>
              <w:rPr>
                <w:rFonts w:hint="eastAsia"/>
                <w:color w:val="auto"/>
                <w:spacing w:val="-6"/>
                <w:sz w:val="21"/>
                <w:szCs w:val="21"/>
                <w:highlight w:val="none"/>
              </w:rPr>
              <w:t>帐号：1202004809900000177</w:t>
            </w:r>
          </w:p>
        </w:tc>
        <w:tc>
          <w:tcPr>
            <w:tcW w:w="2391" w:type="pct"/>
            <w:tcBorders>
              <w:top w:val="single" w:color="auto" w:sz="4" w:space="0"/>
              <w:left w:val="nil"/>
              <w:bottom w:val="single" w:color="auto" w:sz="4" w:space="0"/>
              <w:right w:val="single" w:color="auto" w:sz="4" w:space="0"/>
            </w:tcBorders>
            <w:vAlign w:val="center"/>
          </w:tcPr>
          <w:p w14:paraId="4F890F97">
            <w:pPr>
              <w:spacing w:line="288" w:lineRule="auto"/>
              <w:rPr>
                <w:color w:val="auto"/>
                <w:spacing w:val="-6"/>
                <w:sz w:val="21"/>
                <w:szCs w:val="21"/>
                <w:highlight w:val="none"/>
              </w:rPr>
            </w:pPr>
            <w:r>
              <w:rPr>
                <w:rFonts w:hint="eastAsia"/>
                <w:color w:val="auto"/>
                <w:spacing w:val="-6"/>
                <w:sz w:val="21"/>
                <w:szCs w:val="21"/>
                <w:highlight w:val="none"/>
              </w:rPr>
              <w:t>帐号：</w:t>
            </w:r>
          </w:p>
        </w:tc>
      </w:tr>
      <w:tr w14:paraId="4BFF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608" w:type="pct"/>
            <w:tcBorders>
              <w:top w:val="single" w:color="auto" w:sz="4" w:space="0"/>
              <w:left w:val="single" w:color="auto" w:sz="4" w:space="0"/>
              <w:bottom w:val="single" w:color="auto" w:sz="4" w:space="0"/>
              <w:right w:val="single" w:color="auto" w:sz="4" w:space="0"/>
            </w:tcBorders>
            <w:vAlign w:val="center"/>
          </w:tcPr>
          <w:p w14:paraId="1F4A1991">
            <w:pPr>
              <w:spacing w:line="288" w:lineRule="auto"/>
              <w:rPr>
                <w:color w:val="auto"/>
                <w:spacing w:val="-6"/>
                <w:sz w:val="21"/>
                <w:szCs w:val="21"/>
                <w:highlight w:val="none"/>
              </w:rPr>
            </w:pPr>
            <w:r>
              <w:rPr>
                <w:rFonts w:hint="eastAsia"/>
                <w:color w:val="auto"/>
                <w:spacing w:val="-6"/>
                <w:sz w:val="21"/>
                <w:szCs w:val="21"/>
                <w:highlight w:val="none"/>
              </w:rPr>
              <w:t>签字日期：        年    月    日</w:t>
            </w:r>
          </w:p>
        </w:tc>
        <w:tc>
          <w:tcPr>
            <w:tcW w:w="2391" w:type="pct"/>
            <w:tcBorders>
              <w:top w:val="single" w:color="auto" w:sz="4" w:space="0"/>
              <w:left w:val="nil"/>
              <w:bottom w:val="single" w:color="auto" w:sz="4" w:space="0"/>
              <w:right w:val="single" w:color="auto" w:sz="4" w:space="0"/>
            </w:tcBorders>
            <w:vAlign w:val="center"/>
          </w:tcPr>
          <w:p w14:paraId="7AC1B88D">
            <w:pPr>
              <w:spacing w:line="288" w:lineRule="auto"/>
              <w:rPr>
                <w:color w:val="auto"/>
                <w:spacing w:val="-6"/>
                <w:sz w:val="21"/>
                <w:szCs w:val="21"/>
                <w:highlight w:val="none"/>
              </w:rPr>
            </w:pPr>
            <w:r>
              <w:rPr>
                <w:rFonts w:hint="eastAsia"/>
                <w:color w:val="auto"/>
                <w:spacing w:val="-6"/>
                <w:sz w:val="21"/>
                <w:szCs w:val="21"/>
                <w:highlight w:val="none"/>
              </w:rPr>
              <w:t>签字日期：        年    月    日</w:t>
            </w:r>
          </w:p>
        </w:tc>
      </w:tr>
      <w:tr w14:paraId="44A6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91" w:type="pct"/>
          <w:trHeight w:val="302" w:hRule="atLeast"/>
        </w:trPr>
        <w:tc>
          <w:tcPr>
            <w:tcW w:w="2608" w:type="pct"/>
            <w:tcBorders>
              <w:top w:val="single" w:color="auto" w:sz="4" w:space="0"/>
              <w:left w:val="single" w:color="auto" w:sz="4" w:space="0"/>
              <w:bottom w:val="single" w:color="auto" w:sz="4" w:space="0"/>
              <w:right w:val="single" w:color="auto" w:sz="4" w:space="0"/>
            </w:tcBorders>
            <w:vAlign w:val="center"/>
          </w:tcPr>
          <w:p w14:paraId="053EDEBD">
            <w:pPr>
              <w:spacing w:line="288" w:lineRule="auto"/>
              <w:rPr>
                <w:color w:val="auto"/>
                <w:spacing w:val="-6"/>
                <w:sz w:val="21"/>
                <w:szCs w:val="21"/>
                <w:highlight w:val="none"/>
              </w:rPr>
            </w:pPr>
            <w:r>
              <w:rPr>
                <w:rFonts w:hint="eastAsia"/>
                <w:color w:val="auto"/>
                <w:spacing w:val="-6"/>
                <w:sz w:val="21"/>
                <w:szCs w:val="21"/>
                <w:highlight w:val="none"/>
              </w:rPr>
              <w:t>合同鉴证方：     招标代理有限公司（公章）</w:t>
            </w:r>
          </w:p>
        </w:tc>
      </w:tr>
      <w:tr w14:paraId="39DA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91" w:type="pct"/>
          <w:trHeight w:val="630" w:hRule="atLeast"/>
        </w:trPr>
        <w:tc>
          <w:tcPr>
            <w:tcW w:w="2608" w:type="pct"/>
            <w:tcBorders>
              <w:top w:val="single" w:color="auto" w:sz="4" w:space="0"/>
              <w:left w:val="single" w:color="auto" w:sz="4" w:space="0"/>
              <w:bottom w:val="single" w:color="auto" w:sz="4" w:space="0"/>
              <w:right w:val="single" w:color="auto" w:sz="4" w:space="0"/>
            </w:tcBorders>
            <w:vAlign w:val="center"/>
          </w:tcPr>
          <w:p w14:paraId="0A55EF6B">
            <w:pPr>
              <w:spacing w:line="288" w:lineRule="auto"/>
              <w:rPr>
                <w:color w:val="auto"/>
                <w:spacing w:val="-6"/>
                <w:sz w:val="21"/>
                <w:szCs w:val="21"/>
                <w:highlight w:val="none"/>
              </w:rPr>
            </w:pPr>
            <w:r>
              <w:rPr>
                <w:rFonts w:hint="eastAsia"/>
                <w:color w:val="auto"/>
                <w:spacing w:val="-6"/>
                <w:sz w:val="21"/>
                <w:szCs w:val="21"/>
                <w:highlight w:val="none"/>
              </w:rPr>
              <w:t>法定代表人或主要负责人：</w:t>
            </w:r>
            <w:r>
              <w:rPr>
                <w:rFonts w:hint="eastAsia"/>
                <w:color w:val="auto"/>
                <w:spacing w:val="-6"/>
                <w:sz w:val="21"/>
                <w:szCs w:val="21"/>
                <w:highlight w:val="none"/>
              </w:rPr>
              <w:tab/>
            </w:r>
          </w:p>
          <w:p w14:paraId="2BE10FB5">
            <w:pPr>
              <w:spacing w:line="288" w:lineRule="auto"/>
              <w:rPr>
                <w:color w:val="auto"/>
                <w:spacing w:val="-6"/>
                <w:sz w:val="21"/>
                <w:szCs w:val="21"/>
                <w:highlight w:val="none"/>
              </w:rPr>
            </w:pPr>
            <w:r>
              <w:rPr>
                <w:rFonts w:hint="eastAsia"/>
                <w:color w:val="auto"/>
                <w:spacing w:val="-6"/>
                <w:sz w:val="21"/>
                <w:szCs w:val="21"/>
                <w:highlight w:val="none"/>
              </w:rPr>
              <w:t>（签字）</w:t>
            </w:r>
          </w:p>
        </w:tc>
      </w:tr>
      <w:tr w14:paraId="7F08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91" w:type="pct"/>
        </w:trPr>
        <w:tc>
          <w:tcPr>
            <w:tcW w:w="2608" w:type="pct"/>
            <w:tcBorders>
              <w:top w:val="single" w:color="auto" w:sz="4" w:space="0"/>
              <w:left w:val="single" w:color="auto" w:sz="4" w:space="0"/>
              <w:bottom w:val="single" w:color="auto" w:sz="4" w:space="0"/>
              <w:right w:val="single" w:color="auto" w:sz="4" w:space="0"/>
            </w:tcBorders>
            <w:vAlign w:val="center"/>
          </w:tcPr>
          <w:p w14:paraId="10038FD6">
            <w:pPr>
              <w:spacing w:line="288" w:lineRule="auto"/>
              <w:rPr>
                <w:color w:val="auto"/>
                <w:spacing w:val="-6"/>
                <w:sz w:val="21"/>
                <w:szCs w:val="21"/>
                <w:highlight w:val="none"/>
              </w:rPr>
            </w:pPr>
            <w:r>
              <w:rPr>
                <w:rFonts w:hint="eastAsia"/>
                <w:color w:val="auto"/>
                <w:spacing w:val="-6"/>
                <w:sz w:val="21"/>
                <w:szCs w:val="21"/>
                <w:highlight w:val="none"/>
              </w:rPr>
              <w:t>鉴证日期：        年    月    日</w:t>
            </w:r>
          </w:p>
        </w:tc>
      </w:tr>
    </w:tbl>
    <w:p w14:paraId="775CD66B">
      <w:pPr>
        <w:adjustRightInd w:val="0"/>
        <w:snapToGrid w:val="0"/>
        <w:spacing w:line="288" w:lineRule="auto"/>
        <w:jc w:val="center"/>
        <w:outlineLvl w:val="0"/>
        <w:rPr>
          <w:b/>
          <w:bCs/>
          <w:color w:val="auto"/>
          <w:sz w:val="32"/>
          <w:szCs w:val="32"/>
          <w:highlight w:val="none"/>
        </w:rPr>
      </w:pPr>
      <w:r>
        <w:rPr>
          <w:rFonts w:hint="eastAsia"/>
          <w:color w:val="auto"/>
          <w:sz w:val="21"/>
          <w:szCs w:val="21"/>
          <w:highlight w:val="none"/>
        </w:rPr>
        <w:br w:type="page"/>
      </w:r>
      <w:bookmarkStart w:id="122" w:name="_Toc29941"/>
      <w:bookmarkStart w:id="123" w:name="_Toc30559"/>
      <w:bookmarkStart w:id="124" w:name="_Toc1796"/>
      <w:bookmarkStart w:id="125" w:name="_Toc10393"/>
      <w:bookmarkStart w:id="126" w:name="_Toc29822"/>
      <w:bookmarkStart w:id="127" w:name="_Toc29708"/>
      <w:bookmarkStart w:id="128" w:name="_Toc9363"/>
      <w:r>
        <w:rPr>
          <w:rFonts w:hint="eastAsia"/>
          <w:b/>
          <w:bCs/>
          <w:color w:val="auto"/>
          <w:sz w:val="32"/>
          <w:szCs w:val="32"/>
          <w:highlight w:val="none"/>
        </w:rPr>
        <w:t>第六章  响应文件格式</w:t>
      </w:r>
      <w:bookmarkEnd w:id="122"/>
      <w:bookmarkEnd w:id="123"/>
      <w:bookmarkEnd w:id="124"/>
      <w:bookmarkEnd w:id="125"/>
      <w:bookmarkEnd w:id="126"/>
      <w:bookmarkEnd w:id="127"/>
      <w:bookmarkEnd w:id="128"/>
    </w:p>
    <w:p w14:paraId="013DABBA">
      <w:pPr>
        <w:adjustRightInd w:val="0"/>
        <w:snapToGrid w:val="0"/>
        <w:spacing w:line="288" w:lineRule="auto"/>
        <w:rPr>
          <w:color w:val="auto"/>
          <w:sz w:val="21"/>
          <w:szCs w:val="21"/>
          <w:highlight w:val="none"/>
        </w:rPr>
      </w:pPr>
    </w:p>
    <w:p w14:paraId="6A89E331">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目  录</w:t>
      </w:r>
    </w:p>
    <w:p w14:paraId="5479C98E">
      <w:pPr>
        <w:adjustRightInd w:val="0"/>
        <w:snapToGrid w:val="0"/>
        <w:spacing w:line="288" w:lineRule="auto"/>
        <w:rPr>
          <w:color w:val="auto"/>
          <w:sz w:val="21"/>
          <w:szCs w:val="21"/>
          <w:highlight w:val="none"/>
        </w:rPr>
      </w:pPr>
    </w:p>
    <w:p w14:paraId="1B2E8880">
      <w:pPr>
        <w:adjustRightInd w:val="0"/>
        <w:snapToGrid w:val="0"/>
        <w:spacing w:line="288" w:lineRule="auto"/>
        <w:ind w:firstLine="422" w:firstLineChars="200"/>
        <w:rPr>
          <w:b/>
          <w:bCs/>
          <w:color w:val="auto"/>
          <w:sz w:val="21"/>
          <w:szCs w:val="21"/>
          <w:highlight w:val="none"/>
        </w:rPr>
      </w:pPr>
      <w:bookmarkStart w:id="129" w:name="_Hlk71884160"/>
      <w:r>
        <w:rPr>
          <w:rFonts w:hint="eastAsia"/>
          <w:b/>
          <w:bCs/>
          <w:color w:val="auto"/>
          <w:sz w:val="21"/>
          <w:szCs w:val="21"/>
          <w:highlight w:val="none"/>
        </w:rPr>
        <w:t>▲1.资格文件（单独上传）</w:t>
      </w:r>
    </w:p>
    <w:p w14:paraId="1E77027A">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资格审查要求的资格证明材料(均需加盖公章)：</w:t>
      </w:r>
      <w:bookmarkEnd w:id="129"/>
    </w:p>
    <w:p w14:paraId="31CDF77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14:paraId="16267FB5">
      <w:pPr>
        <w:adjustRightInd w:val="0"/>
        <w:snapToGrid w:val="0"/>
        <w:spacing w:line="288" w:lineRule="auto"/>
        <w:ind w:firstLine="422" w:firstLineChars="200"/>
        <w:rPr>
          <w:b/>
          <w:bCs/>
          <w:color w:val="auto"/>
          <w:sz w:val="21"/>
          <w:szCs w:val="21"/>
          <w:highlight w:val="none"/>
        </w:rPr>
      </w:pPr>
      <w:bookmarkStart w:id="130" w:name="_Hlk71884127"/>
      <w:r>
        <w:rPr>
          <w:rFonts w:hint="eastAsia"/>
          <w:b/>
          <w:bCs/>
          <w:color w:val="auto"/>
          <w:sz w:val="21"/>
          <w:szCs w:val="21"/>
          <w:highlight w:val="none"/>
        </w:rPr>
        <w:t>（2）符合参加政府采购活动应当具备的一般条件的承诺函；</w:t>
      </w:r>
    </w:p>
    <w:p w14:paraId="7DADF870">
      <w:pPr>
        <w:adjustRightInd w:val="0"/>
        <w:snapToGrid w:val="0"/>
        <w:spacing w:line="288" w:lineRule="auto"/>
        <w:ind w:firstLine="422" w:firstLineChars="200"/>
        <w:rPr>
          <w:rFonts w:hint="eastAsia" w:eastAsia="宋体"/>
          <w:b/>
          <w:bCs/>
          <w:color w:val="auto"/>
          <w:sz w:val="21"/>
          <w:szCs w:val="21"/>
          <w:highlight w:val="none"/>
          <w:lang w:val="en-US" w:eastAsia="zh-CN"/>
        </w:rPr>
      </w:pPr>
      <w:r>
        <w:rPr>
          <w:rFonts w:hint="eastAsia"/>
          <w:b/>
          <w:bCs/>
          <w:color w:val="auto"/>
          <w:sz w:val="21"/>
          <w:szCs w:val="21"/>
          <w:highlight w:val="none"/>
        </w:rPr>
        <w:t>（3）落实政府采购政策需满足的资格要求：</w:t>
      </w:r>
      <w:r>
        <w:rPr>
          <w:rFonts w:hint="eastAsia"/>
          <w:b/>
          <w:bCs/>
          <w:color w:val="auto"/>
          <w:sz w:val="21"/>
          <w:szCs w:val="21"/>
          <w:highlight w:val="none"/>
          <w:lang w:val="en-US" w:eastAsia="zh-CN"/>
        </w:rPr>
        <w:t>无</w:t>
      </w:r>
    </w:p>
    <w:p w14:paraId="6CCE5564">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（4）本项目的特定资格要求证明材料：无</w:t>
      </w:r>
      <w:bookmarkEnd w:id="130"/>
      <w:r>
        <w:rPr>
          <w:rFonts w:hint="eastAsia"/>
          <w:b/>
          <w:bCs/>
          <w:color w:val="auto"/>
          <w:sz w:val="21"/>
          <w:szCs w:val="21"/>
          <w:highlight w:val="none"/>
        </w:rPr>
        <w:t>；</w:t>
      </w:r>
    </w:p>
    <w:p w14:paraId="2D8A1D9A">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（5）</w:t>
      </w:r>
      <w:r>
        <w:rPr>
          <w:rFonts w:hint="eastAsia"/>
          <w:b/>
          <w:color w:val="auto"/>
          <w:spacing w:val="-6"/>
          <w:sz w:val="21"/>
          <w:szCs w:val="21"/>
          <w:highlight w:val="none"/>
        </w:rPr>
        <w:t>以联合体形式响应的，提供联合协议及</w:t>
      </w:r>
      <w:r>
        <w:rPr>
          <w:rFonts w:hint="eastAsia"/>
          <w:b/>
          <w:bCs/>
          <w:color w:val="auto"/>
          <w:sz w:val="21"/>
          <w:szCs w:val="21"/>
          <w:highlight w:val="none"/>
        </w:rPr>
        <w:t>联合体各方均应提供资格文件材料。</w:t>
      </w:r>
    </w:p>
    <w:p w14:paraId="4BD9535F">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2.报价文件</w:t>
      </w:r>
    </w:p>
    <w:p w14:paraId="3E5BC39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14:paraId="47054D9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（2）报价情况说明（如有）；</w:t>
      </w:r>
    </w:p>
    <w:p w14:paraId="35729CAA">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rFonts w:hint="eastAsia"/>
          <w:color w:val="auto"/>
          <w:sz w:val="21"/>
          <w:szCs w:val="21"/>
          <w:highlight w:val="none"/>
        </w:rPr>
        <w:t>中小企业声明函（若属于中小企业）</w:t>
      </w:r>
      <w:r>
        <w:rPr>
          <w:rFonts w:hint="eastAsia"/>
          <w:color w:val="auto"/>
          <w:sz w:val="21"/>
          <w:szCs w:val="21"/>
          <w:highlight w:val="none"/>
          <w:lang w:eastAsia="zh-CN"/>
        </w:rPr>
        <w:t>；</w:t>
      </w:r>
    </w:p>
    <w:p w14:paraId="590B8B60">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4</w:t>
      </w:r>
      <w:r>
        <w:rPr>
          <w:rFonts w:hint="eastAsia"/>
          <w:color w:val="auto"/>
          <w:sz w:val="21"/>
          <w:szCs w:val="21"/>
          <w:highlight w:val="none"/>
          <w:lang w:eastAsia="zh-CN"/>
        </w:rPr>
        <w:t>）</w:t>
      </w:r>
      <w:r>
        <w:rPr>
          <w:rFonts w:hint="eastAsia"/>
          <w:color w:val="auto"/>
          <w:sz w:val="21"/>
          <w:szCs w:val="21"/>
          <w:highlight w:val="none"/>
        </w:rPr>
        <w:t>属于监狱企业的证明文件（若属于监狱企业）</w:t>
      </w:r>
      <w:r>
        <w:rPr>
          <w:rFonts w:hint="eastAsia"/>
          <w:color w:val="auto"/>
          <w:sz w:val="21"/>
          <w:szCs w:val="21"/>
          <w:highlight w:val="none"/>
          <w:lang w:eastAsia="zh-CN"/>
        </w:rPr>
        <w:t>；</w:t>
      </w:r>
    </w:p>
    <w:p w14:paraId="68014CAB">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5</w:t>
      </w:r>
      <w:r>
        <w:rPr>
          <w:rFonts w:hint="eastAsia"/>
          <w:color w:val="auto"/>
          <w:sz w:val="21"/>
          <w:szCs w:val="21"/>
          <w:highlight w:val="none"/>
          <w:lang w:eastAsia="zh-CN"/>
        </w:rPr>
        <w:t>）</w:t>
      </w:r>
      <w:r>
        <w:rPr>
          <w:rFonts w:hint="eastAsia"/>
          <w:color w:val="auto"/>
          <w:sz w:val="21"/>
          <w:szCs w:val="21"/>
          <w:highlight w:val="none"/>
        </w:rPr>
        <w:t>残疾人福利性单位声明函（若属于残疾人福利性单位）</w:t>
      </w:r>
      <w:r>
        <w:rPr>
          <w:rFonts w:hint="eastAsia"/>
          <w:color w:val="auto"/>
          <w:sz w:val="21"/>
          <w:szCs w:val="21"/>
          <w:highlight w:val="none"/>
          <w:lang w:eastAsia="zh-CN"/>
        </w:rPr>
        <w:t>。</w:t>
      </w:r>
    </w:p>
    <w:p w14:paraId="08A3BF0D">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3.商务技术文件</w:t>
      </w:r>
    </w:p>
    <w:p w14:paraId="4B91CA3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14:paraId="6F08606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（2）授权委托书或法定代表人（单位负责人、自然人本人）身份证明；</w:t>
      </w:r>
    </w:p>
    <w:p w14:paraId="56FA91A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（3）采购需求偏离表；</w:t>
      </w:r>
    </w:p>
    <w:p w14:paraId="4D95377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（4）廉政承诺书；</w:t>
      </w:r>
    </w:p>
    <w:p w14:paraId="3F3565EB">
      <w:pPr>
        <w:adjustRightInd w:val="0"/>
        <w:snapToGrid w:val="0"/>
        <w:spacing w:line="288" w:lineRule="auto"/>
        <w:ind w:firstLine="420" w:firstLineChars="200"/>
        <w:rPr>
          <w:color w:val="auto"/>
          <w:sz w:val="21"/>
          <w:szCs w:val="21"/>
          <w:highlight w:val="none"/>
        </w:rPr>
      </w:pPr>
      <w:bookmarkStart w:id="131" w:name="_Hlk71884196"/>
      <w:r>
        <w:rPr>
          <w:rFonts w:hint="eastAsia"/>
          <w:color w:val="auto"/>
          <w:sz w:val="21"/>
          <w:szCs w:val="21"/>
          <w:highlight w:val="none"/>
        </w:rPr>
        <w:t>（5）供应商类似业绩一览表；</w:t>
      </w:r>
    </w:p>
    <w:p w14:paraId="7E4D8C3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（6）节能环保产品证明材料；</w:t>
      </w:r>
    </w:p>
    <w:p w14:paraId="72CE3E2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（7）技术方案；</w:t>
      </w:r>
    </w:p>
    <w:p w14:paraId="39C44A1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（8）供应商需要说明的其他文件和材料。</w:t>
      </w:r>
    </w:p>
    <w:bookmarkEnd w:id="131"/>
    <w:p w14:paraId="4932D8E4">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58506700">
      <w:pPr>
        <w:adjustRightInd w:val="0"/>
        <w:snapToGrid w:val="0"/>
        <w:spacing w:line="288" w:lineRule="auto"/>
        <w:rPr>
          <w:color w:val="auto"/>
          <w:highlight w:val="none"/>
        </w:rPr>
      </w:pPr>
    </w:p>
    <w:p w14:paraId="4CE1475D">
      <w:pPr>
        <w:adjustRightInd w:val="0"/>
        <w:snapToGrid w:val="0"/>
        <w:spacing w:line="288" w:lineRule="auto"/>
        <w:jc w:val="center"/>
        <w:outlineLvl w:val="1"/>
        <w:rPr>
          <w:b/>
          <w:bCs/>
          <w:color w:val="auto"/>
          <w:sz w:val="84"/>
          <w:szCs w:val="84"/>
          <w:highlight w:val="none"/>
        </w:rPr>
      </w:pPr>
      <w:bookmarkStart w:id="132" w:name="_Toc14812"/>
      <w:bookmarkStart w:id="133" w:name="_Toc19719"/>
      <w:bookmarkStart w:id="134" w:name="_Toc18243"/>
      <w:r>
        <w:rPr>
          <w:rFonts w:hint="eastAsia"/>
          <w:b/>
          <w:bCs/>
          <w:color w:val="auto"/>
          <w:sz w:val="84"/>
          <w:szCs w:val="84"/>
          <w:highlight w:val="none"/>
        </w:rPr>
        <w:t>资格文件</w:t>
      </w:r>
      <w:bookmarkEnd w:id="132"/>
      <w:bookmarkEnd w:id="133"/>
      <w:bookmarkEnd w:id="134"/>
    </w:p>
    <w:p w14:paraId="1FC52B40">
      <w:pPr>
        <w:adjustRightInd w:val="0"/>
        <w:snapToGrid w:val="0"/>
        <w:spacing w:line="288" w:lineRule="auto"/>
        <w:jc w:val="center"/>
        <w:rPr>
          <w:b/>
          <w:bCs/>
          <w:color w:val="auto"/>
          <w:sz w:val="21"/>
          <w:szCs w:val="21"/>
          <w:highlight w:val="none"/>
        </w:rPr>
      </w:pPr>
    </w:p>
    <w:p w14:paraId="0256F12B">
      <w:pPr>
        <w:adjustRightInd w:val="0"/>
        <w:snapToGrid w:val="0"/>
        <w:spacing w:line="288" w:lineRule="auto"/>
        <w:jc w:val="center"/>
        <w:rPr>
          <w:b/>
          <w:bCs/>
          <w:color w:val="auto"/>
          <w:sz w:val="21"/>
          <w:szCs w:val="21"/>
          <w:highlight w:val="none"/>
        </w:rPr>
      </w:pPr>
    </w:p>
    <w:p w14:paraId="42181186">
      <w:pPr>
        <w:adjustRightInd w:val="0"/>
        <w:snapToGrid w:val="0"/>
        <w:spacing w:line="288" w:lineRule="auto"/>
        <w:jc w:val="center"/>
        <w:rPr>
          <w:b/>
          <w:bCs/>
          <w:color w:val="auto"/>
          <w:sz w:val="21"/>
          <w:szCs w:val="21"/>
          <w:highlight w:val="none"/>
        </w:rPr>
      </w:pPr>
      <w:bookmarkStart w:id="135" w:name="_Hlk94097338"/>
      <w:r>
        <w:rPr>
          <w:rFonts w:hint="eastAsia"/>
          <w:b/>
          <w:bCs/>
          <w:color w:val="auto"/>
          <w:sz w:val="21"/>
          <w:szCs w:val="21"/>
          <w:highlight w:val="none"/>
        </w:rPr>
        <w:t>资格审查要求的资格证明材料(均需加盖公章)</w:t>
      </w:r>
      <w:bookmarkEnd w:id="135"/>
    </w:p>
    <w:p w14:paraId="1E3AC7F3">
      <w:pPr>
        <w:adjustRightInd w:val="0"/>
        <w:snapToGrid w:val="0"/>
        <w:spacing w:line="288" w:lineRule="auto"/>
        <w:jc w:val="center"/>
        <w:rPr>
          <w:b/>
          <w:bCs/>
          <w:color w:val="auto"/>
          <w:sz w:val="21"/>
          <w:szCs w:val="21"/>
          <w:highlight w:val="none"/>
        </w:rPr>
      </w:pPr>
      <w:r>
        <w:rPr>
          <w:rFonts w:hint="eastAsia"/>
          <w:color w:val="auto"/>
          <w:sz w:val="21"/>
          <w:szCs w:val="21"/>
          <w:highlight w:val="none"/>
        </w:rPr>
        <w:br w:type="page"/>
      </w:r>
      <w:bookmarkStart w:id="136" w:name="_Toc11699"/>
      <w:r>
        <w:rPr>
          <w:rFonts w:hint="eastAsia"/>
          <w:b/>
          <w:bCs/>
          <w:color w:val="auto"/>
          <w:sz w:val="21"/>
          <w:szCs w:val="21"/>
          <w:highlight w:val="none"/>
        </w:rPr>
        <w:t>一、有效的法人或者其他组织的营业执照等证明文件，自然人的身份证明</w:t>
      </w:r>
      <w:bookmarkEnd w:id="136"/>
    </w:p>
    <w:p w14:paraId="6B4B80AC">
      <w:pPr>
        <w:adjustRightInd w:val="0"/>
        <w:snapToGrid w:val="0"/>
        <w:spacing w:line="288" w:lineRule="auto"/>
        <w:rPr>
          <w:color w:val="auto"/>
          <w:sz w:val="21"/>
          <w:szCs w:val="21"/>
          <w:highlight w:val="none"/>
        </w:rPr>
      </w:pPr>
    </w:p>
    <w:p w14:paraId="21084F83">
      <w:pPr>
        <w:adjustRightInd w:val="0"/>
        <w:snapToGrid w:val="0"/>
        <w:spacing w:line="288" w:lineRule="auto"/>
        <w:rPr>
          <w:color w:val="auto"/>
          <w:sz w:val="21"/>
          <w:szCs w:val="21"/>
          <w:highlight w:val="none"/>
        </w:rPr>
      </w:pPr>
    </w:p>
    <w:p w14:paraId="2C048021">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588E7F9A">
      <w:pPr>
        <w:adjustRightInd w:val="0"/>
        <w:snapToGrid w:val="0"/>
        <w:spacing w:line="288" w:lineRule="auto"/>
        <w:rPr>
          <w:b/>
          <w:bCs/>
          <w:color w:val="auto"/>
          <w:sz w:val="21"/>
          <w:szCs w:val="21"/>
          <w:highlight w:val="none"/>
        </w:rPr>
      </w:pPr>
      <w:r>
        <w:rPr>
          <w:rFonts w:hint="eastAsia"/>
          <w:b/>
          <w:bCs/>
          <w:color w:val="auto"/>
          <w:sz w:val="21"/>
          <w:szCs w:val="21"/>
          <w:highlight w:val="none"/>
        </w:rPr>
        <w:t>1.如供应商是企业（包括合伙企业），提供在工商部门注册的有效“企业法人营业执照”或“营业执照”；</w:t>
      </w:r>
    </w:p>
    <w:p w14:paraId="690BB52F">
      <w:pPr>
        <w:adjustRightInd w:val="0"/>
        <w:snapToGrid w:val="0"/>
        <w:spacing w:line="288" w:lineRule="auto"/>
        <w:rPr>
          <w:b/>
          <w:bCs/>
          <w:color w:val="auto"/>
          <w:sz w:val="21"/>
          <w:szCs w:val="21"/>
          <w:highlight w:val="none"/>
        </w:rPr>
      </w:pPr>
      <w:r>
        <w:rPr>
          <w:rFonts w:hint="eastAsia"/>
          <w:b/>
          <w:bCs/>
          <w:color w:val="auto"/>
          <w:sz w:val="21"/>
          <w:szCs w:val="21"/>
          <w:highlight w:val="none"/>
        </w:rPr>
        <w:t>2.如供应商是事业单位，提供有效的“事业单位法人证书”；</w:t>
      </w:r>
    </w:p>
    <w:p w14:paraId="1F71B108">
      <w:pPr>
        <w:adjustRightInd w:val="0"/>
        <w:snapToGrid w:val="0"/>
        <w:spacing w:line="288" w:lineRule="auto"/>
        <w:rPr>
          <w:b/>
          <w:bCs/>
          <w:color w:val="auto"/>
          <w:sz w:val="21"/>
          <w:szCs w:val="21"/>
          <w:highlight w:val="none"/>
        </w:rPr>
      </w:pPr>
      <w:r>
        <w:rPr>
          <w:rFonts w:hint="eastAsia"/>
          <w:b/>
          <w:bCs/>
          <w:color w:val="auto"/>
          <w:sz w:val="21"/>
          <w:szCs w:val="21"/>
          <w:highlight w:val="none"/>
        </w:rPr>
        <w:t>3.如供应商是非企业专业服务机构的，提供执业许可证等证明文件；</w:t>
      </w:r>
    </w:p>
    <w:p w14:paraId="54392E42">
      <w:pPr>
        <w:adjustRightInd w:val="0"/>
        <w:snapToGrid w:val="0"/>
        <w:spacing w:line="288" w:lineRule="auto"/>
        <w:rPr>
          <w:b/>
          <w:bCs/>
          <w:color w:val="auto"/>
          <w:sz w:val="21"/>
          <w:szCs w:val="21"/>
          <w:highlight w:val="none"/>
        </w:rPr>
      </w:pPr>
      <w:r>
        <w:rPr>
          <w:rFonts w:hint="eastAsia"/>
          <w:b/>
          <w:bCs/>
          <w:color w:val="auto"/>
          <w:sz w:val="21"/>
          <w:szCs w:val="21"/>
          <w:highlight w:val="none"/>
        </w:rPr>
        <w:t>4.如供应商是个体工商户，提供有效的“个体工商户营业执照”；</w:t>
      </w:r>
    </w:p>
    <w:p w14:paraId="5941C438">
      <w:pPr>
        <w:adjustRightInd w:val="0"/>
        <w:snapToGrid w:val="0"/>
        <w:spacing w:line="288" w:lineRule="auto"/>
        <w:rPr>
          <w:b/>
          <w:bCs/>
          <w:color w:val="auto"/>
          <w:sz w:val="21"/>
          <w:szCs w:val="21"/>
          <w:highlight w:val="none"/>
        </w:rPr>
      </w:pPr>
      <w:r>
        <w:rPr>
          <w:rFonts w:hint="eastAsia"/>
          <w:b/>
          <w:bCs/>
          <w:color w:val="auto"/>
          <w:sz w:val="21"/>
          <w:szCs w:val="21"/>
          <w:highlight w:val="none"/>
        </w:rPr>
        <w:t>5.如供应商是自然人，提供有效的自然人身份证明。</w:t>
      </w:r>
    </w:p>
    <w:p w14:paraId="07A4931C">
      <w:pPr>
        <w:adjustRightInd w:val="0"/>
        <w:snapToGrid w:val="0"/>
        <w:spacing w:line="288" w:lineRule="auto"/>
        <w:jc w:val="center"/>
        <w:rPr>
          <w:b/>
          <w:bCs/>
          <w:color w:val="auto"/>
          <w:sz w:val="21"/>
          <w:szCs w:val="21"/>
          <w:highlight w:val="none"/>
          <w:shd w:val="clear" w:color="auto" w:fill="FFFFFF"/>
        </w:rPr>
      </w:pPr>
      <w:r>
        <w:rPr>
          <w:rFonts w:hint="eastAsia"/>
          <w:color w:val="auto"/>
          <w:sz w:val="21"/>
          <w:szCs w:val="21"/>
          <w:highlight w:val="none"/>
        </w:rPr>
        <w:br w:type="page"/>
      </w:r>
      <w:bookmarkStart w:id="137" w:name="_Toc21832"/>
      <w:r>
        <w:rPr>
          <w:rFonts w:hint="eastAsia"/>
          <w:b/>
          <w:color w:val="auto"/>
          <w:spacing w:val="-6"/>
          <w:sz w:val="21"/>
          <w:szCs w:val="21"/>
          <w:highlight w:val="none"/>
        </w:rPr>
        <w:t>二、</w:t>
      </w:r>
      <w:r>
        <w:rPr>
          <w:rFonts w:hint="eastAsia"/>
          <w:b/>
          <w:bCs/>
          <w:color w:val="auto"/>
          <w:sz w:val="21"/>
          <w:szCs w:val="21"/>
          <w:highlight w:val="none"/>
        </w:rPr>
        <w:t>符合参加政府采购活动应当具备的一般条件的承诺函</w:t>
      </w:r>
      <w:bookmarkEnd w:id="137"/>
    </w:p>
    <w:p w14:paraId="33E37E06">
      <w:pPr>
        <w:adjustRightInd w:val="0"/>
        <w:snapToGrid w:val="0"/>
        <w:spacing w:line="288" w:lineRule="auto"/>
        <w:rPr>
          <w:color w:val="auto"/>
          <w:sz w:val="21"/>
          <w:szCs w:val="21"/>
          <w:highlight w:val="none"/>
          <w:shd w:val="clear" w:color="auto" w:fill="FFFFFF"/>
        </w:rPr>
      </w:pPr>
    </w:p>
    <w:p w14:paraId="4F56BDCC">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致：浙江树人学院、浙江求是招标代理有限公司：</w:t>
      </w:r>
    </w:p>
    <w:p w14:paraId="2C27DA9A">
      <w:pPr>
        <w:adjustRightInd w:val="0"/>
        <w:snapToGrid w:val="0"/>
        <w:spacing w:line="288" w:lineRule="auto"/>
        <w:rPr>
          <w:color w:val="auto"/>
          <w:spacing w:val="-6"/>
          <w:sz w:val="21"/>
          <w:szCs w:val="21"/>
          <w:highlight w:val="none"/>
        </w:rPr>
      </w:pPr>
    </w:p>
    <w:p w14:paraId="47D05A46">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我方</w:t>
      </w:r>
      <w:r>
        <w:rPr>
          <w:rFonts w:hint="eastAsia"/>
          <w:color w:val="auto"/>
          <w:spacing w:val="-6"/>
          <w:sz w:val="21"/>
          <w:szCs w:val="21"/>
          <w:highlight w:val="none"/>
          <w:u w:val="single"/>
        </w:rPr>
        <w:t xml:space="preserve">（供应商名称）        </w:t>
      </w:r>
      <w:r>
        <w:rPr>
          <w:rFonts w:hint="eastAsia"/>
          <w:color w:val="auto"/>
          <w:spacing w:val="-6"/>
          <w:sz w:val="21"/>
          <w:szCs w:val="21"/>
          <w:highlight w:val="none"/>
        </w:rPr>
        <w:t>参加</w:t>
      </w:r>
      <w:r>
        <w:rPr>
          <w:rFonts w:hint="eastAsia"/>
          <w:color w:val="auto"/>
          <w:spacing w:val="-6"/>
          <w:sz w:val="21"/>
          <w:szCs w:val="21"/>
          <w:highlight w:val="none"/>
          <w:u w:val="single"/>
        </w:rPr>
        <w:t xml:space="preserve">（项目名称）        </w:t>
      </w:r>
      <w:r>
        <w:rPr>
          <w:rFonts w:hint="eastAsia"/>
          <w:color w:val="auto"/>
          <w:spacing w:val="-6"/>
          <w:sz w:val="21"/>
          <w:szCs w:val="21"/>
          <w:highlight w:val="none"/>
        </w:rPr>
        <w:t>项目的采购活动并承诺如下：</w:t>
      </w:r>
    </w:p>
    <w:p w14:paraId="2828CEB9">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一、我方满足《中华人民共和国政府采购法》第二十二条规定：</w:t>
      </w:r>
    </w:p>
    <w:p w14:paraId="62BA4C98">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1、具有独立承担民事责任的能力；</w:t>
      </w:r>
    </w:p>
    <w:p w14:paraId="48786B35">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2、具有良好的商业信誉和健全的财务会计制度；</w:t>
      </w:r>
    </w:p>
    <w:p w14:paraId="2697F0ED">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3、具有履行合同所必需的设备和专业技术能力；</w:t>
      </w:r>
    </w:p>
    <w:p w14:paraId="3778190B">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4、有依法缴纳税收和社会保障资金的良好记录；</w:t>
      </w:r>
    </w:p>
    <w:p w14:paraId="6C3D6DB2">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5、参加本项目政府采购活动前三年内，在经营活动中</w:t>
      </w:r>
      <w:r>
        <w:rPr>
          <w:rFonts w:hint="eastAsia"/>
          <w:b/>
          <w:bCs/>
          <w:color w:val="auto"/>
          <w:spacing w:val="-6"/>
          <w:sz w:val="21"/>
          <w:szCs w:val="21"/>
          <w:highlight w:val="none"/>
          <w:u w:val="single"/>
        </w:rPr>
        <w:t xml:space="preserve">  没有  </w:t>
      </w:r>
      <w:r>
        <w:rPr>
          <w:rFonts w:hint="eastAsia"/>
          <w:color w:val="auto"/>
          <w:spacing w:val="-6"/>
          <w:sz w:val="21"/>
          <w:szCs w:val="21"/>
          <w:highlight w:val="none"/>
        </w:rPr>
        <w:t>重大违法记录（重大违法记录是指供应商因违法经营受到刑事处罚或者责令停产停业、吊销许可证或者执照、较大数额罚款等行政处罚）；</w:t>
      </w:r>
    </w:p>
    <w:p w14:paraId="74F066EA">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6、法律、行政法规规定的其他条件。</w:t>
      </w:r>
    </w:p>
    <w:p w14:paraId="640976D1">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二、未被信用中国（www.creditchina.gov.cn)、中国政府采购网（www.ccgp.gov.cn）列入失信被执行人、重大税收违法案件当事人名单、政府采购严重违法失信行为记录名单。</w:t>
      </w:r>
    </w:p>
    <w:p w14:paraId="4A640858">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三、不存在以下情况：</w:t>
      </w:r>
    </w:p>
    <w:p w14:paraId="18378218">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1、单位负责人为同一人或者存在直接控股、管理关系的不同供应商参加同一合同项下的政府采购活动的；</w:t>
      </w:r>
    </w:p>
    <w:p w14:paraId="72EC422D">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2、为采购项目提供整体设计、规范编制或者项目管理、监理、检测等服务后再参加该采购项目的其他采购活动的。</w:t>
      </w:r>
    </w:p>
    <w:p w14:paraId="4D07152D">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四、以上事项如有虚假或隐瞒，我方愿意承担一切后果和责任。</w:t>
      </w:r>
    </w:p>
    <w:p w14:paraId="3086D043">
      <w:pPr>
        <w:adjustRightInd w:val="0"/>
        <w:snapToGrid w:val="0"/>
        <w:spacing w:line="288" w:lineRule="auto"/>
        <w:rPr>
          <w:color w:val="auto"/>
          <w:sz w:val="21"/>
          <w:szCs w:val="21"/>
          <w:highlight w:val="none"/>
        </w:rPr>
      </w:pPr>
    </w:p>
    <w:p w14:paraId="3CFA7B0C">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44FB0A66">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3677C8D5">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eastAsia="宋体"/>
          <w:b/>
          <w:color w:val="auto"/>
          <w:spacing w:val="-6"/>
          <w:sz w:val="21"/>
          <w:szCs w:val="21"/>
          <w:highlight w:val="none"/>
          <w:lang w:val="en-US" w:eastAsia="zh-CN"/>
        </w:rPr>
      </w:pPr>
      <w:r>
        <w:rPr>
          <w:rFonts w:hint="eastAsia"/>
          <w:color w:val="auto"/>
          <w:sz w:val="21"/>
          <w:szCs w:val="21"/>
          <w:highlight w:val="none"/>
        </w:rPr>
        <w:br w:type="page"/>
      </w:r>
      <w:bookmarkStart w:id="138" w:name="_Toc15019"/>
      <w:r>
        <w:rPr>
          <w:rFonts w:hint="eastAsia"/>
          <w:color w:val="auto"/>
          <w:sz w:val="21"/>
          <w:szCs w:val="21"/>
          <w:highlight w:val="none"/>
        </w:rPr>
        <w:t>三、</w:t>
      </w:r>
      <w:r>
        <w:rPr>
          <w:rFonts w:hint="eastAsia"/>
          <w:b/>
          <w:color w:val="auto"/>
          <w:spacing w:val="-6"/>
          <w:sz w:val="21"/>
          <w:szCs w:val="21"/>
          <w:highlight w:val="none"/>
        </w:rPr>
        <w:t>落实政府采购政策需满足的资格要求：</w:t>
      </w:r>
      <w:bookmarkEnd w:id="138"/>
      <w:r>
        <w:rPr>
          <w:rFonts w:hint="eastAsia"/>
          <w:b/>
          <w:color w:val="auto"/>
          <w:spacing w:val="-6"/>
          <w:sz w:val="21"/>
          <w:szCs w:val="21"/>
          <w:highlight w:val="none"/>
          <w:lang w:val="en-US" w:eastAsia="zh-CN"/>
        </w:rPr>
        <w:t>无</w:t>
      </w:r>
    </w:p>
    <w:p w14:paraId="3FEED0D7">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b/>
          <w:color w:val="auto"/>
          <w:spacing w:val="-6"/>
          <w:sz w:val="21"/>
          <w:szCs w:val="21"/>
          <w:highlight w:val="none"/>
        </w:rPr>
      </w:pPr>
      <w:bookmarkStart w:id="139" w:name="_Toc23640"/>
      <w:r>
        <w:rPr>
          <w:rFonts w:hint="eastAsia"/>
          <w:b/>
          <w:color w:val="auto"/>
          <w:spacing w:val="-6"/>
          <w:sz w:val="21"/>
          <w:szCs w:val="21"/>
          <w:highlight w:val="none"/>
        </w:rPr>
        <w:t>四、本项目的特定资格要求证明材料：无</w:t>
      </w:r>
      <w:bookmarkEnd w:id="139"/>
      <w:r>
        <w:rPr>
          <w:rFonts w:hint="eastAsia"/>
          <w:b/>
          <w:color w:val="auto"/>
          <w:spacing w:val="-6"/>
          <w:sz w:val="21"/>
          <w:szCs w:val="21"/>
          <w:highlight w:val="none"/>
        </w:rPr>
        <w:t>。</w:t>
      </w:r>
    </w:p>
    <w:p w14:paraId="5CB75BAC">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color w:val="auto"/>
          <w:sz w:val="21"/>
          <w:szCs w:val="21"/>
          <w:highlight w:val="none"/>
        </w:rPr>
      </w:pPr>
      <w:bookmarkStart w:id="140" w:name="_Toc22219"/>
      <w:r>
        <w:rPr>
          <w:rFonts w:hint="eastAsia"/>
          <w:b/>
          <w:color w:val="auto"/>
          <w:spacing w:val="-6"/>
          <w:sz w:val="21"/>
          <w:szCs w:val="21"/>
          <w:highlight w:val="none"/>
        </w:rPr>
        <w:t>五、以联合体形式参加的，提供联合协议（附件2），联合各方须均为中小企业；供应商不以联合体形式响应的，则不需要提供（格式详见附件）。</w:t>
      </w:r>
      <w:bookmarkEnd w:id="140"/>
      <w:r>
        <w:rPr>
          <w:rFonts w:hint="eastAsia"/>
          <w:b/>
          <w:color w:val="auto"/>
          <w:spacing w:val="-6"/>
          <w:sz w:val="21"/>
          <w:szCs w:val="21"/>
          <w:highlight w:val="none"/>
        </w:rPr>
        <w:t>合同分包的，提供分包意向协议（附件3），分包意向协议中所有供应商须均为中小企业</w:t>
      </w:r>
      <w:r>
        <w:rPr>
          <w:rFonts w:hint="eastAsia"/>
          <w:b/>
          <w:color w:val="auto"/>
          <w:sz w:val="21"/>
          <w:szCs w:val="21"/>
          <w:highlight w:val="none"/>
        </w:rPr>
        <w:t>；采购人不同意分包或者供应商成交后不以分包方式履行合同的，则不需要提供</w:t>
      </w:r>
      <w:r>
        <w:rPr>
          <w:rFonts w:hint="eastAsia"/>
          <w:b/>
          <w:color w:val="auto"/>
          <w:spacing w:val="-6"/>
          <w:sz w:val="21"/>
          <w:szCs w:val="21"/>
          <w:highlight w:val="none"/>
        </w:rPr>
        <w:t>（格式详见附件）</w:t>
      </w:r>
      <w:r>
        <w:rPr>
          <w:rFonts w:hint="eastAsia"/>
          <w:b/>
          <w:color w:val="auto"/>
          <w:sz w:val="21"/>
          <w:szCs w:val="21"/>
          <w:highlight w:val="none"/>
        </w:rPr>
        <w:t>。</w:t>
      </w:r>
      <w:r>
        <w:rPr>
          <w:rFonts w:hint="eastAsia"/>
          <w:color w:val="auto"/>
          <w:sz w:val="21"/>
          <w:szCs w:val="21"/>
          <w:highlight w:val="none"/>
        </w:rPr>
        <w:br w:type="page"/>
      </w:r>
    </w:p>
    <w:p w14:paraId="630CED9A">
      <w:pPr>
        <w:adjustRightInd w:val="0"/>
        <w:snapToGrid w:val="0"/>
        <w:spacing w:line="288" w:lineRule="auto"/>
        <w:rPr>
          <w:color w:val="auto"/>
          <w:highlight w:val="none"/>
        </w:rPr>
      </w:pPr>
    </w:p>
    <w:p w14:paraId="5AFE1B5B">
      <w:pPr>
        <w:adjustRightInd w:val="0"/>
        <w:snapToGrid w:val="0"/>
        <w:spacing w:line="288" w:lineRule="auto"/>
        <w:jc w:val="center"/>
        <w:outlineLvl w:val="1"/>
        <w:rPr>
          <w:b/>
          <w:bCs/>
          <w:color w:val="auto"/>
          <w:sz w:val="84"/>
          <w:szCs w:val="84"/>
          <w:highlight w:val="none"/>
        </w:rPr>
      </w:pPr>
      <w:bookmarkStart w:id="141" w:name="_Toc7213"/>
      <w:bookmarkStart w:id="142" w:name="_Toc11709"/>
      <w:bookmarkStart w:id="143" w:name="_Toc9903"/>
      <w:r>
        <w:rPr>
          <w:rFonts w:hint="eastAsia"/>
          <w:b/>
          <w:bCs/>
          <w:color w:val="auto"/>
          <w:sz w:val="84"/>
          <w:szCs w:val="84"/>
          <w:highlight w:val="none"/>
        </w:rPr>
        <w:t>报价文件</w:t>
      </w:r>
      <w:bookmarkEnd w:id="141"/>
      <w:bookmarkEnd w:id="142"/>
      <w:bookmarkEnd w:id="143"/>
    </w:p>
    <w:p w14:paraId="0CBE0045">
      <w:pPr>
        <w:adjustRightInd w:val="0"/>
        <w:snapToGrid w:val="0"/>
        <w:spacing w:line="288" w:lineRule="auto"/>
        <w:jc w:val="center"/>
        <w:rPr>
          <w:b/>
          <w:bCs/>
          <w:color w:val="auto"/>
          <w:sz w:val="21"/>
          <w:szCs w:val="21"/>
          <w:highlight w:val="none"/>
        </w:rPr>
      </w:pPr>
      <w:r>
        <w:rPr>
          <w:rFonts w:hint="eastAsia"/>
          <w:color w:val="auto"/>
          <w:highlight w:val="none"/>
        </w:rPr>
        <w:br w:type="page"/>
      </w:r>
      <w:bookmarkStart w:id="144" w:name="_Toc20328"/>
      <w:bookmarkStart w:id="145" w:name="_Toc9596"/>
      <w:bookmarkStart w:id="146" w:name="_Toc17160"/>
      <w:bookmarkStart w:id="147" w:name="_Toc290"/>
      <w:r>
        <w:rPr>
          <w:rFonts w:hint="eastAsia"/>
          <w:b/>
          <w:bCs/>
          <w:color w:val="auto"/>
          <w:sz w:val="21"/>
          <w:szCs w:val="21"/>
          <w:highlight w:val="none"/>
        </w:rPr>
        <w:t>一、初次报价一览表</w:t>
      </w:r>
    </w:p>
    <w:p w14:paraId="49BBD31B">
      <w:pPr>
        <w:adjustRightInd w:val="0"/>
        <w:snapToGrid w:val="0"/>
        <w:spacing w:line="288" w:lineRule="auto"/>
        <w:rPr>
          <w:color w:val="auto"/>
          <w:sz w:val="21"/>
          <w:szCs w:val="21"/>
          <w:highlight w:val="none"/>
        </w:rPr>
      </w:pPr>
      <w:r>
        <w:rPr>
          <w:rFonts w:hint="eastAsia"/>
          <w:color w:val="auto"/>
          <w:sz w:val="21"/>
          <w:szCs w:val="21"/>
          <w:highlight w:val="none"/>
        </w:rPr>
        <w:t>采 购 人：浙江树人学院</w:t>
      </w:r>
    </w:p>
    <w:p w14:paraId="02602AFD">
      <w:pPr>
        <w:adjustRightInd w:val="0"/>
        <w:snapToGrid w:val="0"/>
        <w:spacing w:line="288" w:lineRule="auto"/>
        <w:rPr>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后勤智慧餐厅与仓储管理系统</w:t>
      </w:r>
      <w:r>
        <w:rPr>
          <w:rFonts w:hint="eastAsia"/>
          <w:color w:val="auto"/>
          <w:sz w:val="21"/>
          <w:szCs w:val="21"/>
          <w:highlight w:val="none"/>
        </w:rPr>
        <w:t>项目</w:t>
      </w:r>
    </w:p>
    <w:p w14:paraId="69249D26">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QSZBB250106ZHCS</w:t>
      </w:r>
      <w:r>
        <w:rPr>
          <w:rFonts w:hint="eastAsia"/>
          <w:color w:val="auto"/>
          <w:sz w:val="21"/>
          <w:szCs w:val="21"/>
          <w:highlight w:val="none"/>
        </w:rPr>
        <w:t xml:space="preserve">  </w:t>
      </w:r>
    </w:p>
    <w:tbl>
      <w:tblPr>
        <w:tblStyle w:val="25"/>
        <w:tblW w:w="4998" w:type="pct"/>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475"/>
        <w:gridCol w:w="891"/>
        <w:gridCol w:w="1650"/>
        <w:gridCol w:w="733"/>
        <w:gridCol w:w="979"/>
        <w:gridCol w:w="1279"/>
        <w:gridCol w:w="1832"/>
      </w:tblGrid>
      <w:tr w14:paraId="2BDBD43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 w:type="pct"/>
            <w:shd w:val="clear" w:color="auto" w:fill="auto"/>
            <w:vAlign w:val="center"/>
          </w:tcPr>
          <w:p w14:paraId="7B1C5200">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767" w:type="pct"/>
            <w:shd w:val="clear" w:color="auto" w:fill="auto"/>
            <w:vAlign w:val="center"/>
          </w:tcPr>
          <w:p w14:paraId="1F9FE724">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463" w:type="pct"/>
            <w:shd w:val="clear" w:color="auto" w:fill="FFFFFF"/>
            <w:vAlign w:val="center"/>
          </w:tcPr>
          <w:p w14:paraId="773705F5">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品牌</w:t>
            </w:r>
          </w:p>
        </w:tc>
        <w:tc>
          <w:tcPr>
            <w:tcW w:w="858" w:type="pct"/>
            <w:shd w:val="clear" w:color="auto" w:fill="FFFFFF"/>
            <w:vAlign w:val="center"/>
          </w:tcPr>
          <w:p w14:paraId="1D2643D5">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规格型号</w:t>
            </w:r>
          </w:p>
          <w:p w14:paraId="03045054">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或具体服务</w:t>
            </w:r>
          </w:p>
        </w:tc>
        <w:tc>
          <w:tcPr>
            <w:tcW w:w="381" w:type="pct"/>
            <w:shd w:val="clear" w:color="auto" w:fill="FFFFFF"/>
            <w:vAlign w:val="center"/>
          </w:tcPr>
          <w:p w14:paraId="6A4F7C6B">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产地</w:t>
            </w:r>
          </w:p>
        </w:tc>
        <w:tc>
          <w:tcPr>
            <w:tcW w:w="509" w:type="pct"/>
            <w:shd w:val="clear" w:color="auto" w:fill="FFFFFF"/>
            <w:vAlign w:val="center"/>
          </w:tcPr>
          <w:p w14:paraId="33072EC8">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665" w:type="pct"/>
            <w:vAlign w:val="center"/>
          </w:tcPr>
          <w:p w14:paraId="425A5673">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单价（元）</w:t>
            </w:r>
          </w:p>
        </w:tc>
        <w:tc>
          <w:tcPr>
            <w:tcW w:w="949" w:type="pct"/>
            <w:vAlign w:val="center"/>
          </w:tcPr>
          <w:p w14:paraId="17960575">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金额（元）</w:t>
            </w:r>
          </w:p>
        </w:tc>
      </w:tr>
      <w:tr w14:paraId="3419B4A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 w:type="pct"/>
            <w:shd w:val="clear" w:color="auto" w:fill="auto"/>
            <w:vAlign w:val="center"/>
          </w:tcPr>
          <w:p w14:paraId="07B83B93">
            <w:pPr>
              <w:adjustRightInd w:val="0"/>
              <w:snapToGrid w:val="0"/>
              <w:spacing w:line="288" w:lineRule="auto"/>
              <w:jc w:val="center"/>
              <w:rPr>
                <w:b/>
                <w:bCs/>
                <w:color w:val="auto"/>
                <w:sz w:val="21"/>
                <w:szCs w:val="21"/>
                <w:highlight w:val="none"/>
              </w:rPr>
            </w:pPr>
          </w:p>
        </w:tc>
        <w:tc>
          <w:tcPr>
            <w:tcW w:w="767" w:type="pct"/>
            <w:shd w:val="clear" w:color="auto" w:fill="auto"/>
            <w:vAlign w:val="center"/>
          </w:tcPr>
          <w:p w14:paraId="0CF05051">
            <w:pPr>
              <w:adjustRightInd w:val="0"/>
              <w:snapToGrid w:val="0"/>
              <w:spacing w:line="288" w:lineRule="auto"/>
              <w:jc w:val="center"/>
              <w:rPr>
                <w:b/>
                <w:bCs/>
                <w:color w:val="auto"/>
                <w:sz w:val="21"/>
                <w:szCs w:val="21"/>
                <w:highlight w:val="none"/>
              </w:rPr>
            </w:pPr>
          </w:p>
        </w:tc>
        <w:tc>
          <w:tcPr>
            <w:tcW w:w="463" w:type="pct"/>
            <w:shd w:val="clear" w:color="auto" w:fill="FFFFFF"/>
            <w:vAlign w:val="center"/>
          </w:tcPr>
          <w:p w14:paraId="74180692">
            <w:pPr>
              <w:adjustRightInd w:val="0"/>
              <w:snapToGrid w:val="0"/>
              <w:spacing w:line="288" w:lineRule="auto"/>
              <w:jc w:val="center"/>
              <w:rPr>
                <w:b/>
                <w:bCs/>
                <w:color w:val="auto"/>
                <w:sz w:val="21"/>
                <w:szCs w:val="21"/>
                <w:highlight w:val="none"/>
              </w:rPr>
            </w:pPr>
          </w:p>
        </w:tc>
        <w:tc>
          <w:tcPr>
            <w:tcW w:w="858" w:type="pct"/>
            <w:shd w:val="clear" w:color="auto" w:fill="FFFFFF"/>
            <w:vAlign w:val="center"/>
          </w:tcPr>
          <w:p w14:paraId="4E81F450">
            <w:pPr>
              <w:adjustRightInd w:val="0"/>
              <w:snapToGrid w:val="0"/>
              <w:spacing w:line="288" w:lineRule="auto"/>
              <w:jc w:val="center"/>
              <w:rPr>
                <w:b/>
                <w:bCs/>
                <w:color w:val="auto"/>
                <w:sz w:val="21"/>
                <w:szCs w:val="21"/>
                <w:highlight w:val="none"/>
              </w:rPr>
            </w:pPr>
          </w:p>
        </w:tc>
        <w:tc>
          <w:tcPr>
            <w:tcW w:w="381" w:type="pct"/>
            <w:shd w:val="clear" w:color="auto" w:fill="FFFFFF"/>
            <w:vAlign w:val="center"/>
          </w:tcPr>
          <w:p w14:paraId="39E536B9">
            <w:pPr>
              <w:adjustRightInd w:val="0"/>
              <w:snapToGrid w:val="0"/>
              <w:spacing w:line="288" w:lineRule="auto"/>
              <w:jc w:val="center"/>
              <w:rPr>
                <w:b/>
                <w:bCs/>
                <w:color w:val="auto"/>
                <w:sz w:val="21"/>
                <w:szCs w:val="21"/>
                <w:highlight w:val="none"/>
              </w:rPr>
            </w:pPr>
          </w:p>
        </w:tc>
        <w:tc>
          <w:tcPr>
            <w:tcW w:w="509" w:type="pct"/>
            <w:shd w:val="clear" w:color="auto" w:fill="FFFFFF"/>
            <w:vAlign w:val="center"/>
          </w:tcPr>
          <w:p w14:paraId="206D0A7B">
            <w:pPr>
              <w:adjustRightInd w:val="0"/>
              <w:snapToGrid w:val="0"/>
              <w:spacing w:line="288" w:lineRule="auto"/>
              <w:jc w:val="center"/>
              <w:rPr>
                <w:b/>
                <w:bCs/>
                <w:color w:val="auto"/>
                <w:sz w:val="21"/>
                <w:szCs w:val="21"/>
                <w:highlight w:val="none"/>
              </w:rPr>
            </w:pPr>
          </w:p>
        </w:tc>
        <w:tc>
          <w:tcPr>
            <w:tcW w:w="665" w:type="pct"/>
            <w:vAlign w:val="center"/>
          </w:tcPr>
          <w:p w14:paraId="15B804CF">
            <w:pPr>
              <w:adjustRightInd w:val="0"/>
              <w:snapToGrid w:val="0"/>
              <w:spacing w:line="288" w:lineRule="auto"/>
              <w:jc w:val="center"/>
              <w:rPr>
                <w:b/>
                <w:bCs/>
                <w:color w:val="auto"/>
                <w:sz w:val="21"/>
                <w:szCs w:val="21"/>
                <w:highlight w:val="none"/>
              </w:rPr>
            </w:pPr>
          </w:p>
        </w:tc>
        <w:tc>
          <w:tcPr>
            <w:tcW w:w="949" w:type="pct"/>
            <w:vAlign w:val="center"/>
          </w:tcPr>
          <w:p w14:paraId="522FF002">
            <w:pPr>
              <w:adjustRightInd w:val="0"/>
              <w:snapToGrid w:val="0"/>
              <w:spacing w:line="288" w:lineRule="auto"/>
              <w:jc w:val="center"/>
              <w:rPr>
                <w:b/>
                <w:bCs/>
                <w:color w:val="auto"/>
                <w:sz w:val="21"/>
                <w:szCs w:val="21"/>
                <w:highlight w:val="none"/>
              </w:rPr>
            </w:pPr>
          </w:p>
        </w:tc>
      </w:tr>
      <w:tr w14:paraId="73647A1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 w:type="pct"/>
            <w:shd w:val="clear" w:color="auto" w:fill="auto"/>
            <w:vAlign w:val="center"/>
          </w:tcPr>
          <w:p w14:paraId="461DE874">
            <w:pPr>
              <w:adjustRightInd w:val="0"/>
              <w:snapToGrid w:val="0"/>
              <w:spacing w:line="288" w:lineRule="auto"/>
              <w:jc w:val="center"/>
              <w:rPr>
                <w:b/>
                <w:bCs/>
                <w:color w:val="auto"/>
                <w:sz w:val="21"/>
                <w:szCs w:val="21"/>
                <w:highlight w:val="none"/>
              </w:rPr>
            </w:pPr>
          </w:p>
        </w:tc>
        <w:tc>
          <w:tcPr>
            <w:tcW w:w="767" w:type="pct"/>
            <w:shd w:val="clear" w:color="auto" w:fill="auto"/>
            <w:vAlign w:val="center"/>
          </w:tcPr>
          <w:p w14:paraId="29F5CEEE">
            <w:pPr>
              <w:adjustRightInd w:val="0"/>
              <w:snapToGrid w:val="0"/>
              <w:spacing w:line="288" w:lineRule="auto"/>
              <w:jc w:val="center"/>
              <w:rPr>
                <w:b/>
                <w:bCs/>
                <w:color w:val="auto"/>
                <w:sz w:val="21"/>
                <w:szCs w:val="21"/>
                <w:highlight w:val="none"/>
              </w:rPr>
            </w:pPr>
          </w:p>
        </w:tc>
        <w:tc>
          <w:tcPr>
            <w:tcW w:w="463" w:type="pct"/>
            <w:shd w:val="clear" w:color="auto" w:fill="FFFFFF"/>
            <w:vAlign w:val="center"/>
          </w:tcPr>
          <w:p w14:paraId="3FD87B14">
            <w:pPr>
              <w:adjustRightInd w:val="0"/>
              <w:snapToGrid w:val="0"/>
              <w:spacing w:line="288" w:lineRule="auto"/>
              <w:jc w:val="center"/>
              <w:rPr>
                <w:b/>
                <w:bCs/>
                <w:color w:val="auto"/>
                <w:sz w:val="21"/>
                <w:szCs w:val="21"/>
                <w:highlight w:val="none"/>
              </w:rPr>
            </w:pPr>
          </w:p>
        </w:tc>
        <w:tc>
          <w:tcPr>
            <w:tcW w:w="858" w:type="pct"/>
            <w:shd w:val="clear" w:color="auto" w:fill="FFFFFF"/>
            <w:vAlign w:val="center"/>
          </w:tcPr>
          <w:p w14:paraId="638A080E">
            <w:pPr>
              <w:adjustRightInd w:val="0"/>
              <w:snapToGrid w:val="0"/>
              <w:spacing w:line="288" w:lineRule="auto"/>
              <w:jc w:val="center"/>
              <w:rPr>
                <w:b/>
                <w:bCs/>
                <w:color w:val="auto"/>
                <w:sz w:val="21"/>
                <w:szCs w:val="21"/>
                <w:highlight w:val="none"/>
              </w:rPr>
            </w:pPr>
          </w:p>
        </w:tc>
        <w:tc>
          <w:tcPr>
            <w:tcW w:w="381" w:type="pct"/>
            <w:shd w:val="clear" w:color="auto" w:fill="FFFFFF"/>
            <w:vAlign w:val="center"/>
          </w:tcPr>
          <w:p w14:paraId="106AE05D">
            <w:pPr>
              <w:adjustRightInd w:val="0"/>
              <w:snapToGrid w:val="0"/>
              <w:spacing w:line="288" w:lineRule="auto"/>
              <w:jc w:val="center"/>
              <w:rPr>
                <w:b/>
                <w:bCs/>
                <w:color w:val="auto"/>
                <w:sz w:val="21"/>
                <w:szCs w:val="21"/>
                <w:highlight w:val="none"/>
              </w:rPr>
            </w:pPr>
          </w:p>
        </w:tc>
        <w:tc>
          <w:tcPr>
            <w:tcW w:w="509" w:type="pct"/>
            <w:shd w:val="clear" w:color="auto" w:fill="FFFFFF"/>
            <w:vAlign w:val="center"/>
          </w:tcPr>
          <w:p w14:paraId="64BFB439">
            <w:pPr>
              <w:adjustRightInd w:val="0"/>
              <w:snapToGrid w:val="0"/>
              <w:spacing w:line="288" w:lineRule="auto"/>
              <w:jc w:val="center"/>
              <w:rPr>
                <w:b/>
                <w:bCs/>
                <w:color w:val="auto"/>
                <w:sz w:val="21"/>
                <w:szCs w:val="21"/>
                <w:highlight w:val="none"/>
              </w:rPr>
            </w:pPr>
          </w:p>
        </w:tc>
        <w:tc>
          <w:tcPr>
            <w:tcW w:w="665" w:type="pct"/>
            <w:vAlign w:val="center"/>
          </w:tcPr>
          <w:p w14:paraId="6C84EC05">
            <w:pPr>
              <w:adjustRightInd w:val="0"/>
              <w:snapToGrid w:val="0"/>
              <w:spacing w:line="288" w:lineRule="auto"/>
              <w:jc w:val="center"/>
              <w:rPr>
                <w:b/>
                <w:bCs/>
                <w:color w:val="auto"/>
                <w:sz w:val="21"/>
                <w:szCs w:val="21"/>
                <w:highlight w:val="none"/>
              </w:rPr>
            </w:pPr>
          </w:p>
        </w:tc>
        <w:tc>
          <w:tcPr>
            <w:tcW w:w="949" w:type="pct"/>
            <w:vAlign w:val="center"/>
          </w:tcPr>
          <w:p w14:paraId="69A929B4">
            <w:pPr>
              <w:adjustRightInd w:val="0"/>
              <w:snapToGrid w:val="0"/>
              <w:spacing w:line="288" w:lineRule="auto"/>
              <w:jc w:val="center"/>
              <w:rPr>
                <w:b/>
                <w:bCs/>
                <w:color w:val="auto"/>
                <w:sz w:val="21"/>
                <w:szCs w:val="21"/>
                <w:highlight w:val="none"/>
              </w:rPr>
            </w:pPr>
          </w:p>
        </w:tc>
      </w:tr>
      <w:tr w14:paraId="6D9683D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 w:type="pct"/>
            <w:shd w:val="clear" w:color="auto" w:fill="auto"/>
            <w:vAlign w:val="center"/>
          </w:tcPr>
          <w:p w14:paraId="1726B76B">
            <w:pPr>
              <w:adjustRightInd w:val="0"/>
              <w:snapToGrid w:val="0"/>
              <w:spacing w:line="288" w:lineRule="auto"/>
              <w:jc w:val="center"/>
              <w:rPr>
                <w:b/>
                <w:bCs/>
                <w:color w:val="auto"/>
                <w:sz w:val="21"/>
                <w:szCs w:val="21"/>
                <w:highlight w:val="none"/>
              </w:rPr>
            </w:pPr>
          </w:p>
        </w:tc>
        <w:tc>
          <w:tcPr>
            <w:tcW w:w="767" w:type="pct"/>
            <w:shd w:val="clear" w:color="auto" w:fill="auto"/>
            <w:vAlign w:val="center"/>
          </w:tcPr>
          <w:p w14:paraId="7A2B77FC">
            <w:pPr>
              <w:adjustRightInd w:val="0"/>
              <w:snapToGrid w:val="0"/>
              <w:spacing w:line="288" w:lineRule="auto"/>
              <w:jc w:val="center"/>
              <w:rPr>
                <w:b/>
                <w:bCs/>
                <w:color w:val="auto"/>
                <w:sz w:val="21"/>
                <w:szCs w:val="21"/>
                <w:highlight w:val="none"/>
              </w:rPr>
            </w:pPr>
          </w:p>
        </w:tc>
        <w:tc>
          <w:tcPr>
            <w:tcW w:w="463" w:type="pct"/>
            <w:shd w:val="clear" w:color="auto" w:fill="FFFFFF"/>
            <w:vAlign w:val="center"/>
          </w:tcPr>
          <w:p w14:paraId="130B64B2">
            <w:pPr>
              <w:adjustRightInd w:val="0"/>
              <w:snapToGrid w:val="0"/>
              <w:spacing w:line="288" w:lineRule="auto"/>
              <w:jc w:val="center"/>
              <w:rPr>
                <w:b/>
                <w:bCs/>
                <w:color w:val="auto"/>
                <w:sz w:val="21"/>
                <w:szCs w:val="21"/>
                <w:highlight w:val="none"/>
              </w:rPr>
            </w:pPr>
          </w:p>
        </w:tc>
        <w:tc>
          <w:tcPr>
            <w:tcW w:w="858" w:type="pct"/>
            <w:shd w:val="clear" w:color="auto" w:fill="FFFFFF"/>
            <w:vAlign w:val="center"/>
          </w:tcPr>
          <w:p w14:paraId="1446E601">
            <w:pPr>
              <w:adjustRightInd w:val="0"/>
              <w:snapToGrid w:val="0"/>
              <w:spacing w:line="288" w:lineRule="auto"/>
              <w:jc w:val="center"/>
              <w:rPr>
                <w:b/>
                <w:bCs/>
                <w:color w:val="auto"/>
                <w:sz w:val="21"/>
                <w:szCs w:val="21"/>
                <w:highlight w:val="none"/>
              </w:rPr>
            </w:pPr>
          </w:p>
        </w:tc>
        <w:tc>
          <w:tcPr>
            <w:tcW w:w="381" w:type="pct"/>
            <w:shd w:val="clear" w:color="auto" w:fill="FFFFFF"/>
            <w:vAlign w:val="center"/>
          </w:tcPr>
          <w:p w14:paraId="53150E3E">
            <w:pPr>
              <w:adjustRightInd w:val="0"/>
              <w:snapToGrid w:val="0"/>
              <w:spacing w:line="288" w:lineRule="auto"/>
              <w:jc w:val="center"/>
              <w:rPr>
                <w:b/>
                <w:bCs/>
                <w:color w:val="auto"/>
                <w:sz w:val="21"/>
                <w:szCs w:val="21"/>
                <w:highlight w:val="none"/>
              </w:rPr>
            </w:pPr>
          </w:p>
        </w:tc>
        <w:tc>
          <w:tcPr>
            <w:tcW w:w="509" w:type="pct"/>
            <w:shd w:val="clear" w:color="auto" w:fill="FFFFFF"/>
            <w:vAlign w:val="center"/>
          </w:tcPr>
          <w:p w14:paraId="7B837024">
            <w:pPr>
              <w:adjustRightInd w:val="0"/>
              <w:snapToGrid w:val="0"/>
              <w:spacing w:line="288" w:lineRule="auto"/>
              <w:jc w:val="center"/>
              <w:rPr>
                <w:b/>
                <w:bCs/>
                <w:color w:val="auto"/>
                <w:sz w:val="21"/>
                <w:szCs w:val="21"/>
                <w:highlight w:val="none"/>
              </w:rPr>
            </w:pPr>
          </w:p>
        </w:tc>
        <w:tc>
          <w:tcPr>
            <w:tcW w:w="665" w:type="pct"/>
            <w:vAlign w:val="center"/>
          </w:tcPr>
          <w:p w14:paraId="7FC97AA8">
            <w:pPr>
              <w:adjustRightInd w:val="0"/>
              <w:snapToGrid w:val="0"/>
              <w:spacing w:line="288" w:lineRule="auto"/>
              <w:jc w:val="center"/>
              <w:rPr>
                <w:b/>
                <w:bCs/>
                <w:color w:val="auto"/>
                <w:sz w:val="21"/>
                <w:szCs w:val="21"/>
                <w:highlight w:val="none"/>
              </w:rPr>
            </w:pPr>
          </w:p>
        </w:tc>
        <w:tc>
          <w:tcPr>
            <w:tcW w:w="949" w:type="pct"/>
            <w:vAlign w:val="center"/>
          </w:tcPr>
          <w:p w14:paraId="3EA27917">
            <w:pPr>
              <w:adjustRightInd w:val="0"/>
              <w:snapToGrid w:val="0"/>
              <w:spacing w:line="288" w:lineRule="auto"/>
              <w:jc w:val="center"/>
              <w:rPr>
                <w:b/>
                <w:bCs/>
                <w:color w:val="auto"/>
                <w:sz w:val="21"/>
                <w:szCs w:val="21"/>
                <w:highlight w:val="none"/>
              </w:rPr>
            </w:pPr>
          </w:p>
        </w:tc>
      </w:tr>
      <w:tr w14:paraId="7D6A170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 w:type="pct"/>
            <w:shd w:val="clear" w:color="auto" w:fill="auto"/>
            <w:vAlign w:val="center"/>
          </w:tcPr>
          <w:p w14:paraId="7DDBC9CC">
            <w:pPr>
              <w:adjustRightInd w:val="0"/>
              <w:snapToGrid w:val="0"/>
              <w:spacing w:line="288" w:lineRule="auto"/>
              <w:jc w:val="center"/>
              <w:rPr>
                <w:b/>
                <w:bCs/>
                <w:color w:val="auto"/>
                <w:sz w:val="21"/>
                <w:szCs w:val="21"/>
                <w:highlight w:val="none"/>
              </w:rPr>
            </w:pPr>
          </w:p>
        </w:tc>
        <w:tc>
          <w:tcPr>
            <w:tcW w:w="767" w:type="pct"/>
            <w:shd w:val="clear" w:color="auto" w:fill="auto"/>
            <w:vAlign w:val="center"/>
          </w:tcPr>
          <w:p w14:paraId="19AE44C8">
            <w:pPr>
              <w:adjustRightInd w:val="0"/>
              <w:snapToGrid w:val="0"/>
              <w:spacing w:line="288" w:lineRule="auto"/>
              <w:jc w:val="center"/>
              <w:rPr>
                <w:b/>
                <w:bCs/>
                <w:color w:val="auto"/>
                <w:sz w:val="21"/>
                <w:szCs w:val="21"/>
                <w:highlight w:val="none"/>
              </w:rPr>
            </w:pPr>
          </w:p>
        </w:tc>
        <w:tc>
          <w:tcPr>
            <w:tcW w:w="463" w:type="pct"/>
            <w:shd w:val="clear" w:color="auto" w:fill="FFFFFF"/>
            <w:vAlign w:val="center"/>
          </w:tcPr>
          <w:p w14:paraId="703BEFDC">
            <w:pPr>
              <w:adjustRightInd w:val="0"/>
              <w:snapToGrid w:val="0"/>
              <w:spacing w:line="288" w:lineRule="auto"/>
              <w:jc w:val="center"/>
              <w:rPr>
                <w:b/>
                <w:bCs/>
                <w:color w:val="auto"/>
                <w:sz w:val="21"/>
                <w:szCs w:val="21"/>
                <w:highlight w:val="none"/>
              </w:rPr>
            </w:pPr>
          </w:p>
        </w:tc>
        <w:tc>
          <w:tcPr>
            <w:tcW w:w="858" w:type="pct"/>
            <w:shd w:val="clear" w:color="auto" w:fill="FFFFFF"/>
            <w:vAlign w:val="center"/>
          </w:tcPr>
          <w:p w14:paraId="66AE0D30">
            <w:pPr>
              <w:adjustRightInd w:val="0"/>
              <w:snapToGrid w:val="0"/>
              <w:spacing w:line="288" w:lineRule="auto"/>
              <w:jc w:val="center"/>
              <w:rPr>
                <w:b/>
                <w:bCs/>
                <w:color w:val="auto"/>
                <w:sz w:val="21"/>
                <w:szCs w:val="21"/>
                <w:highlight w:val="none"/>
              </w:rPr>
            </w:pPr>
          </w:p>
        </w:tc>
        <w:tc>
          <w:tcPr>
            <w:tcW w:w="381" w:type="pct"/>
            <w:shd w:val="clear" w:color="auto" w:fill="FFFFFF"/>
            <w:vAlign w:val="center"/>
          </w:tcPr>
          <w:p w14:paraId="591B8DCF">
            <w:pPr>
              <w:adjustRightInd w:val="0"/>
              <w:snapToGrid w:val="0"/>
              <w:spacing w:line="288" w:lineRule="auto"/>
              <w:jc w:val="center"/>
              <w:rPr>
                <w:b/>
                <w:bCs/>
                <w:color w:val="auto"/>
                <w:sz w:val="21"/>
                <w:szCs w:val="21"/>
                <w:highlight w:val="none"/>
              </w:rPr>
            </w:pPr>
          </w:p>
        </w:tc>
        <w:tc>
          <w:tcPr>
            <w:tcW w:w="509" w:type="pct"/>
            <w:shd w:val="clear" w:color="auto" w:fill="FFFFFF"/>
            <w:vAlign w:val="center"/>
          </w:tcPr>
          <w:p w14:paraId="33A79C96">
            <w:pPr>
              <w:adjustRightInd w:val="0"/>
              <w:snapToGrid w:val="0"/>
              <w:spacing w:line="288" w:lineRule="auto"/>
              <w:jc w:val="center"/>
              <w:rPr>
                <w:b/>
                <w:bCs/>
                <w:color w:val="auto"/>
                <w:sz w:val="21"/>
                <w:szCs w:val="21"/>
                <w:highlight w:val="none"/>
              </w:rPr>
            </w:pPr>
          </w:p>
        </w:tc>
        <w:tc>
          <w:tcPr>
            <w:tcW w:w="665" w:type="pct"/>
            <w:vAlign w:val="center"/>
          </w:tcPr>
          <w:p w14:paraId="5DC7AB9C">
            <w:pPr>
              <w:adjustRightInd w:val="0"/>
              <w:snapToGrid w:val="0"/>
              <w:spacing w:line="288" w:lineRule="auto"/>
              <w:jc w:val="center"/>
              <w:rPr>
                <w:b/>
                <w:bCs/>
                <w:color w:val="auto"/>
                <w:sz w:val="21"/>
                <w:szCs w:val="21"/>
                <w:highlight w:val="none"/>
              </w:rPr>
            </w:pPr>
          </w:p>
        </w:tc>
        <w:tc>
          <w:tcPr>
            <w:tcW w:w="949" w:type="pct"/>
            <w:vAlign w:val="center"/>
          </w:tcPr>
          <w:p w14:paraId="0A970DE9">
            <w:pPr>
              <w:adjustRightInd w:val="0"/>
              <w:snapToGrid w:val="0"/>
              <w:spacing w:line="288" w:lineRule="auto"/>
              <w:jc w:val="center"/>
              <w:rPr>
                <w:b/>
                <w:bCs/>
                <w:color w:val="auto"/>
                <w:sz w:val="21"/>
                <w:szCs w:val="21"/>
                <w:highlight w:val="none"/>
              </w:rPr>
            </w:pPr>
          </w:p>
        </w:tc>
      </w:tr>
      <w:tr w14:paraId="1314143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 w:type="pct"/>
            <w:shd w:val="clear" w:color="auto" w:fill="auto"/>
            <w:vAlign w:val="center"/>
          </w:tcPr>
          <w:p w14:paraId="31337942">
            <w:pPr>
              <w:adjustRightInd w:val="0"/>
              <w:snapToGrid w:val="0"/>
              <w:spacing w:line="288" w:lineRule="auto"/>
              <w:jc w:val="center"/>
              <w:rPr>
                <w:b/>
                <w:bCs/>
                <w:color w:val="auto"/>
                <w:sz w:val="21"/>
                <w:szCs w:val="21"/>
                <w:highlight w:val="none"/>
              </w:rPr>
            </w:pPr>
          </w:p>
        </w:tc>
        <w:tc>
          <w:tcPr>
            <w:tcW w:w="767" w:type="pct"/>
            <w:shd w:val="clear" w:color="auto" w:fill="auto"/>
            <w:vAlign w:val="center"/>
          </w:tcPr>
          <w:p w14:paraId="50B0FA7E">
            <w:pPr>
              <w:adjustRightInd w:val="0"/>
              <w:snapToGrid w:val="0"/>
              <w:spacing w:line="288" w:lineRule="auto"/>
              <w:jc w:val="center"/>
              <w:rPr>
                <w:b/>
                <w:bCs/>
                <w:color w:val="auto"/>
                <w:sz w:val="21"/>
                <w:szCs w:val="21"/>
                <w:highlight w:val="none"/>
              </w:rPr>
            </w:pPr>
          </w:p>
        </w:tc>
        <w:tc>
          <w:tcPr>
            <w:tcW w:w="463" w:type="pct"/>
            <w:shd w:val="clear" w:color="auto" w:fill="FFFFFF"/>
            <w:vAlign w:val="center"/>
          </w:tcPr>
          <w:p w14:paraId="51EC0943">
            <w:pPr>
              <w:adjustRightInd w:val="0"/>
              <w:snapToGrid w:val="0"/>
              <w:spacing w:line="288" w:lineRule="auto"/>
              <w:jc w:val="center"/>
              <w:rPr>
                <w:b/>
                <w:bCs/>
                <w:color w:val="auto"/>
                <w:sz w:val="21"/>
                <w:szCs w:val="21"/>
                <w:highlight w:val="none"/>
              </w:rPr>
            </w:pPr>
          </w:p>
        </w:tc>
        <w:tc>
          <w:tcPr>
            <w:tcW w:w="858" w:type="pct"/>
            <w:shd w:val="clear" w:color="auto" w:fill="FFFFFF"/>
            <w:vAlign w:val="center"/>
          </w:tcPr>
          <w:p w14:paraId="18829952">
            <w:pPr>
              <w:adjustRightInd w:val="0"/>
              <w:snapToGrid w:val="0"/>
              <w:spacing w:line="288" w:lineRule="auto"/>
              <w:jc w:val="center"/>
              <w:rPr>
                <w:b/>
                <w:bCs/>
                <w:color w:val="auto"/>
                <w:sz w:val="21"/>
                <w:szCs w:val="21"/>
                <w:highlight w:val="none"/>
              </w:rPr>
            </w:pPr>
          </w:p>
        </w:tc>
        <w:tc>
          <w:tcPr>
            <w:tcW w:w="381" w:type="pct"/>
            <w:shd w:val="clear" w:color="auto" w:fill="FFFFFF"/>
            <w:vAlign w:val="center"/>
          </w:tcPr>
          <w:p w14:paraId="1C41FE5A">
            <w:pPr>
              <w:adjustRightInd w:val="0"/>
              <w:snapToGrid w:val="0"/>
              <w:spacing w:line="288" w:lineRule="auto"/>
              <w:jc w:val="center"/>
              <w:rPr>
                <w:b/>
                <w:bCs/>
                <w:color w:val="auto"/>
                <w:sz w:val="21"/>
                <w:szCs w:val="21"/>
                <w:highlight w:val="none"/>
              </w:rPr>
            </w:pPr>
          </w:p>
        </w:tc>
        <w:tc>
          <w:tcPr>
            <w:tcW w:w="509" w:type="pct"/>
            <w:shd w:val="clear" w:color="auto" w:fill="FFFFFF"/>
            <w:vAlign w:val="center"/>
          </w:tcPr>
          <w:p w14:paraId="0C2F031B">
            <w:pPr>
              <w:adjustRightInd w:val="0"/>
              <w:snapToGrid w:val="0"/>
              <w:spacing w:line="288" w:lineRule="auto"/>
              <w:jc w:val="center"/>
              <w:rPr>
                <w:b/>
                <w:bCs/>
                <w:color w:val="auto"/>
                <w:sz w:val="21"/>
                <w:szCs w:val="21"/>
                <w:highlight w:val="none"/>
              </w:rPr>
            </w:pPr>
          </w:p>
        </w:tc>
        <w:tc>
          <w:tcPr>
            <w:tcW w:w="665" w:type="pct"/>
            <w:vAlign w:val="center"/>
          </w:tcPr>
          <w:p w14:paraId="7B15D0CD">
            <w:pPr>
              <w:adjustRightInd w:val="0"/>
              <w:snapToGrid w:val="0"/>
              <w:spacing w:line="288" w:lineRule="auto"/>
              <w:jc w:val="center"/>
              <w:rPr>
                <w:b/>
                <w:bCs/>
                <w:color w:val="auto"/>
                <w:sz w:val="21"/>
                <w:szCs w:val="21"/>
                <w:highlight w:val="none"/>
              </w:rPr>
            </w:pPr>
          </w:p>
        </w:tc>
        <w:tc>
          <w:tcPr>
            <w:tcW w:w="949" w:type="pct"/>
            <w:vAlign w:val="center"/>
          </w:tcPr>
          <w:p w14:paraId="06A796F6">
            <w:pPr>
              <w:adjustRightInd w:val="0"/>
              <w:snapToGrid w:val="0"/>
              <w:spacing w:line="288" w:lineRule="auto"/>
              <w:jc w:val="center"/>
              <w:rPr>
                <w:b/>
                <w:bCs/>
                <w:color w:val="auto"/>
                <w:sz w:val="21"/>
                <w:szCs w:val="21"/>
                <w:highlight w:val="none"/>
              </w:rPr>
            </w:pPr>
          </w:p>
        </w:tc>
      </w:tr>
      <w:tr w14:paraId="78B5428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8"/>
            <w:vAlign w:val="center"/>
          </w:tcPr>
          <w:p w14:paraId="5AA87916">
            <w:pPr>
              <w:adjustRightInd w:val="0"/>
              <w:snapToGrid w:val="0"/>
              <w:spacing w:line="288" w:lineRule="auto"/>
              <w:jc w:val="left"/>
              <w:rPr>
                <w:b/>
                <w:bCs/>
                <w:color w:val="auto"/>
                <w:sz w:val="21"/>
                <w:szCs w:val="21"/>
                <w:highlight w:val="none"/>
              </w:rPr>
            </w:pPr>
            <w:r>
              <w:rPr>
                <w:rFonts w:hint="eastAsia"/>
                <w:b/>
                <w:color w:val="auto"/>
                <w:spacing w:val="-6"/>
                <w:sz w:val="21"/>
                <w:szCs w:val="21"/>
                <w:highlight w:val="none"/>
              </w:rPr>
              <w:t>说明：</w:t>
            </w:r>
            <w:r>
              <w:rPr>
                <w:rFonts w:hint="eastAsia"/>
                <w:color w:val="auto"/>
                <w:kern w:val="0"/>
                <w:sz w:val="21"/>
                <w:szCs w:val="21"/>
                <w:highlight w:val="none"/>
                <w:lang w:val="zh-CN"/>
              </w:rPr>
              <w:t>有关本项目实施所涉及的一切费用均计入报价。合同总价不为零，报价明细表中部分产品、服务单价为零的，视作已包含在总价中。采购人将以合同形式有偿取得货物或服务，不接受供应商给予的赠品、回扣或者与采购无关的其他商品、服务；采购内容未包含在《报价一览表》名称栏中，供应商不能作出合理解释的，视为响应文件含有采购人不能接受的附加条件的，响应无效。</w:t>
            </w:r>
          </w:p>
          <w:p w14:paraId="691EBC3F">
            <w:pPr>
              <w:adjustRightInd w:val="0"/>
              <w:snapToGrid w:val="0"/>
              <w:spacing w:line="288" w:lineRule="auto"/>
              <w:jc w:val="center"/>
              <w:rPr>
                <w:b/>
                <w:bCs/>
                <w:color w:val="auto"/>
                <w:sz w:val="21"/>
                <w:szCs w:val="21"/>
                <w:highlight w:val="none"/>
              </w:rPr>
            </w:pPr>
          </w:p>
          <w:p w14:paraId="7B579F40">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总价（人民币元）</w:t>
            </w:r>
          </w:p>
          <w:p w14:paraId="351CC7B1">
            <w:pPr>
              <w:adjustRightInd w:val="0"/>
              <w:snapToGrid w:val="0"/>
              <w:spacing w:line="288" w:lineRule="auto"/>
              <w:rPr>
                <w:b/>
                <w:bCs/>
                <w:color w:val="auto"/>
                <w:sz w:val="21"/>
                <w:szCs w:val="21"/>
                <w:highlight w:val="none"/>
              </w:rPr>
            </w:pPr>
          </w:p>
          <w:p w14:paraId="565719E7">
            <w:pPr>
              <w:adjustRightInd w:val="0"/>
              <w:snapToGrid w:val="0"/>
              <w:spacing w:line="288" w:lineRule="auto"/>
              <w:rPr>
                <w:b/>
                <w:bCs/>
                <w:color w:val="auto"/>
                <w:sz w:val="21"/>
                <w:szCs w:val="21"/>
                <w:highlight w:val="none"/>
              </w:rPr>
            </w:pPr>
            <w:r>
              <w:rPr>
                <w:rFonts w:hint="eastAsia"/>
                <w:b/>
                <w:bCs/>
                <w:color w:val="auto"/>
                <w:sz w:val="21"/>
                <w:szCs w:val="21"/>
                <w:highlight w:val="none"/>
              </w:rPr>
              <w:t>小写：_________________________</w:t>
            </w:r>
          </w:p>
          <w:p w14:paraId="6B7407B0">
            <w:pPr>
              <w:adjustRightInd w:val="0"/>
              <w:snapToGrid w:val="0"/>
              <w:spacing w:line="288" w:lineRule="auto"/>
              <w:rPr>
                <w:b/>
                <w:bCs/>
                <w:color w:val="auto"/>
                <w:sz w:val="21"/>
                <w:szCs w:val="21"/>
                <w:highlight w:val="none"/>
              </w:rPr>
            </w:pPr>
          </w:p>
          <w:p w14:paraId="09C5E028">
            <w:pPr>
              <w:adjustRightInd w:val="0"/>
              <w:snapToGrid w:val="0"/>
              <w:spacing w:line="288" w:lineRule="auto"/>
              <w:rPr>
                <w:b/>
                <w:bCs/>
                <w:color w:val="auto"/>
                <w:sz w:val="21"/>
                <w:szCs w:val="21"/>
                <w:highlight w:val="none"/>
              </w:rPr>
            </w:pPr>
            <w:r>
              <w:rPr>
                <w:rFonts w:hint="eastAsia"/>
                <w:b/>
                <w:bCs/>
                <w:color w:val="auto"/>
                <w:sz w:val="21"/>
                <w:szCs w:val="21"/>
                <w:highlight w:val="none"/>
              </w:rPr>
              <w:t>大写：_________________________</w:t>
            </w:r>
          </w:p>
          <w:p w14:paraId="33490369">
            <w:pPr>
              <w:adjustRightInd w:val="0"/>
              <w:snapToGrid w:val="0"/>
              <w:spacing w:line="288" w:lineRule="auto"/>
              <w:rPr>
                <w:b/>
                <w:bCs/>
                <w:color w:val="auto"/>
                <w:sz w:val="21"/>
                <w:szCs w:val="21"/>
                <w:highlight w:val="none"/>
              </w:rPr>
            </w:pPr>
          </w:p>
        </w:tc>
      </w:tr>
    </w:tbl>
    <w:p w14:paraId="38113DFD">
      <w:pPr>
        <w:adjustRightInd w:val="0"/>
        <w:snapToGrid w:val="0"/>
        <w:spacing w:line="288" w:lineRule="auto"/>
        <w:rPr>
          <w:color w:val="auto"/>
          <w:spacing w:val="-6"/>
          <w:sz w:val="21"/>
          <w:szCs w:val="21"/>
          <w:highlight w:val="none"/>
        </w:rPr>
      </w:pPr>
    </w:p>
    <w:p w14:paraId="731B0E03">
      <w:pPr>
        <w:pStyle w:val="7"/>
        <w:rPr>
          <w:color w:val="auto"/>
          <w:spacing w:val="-6"/>
          <w:sz w:val="21"/>
          <w:szCs w:val="21"/>
          <w:highlight w:val="none"/>
        </w:rPr>
      </w:pPr>
    </w:p>
    <w:p w14:paraId="78B074BD">
      <w:pPr>
        <w:rPr>
          <w:color w:val="auto"/>
          <w:highlight w:val="none"/>
        </w:rPr>
      </w:pPr>
    </w:p>
    <w:p w14:paraId="18C55CD9">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说明：</w:t>
      </w:r>
    </w:p>
    <w:p w14:paraId="5A4CE675">
      <w:pPr>
        <w:adjustRightInd w:val="0"/>
        <w:snapToGrid w:val="0"/>
        <w:spacing w:line="288" w:lineRule="auto"/>
        <w:rPr>
          <w:rFonts w:cs="Times New Roman"/>
          <w:bCs/>
          <w:color w:val="auto"/>
          <w:spacing w:val="-6"/>
          <w:sz w:val="21"/>
          <w:szCs w:val="21"/>
          <w:highlight w:val="none"/>
        </w:rPr>
      </w:pPr>
      <w:r>
        <w:rPr>
          <w:rFonts w:cs="Times New Roman"/>
          <w:bCs/>
          <w:color w:val="auto"/>
          <w:spacing w:val="-6"/>
          <w:sz w:val="21"/>
          <w:szCs w:val="21"/>
          <w:highlight w:val="none"/>
        </w:rPr>
        <w:t>1.</w:t>
      </w:r>
      <w:r>
        <w:rPr>
          <w:rFonts w:hint="eastAsia" w:cs="Times New Roman"/>
          <w:bCs/>
          <w:color w:val="auto"/>
          <w:spacing w:val="-6"/>
          <w:sz w:val="21"/>
          <w:szCs w:val="21"/>
          <w:highlight w:val="none"/>
        </w:rPr>
        <w:t>此表在不改变格式要求的情况下，可自行增行。</w:t>
      </w:r>
    </w:p>
    <w:p w14:paraId="3CDE7963">
      <w:pPr>
        <w:adjustRightInd w:val="0"/>
        <w:snapToGrid w:val="0"/>
        <w:spacing w:line="288" w:lineRule="auto"/>
        <w:jc w:val="left"/>
        <w:rPr>
          <w:rFonts w:cs="Times New Roman"/>
          <w:b/>
          <w:color w:val="auto"/>
          <w:spacing w:val="-6"/>
          <w:sz w:val="21"/>
          <w:szCs w:val="21"/>
          <w:highlight w:val="none"/>
        </w:rPr>
      </w:pPr>
      <w:r>
        <w:rPr>
          <w:rFonts w:cs="Times New Roman"/>
          <w:bCs/>
          <w:color w:val="auto"/>
          <w:spacing w:val="-6"/>
          <w:sz w:val="21"/>
          <w:szCs w:val="21"/>
          <w:highlight w:val="none"/>
        </w:rPr>
        <w:t>2.有关本项目实施所涉及的一切费用均计入报价。</w:t>
      </w:r>
    </w:p>
    <w:p w14:paraId="7F588F17">
      <w:pPr>
        <w:spacing w:line="336" w:lineRule="auto"/>
        <w:rPr>
          <w:bCs/>
          <w:color w:val="auto"/>
          <w:spacing w:val="-6"/>
          <w:sz w:val="21"/>
          <w:szCs w:val="21"/>
          <w:highlight w:val="none"/>
        </w:rPr>
      </w:pPr>
      <w:r>
        <w:rPr>
          <w:rFonts w:cs="Times New Roman"/>
          <w:b/>
          <w:color w:val="auto"/>
          <w:spacing w:val="-6"/>
          <w:sz w:val="21"/>
          <w:szCs w:val="21"/>
          <w:highlight w:val="none"/>
        </w:rPr>
        <w:t>3.以上表格要求细分项目及报价，在“规格型号（或具体服务）”一栏中，货物类项目填写规格型号，服务类项目填写具体服务</w:t>
      </w:r>
      <w:r>
        <w:rPr>
          <w:rFonts w:hint="eastAsia"/>
          <w:bCs/>
          <w:color w:val="auto"/>
          <w:spacing w:val="-6"/>
          <w:sz w:val="21"/>
          <w:szCs w:val="21"/>
          <w:highlight w:val="none"/>
        </w:rPr>
        <w:t>。</w:t>
      </w:r>
    </w:p>
    <w:p w14:paraId="64DAB23A">
      <w:pPr>
        <w:adjustRightInd w:val="0"/>
        <w:snapToGrid w:val="0"/>
        <w:spacing w:line="288" w:lineRule="auto"/>
        <w:rPr>
          <w:bCs/>
          <w:color w:val="auto"/>
          <w:sz w:val="21"/>
          <w:szCs w:val="21"/>
          <w:highlight w:val="none"/>
        </w:rPr>
      </w:pPr>
    </w:p>
    <w:p w14:paraId="7A1600FC">
      <w:pPr>
        <w:adjustRightInd w:val="0"/>
        <w:snapToGrid w:val="0"/>
        <w:spacing w:line="288" w:lineRule="auto"/>
        <w:rPr>
          <w:bCs/>
          <w:color w:val="auto"/>
          <w:sz w:val="21"/>
          <w:szCs w:val="21"/>
          <w:highlight w:val="none"/>
        </w:rPr>
      </w:pPr>
    </w:p>
    <w:p w14:paraId="5C045EB1">
      <w:pPr>
        <w:adjustRightInd w:val="0"/>
        <w:snapToGrid w:val="0"/>
        <w:spacing w:line="288" w:lineRule="auto"/>
        <w:rPr>
          <w:bCs/>
          <w:color w:val="auto"/>
          <w:spacing w:val="-6"/>
          <w:sz w:val="21"/>
          <w:szCs w:val="21"/>
          <w:highlight w:val="none"/>
        </w:rPr>
      </w:pPr>
      <w:r>
        <w:rPr>
          <w:rFonts w:hint="eastAsia"/>
          <w:bCs/>
          <w:color w:val="auto"/>
          <w:spacing w:val="-6"/>
          <w:sz w:val="21"/>
          <w:szCs w:val="21"/>
          <w:highlight w:val="none"/>
        </w:rPr>
        <w:t>供应商名称（电子签名/公章）：</w:t>
      </w:r>
    </w:p>
    <w:p w14:paraId="5812855D">
      <w:pPr>
        <w:adjustRightInd w:val="0"/>
        <w:snapToGrid w:val="0"/>
        <w:spacing w:line="288" w:lineRule="auto"/>
        <w:rPr>
          <w:bCs/>
          <w:color w:val="auto"/>
          <w:spacing w:val="-6"/>
          <w:sz w:val="21"/>
          <w:szCs w:val="21"/>
          <w:highlight w:val="none"/>
        </w:rPr>
      </w:pPr>
      <w:r>
        <w:rPr>
          <w:rFonts w:hint="eastAsia"/>
          <w:bCs/>
          <w:color w:val="auto"/>
          <w:spacing w:val="-6"/>
          <w:sz w:val="21"/>
          <w:szCs w:val="21"/>
          <w:highlight w:val="none"/>
        </w:rPr>
        <w:t>日期：</w:t>
      </w:r>
      <w:r>
        <w:rPr>
          <w:rFonts w:hint="eastAsia"/>
          <w:b/>
          <w:bCs/>
          <w:color w:val="auto"/>
          <w:sz w:val="21"/>
          <w:szCs w:val="21"/>
          <w:highlight w:val="none"/>
          <w:lang w:eastAsia="zh-CN"/>
        </w:rPr>
        <w:t>2025年</w:t>
      </w:r>
      <w:r>
        <w:rPr>
          <w:rFonts w:hint="eastAsia"/>
          <w:b/>
          <w:bCs/>
          <w:color w:val="auto"/>
          <w:sz w:val="21"/>
          <w:szCs w:val="21"/>
          <w:highlight w:val="none"/>
        </w:rPr>
        <w:t xml:space="preserve">  月  日</w:t>
      </w:r>
    </w:p>
    <w:p w14:paraId="7E72F10B">
      <w:pPr>
        <w:pStyle w:val="56"/>
        <w:keepNext w:val="0"/>
        <w:pageBreakBefore w:val="0"/>
        <w:tabs>
          <w:tab w:val="clear" w:pos="720"/>
        </w:tabs>
        <w:snapToGrid w:val="0"/>
        <w:spacing w:line="288" w:lineRule="auto"/>
        <w:outlineLvl w:val="1"/>
        <w:rPr>
          <w:rFonts w:eastAsia="宋体"/>
          <w:color w:val="auto"/>
          <w:kern w:val="2"/>
          <w:sz w:val="21"/>
          <w:szCs w:val="21"/>
          <w:highlight w:val="none"/>
        </w:rPr>
      </w:pPr>
      <w:r>
        <w:rPr>
          <w:rFonts w:hint="eastAsia" w:ascii="仿宋" w:hAnsi="仿宋" w:eastAsia="仿宋"/>
          <w:color w:val="auto"/>
          <w:kern w:val="2"/>
          <w:sz w:val="32"/>
          <w:szCs w:val="32"/>
          <w:highlight w:val="none"/>
        </w:rPr>
        <w:br w:type="page"/>
      </w:r>
      <w:r>
        <w:rPr>
          <w:rFonts w:hint="eastAsia" w:eastAsia="宋体"/>
          <w:color w:val="auto"/>
          <w:kern w:val="2"/>
          <w:sz w:val="21"/>
          <w:szCs w:val="21"/>
          <w:highlight w:val="none"/>
        </w:rPr>
        <w:t>二、报价情况说明（如有）</w:t>
      </w:r>
    </w:p>
    <w:p w14:paraId="62260CA8">
      <w:pPr>
        <w:pStyle w:val="56"/>
        <w:keepNext w:val="0"/>
        <w:pageBreakBefore w:val="0"/>
        <w:tabs>
          <w:tab w:val="clear" w:pos="720"/>
        </w:tabs>
        <w:snapToGrid w:val="0"/>
        <w:spacing w:line="288" w:lineRule="auto"/>
        <w:jc w:val="left"/>
        <w:outlineLvl w:val="9"/>
        <w:rPr>
          <w:rFonts w:eastAsia="宋体"/>
          <w:color w:val="auto"/>
          <w:sz w:val="21"/>
          <w:szCs w:val="21"/>
          <w:highlight w:val="none"/>
        </w:rPr>
      </w:pPr>
      <w:r>
        <w:rPr>
          <w:rFonts w:hint="eastAsia" w:eastAsia="宋体"/>
          <w:color w:val="auto"/>
          <w:sz w:val="21"/>
          <w:szCs w:val="21"/>
          <w:highlight w:val="none"/>
        </w:rPr>
        <w:t>如供应商最后报价低于项目预算50%的，应当提交文本文档，详细阐述不影响产品质量或者诚信履约的具体原因。</w:t>
      </w:r>
    </w:p>
    <w:p w14:paraId="6D6A94CE">
      <w:pPr>
        <w:rPr>
          <w:bCs/>
          <w:color w:val="auto"/>
          <w:spacing w:val="-6"/>
          <w:sz w:val="21"/>
          <w:szCs w:val="21"/>
          <w:highlight w:val="none"/>
        </w:rPr>
      </w:pPr>
    </w:p>
    <w:p w14:paraId="788629B2">
      <w:pPr>
        <w:rPr>
          <w:color w:val="auto"/>
          <w:highlight w:val="none"/>
        </w:rPr>
      </w:pPr>
    </w:p>
    <w:p w14:paraId="37A22A99">
      <w:pPr>
        <w:rPr>
          <w:b/>
          <w:color w:val="auto"/>
          <w:spacing w:val="-6"/>
          <w:sz w:val="21"/>
          <w:szCs w:val="21"/>
          <w:highlight w:val="none"/>
        </w:rPr>
      </w:pPr>
      <w:r>
        <w:rPr>
          <w:rFonts w:hint="eastAsia"/>
          <w:color w:val="auto"/>
          <w:sz w:val="21"/>
          <w:szCs w:val="21"/>
          <w:highlight w:val="none"/>
        </w:rPr>
        <w:br w:type="page"/>
      </w:r>
      <w:bookmarkEnd w:id="144"/>
      <w:bookmarkEnd w:id="145"/>
      <w:bookmarkEnd w:id="146"/>
      <w:bookmarkEnd w:id="147"/>
      <w:bookmarkStart w:id="148" w:name="_Toc8603"/>
      <w:bookmarkStart w:id="149" w:name="_Toc6428"/>
      <w:bookmarkStart w:id="150" w:name="_Toc3484"/>
    </w:p>
    <w:p w14:paraId="64655898">
      <w:pPr>
        <w:adjustRightInd w:val="0"/>
        <w:snapToGrid w:val="0"/>
        <w:spacing w:line="288" w:lineRule="auto"/>
        <w:ind w:firstLine="498" w:firstLineChars="236"/>
        <w:jc w:val="center"/>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ascii="宋体" w:hAnsi="宋体" w:eastAsia="宋体" w:cs="宋体"/>
          <w:b/>
          <w:bCs/>
          <w:color w:val="auto"/>
          <w:sz w:val="21"/>
          <w:szCs w:val="21"/>
          <w:highlight w:val="none"/>
        </w:rPr>
        <w:t>中小企业声明函（货物）</w:t>
      </w:r>
    </w:p>
    <w:p w14:paraId="3AB51C86">
      <w:pPr>
        <w:adjustRightInd w:val="0"/>
        <w:snapToGrid w:val="0"/>
        <w:spacing w:line="288" w:lineRule="auto"/>
        <w:ind w:firstLine="498" w:firstLineChars="236"/>
        <w:rPr>
          <w:rFonts w:ascii="宋体" w:hAnsi="宋体" w:eastAsia="宋体" w:cs="宋体"/>
          <w:b/>
          <w:color w:val="auto"/>
          <w:sz w:val="21"/>
          <w:szCs w:val="21"/>
          <w:highlight w:val="none"/>
        </w:rPr>
      </w:pPr>
    </w:p>
    <w:p w14:paraId="118F729E">
      <w:pPr>
        <w:adjustRightInd w:val="0"/>
        <w:snapToGrid w:val="0"/>
        <w:spacing w:line="288" w:lineRule="auto"/>
        <w:ind w:firstLine="495" w:firstLineChars="236"/>
        <w:rPr>
          <w:rFonts w:ascii="宋体" w:hAnsi="宋体" w:eastAsia="宋体" w:cs="宋体"/>
          <w:color w:val="auto"/>
          <w:sz w:val="21"/>
          <w:szCs w:val="21"/>
          <w:highlight w:val="none"/>
        </w:rPr>
      </w:pPr>
      <w:r>
        <w:rPr>
          <w:rFonts w:ascii="宋体" w:hAnsi="宋体" w:eastAsia="宋体" w:cs="宋体"/>
          <w:color w:val="auto"/>
          <w:sz w:val="21"/>
          <w:szCs w:val="21"/>
          <w:highlight w:val="none"/>
        </w:rPr>
        <w:t>本公司（联合体）郑重声明，根据《政府采购促进中小企业发展管理办法》（财库</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2020</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46 号）的规定，本公司（联合体）参加</w:t>
      </w:r>
      <w:r>
        <w:rPr>
          <w:rFonts w:hint="eastAsia" w:ascii="宋体" w:hAnsi="宋体" w:eastAsia="宋体" w:cs="宋体"/>
          <w:color w:val="auto"/>
          <w:sz w:val="21"/>
          <w:szCs w:val="21"/>
          <w:highlight w:val="none"/>
          <w:u w:val="single"/>
        </w:rPr>
        <w:t>浙江树人学院</w:t>
      </w:r>
      <w:r>
        <w:rPr>
          <w:rFonts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lang w:eastAsia="zh-CN"/>
        </w:rPr>
        <w:t>后勤智慧餐厅与仓储管理系统</w:t>
      </w:r>
      <w:r>
        <w:rPr>
          <w:rFonts w:ascii="宋体" w:hAnsi="宋体" w:eastAsia="宋体" w:cs="宋体"/>
          <w:color w:val="auto"/>
          <w:sz w:val="21"/>
          <w:szCs w:val="21"/>
          <w:highlight w:val="none"/>
        </w:rPr>
        <w:t>采购活动，提供的货物全部由符合政策要求的中小企业制造。相关企业（含联合体中的中小企业、签订分包意向协议的中小企业）的具体情况如下：</w:t>
      </w:r>
    </w:p>
    <w:p w14:paraId="2F283534">
      <w:pPr>
        <w:adjustRightInd w:val="0"/>
        <w:snapToGrid w:val="0"/>
        <w:spacing w:line="288" w:lineRule="auto"/>
        <w:ind w:firstLine="495" w:firstLineChars="236"/>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rPr>
        <w:t>后勤智慧餐厅与仓储管理系统</w:t>
      </w:r>
      <w:r>
        <w:rPr>
          <w:rFonts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工业</w:t>
      </w:r>
      <w:r>
        <w:rPr>
          <w:rFonts w:ascii="宋体" w:hAnsi="宋体" w:eastAsia="宋体" w:cs="宋体"/>
          <w:color w:val="auto"/>
          <w:sz w:val="21"/>
          <w:szCs w:val="21"/>
          <w:highlight w:val="none"/>
        </w:rPr>
        <w:t>；制造商为</w:t>
      </w:r>
      <w:r>
        <w:rPr>
          <w:rFonts w:ascii="宋体" w:hAnsi="宋体" w:eastAsia="宋体" w:cs="宋体"/>
          <w:color w:val="auto"/>
          <w:sz w:val="21"/>
          <w:szCs w:val="21"/>
          <w:highlight w:val="none"/>
          <w:u w:val="single"/>
        </w:rPr>
        <w:t>（企业名称）</w:t>
      </w:r>
      <w:r>
        <w:rPr>
          <w:rFonts w:ascii="宋体" w:hAnsi="宋体" w:eastAsia="宋体" w:cs="宋体"/>
          <w:color w:val="auto"/>
          <w:sz w:val="21"/>
          <w:szCs w:val="21"/>
          <w:highlight w:val="none"/>
        </w:rPr>
        <w:t>，从业人员</w:t>
      </w:r>
      <w:r>
        <w:rPr>
          <w:rFonts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u w:val="single"/>
        </w:rPr>
        <w:tab/>
      </w:r>
      <w:r>
        <w:rPr>
          <w:rFonts w:ascii="宋体" w:hAnsi="宋体" w:eastAsia="宋体" w:cs="宋体"/>
          <w:color w:val="auto"/>
          <w:sz w:val="21"/>
          <w:szCs w:val="21"/>
          <w:highlight w:val="none"/>
        </w:rPr>
        <w:t>人，营业收入为</w:t>
      </w:r>
      <w:r>
        <w:rPr>
          <w:rFonts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u w:val="single"/>
        </w:rPr>
        <w:tab/>
      </w:r>
      <w:r>
        <w:rPr>
          <w:rFonts w:ascii="宋体" w:hAnsi="宋体" w:eastAsia="宋体" w:cs="宋体"/>
          <w:color w:val="auto"/>
          <w:sz w:val="21"/>
          <w:szCs w:val="21"/>
          <w:highlight w:val="none"/>
        </w:rPr>
        <w:t>万元，资产总额为</w:t>
      </w:r>
      <w:r>
        <w:rPr>
          <w:rFonts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u w:val="single"/>
        </w:rPr>
        <w:tab/>
      </w:r>
      <w:r>
        <w:rPr>
          <w:rFonts w:ascii="宋体" w:hAnsi="宋体" w:eastAsia="宋体" w:cs="宋体"/>
          <w:color w:val="auto"/>
          <w:sz w:val="21"/>
          <w:szCs w:val="21"/>
          <w:highlight w:val="none"/>
        </w:rPr>
        <w:t>万元，属于</w:t>
      </w:r>
      <w:r>
        <w:rPr>
          <w:rFonts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lang w:val="en-US" w:eastAsia="zh-CN"/>
        </w:rPr>
        <w:t>。</w:t>
      </w:r>
    </w:p>
    <w:p w14:paraId="3E6CD6E5">
      <w:pPr>
        <w:adjustRightInd w:val="0"/>
        <w:snapToGrid w:val="0"/>
        <w:spacing w:line="288" w:lineRule="auto"/>
        <w:ind w:firstLine="495" w:firstLineChars="236"/>
        <w:rPr>
          <w:rFonts w:ascii="宋体" w:hAnsi="宋体" w:eastAsia="宋体" w:cs="宋体"/>
          <w:color w:val="auto"/>
          <w:sz w:val="21"/>
          <w:szCs w:val="21"/>
          <w:highlight w:val="none"/>
        </w:rPr>
      </w:pPr>
      <w:r>
        <w:rPr>
          <w:rFonts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3703EB45">
      <w:pPr>
        <w:adjustRightInd w:val="0"/>
        <w:snapToGrid w:val="0"/>
        <w:spacing w:line="288" w:lineRule="auto"/>
        <w:ind w:firstLine="495" w:firstLineChars="236"/>
        <w:rPr>
          <w:rFonts w:ascii="宋体" w:hAnsi="宋体" w:eastAsia="宋体" w:cs="宋体"/>
          <w:color w:val="auto"/>
          <w:sz w:val="21"/>
          <w:szCs w:val="21"/>
          <w:highlight w:val="none"/>
        </w:rPr>
      </w:pPr>
      <w:r>
        <w:rPr>
          <w:rFonts w:ascii="宋体" w:hAnsi="宋体" w:eastAsia="宋体" w:cs="宋体"/>
          <w:color w:val="auto"/>
          <w:sz w:val="21"/>
          <w:szCs w:val="21"/>
          <w:highlight w:val="none"/>
        </w:rPr>
        <w:t>本企业对上述声明内容的真实性负责。如有虚假，将依法承担相应责任。</w:t>
      </w:r>
    </w:p>
    <w:p w14:paraId="6DA9B93C">
      <w:pPr>
        <w:adjustRightInd w:val="0"/>
        <w:snapToGrid w:val="0"/>
        <w:spacing w:line="288" w:lineRule="auto"/>
        <w:ind w:firstLine="495" w:firstLineChars="236"/>
        <w:rPr>
          <w:rFonts w:ascii="宋体" w:hAnsi="宋体" w:eastAsia="宋体" w:cs="宋体"/>
          <w:color w:val="auto"/>
          <w:sz w:val="21"/>
          <w:szCs w:val="21"/>
          <w:highlight w:val="none"/>
        </w:rPr>
      </w:pPr>
    </w:p>
    <w:p w14:paraId="62E039D7">
      <w:pPr>
        <w:adjustRightInd w:val="0"/>
        <w:snapToGrid w:val="0"/>
        <w:spacing w:line="288" w:lineRule="auto"/>
        <w:ind w:firstLine="498" w:firstLineChars="236"/>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供应商名称（电子签名/公章）</w:t>
      </w:r>
      <w:r>
        <w:rPr>
          <w:rFonts w:ascii="宋体" w:hAnsi="宋体" w:eastAsia="宋体" w:cs="宋体"/>
          <w:b/>
          <w:bCs/>
          <w:color w:val="auto"/>
          <w:sz w:val="21"/>
          <w:szCs w:val="21"/>
          <w:highlight w:val="none"/>
        </w:rPr>
        <w:t>：</w:t>
      </w:r>
    </w:p>
    <w:p w14:paraId="0981973E">
      <w:pPr>
        <w:adjustRightInd w:val="0"/>
        <w:snapToGrid w:val="0"/>
        <w:spacing w:line="288" w:lineRule="auto"/>
        <w:ind w:firstLine="498" w:firstLineChars="236"/>
        <w:rPr>
          <w:rFonts w:ascii="宋体" w:hAnsi="宋体" w:eastAsia="宋体" w:cs="宋体"/>
          <w:b/>
          <w:bCs/>
          <w:color w:val="auto"/>
          <w:sz w:val="21"/>
          <w:szCs w:val="21"/>
          <w:highlight w:val="none"/>
        </w:rPr>
      </w:pPr>
      <w:r>
        <w:rPr>
          <w:rFonts w:ascii="宋体" w:hAnsi="宋体" w:eastAsia="宋体" w:cs="宋体"/>
          <w:b/>
          <w:bCs/>
          <w:color w:val="auto"/>
          <w:sz w:val="21"/>
          <w:szCs w:val="21"/>
          <w:highlight w:val="none"/>
        </w:rPr>
        <w:t>日期：</w:t>
      </w:r>
      <w:r>
        <w:rPr>
          <w:rFonts w:hint="eastAsia" w:ascii="宋体" w:hAnsi="宋体" w:eastAsia="宋体" w:cs="宋体"/>
          <w:b/>
          <w:bCs/>
          <w:color w:val="auto"/>
          <w:sz w:val="21"/>
          <w:szCs w:val="21"/>
          <w:highlight w:val="none"/>
          <w:lang w:eastAsia="zh-CN"/>
        </w:rPr>
        <w:t>2025年</w:t>
      </w:r>
      <w:r>
        <w:rPr>
          <w:rFonts w:hint="eastAsia" w:ascii="宋体" w:hAnsi="宋体" w:eastAsia="宋体" w:cs="宋体"/>
          <w:b/>
          <w:bCs/>
          <w:color w:val="auto"/>
          <w:sz w:val="21"/>
          <w:szCs w:val="21"/>
          <w:highlight w:val="none"/>
        </w:rPr>
        <w:t xml:space="preserve">  月  日</w:t>
      </w:r>
    </w:p>
    <w:p w14:paraId="2B754AED">
      <w:pPr>
        <w:adjustRightInd w:val="0"/>
        <w:snapToGrid w:val="0"/>
        <w:spacing w:line="288" w:lineRule="auto"/>
        <w:ind w:firstLine="495" w:firstLineChars="236"/>
        <w:rPr>
          <w:rFonts w:ascii="宋体" w:hAnsi="宋体" w:eastAsia="宋体" w:cs="宋体"/>
          <w:color w:val="auto"/>
          <w:sz w:val="21"/>
          <w:szCs w:val="21"/>
          <w:highlight w:val="none"/>
        </w:rPr>
      </w:pPr>
    </w:p>
    <w:p w14:paraId="6AC5E0D5">
      <w:pPr>
        <w:adjustRightInd w:val="0"/>
        <w:snapToGrid w:val="0"/>
        <w:spacing w:line="288" w:lineRule="auto"/>
        <w:ind w:firstLine="495" w:firstLineChars="2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79C51742">
      <w:pPr>
        <w:adjustRightInd w:val="0"/>
        <w:snapToGrid w:val="0"/>
        <w:spacing w:line="288" w:lineRule="auto"/>
        <w:ind w:firstLine="495" w:firstLineChars="2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中小企业参加政府采购活动，应当出具财库〔2020〕46号文件规定的《中小企业声明函》，否则不得享受相关中小企业扶持政策。</w:t>
      </w:r>
    </w:p>
    <w:p w14:paraId="1F3A0A80">
      <w:pPr>
        <w:adjustRightInd w:val="0"/>
        <w:snapToGrid w:val="0"/>
        <w:spacing w:line="288" w:lineRule="auto"/>
        <w:ind w:firstLine="495" w:firstLineChars="2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6289C329">
      <w:pPr>
        <w:adjustRightInd w:val="0"/>
        <w:snapToGrid w:val="0"/>
        <w:spacing w:line="288" w:lineRule="auto"/>
        <w:ind w:firstLine="495" w:firstLineChars="236"/>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3.</w:t>
      </w:r>
      <w:r>
        <w:rPr>
          <w:rFonts w:hint="eastAsia" w:ascii="宋体" w:hAnsi="宋体" w:eastAsia="宋体" w:cs="Times New Roman"/>
          <w:color w:val="auto"/>
          <w:sz w:val="21"/>
          <w:szCs w:val="21"/>
          <w:highlight w:val="none"/>
        </w:rPr>
        <w:t>《中小企业声明函》填写不全的，视为未提供《中小企业声明函》（从业人员、营业收入、资产总额在中小企业划型标准规定中不涉及的除外），或未按照《中小企业声明函》要求填写的，不享受中小企业扶持政策。</w:t>
      </w:r>
      <w:r>
        <w:rPr>
          <w:rFonts w:ascii="宋体" w:hAnsi="宋体" w:eastAsia="宋体" w:cs="宋体"/>
          <w:color w:val="auto"/>
          <w:sz w:val="21"/>
          <w:szCs w:val="21"/>
          <w:highlight w:val="none"/>
        </w:rPr>
        <w:t>如项目包含“多件”标的物的，需按标的物项数逐项填写。</w:t>
      </w:r>
    </w:p>
    <w:p w14:paraId="13E3C8BB">
      <w:pPr>
        <w:adjustRightInd w:val="0"/>
        <w:snapToGrid w:val="0"/>
        <w:spacing w:line="288" w:lineRule="auto"/>
        <w:ind w:firstLine="495" w:firstLineChars="2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供应商提供《中小企业声明函》内容不实的，属于提供虚假材料谋取中标、成交，依照《中华人民共和国政府采购法》等国家有关规定追究相应责任。</w:t>
      </w:r>
    </w:p>
    <w:p w14:paraId="3C411F02">
      <w:pPr>
        <w:adjustRightInd w:val="0"/>
        <w:snapToGrid w:val="0"/>
        <w:spacing w:line="288" w:lineRule="auto"/>
        <w:ind w:firstLine="495" w:firstLineChars="2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5.以联合体形式参加的，联合体各方均须提供中小企业声明函，联合各方须均为中小企业，否则视为不满足落实政府采购政策需满足的资格要求。</w:t>
      </w:r>
    </w:p>
    <w:p w14:paraId="3530E1C7">
      <w:pPr>
        <w:adjustRightInd w:val="0"/>
        <w:snapToGrid w:val="0"/>
        <w:spacing w:line="288" w:lineRule="auto"/>
        <w:ind w:firstLine="495" w:firstLineChars="236"/>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6.合同分包的，供应商和分包供应商均须提供中小企业声明函，分包意向协议中所有供应商须均为中小企业，否则视为不满足落实政府采购政策需满足的资格要求。</w:t>
      </w:r>
    </w:p>
    <w:p w14:paraId="0DB5B9F9">
      <w:pPr>
        <w:widowControl/>
        <w:adjustRightInd w:val="0"/>
        <w:snapToGrid w:val="0"/>
        <w:spacing w:line="288" w:lineRule="auto"/>
        <w:ind w:firstLine="469" w:firstLineChars="236"/>
        <w:jc w:val="center"/>
        <w:outlineLvl w:val="2"/>
        <w:rPr>
          <w:rFonts w:ascii="宋体" w:hAnsi="宋体" w:eastAsia="宋体" w:cs="宋体"/>
          <w:color w:val="auto"/>
          <w:kern w:val="0"/>
          <w:sz w:val="21"/>
          <w:szCs w:val="21"/>
          <w:highlight w:val="none"/>
        </w:rPr>
      </w:pPr>
      <w:r>
        <w:rPr>
          <w:rFonts w:hint="eastAsia" w:ascii="宋体" w:hAnsi="宋体" w:eastAsia="宋体" w:cs="宋体"/>
          <w:b/>
          <w:color w:val="auto"/>
          <w:spacing w:val="-6"/>
          <w:sz w:val="21"/>
          <w:szCs w:val="21"/>
          <w:highlight w:val="none"/>
        </w:rPr>
        <w:br w:type="page"/>
      </w:r>
      <w:r>
        <w:rPr>
          <w:rFonts w:hint="eastAsia" w:ascii="宋体" w:hAnsi="宋体" w:eastAsia="宋体" w:cs="宋体"/>
          <w:b/>
          <w:color w:val="auto"/>
          <w:spacing w:val="-6"/>
          <w:sz w:val="21"/>
          <w:szCs w:val="21"/>
          <w:highlight w:val="none"/>
          <w:lang w:val="en-US" w:eastAsia="zh-CN"/>
        </w:rPr>
        <w:t>四、</w:t>
      </w:r>
      <w:r>
        <w:rPr>
          <w:rFonts w:hint="eastAsia" w:ascii="宋体" w:hAnsi="宋体" w:eastAsia="宋体" w:cs="宋体"/>
          <w:b/>
          <w:color w:val="auto"/>
          <w:spacing w:val="-6"/>
          <w:sz w:val="21"/>
          <w:szCs w:val="21"/>
          <w:highlight w:val="none"/>
        </w:rPr>
        <w:t>属于监狱企业的证明文件（若属于监狱企业）</w:t>
      </w:r>
    </w:p>
    <w:p w14:paraId="376E2743">
      <w:pPr>
        <w:adjustRightInd w:val="0"/>
        <w:snapToGrid w:val="0"/>
        <w:spacing w:line="288" w:lineRule="auto"/>
        <w:rPr>
          <w:rFonts w:ascii="宋体" w:hAnsi="宋体" w:eastAsia="宋体" w:cs="宋体"/>
          <w:color w:val="auto"/>
          <w:kern w:val="0"/>
          <w:sz w:val="21"/>
          <w:szCs w:val="21"/>
          <w:highlight w:val="none"/>
        </w:rPr>
      </w:pPr>
    </w:p>
    <w:p w14:paraId="6C3D431C">
      <w:pPr>
        <w:adjustRightInd w:val="0"/>
        <w:snapToGrid w:val="0"/>
        <w:spacing w:line="288" w:lineRule="auto"/>
        <w:ind w:firstLine="373" w:firstLineChars="177"/>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监狱企业参加政府采购活动时，应当提供由省级以上监狱管理局、戒毒管理局（含新疆生产建设兵团）出具的属于监狱企业的证明文件。</w:t>
      </w:r>
    </w:p>
    <w:p w14:paraId="658DA77E">
      <w:pPr>
        <w:adjustRightInd w:val="0"/>
        <w:snapToGrid w:val="0"/>
        <w:spacing w:line="288" w:lineRule="auto"/>
        <w:rPr>
          <w:rFonts w:ascii="宋体" w:hAnsi="宋体" w:eastAsia="宋体" w:cs="宋体"/>
          <w:color w:val="auto"/>
          <w:sz w:val="21"/>
          <w:szCs w:val="21"/>
          <w:highlight w:val="none"/>
        </w:rPr>
      </w:pPr>
    </w:p>
    <w:p w14:paraId="1AC65C16">
      <w:pPr>
        <w:adjustRightInd w:val="0"/>
        <w:snapToGrid w:val="0"/>
        <w:spacing w:line="288" w:lineRule="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14:paraId="3C9D5965">
      <w:pPr>
        <w:widowControl/>
        <w:shd w:val="clear" w:color="auto" w:fill="FFFFFF"/>
        <w:adjustRightInd w:val="0"/>
        <w:snapToGrid w:val="0"/>
        <w:spacing w:line="288" w:lineRule="auto"/>
        <w:ind w:firstLine="371" w:firstLineChars="177"/>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FA55282">
      <w:pPr>
        <w:widowControl/>
        <w:shd w:val="clear" w:color="auto" w:fill="FFFFFF"/>
        <w:adjustRightInd w:val="0"/>
        <w:snapToGrid w:val="0"/>
        <w:spacing w:line="288" w:lineRule="auto"/>
        <w:ind w:firstLine="371" w:firstLineChars="177"/>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二、在政府采购活动中，监狱企业视同小型、微型企业，享受预留份额、评审中价格扣除等政府采购促进中小企业发展的政府采购政策。</w:t>
      </w:r>
    </w:p>
    <w:p w14:paraId="299E3DB3">
      <w:pPr>
        <w:widowControl/>
        <w:adjustRightInd w:val="0"/>
        <w:snapToGrid w:val="0"/>
        <w:spacing w:line="288" w:lineRule="auto"/>
        <w:jc w:val="center"/>
        <w:outlineLvl w:val="2"/>
        <w:rPr>
          <w:rFonts w:ascii="宋体" w:hAnsi="宋体" w:eastAsia="宋体" w:cs="宋体"/>
          <w:b/>
          <w:color w:val="auto"/>
          <w:spacing w:val="-6"/>
          <w:sz w:val="21"/>
          <w:szCs w:val="21"/>
          <w:highlight w:val="none"/>
        </w:rPr>
      </w:pPr>
      <w:r>
        <w:rPr>
          <w:rFonts w:ascii="宋体" w:hAnsi="宋体" w:eastAsia="宋体" w:cs="宋体"/>
          <w:b/>
          <w:color w:val="auto"/>
          <w:spacing w:val="-6"/>
          <w:sz w:val="21"/>
          <w:szCs w:val="21"/>
          <w:highlight w:val="none"/>
        </w:rPr>
        <w:br w:type="page"/>
      </w:r>
      <w:r>
        <w:rPr>
          <w:rFonts w:hint="eastAsia" w:ascii="宋体" w:hAnsi="宋体" w:eastAsia="宋体" w:cs="宋体"/>
          <w:b/>
          <w:color w:val="auto"/>
          <w:spacing w:val="-6"/>
          <w:sz w:val="21"/>
          <w:szCs w:val="21"/>
          <w:highlight w:val="none"/>
          <w:lang w:val="en-US" w:eastAsia="zh-CN"/>
        </w:rPr>
        <w:t>五、</w:t>
      </w:r>
      <w:r>
        <w:rPr>
          <w:rFonts w:hint="eastAsia" w:ascii="宋体" w:hAnsi="宋体" w:eastAsia="宋体" w:cs="宋体"/>
          <w:b/>
          <w:color w:val="auto"/>
          <w:spacing w:val="-6"/>
          <w:sz w:val="21"/>
          <w:szCs w:val="21"/>
          <w:highlight w:val="none"/>
        </w:rPr>
        <w:t>残疾人福利性单位声明函（若属于残疾人福利性单位）</w:t>
      </w:r>
    </w:p>
    <w:p w14:paraId="0D79EDBB">
      <w:pPr>
        <w:adjustRightInd w:val="0"/>
        <w:snapToGrid w:val="0"/>
        <w:spacing w:line="288" w:lineRule="auto"/>
        <w:rPr>
          <w:rFonts w:ascii="宋体" w:hAnsi="宋体" w:eastAsia="宋体" w:cs="Times New Roman"/>
          <w:b/>
          <w:color w:val="auto"/>
          <w:spacing w:val="6"/>
          <w:sz w:val="21"/>
          <w:szCs w:val="21"/>
          <w:highlight w:val="none"/>
        </w:rPr>
      </w:pPr>
    </w:p>
    <w:p w14:paraId="72253E1A">
      <w:pPr>
        <w:adjustRightInd w:val="0"/>
        <w:snapToGrid w:val="0"/>
        <w:spacing w:line="288" w:lineRule="auto"/>
        <w:ind w:firstLine="444" w:firstLineChars="200"/>
        <w:rPr>
          <w:rFonts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 w:val="21"/>
          <w:szCs w:val="21"/>
          <w:highlight w:val="none"/>
        </w:rPr>
        <w:t>〔2017〕 141</w:t>
      </w:r>
      <w:r>
        <w:rPr>
          <w:rFonts w:hint="eastAsia" w:ascii="宋体" w:hAnsi="宋体" w:eastAsia="宋体" w:cs="Times New Roman"/>
          <w:color w:val="auto"/>
          <w:spacing w:val="6"/>
          <w:sz w:val="21"/>
          <w:szCs w:val="21"/>
          <w:highlight w:val="none"/>
        </w:rPr>
        <w:t>号）的规定，</w:t>
      </w:r>
      <w:r>
        <w:rPr>
          <w:rFonts w:hint="eastAsia" w:ascii="宋体" w:hAnsi="宋体" w:eastAsia="宋体" w:cs="Times New Roman"/>
          <w:b/>
          <w:bCs/>
          <w:color w:val="auto"/>
          <w:spacing w:val="6"/>
          <w:sz w:val="21"/>
          <w:szCs w:val="21"/>
          <w:highlight w:val="none"/>
        </w:rPr>
        <w:t>本单位为符合条件的残疾人福利性单位</w:t>
      </w:r>
      <w:r>
        <w:rPr>
          <w:rFonts w:hint="eastAsia" w:ascii="宋体" w:hAnsi="宋体" w:eastAsia="宋体" w:cs="Times New Roman"/>
          <w:color w:val="auto"/>
          <w:spacing w:val="6"/>
          <w:sz w:val="21"/>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095A6E62">
      <w:pPr>
        <w:adjustRightInd w:val="0"/>
        <w:snapToGrid w:val="0"/>
        <w:spacing w:line="288" w:lineRule="auto"/>
        <w:ind w:firstLine="444" w:firstLineChars="200"/>
        <w:rPr>
          <w:rFonts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本单位对上述声明的真实性负责。如有虚假，将依法承担相应责任。</w:t>
      </w:r>
    </w:p>
    <w:p w14:paraId="44FBA0B5">
      <w:pPr>
        <w:tabs>
          <w:tab w:val="left" w:pos="4860"/>
        </w:tabs>
        <w:adjustRightInd w:val="0"/>
        <w:snapToGrid w:val="0"/>
        <w:spacing w:line="288" w:lineRule="auto"/>
        <w:ind w:right="1560" w:firstLine="444" w:firstLineChars="200"/>
        <w:rPr>
          <w:rFonts w:ascii="宋体" w:hAnsi="宋体" w:eastAsia="宋体" w:cs="Times New Roman"/>
          <w:color w:val="auto"/>
          <w:spacing w:val="6"/>
          <w:sz w:val="21"/>
          <w:szCs w:val="21"/>
          <w:highlight w:val="none"/>
        </w:rPr>
      </w:pPr>
    </w:p>
    <w:p w14:paraId="01798BD3">
      <w:pPr>
        <w:tabs>
          <w:tab w:val="left" w:pos="4860"/>
        </w:tabs>
        <w:adjustRightInd w:val="0"/>
        <w:snapToGrid w:val="0"/>
        <w:spacing w:line="288" w:lineRule="auto"/>
        <w:ind w:right="1560" w:firstLine="446" w:firstLineChars="200"/>
        <w:rPr>
          <w:rFonts w:ascii="宋体" w:hAnsi="宋体" w:eastAsia="宋体" w:cs="Times New Roman"/>
          <w:b/>
          <w:bCs/>
          <w:color w:val="auto"/>
          <w:spacing w:val="6"/>
          <w:sz w:val="21"/>
          <w:szCs w:val="21"/>
          <w:highlight w:val="none"/>
        </w:rPr>
      </w:pPr>
      <w:r>
        <w:rPr>
          <w:rFonts w:hint="eastAsia" w:ascii="宋体" w:hAnsi="宋体" w:eastAsia="宋体" w:cs="Times New Roman"/>
          <w:b/>
          <w:bCs/>
          <w:color w:val="auto"/>
          <w:spacing w:val="6"/>
          <w:sz w:val="21"/>
          <w:szCs w:val="21"/>
          <w:highlight w:val="none"/>
        </w:rPr>
        <w:t>供应商名称（电子签名/公章）：</w:t>
      </w:r>
    </w:p>
    <w:p w14:paraId="5D278361">
      <w:pPr>
        <w:tabs>
          <w:tab w:val="left" w:pos="4860"/>
        </w:tabs>
        <w:adjustRightInd w:val="0"/>
        <w:snapToGrid w:val="0"/>
        <w:spacing w:line="288" w:lineRule="auto"/>
        <w:ind w:right="1560" w:firstLine="446" w:firstLineChars="200"/>
        <w:rPr>
          <w:rFonts w:ascii="宋体" w:hAnsi="宋体" w:eastAsia="宋体" w:cs="Times New Roman"/>
          <w:b/>
          <w:bCs/>
          <w:color w:val="auto"/>
          <w:spacing w:val="6"/>
          <w:sz w:val="21"/>
          <w:szCs w:val="21"/>
          <w:highlight w:val="none"/>
        </w:rPr>
      </w:pPr>
      <w:r>
        <w:rPr>
          <w:rFonts w:hint="eastAsia" w:ascii="宋体" w:hAnsi="宋体" w:eastAsia="宋体" w:cs="Times New Roman"/>
          <w:b/>
          <w:bCs/>
          <w:color w:val="auto"/>
          <w:spacing w:val="6"/>
          <w:sz w:val="21"/>
          <w:szCs w:val="21"/>
          <w:highlight w:val="none"/>
        </w:rPr>
        <w:t>日  期：</w:t>
      </w:r>
      <w:r>
        <w:rPr>
          <w:rFonts w:hint="eastAsia" w:ascii="宋体" w:hAnsi="宋体" w:eastAsia="宋体" w:cs="宋体"/>
          <w:b/>
          <w:bCs/>
          <w:color w:val="auto"/>
          <w:sz w:val="21"/>
          <w:szCs w:val="21"/>
          <w:highlight w:val="none"/>
          <w:lang w:eastAsia="zh-CN"/>
        </w:rPr>
        <w:t>2025年</w:t>
      </w:r>
      <w:r>
        <w:rPr>
          <w:rFonts w:hint="eastAsia" w:ascii="宋体" w:hAnsi="宋体" w:eastAsia="宋体" w:cs="宋体"/>
          <w:b/>
          <w:bCs/>
          <w:color w:val="auto"/>
          <w:sz w:val="21"/>
          <w:szCs w:val="21"/>
          <w:highlight w:val="none"/>
        </w:rPr>
        <w:t xml:space="preserve">  月  日</w:t>
      </w:r>
    </w:p>
    <w:p w14:paraId="66E136D5">
      <w:pPr>
        <w:adjustRightInd w:val="0"/>
        <w:snapToGrid w:val="0"/>
        <w:spacing w:line="288" w:lineRule="auto"/>
        <w:rPr>
          <w:rFonts w:ascii="宋体" w:hAnsi="宋体" w:eastAsia="宋体" w:cs="宋体"/>
          <w:color w:val="auto"/>
          <w:sz w:val="21"/>
          <w:szCs w:val="21"/>
          <w:highlight w:val="none"/>
        </w:rPr>
      </w:pPr>
    </w:p>
    <w:p w14:paraId="159B90E5">
      <w:pPr>
        <w:adjustRightInd w:val="0"/>
        <w:snapToGrid w:val="0"/>
        <w:spacing w:line="288" w:lineRule="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14:paraId="5FAF1A0F">
      <w:pPr>
        <w:widowControl/>
        <w:shd w:val="clear" w:color="auto" w:fill="FFFFFF"/>
        <w:adjustRightInd w:val="0"/>
        <w:snapToGrid w:val="0"/>
        <w:spacing w:line="288" w:lineRule="auto"/>
        <w:ind w:firstLine="371" w:firstLineChars="177"/>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一、享受政府采购支持政策的残疾人福利性单位应当同时满足以下条件：</w:t>
      </w:r>
    </w:p>
    <w:p w14:paraId="2F096892">
      <w:pPr>
        <w:widowControl/>
        <w:shd w:val="clear" w:color="auto" w:fill="FFFFFF"/>
        <w:adjustRightInd w:val="0"/>
        <w:snapToGrid w:val="0"/>
        <w:spacing w:line="288" w:lineRule="auto"/>
        <w:ind w:firstLine="371" w:firstLineChars="177"/>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（一）安置的残疾人占本单位在职职工人数的比例不低于25%（含25%），并且安置的残疾人人数不少于10人（含10人）；</w:t>
      </w:r>
    </w:p>
    <w:p w14:paraId="7F897FC3">
      <w:pPr>
        <w:widowControl/>
        <w:shd w:val="clear" w:color="auto" w:fill="FFFFFF"/>
        <w:adjustRightInd w:val="0"/>
        <w:snapToGrid w:val="0"/>
        <w:spacing w:line="288" w:lineRule="auto"/>
        <w:ind w:firstLine="371" w:firstLineChars="177"/>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（二）依法与安置的每位残疾人签订了一年以上（含一年）的劳动合同或服务协议；</w:t>
      </w:r>
    </w:p>
    <w:p w14:paraId="43F91F9E">
      <w:pPr>
        <w:widowControl/>
        <w:shd w:val="clear" w:color="auto" w:fill="FFFFFF"/>
        <w:adjustRightInd w:val="0"/>
        <w:snapToGrid w:val="0"/>
        <w:spacing w:line="288" w:lineRule="auto"/>
        <w:ind w:firstLine="371" w:firstLineChars="177"/>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（三）为安置的每位残疾人按月足额缴纳了基本养老保险、基本医疗保险、失业保险、工伤保险和生育保险等社会保险费；</w:t>
      </w:r>
    </w:p>
    <w:p w14:paraId="2AE9ADD0">
      <w:pPr>
        <w:widowControl/>
        <w:shd w:val="clear" w:color="auto" w:fill="FFFFFF"/>
        <w:adjustRightInd w:val="0"/>
        <w:snapToGrid w:val="0"/>
        <w:spacing w:line="288" w:lineRule="auto"/>
        <w:ind w:firstLine="371" w:firstLineChars="177"/>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（四）通过银行等金融机构向安置的每位残疾人，按月支付了不低于单位所在区县适用的经省级人民政府批准的月最低工资标准的工资；</w:t>
      </w:r>
    </w:p>
    <w:p w14:paraId="5D22E169">
      <w:pPr>
        <w:widowControl/>
        <w:shd w:val="clear" w:color="auto" w:fill="FFFFFF"/>
        <w:adjustRightInd w:val="0"/>
        <w:snapToGrid w:val="0"/>
        <w:spacing w:line="288" w:lineRule="auto"/>
        <w:ind w:firstLine="371" w:firstLineChars="177"/>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55E47FF0">
      <w:pPr>
        <w:widowControl/>
        <w:shd w:val="clear" w:color="auto" w:fill="FFFFFF"/>
        <w:adjustRightInd w:val="0"/>
        <w:snapToGrid w:val="0"/>
        <w:spacing w:line="288" w:lineRule="auto"/>
        <w:ind w:firstLine="371" w:firstLineChars="177"/>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6EBDBFE">
      <w:pPr>
        <w:widowControl/>
        <w:shd w:val="clear" w:color="auto" w:fill="FFFFFF"/>
        <w:adjustRightInd w:val="0"/>
        <w:snapToGrid w:val="0"/>
        <w:spacing w:line="288" w:lineRule="auto"/>
        <w:ind w:firstLine="371" w:firstLineChars="177"/>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二、符合条件的残疾人福利性单位在参加政府采购活动时，应当提供财库</w:t>
      </w:r>
      <w:r>
        <w:rPr>
          <w:rFonts w:ascii="宋体" w:hAnsi="宋体" w:eastAsia="宋体" w:cs="宋体"/>
          <w:color w:val="auto"/>
          <w:kern w:val="0"/>
          <w:sz w:val="21"/>
          <w:szCs w:val="21"/>
          <w:highlight w:val="none"/>
        </w:rPr>
        <w:t>[2017]141号</w:t>
      </w:r>
      <w:r>
        <w:rPr>
          <w:rFonts w:hint="eastAsia" w:ascii="宋体" w:hAnsi="宋体" w:eastAsia="宋体" w:cs="宋体"/>
          <w:color w:val="auto"/>
          <w:kern w:val="0"/>
          <w:sz w:val="21"/>
          <w:szCs w:val="21"/>
          <w:highlight w:val="none"/>
        </w:rPr>
        <w:t>文件规定的《残疾人福利性单位声明函》，并对声明的真实性负责。</w:t>
      </w:r>
    </w:p>
    <w:p w14:paraId="3E70F5A1">
      <w:pPr>
        <w:widowControl/>
        <w:shd w:val="clear" w:color="auto" w:fill="FFFFFF"/>
        <w:adjustRightInd w:val="0"/>
        <w:snapToGrid w:val="0"/>
        <w:spacing w:line="288" w:lineRule="auto"/>
        <w:ind w:firstLine="371" w:firstLineChars="177"/>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三、在政府采购活动中，残疾人福利性单位视同小型、微型企业，享受预留份额、评审中价格扣除等促进中小企业发展的政府采购政策。</w:t>
      </w:r>
    </w:p>
    <w:p w14:paraId="70058A81">
      <w:pPr>
        <w:widowControl/>
        <w:shd w:val="clear" w:color="auto" w:fill="FFFFFF"/>
        <w:adjustRightInd w:val="0"/>
        <w:snapToGrid w:val="0"/>
        <w:spacing w:line="288" w:lineRule="auto"/>
        <w:ind w:firstLine="371" w:firstLineChars="177"/>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注：残疾人福利性单位属于小型、微型企业的，不重复享受政策。</w:t>
      </w:r>
    </w:p>
    <w:p w14:paraId="265EFCE7">
      <w:pPr>
        <w:widowControl/>
        <w:adjustRightInd w:val="0"/>
        <w:snapToGrid w:val="0"/>
        <w:spacing w:line="288" w:lineRule="auto"/>
        <w:jc w:val="left"/>
        <w:rPr>
          <w:rFonts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br w:type="page"/>
      </w:r>
    </w:p>
    <w:p w14:paraId="20AA1FC0">
      <w:pPr>
        <w:rPr>
          <w:b/>
          <w:color w:val="auto"/>
          <w:spacing w:val="-6"/>
          <w:sz w:val="21"/>
          <w:szCs w:val="21"/>
          <w:highlight w:val="none"/>
        </w:rPr>
      </w:pPr>
    </w:p>
    <w:p w14:paraId="135DAA8F">
      <w:pPr>
        <w:jc w:val="center"/>
        <w:outlineLvl w:val="1"/>
        <w:rPr>
          <w:b/>
          <w:bCs/>
          <w:color w:val="auto"/>
          <w:sz w:val="84"/>
          <w:szCs w:val="84"/>
          <w:highlight w:val="none"/>
        </w:rPr>
      </w:pPr>
      <w:r>
        <w:rPr>
          <w:rFonts w:hint="eastAsia"/>
          <w:b/>
          <w:bCs/>
          <w:color w:val="auto"/>
          <w:sz w:val="84"/>
          <w:szCs w:val="84"/>
          <w:highlight w:val="none"/>
        </w:rPr>
        <w:t>商务技术文件</w:t>
      </w:r>
      <w:bookmarkEnd w:id="148"/>
      <w:bookmarkEnd w:id="149"/>
      <w:bookmarkEnd w:id="150"/>
    </w:p>
    <w:p w14:paraId="36B784FB">
      <w:pPr>
        <w:adjustRightInd w:val="0"/>
        <w:snapToGrid w:val="0"/>
        <w:spacing w:line="288" w:lineRule="auto"/>
        <w:jc w:val="center"/>
        <w:rPr>
          <w:b/>
          <w:bCs/>
          <w:color w:val="auto"/>
          <w:sz w:val="21"/>
          <w:szCs w:val="21"/>
          <w:highlight w:val="none"/>
        </w:rPr>
      </w:pPr>
      <w:r>
        <w:rPr>
          <w:rFonts w:hint="eastAsia"/>
          <w:color w:val="auto"/>
          <w:highlight w:val="none"/>
        </w:rPr>
        <w:br w:type="page"/>
      </w:r>
      <w:bookmarkStart w:id="151" w:name="_Toc31700"/>
      <w:r>
        <w:rPr>
          <w:rFonts w:hint="eastAsia"/>
          <w:b/>
          <w:bCs/>
          <w:color w:val="auto"/>
          <w:sz w:val="21"/>
          <w:szCs w:val="21"/>
          <w:highlight w:val="none"/>
        </w:rPr>
        <w:t>一、响应函</w:t>
      </w:r>
      <w:bookmarkEnd w:id="151"/>
    </w:p>
    <w:p w14:paraId="22726CFB">
      <w:pPr>
        <w:adjustRightInd w:val="0"/>
        <w:snapToGrid w:val="0"/>
        <w:spacing w:line="288" w:lineRule="auto"/>
        <w:rPr>
          <w:color w:val="auto"/>
          <w:sz w:val="21"/>
          <w:szCs w:val="21"/>
          <w:highlight w:val="none"/>
        </w:rPr>
      </w:pPr>
    </w:p>
    <w:p w14:paraId="69AC2410">
      <w:pPr>
        <w:adjustRightInd w:val="0"/>
        <w:snapToGrid w:val="0"/>
        <w:spacing w:line="288" w:lineRule="auto"/>
        <w:rPr>
          <w:b/>
          <w:bCs/>
          <w:color w:val="auto"/>
          <w:sz w:val="21"/>
          <w:szCs w:val="21"/>
          <w:highlight w:val="none"/>
        </w:rPr>
      </w:pPr>
      <w:r>
        <w:rPr>
          <w:rFonts w:hint="eastAsia"/>
          <w:b/>
          <w:bCs/>
          <w:color w:val="auto"/>
          <w:sz w:val="21"/>
          <w:szCs w:val="21"/>
          <w:highlight w:val="none"/>
        </w:rPr>
        <w:t>致：浙江树人学院、浙江求是招标代理有限公司：</w:t>
      </w:r>
    </w:p>
    <w:p w14:paraId="1CBDC3CA">
      <w:pPr>
        <w:adjustRightInd w:val="0"/>
        <w:snapToGrid w:val="0"/>
        <w:spacing w:line="288" w:lineRule="auto"/>
        <w:rPr>
          <w:color w:val="auto"/>
          <w:spacing w:val="-6"/>
          <w:sz w:val="21"/>
          <w:szCs w:val="21"/>
          <w:highlight w:val="none"/>
        </w:rPr>
      </w:pPr>
    </w:p>
    <w:p w14:paraId="7620E4F8">
      <w:pPr>
        <w:overflowPunct w:val="0"/>
        <w:autoSpaceDE w:val="0"/>
        <w:autoSpaceDN w:val="0"/>
        <w:adjustRightInd w:val="0"/>
        <w:snapToGrid w:val="0"/>
        <w:spacing w:line="288" w:lineRule="auto"/>
        <w:ind w:firstLine="396" w:firstLineChars="200"/>
        <w:rPr>
          <w:color w:val="auto"/>
          <w:sz w:val="21"/>
          <w:szCs w:val="21"/>
          <w:highlight w:val="none"/>
        </w:rPr>
      </w:pPr>
      <w:r>
        <w:rPr>
          <w:rFonts w:hint="eastAsia"/>
          <w:color w:val="auto"/>
          <w:spacing w:val="-6"/>
          <w:sz w:val="21"/>
          <w:szCs w:val="21"/>
          <w:highlight w:val="none"/>
        </w:rPr>
        <w:t>我方参加</w:t>
      </w:r>
      <w:r>
        <w:rPr>
          <w:rFonts w:hint="eastAsia"/>
          <w:bCs/>
          <w:color w:val="auto"/>
          <w:spacing w:val="-6"/>
          <w:sz w:val="21"/>
          <w:szCs w:val="21"/>
          <w:highlight w:val="none"/>
          <w:u w:val="single"/>
        </w:rPr>
        <w:t>浙江树人学院</w:t>
      </w:r>
      <w:r>
        <w:rPr>
          <w:rFonts w:hint="eastAsia"/>
          <w:bCs/>
          <w:color w:val="auto"/>
          <w:spacing w:val="-6"/>
          <w:sz w:val="21"/>
          <w:szCs w:val="21"/>
          <w:highlight w:val="none"/>
          <w:u w:val="single"/>
          <w:lang w:eastAsia="zh-CN"/>
        </w:rPr>
        <w:t>后勤智慧餐厅与仓储管理系统</w:t>
      </w:r>
      <w:r>
        <w:rPr>
          <w:rFonts w:hint="eastAsia"/>
          <w:color w:val="auto"/>
          <w:spacing w:val="-6"/>
          <w:sz w:val="21"/>
          <w:szCs w:val="21"/>
          <w:highlight w:val="none"/>
          <w:u w:val="single"/>
        </w:rPr>
        <w:t>（项目编号</w:t>
      </w:r>
      <w:r>
        <w:rPr>
          <w:rFonts w:hint="eastAsia"/>
          <w:bCs/>
          <w:color w:val="auto"/>
          <w:spacing w:val="-6"/>
          <w:sz w:val="21"/>
          <w:szCs w:val="21"/>
          <w:highlight w:val="none"/>
          <w:u w:val="single"/>
        </w:rPr>
        <w:t>：</w:t>
      </w:r>
      <w:r>
        <w:rPr>
          <w:rFonts w:hint="eastAsia"/>
          <w:bCs/>
          <w:color w:val="auto"/>
          <w:spacing w:val="-6"/>
          <w:sz w:val="21"/>
          <w:szCs w:val="21"/>
          <w:highlight w:val="none"/>
          <w:u w:val="single"/>
          <w:lang w:eastAsia="zh-CN"/>
        </w:rPr>
        <w:t>QSZBB250106ZHCS</w:t>
      </w:r>
      <w:r>
        <w:rPr>
          <w:rFonts w:hint="eastAsia"/>
          <w:bCs/>
          <w:color w:val="auto"/>
          <w:spacing w:val="-6"/>
          <w:sz w:val="21"/>
          <w:szCs w:val="21"/>
          <w:highlight w:val="none"/>
          <w:u w:val="single"/>
        </w:rPr>
        <w:t xml:space="preserve">      </w:t>
      </w:r>
      <w:r>
        <w:rPr>
          <w:rFonts w:hint="eastAsia"/>
          <w:color w:val="auto"/>
          <w:spacing w:val="-6"/>
          <w:sz w:val="21"/>
          <w:szCs w:val="21"/>
          <w:highlight w:val="none"/>
          <w:u w:val="single"/>
        </w:rPr>
        <w:t>）</w:t>
      </w:r>
      <w:r>
        <w:rPr>
          <w:rFonts w:hint="eastAsia"/>
          <w:color w:val="auto"/>
          <w:spacing w:val="-6"/>
          <w:sz w:val="21"/>
          <w:szCs w:val="21"/>
          <w:highlight w:val="none"/>
        </w:rPr>
        <w:t>项目，为此，我方提交电子加密响应文件一份、以介质（U盘）存储的数据电文形式的</w:t>
      </w:r>
      <w:r>
        <w:rPr>
          <w:rFonts w:hint="eastAsia"/>
          <w:color w:val="auto"/>
          <w:spacing w:val="-6"/>
          <w:sz w:val="21"/>
          <w:szCs w:val="21"/>
          <w:highlight w:val="none"/>
          <w:u w:val="single"/>
        </w:rPr>
        <w:t>备份响应文件1份（如有）</w:t>
      </w:r>
      <w:r>
        <w:rPr>
          <w:rFonts w:hint="eastAsia"/>
          <w:color w:val="auto"/>
          <w:spacing w:val="-6"/>
          <w:sz w:val="21"/>
          <w:szCs w:val="21"/>
          <w:highlight w:val="none"/>
        </w:rPr>
        <w:t>。宣布同意如下：</w:t>
      </w:r>
    </w:p>
    <w:p w14:paraId="082952E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3540025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14:paraId="1F2E78D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14:paraId="1B258AB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30366A2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5.我方同意按照贵方要求提供与磋商有关的一切数据或资料。</w:t>
      </w:r>
    </w:p>
    <w:p w14:paraId="1577DD3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6.与本磋商有关的一切正式往来信函联系：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6358"/>
      </w:tblGrid>
      <w:tr w14:paraId="34FA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4AA5F477">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联系人：</w:t>
            </w:r>
          </w:p>
        </w:tc>
        <w:tc>
          <w:tcPr>
            <w:tcW w:w="6358" w:type="dxa"/>
          </w:tcPr>
          <w:p w14:paraId="63629CAE">
            <w:pPr>
              <w:adjustRightInd w:val="0"/>
              <w:snapToGrid w:val="0"/>
              <w:spacing w:line="288" w:lineRule="auto"/>
              <w:rPr>
                <w:color w:val="auto"/>
                <w:spacing w:val="-6"/>
                <w:sz w:val="21"/>
                <w:szCs w:val="21"/>
                <w:highlight w:val="none"/>
              </w:rPr>
            </w:pPr>
          </w:p>
        </w:tc>
      </w:tr>
      <w:tr w14:paraId="4CD0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140673B5">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职务：</w:t>
            </w:r>
          </w:p>
        </w:tc>
        <w:tc>
          <w:tcPr>
            <w:tcW w:w="6358" w:type="dxa"/>
          </w:tcPr>
          <w:p w14:paraId="6D1CB63C">
            <w:pPr>
              <w:adjustRightInd w:val="0"/>
              <w:snapToGrid w:val="0"/>
              <w:spacing w:line="288" w:lineRule="auto"/>
              <w:rPr>
                <w:color w:val="auto"/>
                <w:spacing w:val="-6"/>
                <w:sz w:val="21"/>
                <w:szCs w:val="21"/>
                <w:highlight w:val="none"/>
              </w:rPr>
            </w:pPr>
          </w:p>
        </w:tc>
      </w:tr>
      <w:tr w14:paraId="790A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6E399CA5">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手机：</w:t>
            </w:r>
          </w:p>
        </w:tc>
        <w:tc>
          <w:tcPr>
            <w:tcW w:w="6358" w:type="dxa"/>
          </w:tcPr>
          <w:p w14:paraId="1B38C580">
            <w:pPr>
              <w:adjustRightInd w:val="0"/>
              <w:snapToGrid w:val="0"/>
              <w:spacing w:line="288" w:lineRule="auto"/>
              <w:rPr>
                <w:color w:val="auto"/>
                <w:spacing w:val="-6"/>
                <w:sz w:val="21"/>
                <w:szCs w:val="21"/>
                <w:highlight w:val="none"/>
              </w:rPr>
            </w:pPr>
          </w:p>
        </w:tc>
      </w:tr>
      <w:tr w14:paraId="0C6C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37FED8CF">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电子邮箱：</w:t>
            </w:r>
          </w:p>
        </w:tc>
        <w:tc>
          <w:tcPr>
            <w:tcW w:w="6358" w:type="dxa"/>
          </w:tcPr>
          <w:p w14:paraId="1D05417B">
            <w:pPr>
              <w:adjustRightInd w:val="0"/>
              <w:snapToGrid w:val="0"/>
              <w:spacing w:line="288" w:lineRule="auto"/>
              <w:rPr>
                <w:color w:val="auto"/>
                <w:spacing w:val="-6"/>
                <w:sz w:val="21"/>
                <w:szCs w:val="21"/>
                <w:highlight w:val="none"/>
              </w:rPr>
            </w:pPr>
          </w:p>
        </w:tc>
      </w:tr>
      <w:tr w14:paraId="45EC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1E014506">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地址：</w:t>
            </w:r>
          </w:p>
        </w:tc>
        <w:tc>
          <w:tcPr>
            <w:tcW w:w="6358" w:type="dxa"/>
          </w:tcPr>
          <w:p w14:paraId="42D5FD55">
            <w:pPr>
              <w:adjustRightInd w:val="0"/>
              <w:snapToGrid w:val="0"/>
              <w:spacing w:line="288" w:lineRule="auto"/>
              <w:rPr>
                <w:color w:val="auto"/>
                <w:spacing w:val="-6"/>
                <w:sz w:val="21"/>
                <w:szCs w:val="21"/>
                <w:highlight w:val="none"/>
              </w:rPr>
            </w:pPr>
          </w:p>
        </w:tc>
      </w:tr>
      <w:tr w14:paraId="4DEC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11BF691C">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开户银行：</w:t>
            </w:r>
          </w:p>
        </w:tc>
        <w:tc>
          <w:tcPr>
            <w:tcW w:w="6358" w:type="dxa"/>
          </w:tcPr>
          <w:p w14:paraId="633A052D">
            <w:pPr>
              <w:adjustRightInd w:val="0"/>
              <w:snapToGrid w:val="0"/>
              <w:spacing w:line="288" w:lineRule="auto"/>
              <w:rPr>
                <w:color w:val="auto"/>
                <w:spacing w:val="-6"/>
                <w:sz w:val="21"/>
                <w:szCs w:val="21"/>
                <w:highlight w:val="none"/>
              </w:rPr>
            </w:pPr>
          </w:p>
        </w:tc>
      </w:tr>
      <w:tr w14:paraId="02AC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981" w:type="dxa"/>
          </w:tcPr>
          <w:p w14:paraId="2F599BE3">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银行账号：</w:t>
            </w:r>
          </w:p>
        </w:tc>
        <w:tc>
          <w:tcPr>
            <w:tcW w:w="6358" w:type="dxa"/>
          </w:tcPr>
          <w:p w14:paraId="61D78270">
            <w:pPr>
              <w:adjustRightInd w:val="0"/>
              <w:snapToGrid w:val="0"/>
              <w:spacing w:line="288" w:lineRule="auto"/>
              <w:rPr>
                <w:color w:val="auto"/>
                <w:spacing w:val="-6"/>
                <w:sz w:val="21"/>
                <w:szCs w:val="21"/>
                <w:highlight w:val="none"/>
              </w:rPr>
            </w:pPr>
          </w:p>
        </w:tc>
      </w:tr>
    </w:tbl>
    <w:p w14:paraId="57E582EE">
      <w:pPr>
        <w:adjustRightInd w:val="0"/>
        <w:snapToGrid w:val="0"/>
        <w:spacing w:line="288" w:lineRule="auto"/>
        <w:rPr>
          <w:color w:val="auto"/>
          <w:sz w:val="21"/>
          <w:szCs w:val="21"/>
          <w:highlight w:val="none"/>
        </w:rPr>
      </w:pPr>
    </w:p>
    <w:p w14:paraId="2B6FD762">
      <w:pPr>
        <w:adjustRightInd w:val="0"/>
        <w:snapToGrid w:val="0"/>
        <w:spacing w:line="288" w:lineRule="auto"/>
        <w:rPr>
          <w:color w:val="auto"/>
          <w:sz w:val="21"/>
          <w:szCs w:val="21"/>
          <w:highlight w:val="none"/>
        </w:rPr>
      </w:pPr>
    </w:p>
    <w:p w14:paraId="476C2B30">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03E476B3">
      <w:pPr>
        <w:widowControl/>
        <w:adjustRightInd w:val="0"/>
        <w:snapToGrid w:val="0"/>
        <w:spacing w:line="288" w:lineRule="auto"/>
        <w:jc w:val="both"/>
        <w:rPr>
          <w:rFonts w:hint="eastAsia"/>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3FC4AE0F">
      <w:pPr>
        <w:widowControl/>
        <w:adjustRightInd w:val="0"/>
        <w:snapToGrid w:val="0"/>
        <w:spacing w:line="288" w:lineRule="auto"/>
        <w:jc w:val="center"/>
        <w:rPr>
          <w:b/>
          <w:bCs/>
          <w:color w:val="auto"/>
          <w:sz w:val="21"/>
          <w:szCs w:val="21"/>
          <w:highlight w:val="none"/>
        </w:rPr>
      </w:pPr>
      <w:r>
        <w:rPr>
          <w:rFonts w:hint="eastAsia"/>
          <w:color w:val="auto"/>
          <w:sz w:val="21"/>
          <w:szCs w:val="21"/>
          <w:highlight w:val="none"/>
        </w:rPr>
        <w:br w:type="page"/>
      </w:r>
      <w:bookmarkStart w:id="152" w:name="_Toc12753"/>
      <w:r>
        <w:rPr>
          <w:rFonts w:hint="eastAsia"/>
          <w:b/>
          <w:bCs/>
          <w:color w:val="auto"/>
          <w:sz w:val="21"/>
          <w:szCs w:val="21"/>
          <w:highlight w:val="none"/>
        </w:rPr>
        <w:t>二、授权委托书或法定代表人（单位负责人、自然人本人）身份证明</w:t>
      </w:r>
      <w:bookmarkEnd w:id="152"/>
    </w:p>
    <w:p w14:paraId="36EAF546">
      <w:pPr>
        <w:pStyle w:val="12"/>
        <w:adjustRightInd w:val="0"/>
        <w:snapToGrid w:val="0"/>
        <w:spacing w:beforeLines="0" w:afterLines="0" w:line="288" w:lineRule="auto"/>
        <w:jc w:val="center"/>
        <w:rPr>
          <w:rFonts w:hAnsi="宋体" w:cs="宋体"/>
          <w:b/>
          <w:bCs/>
          <w:color w:val="auto"/>
          <w:sz w:val="21"/>
          <w:szCs w:val="21"/>
          <w:highlight w:val="none"/>
          <w:lang w:val="zh-TW" w:eastAsia="zh-TW"/>
        </w:rPr>
      </w:pPr>
      <w:bookmarkStart w:id="153" w:name="_Toc21143"/>
      <w:bookmarkStart w:id="154" w:name="_Toc19623"/>
      <w:bookmarkStart w:id="155" w:name="_Toc3833"/>
      <w:r>
        <w:rPr>
          <w:rFonts w:hint="eastAsia" w:hAnsi="宋体" w:cs="宋体"/>
          <w:b/>
          <w:bCs/>
          <w:color w:val="auto"/>
          <w:sz w:val="21"/>
          <w:szCs w:val="21"/>
          <w:highlight w:val="none"/>
          <w:lang w:val="zh-TW" w:eastAsia="zh-TW"/>
        </w:rPr>
        <w:t>授权</w:t>
      </w:r>
      <w:r>
        <w:rPr>
          <w:rFonts w:hint="eastAsia" w:hAnsi="宋体" w:cs="宋体"/>
          <w:b/>
          <w:bCs/>
          <w:color w:val="auto"/>
          <w:sz w:val="21"/>
          <w:szCs w:val="21"/>
          <w:highlight w:val="none"/>
        </w:rPr>
        <w:t>委托</w:t>
      </w:r>
      <w:r>
        <w:rPr>
          <w:rFonts w:hint="eastAsia" w:hAnsi="宋体" w:cs="宋体"/>
          <w:b/>
          <w:bCs/>
          <w:color w:val="auto"/>
          <w:sz w:val="21"/>
          <w:szCs w:val="21"/>
          <w:highlight w:val="none"/>
          <w:lang w:val="zh-TW" w:eastAsia="zh-TW"/>
        </w:rPr>
        <w:t>书（适用于非联合体投标）</w:t>
      </w:r>
      <w:bookmarkEnd w:id="153"/>
      <w:bookmarkEnd w:id="154"/>
      <w:bookmarkEnd w:id="155"/>
    </w:p>
    <w:p w14:paraId="4F9329C2">
      <w:pPr>
        <w:pStyle w:val="12"/>
        <w:adjustRightInd w:val="0"/>
        <w:snapToGrid w:val="0"/>
        <w:spacing w:beforeLines="0" w:afterLines="0" w:line="288" w:lineRule="auto"/>
        <w:ind w:firstLine="420"/>
        <w:rPr>
          <w:rFonts w:hAnsi="宋体" w:cs="宋体"/>
          <w:color w:val="auto"/>
          <w:sz w:val="21"/>
          <w:szCs w:val="21"/>
          <w:highlight w:val="none"/>
          <w:u w:val="single"/>
        </w:rPr>
      </w:pPr>
      <w:r>
        <w:rPr>
          <w:rFonts w:hint="eastAsia" w:hAnsi="宋体" w:cs="宋体"/>
          <w:color w:val="auto"/>
          <w:sz w:val="21"/>
          <w:szCs w:val="21"/>
          <w:highlight w:val="none"/>
          <w:u w:val="single"/>
          <w:lang w:val="zh-TW" w:eastAsia="zh-TW"/>
        </w:rPr>
        <w:t>浙江树人学院：</w:t>
      </w:r>
    </w:p>
    <w:p w14:paraId="332DF5F3">
      <w:pPr>
        <w:pStyle w:val="12"/>
        <w:adjustRightInd w:val="0"/>
        <w:snapToGrid w:val="0"/>
        <w:spacing w:beforeLines="0" w:afterLines="0" w:line="288" w:lineRule="auto"/>
        <w:ind w:firstLine="420"/>
        <w:rPr>
          <w:rFonts w:hAnsi="宋体" w:cs="宋体"/>
          <w:color w:val="auto"/>
          <w:sz w:val="21"/>
          <w:szCs w:val="21"/>
          <w:highlight w:val="none"/>
          <w:u w:val="single"/>
          <w:lang w:val="zh-TW" w:eastAsia="zh-TW"/>
        </w:rPr>
      </w:pPr>
      <w:r>
        <w:rPr>
          <w:rFonts w:hint="eastAsia" w:hAnsi="宋体" w:cs="宋体"/>
          <w:color w:val="auto"/>
          <w:sz w:val="21"/>
          <w:szCs w:val="21"/>
          <w:highlight w:val="none"/>
          <w:u w:val="single"/>
          <w:lang w:val="zh-TW"/>
        </w:rPr>
        <w:t>浙江求是招标代理有限公司</w:t>
      </w:r>
      <w:r>
        <w:rPr>
          <w:rFonts w:hint="eastAsia" w:hAnsi="宋体" w:cs="宋体"/>
          <w:color w:val="auto"/>
          <w:sz w:val="21"/>
          <w:szCs w:val="21"/>
          <w:highlight w:val="none"/>
          <w:u w:val="single"/>
          <w:lang w:val="zh-TW" w:eastAsia="zh-TW"/>
        </w:rPr>
        <w:t>：</w:t>
      </w:r>
    </w:p>
    <w:p w14:paraId="6DCF220E">
      <w:pPr>
        <w:pStyle w:val="12"/>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现委托我单位在职员工</w:t>
      </w:r>
      <w:r>
        <w:rPr>
          <w:rFonts w:hint="eastAsia" w:hAnsi="宋体" w:cs="宋体"/>
          <w:color w:val="auto"/>
          <w:sz w:val="21"/>
          <w:szCs w:val="21"/>
          <w:highlight w:val="none"/>
          <w:u w:val="single"/>
        </w:rPr>
        <w:t>（授权代表姓名）</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（身份证号）   </w:t>
      </w:r>
      <w:r>
        <w:rPr>
          <w:rFonts w:hint="eastAsia" w:hAnsi="宋体" w:cs="宋体"/>
          <w:color w:val="auto"/>
          <w:sz w:val="21"/>
          <w:szCs w:val="21"/>
          <w:highlight w:val="none"/>
        </w:rPr>
        <w:t>（手机号：   ），为我单位的授权代表，以我方名义处理</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（采购人）</w:t>
      </w:r>
      <w:r>
        <w:rPr>
          <w:rFonts w:hint="eastAsia" w:hAnsi="宋体" w:cs="宋体"/>
          <w:color w:val="auto"/>
          <w:sz w:val="21"/>
          <w:szCs w:val="21"/>
          <w:highlight w:val="none"/>
          <w:u w:val="single"/>
        </w:rPr>
        <w:t xml:space="preserve">            项目  </w:t>
      </w:r>
      <w:r>
        <w:rPr>
          <w:rFonts w:hint="eastAsia" w:hAnsi="宋体" w:cs="宋体"/>
          <w:color w:val="auto"/>
          <w:sz w:val="21"/>
          <w:szCs w:val="21"/>
          <w:highlight w:val="none"/>
        </w:rPr>
        <w:t>（项目名称）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（项目编号）政府采购投标活动中的一切事宜，其法律后果由我方承担。</w:t>
      </w:r>
    </w:p>
    <w:p w14:paraId="7690BA50">
      <w:pPr>
        <w:pStyle w:val="12"/>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委托期限：自   年 月  日起至  年  月  日止。</w:t>
      </w:r>
    </w:p>
    <w:p w14:paraId="62F379FC">
      <w:pPr>
        <w:pStyle w:val="12"/>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特此告知。</w:t>
      </w:r>
    </w:p>
    <w:p w14:paraId="19A2B907">
      <w:pPr>
        <w:pStyle w:val="12"/>
        <w:adjustRightInd w:val="0"/>
        <w:snapToGrid w:val="0"/>
        <w:spacing w:beforeLines="0" w:afterLines="0" w:line="288" w:lineRule="auto"/>
        <w:ind w:firstLine="420"/>
        <w:rPr>
          <w:rFonts w:hAnsi="宋体" w:cs="宋体"/>
          <w:color w:val="auto"/>
          <w:sz w:val="21"/>
          <w:szCs w:val="21"/>
          <w:highlight w:val="none"/>
        </w:rPr>
      </w:pPr>
      <w:r>
        <w:rPr>
          <w:rFonts w:hint="eastAsia" w:hAnsi="宋体" w:cs="宋体"/>
          <w:color w:val="auto"/>
          <w:sz w:val="21"/>
          <w:szCs w:val="21"/>
          <w:highlight w:val="none"/>
          <w:lang w:val="zh-TW" w:eastAsia="zh-TW"/>
        </w:rPr>
        <w:t>供应商全称（电子签名/公章）：</w:t>
      </w:r>
    </w:p>
    <w:p w14:paraId="499A8BA7">
      <w:pPr>
        <w:pStyle w:val="12"/>
        <w:adjustRightInd w:val="0"/>
        <w:snapToGrid w:val="0"/>
        <w:spacing w:beforeLines="0" w:afterLines="0" w:line="288" w:lineRule="auto"/>
        <w:ind w:firstLine="420"/>
        <w:rPr>
          <w:rFonts w:hAnsi="宋体" w:cs="宋体"/>
          <w:color w:val="auto"/>
          <w:sz w:val="21"/>
          <w:szCs w:val="21"/>
          <w:highlight w:val="none"/>
          <w:lang w:val="zh-TW" w:eastAsia="zh-TW"/>
        </w:rPr>
      </w:pPr>
      <w:r>
        <w:rPr>
          <w:rFonts w:hint="eastAsia" w:hAnsi="宋体" w:cs="宋体"/>
          <w:color w:val="auto"/>
          <w:kern w:val="0"/>
          <w:sz w:val="21"/>
          <w:szCs w:val="21"/>
          <w:highlight w:val="none"/>
          <w:lang w:val="zh-TW" w:eastAsia="zh-TW"/>
        </w:rPr>
        <w:t>日期：</w:t>
      </w:r>
      <w:r>
        <w:rPr>
          <w:rFonts w:hint="eastAsia" w:hAnsi="宋体" w:cs="宋体"/>
          <w:color w:val="auto"/>
          <w:kern w:val="0"/>
          <w:sz w:val="21"/>
          <w:szCs w:val="21"/>
          <w:highlight w:val="none"/>
          <w:lang w:val="zh-TW" w:eastAsia="zh-CN"/>
        </w:rPr>
        <w:t>2025年</w:t>
      </w:r>
      <w:r>
        <w:rPr>
          <w:rFonts w:hint="eastAsia" w:hAnsi="宋体" w:cs="宋体"/>
          <w:color w:val="auto"/>
          <w:kern w:val="0"/>
          <w:sz w:val="21"/>
          <w:szCs w:val="21"/>
          <w:highlight w:val="none"/>
          <w:lang w:val="zh-TW" w:eastAsia="zh-TW"/>
        </w:rPr>
        <w:t xml:space="preserve">  月  日</w:t>
      </w:r>
    </w:p>
    <w:p w14:paraId="74B626F5">
      <w:pPr>
        <w:spacing w:line="288" w:lineRule="auto"/>
        <w:rPr>
          <w:b/>
          <w:i/>
          <w:color w:val="auto"/>
          <w:kern w:val="0"/>
          <w:sz w:val="21"/>
          <w:szCs w:val="21"/>
          <w:highlight w:val="none"/>
        </w:rPr>
      </w:pPr>
    </w:p>
    <w:p w14:paraId="73790455">
      <w:pPr>
        <w:spacing w:line="288" w:lineRule="auto"/>
        <w:rPr>
          <w:b/>
          <w:i/>
          <w:color w:val="auto"/>
          <w:kern w:val="0"/>
          <w:sz w:val="21"/>
          <w:szCs w:val="21"/>
          <w:highlight w:val="none"/>
        </w:rPr>
      </w:pPr>
    </w:p>
    <w:p w14:paraId="1E1537DA">
      <w:pPr>
        <w:spacing w:line="288" w:lineRule="auto"/>
        <w:rPr>
          <w:b/>
          <w:i/>
          <w:color w:val="auto"/>
          <w:kern w:val="0"/>
          <w:sz w:val="21"/>
          <w:szCs w:val="21"/>
          <w:highlight w:val="none"/>
        </w:rPr>
      </w:pPr>
    </w:p>
    <w:p w14:paraId="0F2CD470">
      <w:pPr>
        <w:spacing w:line="288" w:lineRule="auto"/>
        <w:rPr>
          <w:b/>
          <w:iCs/>
          <w:color w:val="auto"/>
          <w:kern w:val="0"/>
          <w:sz w:val="21"/>
          <w:szCs w:val="21"/>
          <w:highlight w:val="none"/>
        </w:rPr>
      </w:pPr>
      <w:r>
        <w:rPr>
          <w:rFonts w:hint="eastAsia"/>
          <w:b/>
          <w:iCs/>
          <w:color w:val="auto"/>
          <w:kern w:val="0"/>
          <w:sz w:val="21"/>
          <w:szCs w:val="21"/>
          <w:highlight w:val="none"/>
        </w:rPr>
        <w:t>后附证明材料（证明材料不齐全的，视为无效授权）：</w:t>
      </w:r>
    </w:p>
    <w:p w14:paraId="05B92F5D">
      <w:pPr>
        <w:spacing w:line="288" w:lineRule="auto"/>
        <w:ind w:firstLine="420" w:firstLineChars="200"/>
        <w:rPr>
          <w:iCs/>
          <w:color w:val="auto"/>
          <w:kern w:val="0"/>
          <w:sz w:val="21"/>
          <w:szCs w:val="21"/>
          <w:highlight w:val="none"/>
        </w:rPr>
      </w:pPr>
      <w:r>
        <w:rPr>
          <w:rFonts w:hint="eastAsia"/>
          <w:iCs/>
          <w:color w:val="auto"/>
          <w:kern w:val="0"/>
          <w:sz w:val="21"/>
          <w:szCs w:val="21"/>
          <w:highlight w:val="none"/>
        </w:rPr>
        <w:t>1、被授权人（授权代表）身份证复制件（正反面均须提供）；</w:t>
      </w:r>
    </w:p>
    <w:p w14:paraId="69AADEE7">
      <w:pPr>
        <w:spacing w:line="288" w:lineRule="auto"/>
        <w:ind w:firstLine="420" w:firstLineChars="200"/>
        <w:rPr>
          <w:rFonts w:hint="eastAsia"/>
          <w:iCs/>
          <w:color w:val="auto"/>
          <w:kern w:val="0"/>
          <w:sz w:val="21"/>
          <w:szCs w:val="21"/>
          <w:highlight w:val="none"/>
        </w:rPr>
      </w:pPr>
      <w:r>
        <w:rPr>
          <w:rFonts w:hint="eastAsia"/>
          <w:iCs/>
          <w:color w:val="auto"/>
          <w:kern w:val="0"/>
          <w:sz w:val="21"/>
          <w:szCs w:val="21"/>
          <w:highlight w:val="none"/>
        </w:rPr>
        <w:t>2、被授权人（授权代表）</w:t>
      </w:r>
      <w:r>
        <w:rPr>
          <w:rFonts w:hint="eastAsia"/>
          <w:iCs/>
          <w:color w:val="auto"/>
          <w:kern w:val="0"/>
          <w:sz w:val="21"/>
          <w:szCs w:val="21"/>
          <w:highlight w:val="none"/>
          <w:lang w:eastAsia="zh-CN"/>
        </w:rPr>
        <w:t>2024年7月1日</w:t>
      </w:r>
      <w:r>
        <w:rPr>
          <w:rFonts w:hint="eastAsia"/>
          <w:iCs/>
          <w:color w:val="auto"/>
          <w:kern w:val="0"/>
          <w:sz w:val="21"/>
          <w:szCs w:val="21"/>
          <w:highlight w:val="none"/>
        </w:rPr>
        <w:t>至今任意一个月的个人社保缴纳证明。</w:t>
      </w:r>
    </w:p>
    <w:p w14:paraId="3B26D93B">
      <w:pPr>
        <w:pStyle w:val="12"/>
        <w:rPr>
          <w:color w:val="auto"/>
          <w:highlight w:val="none"/>
        </w:rPr>
      </w:pPr>
    </w:p>
    <w:p w14:paraId="32AA9F99">
      <w:pPr>
        <w:pStyle w:val="12"/>
        <w:snapToGrid w:val="0"/>
        <w:spacing w:beforeLines="0" w:afterLines="0" w:line="288" w:lineRule="auto"/>
        <w:ind w:firstLine="480"/>
        <w:rPr>
          <w:rFonts w:hAnsi="宋体" w:cs="宋体"/>
          <w:iCs/>
          <w:color w:val="auto"/>
          <w:sz w:val="21"/>
          <w:szCs w:val="21"/>
          <w:highlight w:val="none"/>
        </w:rPr>
        <w:sectPr>
          <w:pgSz w:w="11900" w:h="16840"/>
          <w:pgMar w:top="1247" w:right="1247" w:bottom="1247" w:left="1247" w:header="0" w:footer="692" w:gutter="0"/>
          <w:pgBorders>
            <w:top w:val="none" w:sz="0" w:space="0"/>
            <w:left w:val="none" w:sz="0" w:space="0"/>
            <w:bottom w:val="none" w:sz="0" w:space="0"/>
            <w:right w:val="none" w:sz="0" w:space="0"/>
          </w:pgBorders>
          <w:cols w:space="720" w:num="1"/>
          <w:titlePg/>
          <w:docGrid w:linePitch="326" w:charSpace="0"/>
        </w:sectPr>
      </w:pPr>
    </w:p>
    <w:p w14:paraId="041958D5">
      <w:pPr>
        <w:pStyle w:val="12"/>
        <w:adjustRightInd w:val="0"/>
        <w:snapToGrid w:val="0"/>
        <w:spacing w:beforeLines="0" w:afterLines="0" w:line="288" w:lineRule="auto"/>
        <w:jc w:val="center"/>
        <w:rPr>
          <w:rFonts w:hAnsi="宋体" w:cs="宋体"/>
          <w:b/>
          <w:bCs/>
          <w:color w:val="auto"/>
          <w:sz w:val="21"/>
          <w:szCs w:val="21"/>
          <w:highlight w:val="none"/>
          <w:lang w:val="zh-TW" w:eastAsia="zh-TW"/>
        </w:rPr>
      </w:pPr>
      <w:bookmarkStart w:id="156" w:name="_Toc12514"/>
      <w:bookmarkStart w:id="157" w:name="_Toc7459"/>
      <w:bookmarkStart w:id="158" w:name="_Toc3197"/>
      <w:r>
        <w:rPr>
          <w:rFonts w:hint="eastAsia" w:hAnsi="宋体" w:cs="宋体"/>
          <w:b/>
          <w:bCs/>
          <w:color w:val="auto"/>
          <w:sz w:val="21"/>
          <w:szCs w:val="21"/>
          <w:highlight w:val="none"/>
          <w:lang w:val="zh-TW" w:eastAsia="zh-TW"/>
        </w:rPr>
        <w:t>授权</w:t>
      </w:r>
      <w:r>
        <w:rPr>
          <w:rFonts w:hint="eastAsia" w:hAnsi="宋体" w:cs="宋体"/>
          <w:b/>
          <w:bCs/>
          <w:color w:val="auto"/>
          <w:sz w:val="21"/>
          <w:szCs w:val="21"/>
          <w:highlight w:val="none"/>
        </w:rPr>
        <w:t>委托</w:t>
      </w:r>
      <w:r>
        <w:rPr>
          <w:rFonts w:hint="eastAsia" w:hAnsi="宋体" w:cs="宋体"/>
          <w:b/>
          <w:bCs/>
          <w:color w:val="auto"/>
          <w:sz w:val="21"/>
          <w:szCs w:val="21"/>
          <w:highlight w:val="none"/>
          <w:lang w:val="zh-TW" w:eastAsia="zh-TW"/>
        </w:rPr>
        <w:t>书（适用于联合体投标）</w:t>
      </w:r>
      <w:bookmarkEnd w:id="156"/>
      <w:bookmarkEnd w:id="157"/>
      <w:bookmarkEnd w:id="158"/>
    </w:p>
    <w:p w14:paraId="2F0205E2">
      <w:pPr>
        <w:pStyle w:val="12"/>
        <w:adjustRightInd w:val="0"/>
        <w:snapToGrid w:val="0"/>
        <w:spacing w:beforeLines="0" w:afterLines="0" w:line="288" w:lineRule="auto"/>
        <w:ind w:firstLine="420"/>
        <w:rPr>
          <w:rFonts w:hAnsi="宋体" w:cs="宋体"/>
          <w:color w:val="auto"/>
          <w:sz w:val="21"/>
          <w:szCs w:val="21"/>
          <w:highlight w:val="none"/>
          <w:u w:val="single"/>
        </w:rPr>
      </w:pPr>
      <w:r>
        <w:rPr>
          <w:rFonts w:hint="eastAsia" w:hAnsi="宋体" w:cs="宋体"/>
          <w:color w:val="auto"/>
          <w:sz w:val="21"/>
          <w:szCs w:val="21"/>
          <w:highlight w:val="none"/>
          <w:u w:val="single"/>
          <w:lang w:val="zh-TW" w:eastAsia="zh-TW"/>
        </w:rPr>
        <w:t>浙江树人学院：</w:t>
      </w:r>
    </w:p>
    <w:p w14:paraId="62030D06">
      <w:pPr>
        <w:pStyle w:val="12"/>
        <w:adjustRightInd w:val="0"/>
        <w:snapToGrid w:val="0"/>
        <w:spacing w:beforeLines="0" w:afterLines="0" w:line="288" w:lineRule="auto"/>
        <w:ind w:firstLine="420"/>
        <w:rPr>
          <w:rFonts w:hAnsi="宋体" w:cs="宋体"/>
          <w:color w:val="auto"/>
          <w:sz w:val="21"/>
          <w:szCs w:val="21"/>
          <w:highlight w:val="none"/>
          <w:u w:val="single"/>
          <w:lang w:val="zh-TW" w:eastAsia="zh-TW"/>
        </w:rPr>
      </w:pPr>
      <w:r>
        <w:rPr>
          <w:rFonts w:hint="eastAsia" w:hAnsi="宋体" w:cs="宋体"/>
          <w:color w:val="auto"/>
          <w:sz w:val="21"/>
          <w:szCs w:val="21"/>
          <w:highlight w:val="none"/>
          <w:u w:val="single"/>
          <w:lang w:val="zh-TW"/>
        </w:rPr>
        <w:t>浙江求是招标代理有限公司</w:t>
      </w:r>
      <w:r>
        <w:rPr>
          <w:rFonts w:hint="eastAsia" w:hAnsi="宋体" w:cs="宋体"/>
          <w:color w:val="auto"/>
          <w:sz w:val="21"/>
          <w:szCs w:val="21"/>
          <w:highlight w:val="none"/>
          <w:u w:val="single"/>
          <w:lang w:val="zh-TW" w:eastAsia="zh-TW"/>
        </w:rPr>
        <w:t>：</w:t>
      </w:r>
    </w:p>
    <w:p w14:paraId="2659F146">
      <w:pPr>
        <w:pStyle w:val="12"/>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现委托我单位在职员工</w:t>
      </w:r>
      <w:r>
        <w:rPr>
          <w:rFonts w:hint="eastAsia" w:hAnsi="宋体" w:cs="宋体"/>
          <w:color w:val="auto"/>
          <w:sz w:val="21"/>
          <w:szCs w:val="21"/>
          <w:highlight w:val="none"/>
          <w:u w:val="single"/>
        </w:rPr>
        <w:t>（授权代表姓名）</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（身份证号）   </w:t>
      </w:r>
      <w:r>
        <w:rPr>
          <w:rFonts w:hint="eastAsia" w:hAnsi="宋体" w:cs="宋体"/>
          <w:color w:val="auto"/>
          <w:sz w:val="21"/>
          <w:szCs w:val="21"/>
          <w:highlight w:val="none"/>
        </w:rPr>
        <w:t>（手机号：   ），为我单位的授权代表，以我方名义处理</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（采购人）</w:t>
      </w:r>
      <w:r>
        <w:rPr>
          <w:rFonts w:hint="eastAsia" w:hAnsi="宋体" w:cs="宋体"/>
          <w:color w:val="auto"/>
          <w:sz w:val="21"/>
          <w:szCs w:val="21"/>
          <w:highlight w:val="none"/>
          <w:u w:val="single"/>
        </w:rPr>
        <w:t xml:space="preserve">              项目  </w:t>
      </w:r>
      <w:r>
        <w:rPr>
          <w:rFonts w:hint="eastAsia" w:hAnsi="宋体" w:cs="宋体"/>
          <w:color w:val="auto"/>
          <w:sz w:val="21"/>
          <w:szCs w:val="21"/>
          <w:highlight w:val="none"/>
        </w:rPr>
        <w:t>（项目名称）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（项目编号）政府采购投标活动中的一切事宜，其法律后果由我方承担。</w:t>
      </w:r>
    </w:p>
    <w:p w14:paraId="05A020F1">
      <w:pPr>
        <w:pStyle w:val="12"/>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委托期限：自   年 月  日起至  年  月  日止。</w:t>
      </w:r>
    </w:p>
    <w:p w14:paraId="79A25F70">
      <w:pPr>
        <w:pStyle w:val="12"/>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特此告知。</w:t>
      </w:r>
    </w:p>
    <w:p w14:paraId="3DDAFD50">
      <w:pPr>
        <w:pStyle w:val="12"/>
        <w:adjustRightInd w:val="0"/>
        <w:snapToGrid w:val="0"/>
        <w:spacing w:beforeLines="0" w:afterLines="0" w:line="288" w:lineRule="auto"/>
        <w:ind w:firstLine="420"/>
        <w:rPr>
          <w:rFonts w:hAnsi="宋体" w:cs="宋体"/>
          <w:color w:val="auto"/>
          <w:kern w:val="0"/>
          <w:sz w:val="21"/>
          <w:szCs w:val="21"/>
          <w:highlight w:val="none"/>
          <w:lang w:val="zh-TW" w:eastAsia="zh-TW"/>
        </w:rPr>
      </w:pPr>
      <w:r>
        <w:rPr>
          <w:rFonts w:hint="eastAsia" w:hAnsi="宋体" w:cs="宋体"/>
          <w:color w:val="auto"/>
          <w:kern w:val="0"/>
          <w:sz w:val="21"/>
          <w:szCs w:val="21"/>
          <w:highlight w:val="none"/>
          <w:lang w:val="zh-TW" w:eastAsia="zh-TW"/>
        </w:rPr>
        <w:t>联合体成员名称(电子签名/公章)：</w:t>
      </w:r>
    </w:p>
    <w:p w14:paraId="358291BB">
      <w:pPr>
        <w:pStyle w:val="12"/>
        <w:adjustRightInd w:val="0"/>
        <w:snapToGrid w:val="0"/>
        <w:spacing w:beforeLines="0" w:afterLines="0" w:line="288" w:lineRule="auto"/>
        <w:ind w:firstLine="420"/>
        <w:rPr>
          <w:rFonts w:hAnsi="宋体" w:cs="宋体"/>
          <w:color w:val="auto"/>
          <w:kern w:val="0"/>
          <w:sz w:val="21"/>
          <w:szCs w:val="21"/>
          <w:highlight w:val="none"/>
          <w:lang w:val="zh-TW" w:eastAsia="zh-TW"/>
        </w:rPr>
      </w:pPr>
      <w:r>
        <w:rPr>
          <w:rFonts w:hint="eastAsia" w:hAnsi="宋体" w:cs="宋体"/>
          <w:color w:val="auto"/>
          <w:kern w:val="0"/>
          <w:sz w:val="21"/>
          <w:szCs w:val="21"/>
          <w:highlight w:val="none"/>
          <w:lang w:val="zh-TW" w:eastAsia="zh-TW"/>
        </w:rPr>
        <w:t>联合体成员名称(电子签名/公章)：</w:t>
      </w:r>
    </w:p>
    <w:p w14:paraId="2573A0EB">
      <w:pPr>
        <w:pStyle w:val="12"/>
        <w:adjustRightInd w:val="0"/>
        <w:snapToGrid w:val="0"/>
        <w:spacing w:beforeLines="0" w:afterLines="0" w:line="288" w:lineRule="auto"/>
        <w:ind w:firstLine="420"/>
        <w:rPr>
          <w:rFonts w:hAnsi="宋体" w:cs="宋体"/>
          <w:color w:val="auto"/>
          <w:kern w:val="0"/>
          <w:sz w:val="21"/>
          <w:szCs w:val="21"/>
          <w:highlight w:val="none"/>
          <w:lang w:val="zh-TW" w:eastAsia="zh-TW"/>
        </w:rPr>
      </w:pPr>
      <w:r>
        <w:rPr>
          <w:rFonts w:hint="eastAsia" w:hAnsi="宋体" w:cs="宋体"/>
          <w:color w:val="auto"/>
          <w:kern w:val="0"/>
          <w:sz w:val="21"/>
          <w:szCs w:val="21"/>
          <w:highlight w:val="none"/>
          <w:lang w:val="zh-TW" w:eastAsia="zh-TW"/>
        </w:rPr>
        <w:t>……</w:t>
      </w:r>
    </w:p>
    <w:p w14:paraId="6EE23C20">
      <w:pPr>
        <w:pStyle w:val="12"/>
        <w:adjustRightInd w:val="0"/>
        <w:snapToGrid w:val="0"/>
        <w:spacing w:beforeLines="0" w:afterLines="0" w:line="288" w:lineRule="auto"/>
        <w:ind w:firstLine="420"/>
        <w:rPr>
          <w:rFonts w:hAnsi="宋体" w:cs="宋体"/>
          <w:color w:val="auto"/>
          <w:sz w:val="21"/>
          <w:szCs w:val="21"/>
          <w:highlight w:val="none"/>
          <w:lang w:val="zh-TW" w:eastAsia="zh-TW"/>
        </w:rPr>
      </w:pPr>
      <w:r>
        <w:rPr>
          <w:rFonts w:hint="eastAsia" w:hAnsi="宋体" w:cs="宋体"/>
          <w:color w:val="auto"/>
          <w:kern w:val="0"/>
          <w:sz w:val="21"/>
          <w:szCs w:val="21"/>
          <w:highlight w:val="none"/>
          <w:lang w:val="zh-TW" w:eastAsia="zh-TW"/>
        </w:rPr>
        <w:t>日期：</w:t>
      </w:r>
      <w:r>
        <w:rPr>
          <w:rFonts w:hint="eastAsia" w:hAnsi="宋体" w:cs="宋体"/>
          <w:color w:val="auto"/>
          <w:kern w:val="0"/>
          <w:sz w:val="21"/>
          <w:szCs w:val="21"/>
          <w:highlight w:val="none"/>
          <w:lang w:val="zh-TW" w:eastAsia="zh-CN"/>
        </w:rPr>
        <w:t>2025年</w:t>
      </w:r>
      <w:r>
        <w:rPr>
          <w:rFonts w:hint="eastAsia" w:hAnsi="宋体" w:cs="宋体"/>
          <w:color w:val="auto"/>
          <w:kern w:val="0"/>
          <w:sz w:val="21"/>
          <w:szCs w:val="21"/>
          <w:highlight w:val="none"/>
          <w:lang w:val="zh-TW" w:eastAsia="zh-TW"/>
        </w:rPr>
        <w:t xml:space="preserve">  月  日</w:t>
      </w:r>
    </w:p>
    <w:p w14:paraId="15BF4ABF">
      <w:pPr>
        <w:pStyle w:val="12"/>
        <w:snapToGrid w:val="0"/>
        <w:spacing w:beforeLines="0" w:afterLines="0" w:line="288" w:lineRule="auto"/>
        <w:ind w:firstLine="480"/>
        <w:rPr>
          <w:rFonts w:hAnsi="宋体" w:cs="宋体"/>
          <w:color w:val="auto"/>
          <w:sz w:val="21"/>
          <w:szCs w:val="21"/>
          <w:highlight w:val="none"/>
        </w:rPr>
      </w:pPr>
    </w:p>
    <w:p w14:paraId="44805138">
      <w:pPr>
        <w:spacing w:line="288" w:lineRule="auto"/>
        <w:rPr>
          <w:color w:val="auto"/>
          <w:sz w:val="21"/>
          <w:szCs w:val="21"/>
          <w:highlight w:val="none"/>
        </w:rPr>
      </w:pPr>
    </w:p>
    <w:p w14:paraId="5F1DCD18">
      <w:pPr>
        <w:spacing w:line="288" w:lineRule="auto"/>
        <w:rPr>
          <w:color w:val="auto"/>
          <w:sz w:val="21"/>
          <w:szCs w:val="21"/>
          <w:highlight w:val="none"/>
        </w:rPr>
      </w:pPr>
    </w:p>
    <w:p w14:paraId="519D4200">
      <w:pPr>
        <w:spacing w:line="288" w:lineRule="auto"/>
        <w:rPr>
          <w:color w:val="auto"/>
          <w:sz w:val="21"/>
          <w:szCs w:val="21"/>
          <w:highlight w:val="none"/>
        </w:rPr>
      </w:pPr>
    </w:p>
    <w:p w14:paraId="7051A10C">
      <w:pPr>
        <w:spacing w:line="288" w:lineRule="auto"/>
        <w:rPr>
          <w:b/>
          <w:color w:val="auto"/>
          <w:sz w:val="21"/>
          <w:szCs w:val="21"/>
          <w:highlight w:val="none"/>
        </w:rPr>
      </w:pPr>
      <w:r>
        <w:rPr>
          <w:rFonts w:hint="eastAsia"/>
          <w:b/>
          <w:color w:val="auto"/>
          <w:sz w:val="21"/>
          <w:szCs w:val="21"/>
          <w:highlight w:val="none"/>
        </w:rPr>
        <w:t>『编制说明』：</w:t>
      </w:r>
    </w:p>
    <w:p w14:paraId="57778420">
      <w:pPr>
        <w:spacing w:line="288" w:lineRule="auto"/>
        <w:ind w:firstLine="371" w:firstLineChars="176"/>
        <w:rPr>
          <w:b/>
          <w:color w:val="auto"/>
          <w:sz w:val="21"/>
          <w:szCs w:val="21"/>
          <w:highlight w:val="none"/>
        </w:rPr>
      </w:pPr>
      <w:r>
        <w:rPr>
          <w:rFonts w:hint="eastAsia"/>
          <w:b/>
          <w:color w:val="auto"/>
          <w:sz w:val="21"/>
          <w:szCs w:val="21"/>
          <w:highlight w:val="none"/>
        </w:rPr>
        <w:t>1.《授权委托书》适用于法定代表人（单位负责人、自然人本人）以外的人员代表供应商参加投标；</w:t>
      </w:r>
    </w:p>
    <w:p w14:paraId="4AF36B9C">
      <w:pPr>
        <w:spacing w:line="288" w:lineRule="auto"/>
        <w:ind w:firstLine="371" w:firstLineChars="176"/>
        <w:rPr>
          <w:b/>
          <w:color w:val="auto"/>
          <w:sz w:val="21"/>
          <w:szCs w:val="21"/>
          <w:highlight w:val="none"/>
        </w:rPr>
      </w:pPr>
      <w:r>
        <w:rPr>
          <w:rFonts w:hint="eastAsia"/>
          <w:b/>
          <w:color w:val="auto"/>
          <w:sz w:val="21"/>
          <w:szCs w:val="21"/>
          <w:highlight w:val="none"/>
        </w:rPr>
        <w:t>2.供应商为联合体的，联合体各方均需加盖公章或电子签名。</w:t>
      </w:r>
    </w:p>
    <w:p w14:paraId="75527869">
      <w:pPr>
        <w:pStyle w:val="7"/>
        <w:spacing w:line="288" w:lineRule="auto"/>
        <w:ind w:firstLine="0"/>
        <w:rPr>
          <w:rFonts w:hAnsi="宋体" w:cs="宋体"/>
          <w:color w:val="auto"/>
          <w:sz w:val="21"/>
          <w:szCs w:val="21"/>
          <w:highlight w:val="none"/>
        </w:rPr>
      </w:pPr>
    </w:p>
    <w:p w14:paraId="33C2510B">
      <w:pPr>
        <w:pStyle w:val="3"/>
        <w:spacing w:line="288" w:lineRule="auto"/>
        <w:rPr>
          <w:rFonts w:ascii="宋体" w:hAnsi="宋体" w:eastAsia="宋体" w:cs="宋体"/>
          <w:color w:val="auto"/>
          <w:highlight w:val="none"/>
        </w:rPr>
        <w:sectPr>
          <w:footerReference r:id="rId11" w:type="first"/>
          <w:footerReference r:id="rId10" w:type="default"/>
          <w:pgSz w:w="11900" w:h="16840"/>
          <w:pgMar w:top="1247" w:right="1247" w:bottom="1417" w:left="1247" w:header="0" w:footer="692" w:gutter="0"/>
          <w:pgBorders>
            <w:top w:val="none" w:sz="0" w:space="0"/>
            <w:left w:val="none" w:sz="0" w:space="0"/>
            <w:bottom w:val="none" w:sz="0" w:space="0"/>
            <w:right w:val="none" w:sz="0" w:space="0"/>
          </w:pgBorders>
          <w:cols w:space="720" w:num="1"/>
          <w:titlePg/>
          <w:docGrid w:linePitch="326" w:charSpace="0"/>
        </w:sectPr>
      </w:pPr>
    </w:p>
    <w:p w14:paraId="09133A36">
      <w:pPr>
        <w:adjustRightInd w:val="0"/>
        <w:snapToGrid w:val="0"/>
        <w:spacing w:line="288" w:lineRule="auto"/>
        <w:ind w:firstLine="420" w:firstLineChars="200"/>
        <w:rPr>
          <w:color w:val="auto"/>
          <w:sz w:val="21"/>
          <w:szCs w:val="21"/>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075B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6" w:hRule="atLeast"/>
        </w:trPr>
        <w:tc>
          <w:tcPr>
            <w:tcW w:w="9320" w:type="dxa"/>
          </w:tcPr>
          <w:p w14:paraId="4AB486C1">
            <w:pPr>
              <w:adjustRightInd w:val="0"/>
              <w:snapToGrid w:val="0"/>
              <w:spacing w:line="288" w:lineRule="auto"/>
              <w:rPr>
                <w:color w:val="auto"/>
                <w:sz w:val="21"/>
                <w:szCs w:val="21"/>
                <w:highlight w:val="none"/>
              </w:rPr>
            </w:pPr>
            <w:r>
              <w:rPr>
                <w:rFonts w:hint="eastAsia"/>
                <w:color w:val="auto"/>
                <w:sz w:val="21"/>
                <w:szCs w:val="21"/>
                <w:highlight w:val="none"/>
              </w:rPr>
              <w:t>法定代表人身份证明：</w:t>
            </w:r>
          </w:p>
          <w:p w14:paraId="09D4C6F2">
            <w:pPr>
              <w:adjustRightInd w:val="0"/>
              <w:snapToGrid w:val="0"/>
              <w:spacing w:line="288" w:lineRule="auto"/>
              <w:rPr>
                <w:color w:val="auto"/>
                <w:sz w:val="21"/>
                <w:szCs w:val="21"/>
                <w:highlight w:val="none"/>
              </w:rPr>
            </w:pPr>
          </w:p>
          <w:p w14:paraId="2C21E1D8">
            <w:pPr>
              <w:adjustRightInd w:val="0"/>
              <w:snapToGrid w:val="0"/>
              <w:spacing w:line="288" w:lineRule="auto"/>
              <w:rPr>
                <w:color w:val="auto"/>
                <w:sz w:val="21"/>
                <w:szCs w:val="21"/>
                <w:highlight w:val="none"/>
              </w:rPr>
            </w:pPr>
          </w:p>
          <w:p w14:paraId="539D3EA3">
            <w:pPr>
              <w:adjustRightInd w:val="0"/>
              <w:snapToGrid w:val="0"/>
              <w:spacing w:line="288" w:lineRule="auto"/>
              <w:rPr>
                <w:color w:val="auto"/>
                <w:sz w:val="21"/>
                <w:szCs w:val="21"/>
                <w:highlight w:val="none"/>
              </w:rPr>
            </w:pPr>
          </w:p>
          <w:p w14:paraId="3ED740FB">
            <w:pPr>
              <w:adjustRightInd w:val="0"/>
              <w:snapToGrid w:val="0"/>
              <w:spacing w:line="288" w:lineRule="auto"/>
              <w:rPr>
                <w:color w:val="auto"/>
                <w:sz w:val="21"/>
                <w:szCs w:val="21"/>
                <w:highlight w:val="none"/>
              </w:rPr>
            </w:pPr>
          </w:p>
          <w:p w14:paraId="2C67D2D9">
            <w:pPr>
              <w:adjustRightInd w:val="0"/>
              <w:snapToGrid w:val="0"/>
              <w:spacing w:line="288" w:lineRule="auto"/>
              <w:rPr>
                <w:color w:val="auto"/>
                <w:sz w:val="21"/>
                <w:szCs w:val="21"/>
                <w:highlight w:val="none"/>
              </w:rPr>
            </w:pPr>
          </w:p>
          <w:p w14:paraId="7AFFF97A">
            <w:pPr>
              <w:adjustRightInd w:val="0"/>
              <w:snapToGrid w:val="0"/>
              <w:spacing w:line="288" w:lineRule="auto"/>
              <w:rPr>
                <w:color w:val="auto"/>
                <w:sz w:val="21"/>
                <w:szCs w:val="21"/>
                <w:highlight w:val="none"/>
              </w:rPr>
            </w:pPr>
            <w:r>
              <w:rPr>
                <w:rFonts w:hint="eastAsia"/>
                <w:color w:val="auto"/>
                <w:sz w:val="21"/>
                <w:szCs w:val="21"/>
                <w:highlight w:val="none"/>
              </w:rPr>
              <w:t>授权代表身份证明：</w:t>
            </w:r>
          </w:p>
          <w:p w14:paraId="05E60649">
            <w:pPr>
              <w:adjustRightInd w:val="0"/>
              <w:snapToGrid w:val="0"/>
              <w:spacing w:line="288" w:lineRule="auto"/>
              <w:rPr>
                <w:color w:val="auto"/>
                <w:sz w:val="21"/>
                <w:szCs w:val="21"/>
                <w:highlight w:val="none"/>
              </w:rPr>
            </w:pPr>
          </w:p>
          <w:p w14:paraId="29756081">
            <w:pPr>
              <w:adjustRightInd w:val="0"/>
              <w:snapToGrid w:val="0"/>
              <w:spacing w:line="288" w:lineRule="auto"/>
              <w:rPr>
                <w:color w:val="auto"/>
                <w:sz w:val="21"/>
                <w:szCs w:val="21"/>
                <w:highlight w:val="none"/>
              </w:rPr>
            </w:pPr>
          </w:p>
          <w:p w14:paraId="0C71B265">
            <w:pPr>
              <w:adjustRightInd w:val="0"/>
              <w:snapToGrid w:val="0"/>
              <w:spacing w:line="288" w:lineRule="auto"/>
              <w:rPr>
                <w:color w:val="auto"/>
                <w:sz w:val="21"/>
                <w:szCs w:val="21"/>
                <w:highlight w:val="none"/>
              </w:rPr>
            </w:pPr>
          </w:p>
          <w:p w14:paraId="1ACEA43D">
            <w:pPr>
              <w:adjustRightInd w:val="0"/>
              <w:snapToGrid w:val="0"/>
              <w:spacing w:line="288" w:lineRule="auto"/>
              <w:rPr>
                <w:color w:val="auto"/>
                <w:sz w:val="21"/>
                <w:szCs w:val="21"/>
                <w:highlight w:val="none"/>
              </w:rPr>
            </w:pPr>
          </w:p>
        </w:tc>
      </w:tr>
    </w:tbl>
    <w:p w14:paraId="078CABD1">
      <w:pPr>
        <w:adjustRightInd w:val="0"/>
        <w:snapToGrid w:val="0"/>
        <w:spacing w:line="288" w:lineRule="auto"/>
        <w:rPr>
          <w:color w:val="auto"/>
          <w:sz w:val="21"/>
          <w:szCs w:val="21"/>
          <w:highlight w:val="none"/>
        </w:rPr>
      </w:pPr>
    </w:p>
    <w:p w14:paraId="4F7A533E">
      <w:pPr>
        <w:adjustRightInd w:val="0"/>
        <w:snapToGrid w:val="0"/>
        <w:spacing w:line="288" w:lineRule="auto"/>
        <w:rPr>
          <w:b/>
          <w:bCs/>
          <w:color w:val="auto"/>
          <w:sz w:val="21"/>
          <w:szCs w:val="21"/>
          <w:highlight w:val="none"/>
        </w:rPr>
      </w:pPr>
      <w:r>
        <w:rPr>
          <w:rFonts w:hint="eastAsia"/>
          <w:color w:val="auto"/>
          <w:sz w:val="21"/>
          <w:szCs w:val="21"/>
          <w:highlight w:val="none"/>
        </w:rPr>
        <w:br w:type="page"/>
      </w:r>
    </w:p>
    <w:p w14:paraId="0F181A74">
      <w:pPr>
        <w:autoSpaceDE w:val="0"/>
        <w:autoSpaceDN w:val="0"/>
        <w:spacing w:line="288" w:lineRule="auto"/>
        <w:jc w:val="center"/>
        <w:rPr>
          <w:b/>
          <w:color w:val="auto"/>
          <w:sz w:val="21"/>
          <w:szCs w:val="21"/>
          <w:highlight w:val="none"/>
        </w:rPr>
      </w:pPr>
      <w:r>
        <w:rPr>
          <w:rFonts w:hint="eastAsia"/>
          <w:b/>
          <w:color w:val="auto"/>
          <w:sz w:val="21"/>
          <w:szCs w:val="21"/>
          <w:highlight w:val="none"/>
          <w:lang w:val="zh-CN"/>
        </w:rPr>
        <w:t>法定代表人、单位负责人或自然人本人</w:t>
      </w:r>
      <w:r>
        <w:rPr>
          <w:rFonts w:hint="eastAsia"/>
          <w:b/>
          <w:color w:val="auto"/>
          <w:sz w:val="21"/>
          <w:szCs w:val="21"/>
          <w:highlight w:val="none"/>
        </w:rPr>
        <w:t>的身份证明（适用于法定代表人、单位负责人或者自然人本人代表供应商参加投标）</w:t>
      </w:r>
    </w:p>
    <w:p w14:paraId="71BBD7DB">
      <w:pPr>
        <w:pStyle w:val="60"/>
        <w:spacing w:line="288" w:lineRule="auto"/>
        <w:rPr>
          <w:rFonts w:hAnsi="宋体" w:cs="宋体"/>
          <w:bCs/>
          <w:color w:val="auto"/>
          <w:highlight w:val="none"/>
        </w:rPr>
      </w:pPr>
      <w:r>
        <w:rPr>
          <w:rFonts w:hint="eastAsia" w:hAnsi="宋体" w:cs="宋体"/>
          <w:bCs/>
          <w:color w:val="auto"/>
          <w:highlight w:val="none"/>
        </w:rPr>
        <w:t>身份证件扫描件：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14:paraId="2571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7" w:hRule="atLeast"/>
          <w:jc w:val="center"/>
        </w:trPr>
        <w:tc>
          <w:tcPr>
            <w:tcW w:w="9040" w:type="dxa"/>
          </w:tcPr>
          <w:p w14:paraId="6D8B307F">
            <w:pPr>
              <w:pStyle w:val="60"/>
              <w:adjustRightInd w:val="0"/>
              <w:spacing w:line="288" w:lineRule="auto"/>
              <w:rPr>
                <w:rFonts w:hAnsi="宋体" w:cs="宋体"/>
                <w:bCs/>
                <w:color w:val="auto"/>
                <w:highlight w:val="none"/>
              </w:rPr>
            </w:pPr>
            <w:r>
              <w:rPr>
                <w:rFonts w:hint="eastAsia" w:hAnsi="宋体" w:cs="宋体"/>
                <w:bCs/>
                <w:color w:val="auto"/>
                <w:highlight w:val="none"/>
              </w:rPr>
              <w:t>正面：                                 反面：</w:t>
            </w:r>
          </w:p>
          <w:p w14:paraId="10A565CF">
            <w:pPr>
              <w:pStyle w:val="60"/>
              <w:adjustRightInd w:val="0"/>
              <w:spacing w:line="288" w:lineRule="auto"/>
              <w:rPr>
                <w:rFonts w:hAnsi="宋体" w:cs="宋体"/>
                <w:bCs/>
                <w:color w:val="auto"/>
                <w:highlight w:val="none"/>
              </w:rPr>
            </w:pPr>
          </w:p>
        </w:tc>
      </w:tr>
    </w:tbl>
    <w:p w14:paraId="05D193B1">
      <w:pPr>
        <w:pStyle w:val="12"/>
        <w:adjustRightInd w:val="0"/>
        <w:snapToGrid w:val="0"/>
        <w:spacing w:beforeLines="0" w:afterLines="0" w:line="288" w:lineRule="auto"/>
        <w:ind w:firstLine="420"/>
        <w:rPr>
          <w:rFonts w:hAnsi="宋体" w:cs="宋体"/>
          <w:color w:val="auto"/>
          <w:sz w:val="21"/>
          <w:szCs w:val="21"/>
          <w:highlight w:val="none"/>
          <w:lang w:val="zh-TW" w:eastAsia="zh-TW"/>
        </w:rPr>
      </w:pPr>
    </w:p>
    <w:p w14:paraId="737060DE">
      <w:pPr>
        <w:pStyle w:val="12"/>
        <w:adjustRightInd w:val="0"/>
        <w:snapToGrid w:val="0"/>
        <w:spacing w:beforeLines="0" w:afterLines="0" w:line="288" w:lineRule="auto"/>
        <w:ind w:firstLine="420"/>
        <w:rPr>
          <w:rFonts w:hAnsi="宋体" w:cs="宋体"/>
          <w:color w:val="auto"/>
          <w:sz w:val="21"/>
          <w:szCs w:val="21"/>
          <w:highlight w:val="none"/>
        </w:rPr>
      </w:pPr>
      <w:r>
        <w:rPr>
          <w:rFonts w:hint="eastAsia" w:hAnsi="宋体" w:cs="宋体"/>
          <w:color w:val="auto"/>
          <w:sz w:val="21"/>
          <w:szCs w:val="21"/>
          <w:highlight w:val="none"/>
          <w:lang w:val="zh-TW" w:eastAsia="zh-TW"/>
        </w:rPr>
        <w:t>供应商全称（盖单位公章）：</w:t>
      </w:r>
    </w:p>
    <w:p w14:paraId="0AA6B9A5">
      <w:pPr>
        <w:spacing w:line="288" w:lineRule="auto"/>
        <w:ind w:firstLine="420" w:firstLineChars="200"/>
        <w:rPr>
          <w:color w:val="auto"/>
          <w:sz w:val="21"/>
          <w:szCs w:val="21"/>
          <w:highlight w:val="none"/>
          <w:lang w:val="zh-TW" w:eastAsia="zh-TW"/>
        </w:rPr>
      </w:pPr>
      <w:r>
        <w:rPr>
          <w:rFonts w:hint="eastAsia"/>
          <w:color w:val="auto"/>
          <w:sz w:val="21"/>
          <w:szCs w:val="21"/>
          <w:highlight w:val="none"/>
          <w:lang w:val="zh-TW" w:eastAsia="zh-TW"/>
        </w:rPr>
        <w:t>日期：</w:t>
      </w:r>
      <w:r>
        <w:rPr>
          <w:rFonts w:hint="eastAsia"/>
          <w:color w:val="auto"/>
          <w:sz w:val="21"/>
          <w:szCs w:val="21"/>
          <w:highlight w:val="none"/>
          <w:lang w:val="zh-TW" w:eastAsia="zh-CN"/>
        </w:rPr>
        <w:t>2025年</w:t>
      </w:r>
      <w:r>
        <w:rPr>
          <w:rFonts w:hint="eastAsia"/>
          <w:color w:val="auto"/>
          <w:sz w:val="21"/>
          <w:szCs w:val="21"/>
          <w:highlight w:val="none"/>
          <w:lang w:val="zh-TW" w:eastAsia="zh-TW"/>
        </w:rPr>
        <w:t xml:space="preserve">  月  日</w:t>
      </w:r>
    </w:p>
    <w:p w14:paraId="0B38B161">
      <w:pPr>
        <w:pStyle w:val="15"/>
        <w:spacing w:line="288" w:lineRule="auto"/>
        <w:rPr>
          <w:rFonts w:ascii="宋体" w:hAnsi="宋体" w:cs="宋体"/>
          <w:b/>
          <w:bCs/>
          <w:color w:val="auto"/>
          <w:sz w:val="21"/>
          <w:szCs w:val="21"/>
          <w:highlight w:val="none"/>
        </w:rPr>
        <w:sectPr>
          <w:footerReference r:id="rId12" w:type="default"/>
          <w:pgSz w:w="11906" w:h="16838"/>
          <w:pgMar w:top="1247" w:right="1247" w:bottom="1247" w:left="1247" w:header="0" w:footer="692" w:gutter="0"/>
          <w:pgBorders>
            <w:top w:val="none" w:sz="0" w:space="0"/>
            <w:left w:val="none" w:sz="0" w:space="0"/>
            <w:bottom w:val="none" w:sz="0" w:space="0"/>
            <w:right w:val="none" w:sz="0" w:space="0"/>
          </w:pgBorders>
          <w:cols w:space="720" w:num="1"/>
          <w:docGrid w:type="lines" w:linePitch="312" w:charSpace="0"/>
        </w:sectPr>
      </w:pPr>
    </w:p>
    <w:p w14:paraId="44D1AB88">
      <w:pPr>
        <w:adjustRightInd w:val="0"/>
        <w:snapToGrid w:val="0"/>
        <w:spacing w:line="288" w:lineRule="auto"/>
        <w:jc w:val="center"/>
        <w:outlineLvl w:val="1"/>
        <w:rPr>
          <w:b/>
          <w:bCs/>
          <w:color w:val="auto"/>
          <w:sz w:val="21"/>
          <w:szCs w:val="21"/>
          <w:highlight w:val="none"/>
        </w:rPr>
      </w:pPr>
      <w:bookmarkStart w:id="159" w:name="_Toc28829"/>
      <w:r>
        <w:rPr>
          <w:rFonts w:hint="eastAsia"/>
          <w:b/>
          <w:bCs/>
          <w:color w:val="auto"/>
          <w:sz w:val="21"/>
          <w:szCs w:val="21"/>
          <w:highlight w:val="none"/>
        </w:rPr>
        <w:t>三、</w:t>
      </w:r>
      <w:bookmarkEnd w:id="159"/>
      <w:r>
        <w:rPr>
          <w:rFonts w:hint="eastAsia"/>
          <w:b/>
          <w:bCs/>
          <w:color w:val="auto"/>
          <w:sz w:val="21"/>
          <w:szCs w:val="21"/>
          <w:highlight w:val="none"/>
        </w:rPr>
        <w:t>采购需求偏离表</w:t>
      </w:r>
    </w:p>
    <w:p w14:paraId="71C36575">
      <w:pPr>
        <w:adjustRightInd w:val="0"/>
        <w:snapToGrid w:val="0"/>
        <w:spacing w:line="288" w:lineRule="auto"/>
        <w:rPr>
          <w:color w:val="auto"/>
          <w:sz w:val="21"/>
          <w:szCs w:val="21"/>
          <w:highlight w:val="none"/>
        </w:rPr>
      </w:pPr>
      <w:r>
        <w:rPr>
          <w:rFonts w:hint="eastAsia"/>
          <w:color w:val="auto"/>
          <w:sz w:val="21"/>
          <w:szCs w:val="21"/>
          <w:highlight w:val="none"/>
        </w:rPr>
        <w:t>采 购 人：浙江树人学院</w:t>
      </w:r>
    </w:p>
    <w:p w14:paraId="4031DCDE">
      <w:pPr>
        <w:adjustRightInd w:val="0"/>
        <w:snapToGrid w:val="0"/>
        <w:spacing w:line="288" w:lineRule="auto"/>
        <w:rPr>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后勤智慧餐厅与仓储管理系统</w:t>
      </w:r>
      <w:r>
        <w:rPr>
          <w:rFonts w:hint="eastAsia"/>
          <w:color w:val="auto"/>
          <w:sz w:val="21"/>
          <w:szCs w:val="21"/>
          <w:highlight w:val="none"/>
        </w:rPr>
        <w:t>项目</w:t>
      </w:r>
    </w:p>
    <w:p w14:paraId="0B45DBD8">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QSZBB250106ZHCS</w:t>
      </w:r>
      <w:r>
        <w:rPr>
          <w:rFonts w:hint="eastAsia"/>
          <w:color w:val="auto"/>
          <w:sz w:val="21"/>
          <w:szCs w:val="21"/>
          <w:highlight w:val="none"/>
        </w:rPr>
        <w:t xml:space="preserve">   </w:t>
      </w:r>
    </w:p>
    <w:tbl>
      <w:tblPr>
        <w:tblStyle w:val="25"/>
        <w:tblW w:w="0" w:type="auto"/>
        <w:jc w:val="center"/>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1004"/>
        <w:gridCol w:w="3221"/>
        <w:gridCol w:w="2854"/>
        <w:gridCol w:w="2360"/>
      </w:tblGrid>
      <w:tr w14:paraId="62A22590">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6CD2028C">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3221" w:type="dxa"/>
            <w:tcBorders>
              <w:tl2br w:val="nil"/>
              <w:tr2bl w:val="nil"/>
            </w:tcBorders>
            <w:vAlign w:val="center"/>
          </w:tcPr>
          <w:p w14:paraId="79AEA49A">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磋商文件要求</w:t>
            </w:r>
          </w:p>
        </w:tc>
        <w:tc>
          <w:tcPr>
            <w:tcW w:w="2854" w:type="dxa"/>
            <w:tcBorders>
              <w:tl2br w:val="nil"/>
              <w:tr2bl w:val="nil"/>
            </w:tcBorders>
            <w:vAlign w:val="center"/>
          </w:tcPr>
          <w:p w14:paraId="4E67B53B">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响应内容</w:t>
            </w:r>
          </w:p>
        </w:tc>
        <w:tc>
          <w:tcPr>
            <w:tcW w:w="2360" w:type="dxa"/>
            <w:tcBorders>
              <w:tl2br w:val="nil"/>
              <w:tr2bl w:val="nil"/>
            </w:tcBorders>
            <w:vAlign w:val="center"/>
          </w:tcPr>
          <w:p w14:paraId="5005554E">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是否偏离（提供说明）</w:t>
            </w:r>
          </w:p>
        </w:tc>
      </w:tr>
      <w:tr w14:paraId="52A1397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39" w:type="dxa"/>
            <w:gridSpan w:val="4"/>
            <w:tcBorders>
              <w:tl2br w:val="nil"/>
              <w:tr2bl w:val="nil"/>
            </w:tcBorders>
            <w:vAlign w:val="center"/>
          </w:tcPr>
          <w:p w14:paraId="17EEDC0F">
            <w:pPr>
              <w:adjustRightInd w:val="0"/>
              <w:snapToGrid w:val="0"/>
              <w:spacing w:line="288" w:lineRule="auto"/>
              <w:rPr>
                <w:b/>
                <w:bCs/>
                <w:color w:val="auto"/>
                <w:sz w:val="21"/>
                <w:szCs w:val="21"/>
                <w:highlight w:val="none"/>
              </w:rPr>
            </w:pPr>
            <w:r>
              <w:rPr>
                <w:rFonts w:hint="eastAsia"/>
                <w:b/>
                <w:bCs/>
                <w:color w:val="auto"/>
                <w:sz w:val="21"/>
                <w:szCs w:val="21"/>
                <w:highlight w:val="none"/>
              </w:rPr>
              <w:t>采购资金的支付方式、时间、条件</w:t>
            </w:r>
          </w:p>
        </w:tc>
      </w:tr>
      <w:tr w14:paraId="6B155AA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PrEx>
        <w:trPr>
          <w:trHeight w:val="397" w:hRule="atLeast"/>
          <w:jc w:val="center"/>
        </w:trPr>
        <w:tc>
          <w:tcPr>
            <w:tcW w:w="1004" w:type="dxa"/>
            <w:tcBorders>
              <w:tl2br w:val="nil"/>
              <w:tr2bl w:val="nil"/>
            </w:tcBorders>
            <w:vAlign w:val="center"/>
          </w:tcPr>
          <w:p w14:paraId="538FAB39">
            <w:pPr>
              <w:adjustRightInd w:val="0"/>
              <w:snapToGrid w:val="0"/>
              <w:spacing w:line="288" w:lineRule="auto"/>
              <w:jc w:val="center"/>
              <w:rPr>
                <w:color w:val="auto"/>
                <w:sz w:val="21"/>
                <w:szCs w:val="21"/>
                <w:highlight w:val="none"/>
              </w:rPr>
            </w:pPr>
            <w:r>
              <w:rPr>
                <w:rFonts w:hint="eastAsia"/>
                <w:color w:val="auto"/>
                <w:sz w:val="21"/>
                <w:szCs w:val="21"/>
                <w:highlight w:val="none"/>
              </w:rPr>
              <w:t>1</w:t>
            </w:r>
          </w:p>
        </w:tc>
        <w:tc>
          <w:tcPr>
            <w:tcW w:w="3221" w:type="dxa"/>
            <w:tcBorders>
              <w:tl2br w:val="nil"/>
              <w:tr2bl w:val="nil"/>
            </w:tcBorders>
            <w:vAlign w:val="center"/>
          </w:tcPr>
          <w:p w14:paraId="38B4AD9A">
            <w:pPr>
              <w:adjustRightInd w:val="0"/>
              <w:snapToGrid w:val="0"/>
              <w:spacing w:line="288" w:lineRule="auto"/>
              <w:jc w:val="center"/>
              <w:rPr>
                <w:color w:val="auto"/>
                <w:sz w:val="21"/>
                <w:szCs w:val="21"/>
                <w:highlight w:val="none"/>
              </w:rPr>
            </w:pPr>
          </w:p>
        </w:tc>
        <w:tc>
          <w:tcPr>
            <w:tcW w:w="2854" w:type="dxa"/>
            <w:tcBorders>
              <w:tl2br w:val="nil"/>
              <w:tr2bl w:val="nil"/>
            </w:tcBorders>
            <w:vAlign w:val="center"/>
          </w:tcPr>
          <w:p w14:paraId="721C7D03">
            <w:pPr>
              <w:adjustRightInd w:val="0"/>
              <w:snapToGrid w:val="0"/>
              <w:spacing w:line="288" w:lineRule="auto"/>
              <w:jc w:val="center"/>
              <w:rPr>
                <w:color w:val="auto"/>
                <w:sz w:val="21"/>
                <w:szCs w:val="21"/>
                <w:highlight w:val="none"/>
              </w:rPr>
            </w:pPr>
          </w:p>
        </w:tc>
        <w:tc>
          <w:tcPr>
            <w:tcW w:w="2360" w:type="dxa"/>
            <w:tcBorders>
              <w:tl2br w:val="nil"/>
              <w:tr2bl w:val="nil"/>
            </w:tcBorders>
            <w:vAlign w:val="center"/>
          </w:tcPr>
          <w:p w14:paraId="705DC19E">
            <w:pPr>
              <w:adjustRightInd w:val="0"/>
              <w:snapToGrid w:val="0"/>
              <w:spacing w:line="288" w:lineRule="auto"/>
              <w:jc w:val="center"/>
              <w:rPr>
                <w:color w:val="auto"/>
                <w:sz w:val="21"/>
                <w:szCs w:val="21"/>
                <w:highlight w:val="none"/>
              </w:rPr>
            </w:pPr>
          </w:p>
        </w:tc>
      </w:tr>
      <w:tr w14:paraId="2123E13F">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7D030C53">
            <w:pPr>
              <w:adjustRightInd w:val="0"/>
              <w:snapToGrid w:val="0"/>
              <w:spacing w:line="288" w:lineRule="auto"/>
              <w:jc w:val="center"/>
              <w:rPr>
                <w:color w:val="auto"/>
                <w:sz w:val="21"/>
                <w:szCs w:val="21"/>
                <w:highlight w:val="none"/>
              </w:rPr>
            </w:pPr>
            <w:r>
              <w:rPr>
                <w:rFonts w:hint="eastAsia"/>
                <w:color w:val="auto"/>
                <w:sz w:val="21"/>
                <w:szCs w:val="21"/>
                <w:highlight w:val="none"/>
              </w:rPr>
              <w:t>2</w:t>
            </w:r>
          </w:p>
        </w:tc>
        <w:tc>
          <w:tcPr>
            <w:tcW w:w="3221" w:type="dxa"/>
            <w:tcBorders>
              <w:tl2br w:val="nil"/>
              <w:tr2bl w:val="nil"/>
            </w:tcBorders>
            <w:vAlign w:val="center"/>
          </w:tcPr>
          <w:p w14:paraId="7949E895">
            <w:pPr>
              <w:adjustRightInd w:val="0"/>
              <w:snapToGrid w:val="0"/>
              <w:spacing w:line="288" w:lineRule="auto"/>
              <w:jc w:val="center"/>
              <w:rPr>
                <w:color w:val="auto"/>
                <w:sz w:val="21"/>
                <w:szCs w:val="21"/>
                <w:highlight w:val="none"/>
              </w:rPr>
            </w:pPr>
          </w:p>
        </w:tc>
        <w:tc>
          <w:tcPr>
            <w:tcW w:w="2854" w:type="dxa"/>
            <w:tcBorders>
              <w:tl2br w:val="nil"/>
              <w:tr2bl w:val="nil"/>
            </w:tcBorders>
            <w:vAlign w:val="center"/>
          </w:tcPr>
          <w:p w14:paraId="4C975D09">
            <w:pPr>
              <w:adjustRightInd w:val="0"/>
              <w:snapToGrid w:val="0"/>
              <w:spacing w:line="288" w:lineRule="auto"/>
              <w:jc w:val="center"/>
              <w:rPr>
                <w:color w:val="auto"/>
                <w:sz w:val="21"/>
                <w:szCs w:val="21"/>
                <w:highlight w:val="none"/>
              </w:rPr>
            </w:pPr>
          </w:p>
        </w:tc>
        <w:tc>
          <w:tcPr>
            <w:tcW w:w="2360" w:type="dxa"/>
            <w:tcBorders>
              <w:tl2br w:val="nil"/>
              <w:tr2bl w:val="nil"/>
            </w:tcBorders>
            <w:vAlign w:val="center"/>
          </w:tcPr>
          <w:p w14:paraId="18F66738">
            <w:pPr>
              <w:adjustRightInd w:val="0"/>
              <w:snapToGrid w:val="0"/>
              <w:spacing w:line="288" w:lineRule="auto"/>
              <w:jc w:val="center"/>
              <w:rPr>
                <w:color w:val="auto"/>
                <w:sz w:val="21"/>
                <w:szCs w:val="21"/>
                <w:highlight w:val="none"/>
              </w:rPr>
            </w:pPr>
          </w:p>
        </w:tc>
      </w:tr>
      <w:tr w14:paraId="7644B50E">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PrEx>
        <w:trPr>
          <w:trHeight w:val="397" w:hRule="atLeast"/>
          <w:jc w:val="center"/>
        </w:trPr>
        <w:tc>
          <w:tcPr>
            <w:tcW w:w="1004" w:type="dxa"/>
            <w:tcBorders>
              <w:tl2br w:val="nil"/>
              <w:tr2bl w:val="nil"/>
            </w:tcBorders>
            <w:vAlign w:val="center"/>
          </w:tcPr>
          <w:p w14:paraId="47A05A87">
            <w:pPr>
              <w:adjustRightInd w:val="0"/>
              <w:snapToGrid w:val="0"/>
              <w:spacing w:line="288" w:lineRule="auto"/>
              <w:jc w:val="center"/>
              <w:rPr>
                <w:color w:val="auto"/>
                <w:sz w:val="21"/>
                <w:szCs w:val="21"/>
                <w:highlight w:val="none"/>
              </w:rPr>
            </w:pPr>
            <w:r>
              <w:rPr>
                <w:rFonts w:hint="eastAsia"/>
                <w:color w:val="auto"/>
                <w:sz w:val="21"/>
                <w:szCs w:val="21"/>
                <w:highlight w:val="none"/>
              </w:rPr>
              <w:t>……</w:t>
            </w:r>
          </w:p>
        </w:tc>
        <w:tc>
          <w:tcPr>
            <w:tcW w:w="3221" w:type="dxa"/>
            <w:tcBorders>
              <w:tl2br w:val="nil"/>
              <w:tr2bl w:val="nil"/>
            </w:tcBorders>
            <w:vAlign w:val="center"/>
          </w:tcPr>
          <w:p w14:paraId="55BE1688">
            <w:pPr>
              <w:adjustRightInd w:val="0"/>
              <w:snapToGrid w:val="0"/>
              <w:spacing w:line="288" w:lineRule="auto"/>
              <w:jc w:val="center"/>
              <w:rPr>
                <w:color w:val="auto"/>
                <w:sz w:val="21"/>
                <w:szCs w:val="21"/>
                <w:highlight w:val="none"/>
              </w:rPr>
            </w:pPr>
          </w:p>
        </w:tc>
        <w:tc>
          <w:tcPr>
            <w:tcW w:w="2854" w:type="dxa"/>
            <w:tcBorders>
              <w:tl2br w:val="nil"/>
              <w:tr2bl w:val="nil"/>
            </w:tcBorders>
            <w:vAlign w:val="center"/>
          </w:tcPr>
          <w:p w14:paraId="727AB00C">
            <w:pPr>
              <w:adjustRightInd w:val="0"/>
              <w:snapToGrid w:val="0"/>
              <w:spacing w:line="288" w:lineRule="auto"/>
              <w:jc w:val="center"/>
              <w:rPr>
                <w:color w:val="auto"/>
                <w:sz w:val="21"/>
                <w:szCs w:val="21"/>
                <w:highlight w:val="none"/>
              </w:rPr>
            </w:pPr>
          </w:p>
        </w:tc>
        <w:tc>
          <w:tcPr>
            <w:tcW w:w="2360" w:type="dxa"/>
            <w:tcBorders>
              <w:tl2br w:val="nil"/>
              <w:tr2bl w:val="nil"/>
            </w:tcBorders>
            <w:vAlign w:val="center"/>
          </w:tcPr>
          <w:p w14:paraId="7915CAB9">
            <w:pPr>
              <w:adjustRightInd w:val="0"/>
              <w:snapToGrid w:val="0"/>
              <w:spacing w:line="288" w:lineRule="auto"/>
              <w:jc w:val="center"/>
              <w:rPr>
                <w:color w:val="auto"/>
                <w:sz w:val="21"/>
                <w:szCs w:val="21"/>
                <w:highlight w:val="none"/>
              </w:rPr>
            </w:pPr>
          </w:p>
        </w:tc>
      </w:tr>
      <w:tr w14:paraId="4FCCF479">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39" w:type="dxa"/>
            <w:gridSpan w:val="4"/>
            <w:tcBorders>
              <w:tl2br w:val="nil"/>
              <w:tr2bl w:val="nil"/>
            </w:tcBorders>
            <w:vAlign w:val="center"/>
          </w:tcPr>
          <w:p w14:paraId="30C9DBB9">
            <w:pPr>
              <w:adjustRightInd w:val="0"/>
              <w:snapToGrid w:val="0"/>
              <w:spacing w:line="288" w:lineRule="auto"/>
              <w:rPr>
                <w:b/>
                <w:bCs/>
                <w:color w:val="auto"/>
                <w:sz w:val="21"/>
                <w:szCs w:val="21"/>
                <w:highlight w:val="none"/>
              </w:rPr>
            </w:pPr>
            <w:r>
              <w:rPr>
                <w:rFonts w:hint="eastAsia"/>
                <w:b/>
                <w:bCs/>
                <w:color w:val="auto"/>
                <w:sz w:val="21"/>
                <w:szCs w:val="21"/>
                <w:highlight w:val="none"/>
              </w:rPr>
              <w:t>服务要求</w:t>
            </w:r>
          </w:p>
        </w:tc>
      </w:tr>
      <w:tr w14:paraId="42601B5A">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3D9B2DC6">
            <w:pPr>
              <w:adjustRightInd w:val="0"/>
              <w:snapToGrid w:val="0"/>
              <w:spacing w:line="288" w:lineRule="auto"/>
              <w:jc w:val="center"/>
              <w:rPr>
                <w:color w:val="auto"/>
                <w:sz w:val="21"/>
                <w:szCs w:val="21"/>
                <w:highlight w:val="none"/>
              </w:rPr>
            </w:pPr>
            <w:r>
              <w:rPr>
                <w:rFonts w:hint="eastAsia"/>
                <w:color w:val="auto"/>
                <w:sz w:val="21"/>
                <w:szCs w:val="21"/>
                <w:highlight w:val="none"/>
              </w:rPr>
              <w:t>1</w:t>
            </w:r>
          </w:p>
        </w:tc>
        <w:tc>
          <w:tcPr>
            <w:tcW w:w="3221" w:type="dxa"/>
            <w:tcBorders>
              <w:tl2br w:val="nil"/>
              <w:tr2bl w:val="nil"/>
            </w:tcBorders>
            <w:vAlign w:val="center"/>
          </w:tcPr>
          <w:p w14:paraId="782663F0">
            <w:pPr>
              <w:adjustRightInd w:val="0"/>
              <w:snapToGrid w:val="0"/>
              <w:spacing w:line="288" w:lineRule="auto"/>
              <w:jc w:val="center"/>
              <w:rPr>
                <w:color w:val="auto"/>
                <w:sz w:val="21"/>
                <w:szCs w:val="21"/>
                <w:highlight w:val="none"/>
              </w:rPr>
            </w:pPr>
          </w:p>
        </w:tc>
        <w:tc>
          <w:tcPr>
            <w:tcW w:w="2854" w:type="dxa"/>
            <w:tcBorders>
              <w:tl2br w:val="nil"/>
              <w:tr2bl w:val="nil"/>
            </w:tcBorders>
            <w:vAlign w:val="center"/>
          </w:tcPr>
          <w:p w14:paraId="7A8BD4B6">
            <w:pPr>
              <w:adjustRightInd w:val="0"/>
              <w:snapToGrid w:val="0"/>
              <w:spacing w:line="288" w:lineRule="auto"/>
              <w:jc w:val="center"/>
              <w:rPr>
                <w:color w:val="auto"/>
                <w:sz w:val="21"/>
                <w:szCs w:val="21"/>
                <w:highlight w:val="none"/>
              </w:rPr>
            </w:pPr>
          </w:p>
        </w:tc>
        <w:tc>
          <w:tcPr>
            <w:tcW w:w="2360" w:type="dxa"/>
            <w:tcBorders>
              <w:tl2br w:val="nil"/>
              <w:tr2bl w:val="nil"/>
            </w:tcBorders>
            <w:vAlign w:val="center"/>
          </w:tcPr>
          <w:p w14:paraId="094724D3">
            <w:pPr>
              <w:adjustRightInd w:val="0"/>
              <w:snapToGrid w:val="0"/>
              <w:spacing w:line="288" w:lineRule="auto"/>
              <w:jc w:val="center"/>
              <w:rPr>
                <w:color w:val="auto"/>
                <w:sz w:val="21"/>
                <w:szCs w:val="21"/>
                <w:highlight w:val="none"/>
              </w:rPr>
            </w:pPr>
          </w:p>
        </w:tc>
      </w:tr>
      <w:tr w14:paraId="6488A5BA">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PrEx>
        <w:trPr>
          <w:trHeight w:val="397" w:hRule="atLeast"/>
          <w:jc w:val="center"/>
        </w:trPr>
        <w:tc>
          <w:tcPr>
            <w:tcW w:w="1004" w:type="dxa"/>
            <w:tcBorders>
              <w:tl2br w:val="nil"/>
              <w:tr2bl w:val="nil"/>
            </w:tcBorders>
            <w:vAlign w:val="center"/>
          </w:tcPr>
          <w:p w14:paraId="6DDA7A34">
            <w:pPr>
              <w:adjustRightInd w:val="0"/>
              <w:snapToGrid w:val="0"/>
              <w:spacing w:line="288" w:lineRule="auto"/>
              <w:jc w:val="center"/>
              <w:rPr>
                <w:color w:val="auto"/>
                <w:sz w:val="21"/>
                <w:szCs w:val="21"/>
                <w:highlight w:val="none"/>
              </w:rPr>
            </w:pPr>
            <w:r>
              <w:rPr>
                <w:rFonts w:hint="eastAsia"/>
                <w:color w:val="auto"/>
                <w:sz w:val="21"/>
                <w:szCs w:val="21"/>
                <w:highlight w:val="none"/>
              </w:rPr>
              <w:t>2</w:t>
            </w:r>
          </w:p>
        </w:tc>
        <w:tc>
          <w:tcPr>
            <w:tcW w:w="3221" w:type="dxa"/>
            <w:tcBorders>
              <w:tl2br w:val="nil"/>
              <w:tr2bl w:val="nil"/>
            </w:tcBorders>
            <w:vAlign w:val="center"/>
          </w:tcPr>
          <w:p w14:paraId="6999F68C">
            <w:pPr>
              <w:adjustRightInd w:val="0"/>
              <w:snapToGrid w:val="0"/>
              <w:spacing w:line="288" w:lineRule="auto"/>
              <w:jc w:val="center"/>
              <w:rPr>
                <w:color w:val="auto"/>
                <w:sz w:val="21"/>
                <w:szCs w:val="21"/>
                <w:highlight w:val="none"/>
              </w:rPr>
            </w:pPr>
          </w:p>
        </w:tc>
        <w:tc>
          <w:tcPr>
            <w:tcW w:w="2854" w:type="dxa"/>
            <w:tcBorders>
              <w:tl2br w:val="nil"/>
              <w:tr2bl w:val="nil"/>
            </w:tcBorders>
            <w:vAlign w:val="center"/>
          </w:tcPr>
          <w:p w14:paraId="6B767F55">
            <w:pPr>
              <w:adjustRightInd w:val="0"/>
              <w:snapToGrid w:val="0"/>
              <w:spacing w:line="288" w:lineRule="auto"/>
              <w:jc w:val="center"/>
              <w:rPr>
                <w:color w:val="auto"/>
                <w:sz w:val="21"/>
                <w:szCs w:val="21"/>
                <w:highlight w:val="none"/>
              </w:rPr>
            </w:pPr>
          </w:p>
        </w:tc>
        <w:tc>
          <w:tcPr>
            <w:tcW w:w="2360" w:type="dxa"/>
            <w:tcBorders>
              <w:tl2br w:val="nil"/>
              <w:tr2bl w:val="nil"/>
            </w:tcBorders>
            <w:vAlign w:val="center"/>
          </w:tcPr>
          <w:p w14:paraId="7DE36502">
            <w:pPr>
              <w:adjustRightInd w:val="0"/>
              <w:snapToGrid w:val="0"/>
              <w:spacing w:line="288" w:lineRule="auto"/>
              <w:jc w:val="center"/>
              <w:rPr>
                <w:color w:val="auto"/>
                <w:sz w:val="21"/>
                <w:szCs w:val="21"/>
                <w:highlight w:val="none"/>
              </w:rPr>
            </w:pPr>
          </w:p>
        </w:tc>
      </w:tr>
      <w:tr w14:paraId="28CF89FE">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2079F6FF">
            <w:pPr>
              <w:adjustRightInd w:val="0"/>
              <w:snapToGrid w:val="0"/>
              <w:spacing w:line="288" w:lineRule="auto"/>
              <w:jc w:val="center"/>
              <w:rPr>
                <w:color w:val="auto"/>
                <w:sz w:val="21"/>
                <w:szCs w:val="21"/>
                <w:highlight w:val="none"/>
              </w:rPr>
            </w:pPr>
            <w:r>
              <w:rPr>
                <w:rFonts w:hint="eastAsia"/>
                <w:color w:val="auto"/>
                <w:sz w:val="21"/>
                <w:szCs w:val="21"/>
                <w:highlight w:val="none"/>
              </w:rPr>
              <w:t>……</w:t>
            </w:r>
          </w:p>
        </w:tc>
        <w:tc>
          <w:tcPr>
            <w:tcW w:w="3221" w:type="dxa"/>
            <w:tcBorders>
              <w:tl2br w:val="nil"/>
              <w:tr2bl w:val="nil"/>
            </w:tcBorders>
            <w:vAlign w:val="center"/>
          </w:tcPr>
          <w:p w14:paraId="02F1F5C2">
            <w:pPr>
              <w:adjustRightInd w:val="0"/>
              <w:snapToGrid w:val="0"/>
              <w:spacing w:line="288" w:lineRule="auto"/>
              <w:jc w:val="center"/>
              <w:rPr>
                <w:color w:val="auto"/>
                <w:sz w:val="21"/>
                <w:szCs w:val="21"/>
                <w:highlight w:val="none"/>
              </w:rPr>
            </w:pPr>
          </w:p>
        </w:tc>
        <w:tc>
          <w:tcPr>
            <w:tcW w:w="2854" w:type="dxa"/>
            <w:tcBorders>
              <w:tl2br w:val="nil"/>
              <w:tr2bl w:val="nil"/>
            </w:tcBorders>
            <w:vAlign w:val="center"/>
          </w:tcPr>
          <w:p w14:paraId="0E6668E1">
            <w:pPr>
              <w:adjustRightInd w:val="0"/>
              <w:snapToGrid w:val="0"/>
              <w:spacing w:line="288" w:lineRule="auto"/>
              <w:jc w:val="center"/>
              <w:rPr>
                <w:color w:val="auto"/>
                <w:sz w:val="21"/>
                <w:szCs w:val="21"/>
                <w:highlight w:val="none"/>
              </w:rPr>
            </w:pPr>
          </w:p>
        </w:tc>
        <w:tc>
          <w:tcPr>
            <w:tcW w:w="2360" w:type="dxa"/>
            <w:tcBorders>
              <w:tl2br w:val="nil"/>
              <w:tr2bl w:val="nil"/>
            </w:tcBorders>
            <w:vAlign w:val="center"/>
          </w:tcPr>
          <w:p w14:paraId="3E15D2B9">
            <w:pPr>
              <w:adjustRightInd w:val="0"/>
              <w:snapToGrid w:val="0"/>
              <w:spacing w:line="288" w:lineRule="auto"/>
              <w:jc w:val="center"/>
              <w:rPr>
                <w:color w:val="auto"/>
                <w:sz w:val="21"/>
                <w:szCs w:val="21"/>
                <w:highlight w:val="none"/>
              </w:rPr>
            </w:pPr>
          </w:p>
        </w:tc>
      </w:tr>
      <w:tr w14:paraId="2ECA363E">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PrEx>
        <w:trPr>
          <w:trHeight w:val="397" w:hRule="atLeast"/>
          <w:jc w:val="center"/>
        </w:trPr>
        <w:tc>
          <w:tcPr>
            <w:tcW w:w="9439" w:type="dxa"/>
            <w:gridSpan w:val="4"/>
            <w:tcBorders>
              <w:tl2br w:val="nil"/>
              <w:tr2bl w:val="nil"/>
            </w:tcBorders>
            <w:vAlign w:val="center"/>
          </w:tcPr>
          <w:p w14:paraId="5EDFC073">
            <w:pPr>
              <w:adjustRightInd w:val="0"/>
              <w:snapToGrid w:val="0"/>
              <w:spacing w:line="288" w:lineRule="auto"/>
              <w:rPr>
                <w:color w:val="auto"/>
                <w:sz w:val="21"/>
                <w:szCs w:val="21"/>
                <w:highlight w:val="none"/>
              </w:rPr>
            </w:pPr>
            <w:r>
              <w:rPr>
                <w:rFonts w:hint="eastAsia"/>
                <w:b/>
                <w:bCs/>
                <w:color w:val="auto"/>
                <w:sz w:val="21"/>
                <w:szCs w:val="21"/>
                <w:highlight w:val="none"/>
              </w:rPr>
              <w:t>技术要求</w:t>
            </w:r>
          </w:p>
        </w:tc>
      </w:tr>
      <w:tr w14:paraId="05B54BF2">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PrEx>
        <w:trPr>
          <w:trHeight w:val="397" w:hRule="atLeast"/>
          <w:jc w:val="center"/>
        </w:trPr>
        <w:tc>
          <w:tcPr>
            <w:tcW w:w="1004" w:type="dxa"/>
            <w:tcBorders>
              <w:tl2br w:val="nil"/>
              <w:tr2bl w:val="nil"/>
            </w:tcBorders>
            <w:vAlign w:val="center"/>
          </w:tcPr>
          <w:p w14:paraId="6D421689">
            <w:pPr>
              <w:adjustRightInd w:val="0"/>
              <w:snapToGrid w:val="0"/>
              <w:spacing w:line="288" w:lineRule="auto"/>
              <w:jc w:val="center"/>
              <w:rPr>
                <w:color w:val="auto"/>
                <w:sz w:val="21"/>
                <w:szCs w:val="21"/>
                <w:highlight w:val="none"/>
              </w:rPr>
            </w:pPr>
          </w:p>
        </w:tc>
        <w:tc>
          <w:tcPr>
            <w:tcW w:w="3221" w:type="dxa"/>
            <w:tcBorders>
              <w:tl2br w:val="nil"/>
              <w:tr2bl w:val="nil"/>
            </w:tcBorders>
            <w:vAlign w:val="center"/>
          </w:tcPr>
          <w:p w14:paraId="3C16A1D9">
            <w:pPr>
              <w:adjustRightInd w:val="0"/>
              <w:snapToGrid w:val="0"/>
              <w:spacing w:line="288" w:lineRule="auto"/>
              <w:jc w:val="center"/>
              <w:rPr>
                <w:color w:val="auto"/>
                <w:sz w:val="21"/>
                <w:szCs w:val="21"/>
                <w:highlight w:val="none"/>
              </w:rPr>
            </w:pPr>
          </w:p>
        </w:tc>
        <w:tc>
          <w:tcPr>
            <w:tcW w:w="2854" w:type="dxa"/>
            <w:tcBorders>
              <w:tl2br w:val="nil"/>
              <w:tr2bl w:val="nil"/>
            </w:tcBorders>
            <w:vAlign w:val="center"/>
          </w:tcPr>
          <w:p w14:paraId="7FDB2EC1">
            <w:pPr>
              <w:adjustRightInd w:val="0"/>
              <w:snapToGrid w:val="0"/>
              <w:spacing w:line="288" w:lineRule="auto"/>
              <w:jc w:val="center"/>
              <w:rPr>
                <w:color w:val="auto"/>
                <w:sz w:val="21"/>
                <w:szCs w:val="21"/>
                <w:highlight w:val="none"/>
              </w:rPr>
            </w:pPr>
          </w:p>
        </w:tc>
        <w:tc>
          <w:tcPr>
            <w:tcW w:w="2360" w:type="dxa"/>
            <w:tcBorders>
              <w:tl2br w:val="nil"/>
              <w:tr2bl w:val="nil"/>
            </w:tcBorders>
            <w:vAlign w:val="center"/>
          </w:tcPr>
          <w:p w14:paraId="7E1654F2">
            <w:pPr>
              <w:adjustRightInd w:val="0"/>
              <w:snapToGrid w:val="0"/>
              <w:spacing w:line="288" w:lineRule="auto"/>
              <w:jc w:val="center"/>
              <w:rPr>
                <w:color w:val="auto"/>
                <w:sz w:val="21"/>
                <w:szCs w:val="21"/>
                <w:highlight w:val="none"/>
              </w:rPr>
            </w:pPr>
          </w:p>
        </w:tc>
      </w:tr>
      <w:tr w14:paraId="59B8FDEA">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773E0581">
            <w:pPr>
              <w:adjustRightInd w:val="0"/>
              <w:snapToGrid w:val="0"/>
              <w:spacing w:line="288" w:lineRule="auto"/>
              <w:jc w:val="center"/>
              <w:rPr>
                <w:color w:val="auto"/>
                <w:sz w:val="21"/>
                <w:szCs w:val="21"/>
                <w:highlight w:val="none"/>
              </w:rPr>
            </w:pPr>
          </w:p>
        </w:tc>
        <w:tc>
          <w:tcPr>
            <w:tcW w:w="3221" w:type="dxa"/>
            <w:tcBorders>
              <w:tl2br w:val="nil"/>
              <w:tr2bl w:val="nil"/>
            </w:tcBorders>
            <w:vAlign w:val="center"/>
          </w:tcPr>
          <w:p w14:paraId="2E118A17">
            <w:pPr>
              <w:adjustRightInd w:val="0"/>
              <w:snapToGrid w:val="0"/>
              <w:spacing w:line="288" w:lineRule="auto"/>
              <w:jc w:val="center"/>
              <w:rPr>
                <w:color w:val="auto"/>
                <w:sz w:val="21"/>
                <w:szCs w:val="21"/>
                <w:highlight w:val="none"/>
              </w:rPr>
            </w:pPr>
          </w:p>
        </w:tc>
        <w:tc>
          <w:tcPr>
            <w:tcW w:w="2854" w:type="dxa"/>
            <w:tcBorders>
              <w:tl2br w:val="nil"/>
              <w:tr2bl w:val="nil"/>
            </w:tcBorders>
            <w:vAlign w:val="center"/>
          </w:tcPr>
          <w:p w14:paraId="37B61034">
            <w:pPr>
              <w:adjustRightInd w:val="0"/>
              <w:snapToGrid w:val="0"/>
              <w:spacing w:line="288" w:lineRule="auto"/>
              <w:jc w:val="center"/>
              <w:rPr>
                <w:color w:val="auto"/>
                <w:sz w:val="21"/>
                <w:szCs w:val="21"/>
                <w:highlight w:val="none"/>
              </w:rPr>
            </w:pPr>
          </w:p>
        </w:tc>
        <w:tc>
          <w:tcPr>
            <w:tcW w:w="2360" w:type="dxa"/>
            <w:tcBorders>
              <w:tl2br w:val="nil"/>
              <w:tr2bl w:val="nil"/>
            </w:tcBorders>
            <w:vAlign w:val="center"/>
          </w:tcPr>
          <w:p w14:paraId="0899869C">
            <w:pPr>
              <w:adjustRightInd w:val="0"/>
              <w:snapToGrid w:val="0"/>
              <w:spacing w:line="288" w:lineRule="auto"/>
              <w:jc w:val="center"/>
              <w:rPr>
                <w:color w:val="auto"/>
                <w:sz w:val="21"/>
                <w:szCs w:val="21"/>
                <w:highlight w:val="none"/>
              </w:rPr>
            </w:pPr>
          </w:p>
        </w:tc>
      </w:tr>
    </w:tbl>
    <w:p w14:paraId="5B27779C">
      <w:pPr>
        <w:adjustRightInd w:val="0"/>
        <w:snapToGrid w:val="0"/>
        <w:spacing w:line="288" w:lineRule="auto"/>
        <w:rPr>
          <w:b/>
          <w:bCs/>
          <w:color w:val="auto"/>
          <w:spacing w:val="-6"/>
          <w:sz w:val="21"/>
          <w:szCs w:val="21"/>
          <w:highlight w:val="none"/>
        </w:rPr>
      </w:pPr>
    </w:p>
    <w:p w14:paraId="25C1113A">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6DB14926">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6F12DA9F">
      <w:pPr>
        <w:adjustRightInd w:val="0"/>
        <w:snapToGrid w:val="0"/>
        <w:spacing w:line="288" w:lineRule="auto"/>
        <w:rPr>
          <w:b/>
          <w:bCs/>
          <w:color w:val="auto"/>
          <w:sz w:val="21"/>
          <w:szCs w:val="21"/>
          <w:highlight w:val="none"/>
        </w:rPr>
      </w:pPr>
    </w:p>
    <w:p w14:paraId="7F39BC07">
      <w:pPr>
        <w:adjustRightInd w:val="0"/>
        <w:snapToGrid w:val="0"/>
        <w:spacing w:line="288" w:lineRule="auto"/>
        <w:rPr>
          <w:b/>
          <w:bCs/>
          <w:color w:val="auto"/>
          <w:sz w:val="21"/>
          <w:szCs w:val="21"/>
          <w:highlight w:val="none"/>
        </w:rPr>
      </w:pPr>
      <w:r>
        <w:rPr>
          <w:rFonts w:hint="eastAsia"/>
          <w:b/>
          <w:bCs/>
          <w:color w:val="auto"/>
          <w:sz w:val="21"/>
          <w:szCs w:val="21"/>
          <w:highlight w:val="none"/>
        </w:rPr>
        <w:t>填表说明：</w:t>
      </w:r>
    </w:p>
    <w:p w14:paraId="059540A4">
      <w:pPr>
        <w:adjustRightInd w:val="0"/>
        <w:snapToGrid w:val="0"/>
        <w:spacing w:line="288" w:lineRule="auto"/>
        <w:rPr>
          <w:b/>
          <w:bCs/>
          <w:color w:val="auto"/>
          <w:sz w:val="21"/>
          <w:szCs w:val="21"/>
          <w:highlight w:val="none"/>
        </w:rPr>
      </w:pPr>
      <w:r>
        <w:rPr>
          <w:rFonts w:hint="eastAsia"/>
          <w:b/>
          <w:bCs/>
          <w:color w:val="auto"/>
          <w:sz w:val="21"/>
          <w:szCs w:val="21"/>
          <w:highlight w:val="none"/>
        </w:rPr>
        <w:t>1.逐项按照磋商文件要求填写响应内容；</w:t>
      </w:r>
    </w:p>
    <w:p w14:paraId="40563571">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14:paraId="5063267E">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3.如不填写或未如实填写，自行承担磋商响应风险。</w:t>
      </w:r>
    </w:p>
    <w:p w14:paraId="2D086636">
      <w:pPr>
        <w:pStyle w:val="12"/>
        <w:adjustRightInd w:val="0"/>
        <w:snapToGrid w:val="0"/>
        <w:spacing w:beforeLines="0" w:afterLines="0" w:line="288" w:lineRule="auto"/>
        <w:jc w:val="center"/>
        <w:outlineLvl w:val="1"/>
        <w:rPr>
          <w:rFonts w:hAnsi="宋体" w:cs="宋体"/>
          <w:b/>
          <w:bCs/>
          <w:color w:val="auto"/>
          <w:sz w:val="21"/>
          <w:szCs w:val="21"/>
          <w:highlight w:val="none"/>
        </w:rPr>
      </w:pPr>
      <w:r>
        <w:rPr>
          <w:rFonts w:hint="eastAsia" w:hAnsi="宋体" w:cs="宋体"/>
          <w:color w:val="auto"/>
          <w:sz w:val="21"/>
          <w:szCs w:val="21"/>
          <w:highlight w:val="none"/>
        </w:rPr>
        <w:br w:type="page"/>
      </w:r>
      <w:bookmarkStart w:id="160" w:name="_Toc24677"/>
      <w:r>
        <w:rPr>
          <w:rFonts w:hint="eastAsia" w:hAnsi="宋体" w:cs="宋体"/>
          <w:b/>
          <w:bCs/>
          <w:color w:val="auto"/>
          <w:sz w:val="21"/>
          <w:szCs w:val="21"/>
          <w:highlight w:val="none"/>
        </w:rPr>
        <w:t>四、廉政承诺书</w:t>
      </w:r>
      <w:bookmarkEnd w:id="160"/>
    </w:p>
    <w:p w14:paraId="6B8E9EBA">
      <w:pPr>
        <w:snapToGrid w:val="0"/>
        <w:spacing w:line="288" w:lineRule="auto"/>
        <w:rPr>
          <w:color w:val="auto"/>
          <w:sz w:val="21"/>
          <w:szCs w:val="21"/>
          <w:highlight w:val="none"/>
        </w:rPr>
      </w:pPr>
      <w:r>
        <w:rPr>
          <w:rFonts w:hint="eastAsia"/>
          <w:color w:val="auto"/>
          <w:sz w:val="21"/>
          <w:szCs w:val="21"/>
          <w:highlight w:val="none"/>
        </w:rPr>
        <w:t>浙江树人学院：</w:t>
      </w:r>
    </w:p>
    <w:p w14:paraId="0BFAEF44">
      <w:pPr>
        <w:snapToGrid w:val="0"/>
        <w:spacing w:line="288" w:lineRule="auto"/>
        <w:rPr>
          <w:color w:val="auto"/>
          <w:sz w:val="21"/>
          <w:szCs w:val="21"/>
          <w:highlight w:val="none"/>
        </w:rPr>
      </w:pPr>
      <w:r>
        <w:rPr>
          <w:rFonts w:hint="eastAsia"/>
          <w:color w:val="auto"/>
          <w:sz w:val="21"/>
          <w:szCs w:val="21"/>
          <w:highlight w:val="none"/>
        </w:rPr>
        <w:t>我单位响应</w:t>
      </w:r>
      <w:r>
        <w:rPr>
          <w:rFonts w:hint="eastAsia"/>
          <w:color w:val="auto"/>
          <w:sz w:val="21"/>
          <w:szCs w:val="21"/>
          <w:highlight w:val="none"/>
          <w:u w:val="single"/>
        </w:rPr>
        <w:t xml:space="preserve"> 浙江树人学院</w:t>
      </w:r>
      <w:r>
        <w:rPr>
          <w:rFonts w:hint="eastAsia"/>
          <w:color w:val="auto"/>
          <w:sz w:val="21"/>
          <w:szCs w:val="21"/>
          <w:highlight w:val="none"/>
        </w:rPr>
        <w:t xml:space="preserve">（采购人） </w:t>
      </w:r>
      <w:r>
        <w:rPr>
          <w:rFonts w:hint="eastAsia"/>
          <w:color w:val="auto"/>
          <w:sz w:val="21"/>
          <w:szCs w:val="21"/>
          <w:highlight w:val="none"/>
          <w:u w:val="single"/>
        </w:rPr>
        <w:t xml:space="preserve">            项目</w:t>
      </w:r>
      <w:r>
        <w:rPr>
          <w:rFonts w:hint="eastAsia"/>
          <w:color w:val="auto"/>
          <w:sz w:val="21"/>
          <w:szCs w:val="21"/>
          <w:highlight w:val="none"/>
        </w:rPr>
        <w:t>（项目名称）</w:t>
      </w:r>
      <w:r>
        <w:rPr>
          <w:rFonts w:hint="eastAsia"/>
          <w:color w:val="auto"/>
          <w:sz w:val="21"/>
          <w:szCs w:val="21"/>
          <w:highlight w:val="none"/>
          <w:u w:val="single"/>
        </w:rPr>
        <w:t xml:space="preserve">              </w:t>
      </w:r>
      <w:r>
        <w:rPr>
          <w:rFonts w:hint="eastAsia"/>
          <w:color w:val="auto"/>
          <w:sz w:val="21"/>
          <w:szCs w:val="21"/>
          <w:highlight w:val="none"/>
        </w:rPr>
        <w:t>（项目编号）采购要求参加磋商。在这次磋商过程中和成交后，我们将严格遵守国家法律法规要求，并郑重承诺：</w:t>
      </w:r>
    </w:p>
    <w:p w14:paraId="4FD2BE6E">
      <w:pPr>
        <w:snapToGrid w:val="0"/>
        <w:spacing w:line="288" w:lineRule="auto"/>
        <w:ind w:firstLine="420" w:firstLineChars="200"/>
        <w:rPr>
          <w:color w:val="auto"/>
          <w:sz w:val="21"/>
          <w:szCs w:val="21"/>
          <w:highlight w:val="none"/>
        </w:rPr>
      </w:pPr>
      <w:r>
        <w:rPr>
          <w:rFonts w:hint="eastAsia"/>
          <w:color w:val="auto"/>
          <w:sz w:val="21"/>
          <w:szCs w:val="21"/>
          <w:highlight w:val="none"/>
        </w:rPr>
        <w:t>一、不向项目有关人员及部门赠送礼金礼物、有价证券、回扣以及中介费、介绍费、咨询费等好处费。</w:t>
      </w:r>
    </w:p>
    <w:p w14:paraId="55F0CC35">
      <w:pPr>
        <w:snapToGrid w:val="0"/>
        <w:spacing w:line="288" w:lineRule="auto"/>
        <w:ind w:firstLine="420" w:firstLineChars="200"/>
        <w:rPr>
          <w:color w:val="auto"/>
          <w:sz w:val="21"/>
          <w:szCs w:val="21"/>
          <w:highlight w:val="none"/>
        </w:rPr>
      </w:pPr>
      <w:r>
        <w:rPr>
          <w:rFonts w:hint="eastAsia"/>
          <w:color w:val="auto"/>
          <w:sz w:val="21"/>
          <w:szCs w:val="21"/>
          <w:highlight w:val="none"/>
        </w:rPr>
        <w:t>二、不为项目有关人员及部门报销应由你方单位或个人支付的费用。</w:t>
      </w:r>
    </w:p>
    <w:p w14:paraId="29436CA7">
      <w:pPr>
        <w:snapToGrid w:val="0"/>
        <w:spacing w:line="288" w:lineRule="auto"/>
        <w:ind w:firstLine="420" w:firstLineChars="200"/>
        <w:rPr>
          <w:color w:val="auto"/>
          <w:sz w:val="21"/>
          <w:szCs w:val="21"/>
          <w:highlight w:val="none"/>
        </w:rPr>
      </w:pPr>
      <w:r>
        <w:rPr>
          <w:rFonts w:hint="eastAsia"/>
          <w:color w:val="auto"/>
          <w:sz w:val="21"/>
          <w:szCs w:val="21"/>
          <w:highlight w:val="none"/>
        </w:rPr>
        <w:t>三、不向项目有关人员及部门提供有可能影响公正的宴请和健身娱乐等活动。</w:t>
      </w:r>
    </w:p>
    <w:p w14:paraId="4EF64BB2">
      <w:pPr>
        <w:snapToGrid w:val="0"/>
        <w:spacing w:line="288" w:lineRule="auto"/>
        <w:ind w:firstLine="420" w:firstLineChars="200"/>
        <w:rPr>
          <w:color w:val="auto"/>
          <w:sz w:val="21"/>
          <w:szCs w:val="21"/>
          <w:highlight w:val="none"/>
        </w:rPr>
      </w:pPr>
      <w:r>
        <w:rPr>
          <w:rFonts w:hint="eastAsia"/>
          <w:color w:val="auto"/>
          <w:sz w:val="21"/>
          <w:szCs w:val="21"/>
          <w:highlight w:val="none"/>
        </w:rPr>
        <w:t>四、不为项目有关人员及部门出国（境）、旅游等提供方便。</w:t>
      </w:r>
    </w:p>
    <w:p w14:paraId="5955C9CC">
      <w:pPr>
        <w:snapToGrid w:val="0"/>
        <w:spacing w:line="288" w:lineRule="auto"/>
        <w:ind w:firstLine="420" w:firstLineChars="200"/>
        <w:rPr>
          <w:color w:val="auto"/>
          <w:sz w:val="21"/>
          <w:szCs w:val="21"/>
          <w:highlight w:val="none"/>
        </w:rPr>
      </w:pPr>
      <w:r>
        <w:rPr>
          <w:rFonts w:hint="eastAsia"/>
          <w:color w:val="auto"/>
          <w:sz w:val="21"/>
          <w:szCs w:val="21"/>
          <w:highlight w:val="none"/>
        </w:rPr>
        <w:t>五、不为项目有关人员个人装修住房、婚丧嫁娶、配偶子女工作安排等提供好处。</w:t>
      </w:r>
    </w:p>
    <w:p w14:paraId="6BD3E1EA">
      <w:pPr>
        <w:pStyle w:val="10"/>
        <w:spacing w:after="0" w:line="288" w:lineRule="auto"/>
        <w:ind w:firstLine="420" w:firstLineChars="200"/>
        <w:rPr>
          <w:color w:val="auto"/>
          <w:sz w:val="21"/>
          <w:szCs w:val="21"/>
          <w:highlight w:val="none"/>
        </w:rPr>
      </w:pPr>
      <w:r>
        <w:rPr>
          <w:rFonts w:hint="eastAsia"/>
          <w:color w:val="auto"/>
          <w:sz w:val="21"/>
          <w:szCs w:val="21"/>
          <w:highlight w:val="none"/>
        </w:rPr>
        <w:t>如违反上述承诺，你单位有权立即取消我单位投标、成交资格，有权拒绝我单位在一定时期内进入你单位进行项目建设或其他经营活动，并通报同级政府采购监督管理部门。由此引起的相应损失均由我单位承担。</w:t>
      </w:r>
    </w:p>
    <w:p w14:paraId="782ABDBF">
      <w:pPr>
        <w:spacing w:line="288" w:lineRule="auto"/>
        <w:rPr>
          <w:color w:val="auto"/>
          <w:sz w:val="21"/>
          <w:szCs w:val="21"/>
          <w:highlight w:val="none"/>
        </w:rPr>
      </w:pPr>
    </w:p>
    <w:p w14:paraId="1DFAC95E">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585F8308">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43718E4D">
      <w:pPr>
        <w:adjustRightInd w:val="0"/>
        <w:snapToGrid w:val="0"/>
        <w:spacing w:line="288" w:lineRule="auto"/>
        <w:rPr>
          <w:b/>
          <w:color w:val="auto"/>
          <w:spacing w:val="-6"/>
          <w:sz w:val="21"/>
          <w:szCs w:val="21"/>
          <w:highlight w:val="none"/>
        </w:rPr>
      </w:pPr>
    </w:p>
    <w:p w14:paraId="29BE86A1">
      <w:pPr>
        <w:adjustRightInd w:val="0"/>
        <w:snapToGrid w:val="0"/>
        <w:spacing w:line="288" w:lineRule="auto"/>
        <w:jc w:val="center"/>
        <w:rPr>
          <w:b/>
          <w:bCs/>
          <w:color w:val="auto"/>
          <w:sz w:val="21"/>
          <w:szCs w:val="21"/>
          <w:highlight w:val="none"/>
        </w:rPr>
      </w:pPr>
      <w:r>
        <w:rPr>
          <w:rFonts w:hint="eastAsia"/>
          <w:color w:val="auto"/>
          <w:sz w:val="21"/>
          <w:szCs w:val="21"/>
          <w:highlight w:val="none"/>
        </w:rPr>
        <w:br w:type="page"/>
      </w:r>
      <w:bookmarkStart w:id="161" w:name="_Toc24885"/>
      <w:r>
        <w:rPr>
          <w:rFonts w:hint="eastAsia"/>
          <w:b/>
          <w:bCs/>
          <w:color w:val="auto"/>
          <w:sz w:val="21"/>
          <w:szCs w:val="21"/>
          <w:highlight w:val="none"/>
        </w:rPr>
        <w:t>五、供应商类似业绩一览表</w:t>
      </w:r>
      <w:bookmarkEnd w:id="161"/>
    </w:p>
    <w:p w14:paraId="76D627CA">
      <w:pPr>
        <w:adjustRightInd w:val="0"/>
        <w:snapToGrid w:val="0"/>
        <w:spacing w:line="288" w:lineRule="auto"/>
        <w:rPr>
          <w:color w:val="auto"/>
          <w:sz w:val="21"/>
          <w:szCs w:val="21"/>
          <w:highlight w:val="none"/>
        </w:rPr>
      </w:pPr>
      <w:r>
        <w:rPr>
          <w:rFonts w:hint="eastAsia"/>
          <w:color w:val="auto"/>
          <w:sz w:val="21"/>
          <w:szCs w:val="21"/>
          <w:highlight w:val="none"/>
        </w:rPr>
        <w:t>采 购 人：浙江树人学院</w:t>
      </w:r>
    </w:p>
    <w:p w14:paraId="5CEF2DD0">
      <w:pPr>
        <w:adjustRightInd w:val="0"/>
        <w:snapToGrid w:val="0"/>
        <w:spacing w:line="288" w:lineRule="auto"/>
        <w:rPr>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后勤智慧餐厅与仓储管理系统</w:t>
      </w:r>
      <w:r>
        <w:rPr>
          <w:rFonts w:hint="eastAsia"/>
          <w:color w:val="auto"/>
          <w:sz w:val="21"/>
          <w:szCs w:val="21"/>
          <w:highlight w:val="none"/>
        </w:rPr>
        <w:t>项目</w:t>
      </w:r>
    </w:p>
    <w:p w14:paraId="713CB5C2">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QSZBB250106ZHCS</w:t>
      </w:r>
      <w:r>
        <w:rPr>
          <w:rFonts w:hint="eastAsia"/>
          <w:color w:val="auto"/>
          <w:sz w:val="21"/>
          <w:szCs w:val="21"/>
          <w:highlight w:val="none"/>
        </w:rPr>
        <w:t xml:space="preserve"> </w:t>
      </w:r>
    </w:p>
    <w:tbl>
      <w:tblPr>
        <w:tblStyle w:val="25"/>
        <w:tblW w:w="0" w:type="auto"/>
        <w:jc w:val="center"/>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811"/>
        <w:gridCol w:w="1321"/>
        <w:gridCol w:w="1992"/>
        <w:gridCol w:w="1309"/>
        <w:gridCol w:w="937"/>
        <w:gridCol w:w="1572"/>
        <w:gridCol w:w="1256"/>
      </w:tblGrid>
      <w:tr w14:paraId="03012043">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811" w:type="dxa"/>
            <w:tcBorders>
              <w:tl2br w:val="nil"/>
              <w:tr2bl w:val="nil"/>
            </w:tcBorders>
            <w:vAlign w:val="center"/>
          </w:tcPr>
          <w:p w14:paraId="266DD8AA">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321" w:type="dxa"/>
            <w:tcBorders>
              <w:tl2br w:val="nil"/>
              <w:tr2bl w:val="nil"/>
            </w:tcBorders>
            <w:vAlign w:val="center"/>
          </w:tcPr>
          <w:p w14:paraId="7A924181">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合同甲方</w:t>
            </w:r>
          </w:p>
        </w:tc>
        <w:tc>
          <w:tcPr>
            <w:tcW w:w="1992" w:type="dxa"/>
            <w:tcBorders>
              <w:tl2br w:val="nil"/>
              <w:tr2bl w:val="nil"/>
            </w:tcBorders>
            <w:vAlign w:val="center"/>
          </w:tcPr>
          <w:p w14:paraId="7B109C71">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项目名称</w:t>
            </w:r>
          </w:p>
        </w:tc>
        <w:tc>
          <w:tcPr>
            <w:tcW w:w="1309" w:type="dxa"/>
            <w:tcBorders>
              <w:tl2br w:val="nil"/>
              <w:tr2bl w:val="nil"/>
            </w:tcBorders>
            <w:vAlign w:val="center"/>
          </w:tcPr>
          <w:p w14:paraId="2B8BDA5B">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合同金额</w:t>
            </w:r>
          </w:p>
          <w:p w14:paraId="6C8114BB">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（万元）</w:t>
            </w:r>
          </w:p>
        </w:tc>
        <w:tc>
          <w:tcPr>
            <w:tcW w:w="937" w:type="dxa"/>
            <w:tcBorders>
              <w:tl2br w:val="nil"/>
              <w:tr2bl w:val="nil"/>
            </w:tcBorders>
            <w:vAlign w:val="center"/>
          </w:tcPr>
          <w:p w14:paraId="40F4AB75">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合同签订时间</w:t>
            </w:r>
          </w:p>
        </w:tc>
        <w:tc>
          <w:tcPr>
            <w:tcW w:w="1572" w:type="dxa"/>
            <w:tcBorders>
              <w:tl2br w:val="nil"/>
              <w:tr2bl w:val="nil"/>
            </w:tcBorders>
            <w:vAlign w:val="center"/>
          </w:tcPr>
          <w:p w14:paraId="44104E2B">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合同履行时间</w:t>
            </w:r>
          </w:p>
        </w:tc>
        <w:tc>
          <w:tcPr>
            <w:tcW w:w="1256" w:type="dxa"/>
            <w:tcBorders>
              <w:tl2br w:val="nil"/>
              <w:tr2bl w:val="nil"/>
            </w:tcBorders>
            <w:vAlign w:val="center"/>
          </w:tcPr>
          <w:p w14:paraId="3C933DB9">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附件页码</w:t>
            </w:r>
          </w:p>
        </w:tc>
      </w:tr>
      <w:tr w14:paraId="056D10BE">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11" w:type="dxa"/>
            <w:tcBorders>
              <w:tl2br w:val="nil"/>
              <w:tr2bl w:val="nil"/>
            </w:tcBorders>
            <w:vAlign w:val="center"/>
          </w:tcPr>
          <w:p w14:paraId="7CAD9783">
            <w:pPr>
              <w:adjustRightInd w:val="0"/>
              <w:snapToGrid w:val="0"/>
              <w:spacing w:line="288" w:lineRule="auto"/>
              <w:jc w:val="center"/>
              <w:rPr>
                <w:color w:val="auto"/>
                <w:sz w:val="21"/>
                <w:szCs w:val="21"/>
                <w:highlight w:val="none"/>
              </w:rPr>
            </w:pPr>
          </w:p>
        </w:tc>
        <w:tc>
          <w:tcPr>
            <w:tcW w:w="1321" w:type="dxa"/>
            <w:tcBorders>
              <w:tl2br w:val="nil"/>
              <w:tr2bl w:val="nil"/>
            </w:tcBorders>
            <w:vAlign w:val="center"/>
          </w:tcPr>
          <w:p w14:paraId="72FF8B0F">
            <w:pPr>
              <w:adjustRightInd w:val="0"/>
              <w:snapToGrid w:val="0"/>
              <w:spacing w:line="288" w:lineRule="auto"/>
              <w:jc w:val="center"/>
              <w:rPr>
                <w:color w:val="auto"/>
                <w:sz w:val="21"/>
                <w:szCs w:val="21"/>
                <w:highlight w:val="none"/>
              </w:rPr>
            </w:pPr>
          </w:p>
        </w:tc>
        <w:tc>
          <w:tcPr>
            <w:tcW w:w="1992" w:type="dxa"/>
            <w:tcBorders>
              <w:tl2br w:val="nil"/>
              <w:tr2bl w:val="nil"/>
            </w:tcBorders>
            <w:vAlign w:val="center"/>
          </w:tcPr>
          <w:p w14:paraId="239BD2D2">
            <w:pPr>
              <w:adjustRightInd w:val="0"/>
              <w:snapToGrid w:val="0"/>
              <w:spacing w:line="288" w:lineRule="auto"/>
              <w:jc w:val="center"/>
              <w:rPr>
                <w:color w:val="auto"/>
                <w:sz w:val="21"/>
                <w:szCs w:val="21"/>
                <w:highlight w:val="none"/>
              </w:rPr>
            </w:pPr>
          </w:p>
        </w:tc>
        <w:tc>
          <w:tcPr>
            <w:tcW w:w="1309" w:type="dxa"/>
            <w:tcBorders>
              <w:tl2br w:val="nil"/>
              <w:tr2bl w:val="nil"/>
            </w:tcBorders>
            <w:vAlign w:val="center"/>
          </w:tcPr>
          <w:p w14:paraId="183E9E50">
            <w:pPr>
              <w:adjustRightInd w:val="0"/>
              <w:snapToGrid w:val="0"/>
              <w:spacing w:line="288" w:lineRule="auto"/>
              <w:jc w:val="center"/>
              <w:rPr>
                <w:color w:val="auto"/>
                <w:sz w:val="21"/>
                <w:szCs w:val="21"/>
                <w:highlight w:val="none"/>
              </w:rPr>
            </w:pPr>
          </w:p>
        </w:tc>
        <w:tc>
          <w:tcPr>
            <w:tcW w:w="937" w:type="dxa"/>
            <w:tcBorders>
              <w:tl2br w:val="nil"/>
              <w:tr2bl w:val="nil"/>
            </w:tcBorders>
            <w:vAlign w:val="center"/>
          </w:tcPr>
          <w:p w14:paraId="66488127">
            <w:pPr>
              <w:adjustRightInd w:val="0"/>
              <w:snapToGrid w:val="0"/>
              <w:spacing w:line="288" w:lineRule="auto"/>
              <w:jc w:val="center"/>
              <w:rPr>
                <w:color w:val="auto"/>
                <w:sz w:val="21"/>
                <w:szCs w:val="21"/>
                <w:highlight w:val="none"/>
              </w:rPr>
            </w:pPr>
          </w:p>
        </w:tc>
        <w:tc>
          <w:tcPr>
            <w:tcW w:w="1572" w:type="dxa"/>
            <w:tcBorders>
              <w:tl2br w:val="nil"/>
              <w:tr2bl w:val="nil"/>
            </w:tcBorders>
            <w:vAlign w:val="center"/>
          </w:tcPr>
          <w:p w14:paraId="51397EE2">
            <w:pPr>
              <w:adjustRightInd w:val="0"/>
              <w:snapToGrid w:val="0"/>
              <w:spacing w:line="288" w:lineRule="auto"/>
              <w:jc w:val="center"/>
              <w:rPr>
                <w:color w:val="auto"/>
                <w:sz w:val="21"/>
                <w:szCs w:val="21"/>
                <w:highlight w:val="none"/>
              </w:rPr>
            </w:pPr>
          </w:p>
        </w:tc>
        <w:tc>
          <w:tcPr>
            <w:tcW w:w="1256" w:type="dxa"/>
            <w:tcBorders>
              <w:tl2br w:val="nil"/>
              <w:tr2bl w:val="nil"/>
            </w:tcBorders>
            <w:vAlign w:val="center"/>
          </w:tcPr>
          <w:p w14:paraId="4534D5FC">
            <w:pPr>
              <w:adjustRightInd w:val="0"/>
              <w:snapToGrid w:val="0"/>
              <w:spacing w:line="288" w:lineRule="auto"/>
              <w:jc w:val="center"/>
              <w:rPr>
                <w:color w:val="auto"/>
                <w:sz w:val="21"/>
                <w:szCs w:val="21"/>
                <w:highlight w:val="none"/>
              </w:rPr>
            </w:pPr>
          </w:p>
        </w:tc>
      </w:tr>
      <w:tr w14:paraId="6B1B4BB4">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11" w:type="dxa"/>
            <w:tcBorders>
              <w:tl2br w:val="nil"/>
              <w:tr2bl w:val="nil"/>
            </w:tcBorders>
            <w:vAlign w:val="center"/>
          </w:tcPr>
          <w:p w14:paraId="513567B1">
            <w:pPr>
              <w:adjustRightInd w:val="0"/>
              <w:snapToGrid w:val="0"/>
              <w:spacing w:line="288" w:lineRule="auto"/>
              <w:jc w:val="center"/>
              <w:rPr>
                <w:color w:val="auto"/>
                <w:sz w:val="21"/>
                <w:szCs w:val="21"/>
                <w:highlight w:val="none"/>
              </w:rPr>
            </w:pPr>
          </w:p>
        </w:tc>
        <w:tc>
          <w:tcPr>
            <w:tcW w:w="1321" w:type="dxa"/>
            <w:tcBorders>
              <w:tl2br w:val="nil"/>
              <w:tr2bl w:val="nil"/>
            </w:tcBorders>
            <w:vAlign w:val="center"/>
          </w:tcPr>
          <w:p w14:paraId="51F8689A">
            <w:pPr>
              <w:adjustRightInd w:val="0"/>
              <w:snapToGrid w:val="0"/>
              <w:spacing w:line="288" w:lineRule="auto"/>
              <w:jc w:val="center"/>
              <w:rPr>
                <w:color w:val="auto"/>
                <w:sz w:val="21"/>
                <w:szCs w:val="21"/>
                <w:highlight w:val="none"/>
              </w:rPr>
            </w:pPr>
          </w:p>
        </w:tc>
        <w:tc>
          <w:tcPr>
            <w:tcW w:w="1992" w:type="dxa"/>
            <w:tcBorders>
              <w:tl2br w:val="nil"/>
              <w:tr2bl w:val="nil"/>
            </w:tcBorders>
            <w:vAlign w:val="center"/>
          </w:tcPr>
          <w:p w14:paraId="71F10D93">
            <w:pPr>
              <w:adjustRightInd w:val="0"/>
              <w:snapToGrid w:val="0"/>
              <w:spacing w:line="288" w:lineRule="auto"/>
              <w:jc w:val="center"/>
              <w:rPr>
                <w:color w:val="auto"/>
                <w:sz w:val="21"/>
                <w:szCs w:val="21"/>
                <w:highlight w:val="none"/>
              </w:rPr>
            </w:pPr>
          </w:p>
        </w:tc>
        <w:tc>
          <w:tcPr>
            <w:tcW w:w="1309" w:type="dxa"/>
            <w:tcBorders>
              <w:tl2br w:val="nil"/>
              <w:tr2bl w:val="nil"/>
            </w:tcBorders>
            <w:vAlign w:val="center"/>
          </w:tcPr>
          <w:p w14:paraId="030493E1">
            <w:pPr>
              <w:adjustRightInd w:val="0"/>
              <w:snapToGrid w:val="0"/>
              <w:spacing w:line="288" w:lineRule="auto"/>
              <w:jc w:val="center"/>
              <w:rPr>
                <w:color w:val="auto"/>
                <w:sz w:val="21"/>
                <w:szCs w:val="21"/>
                <w:highlight w:val="none"/>
              </w:rPr>
            </w:pPr>
          </w:p>
        </w:tc>
        <w:tc>
          <w:tcPr>
            <w:tcW w:w="937" w:type="dxa"/>
            <w:tcBorders>
              <w:tl2br w:val="nil"/>
              <w:tr2bl w:val="nil"/>
            </w:tcBorders>
            <w:vAlign w:val="center"/>
          </w:tcPr>
          <w:p w14:paraId="2AB6EB24">
            <w:pPr>
              <w:adjustRightInd w:val="0"/>
              <w:snapToGrid w:val="0"/>
              <w:spacing w:line="288" w:lineRule="auto"/>
              <w:jc w:val="center"/>
              <w:rPr>
                <w:color w:val="auto"/>
                <w:sz w:val="21"/>
                <w:szCs w:val="21"/>
                <w:highlight w:val="none"/>
              </w:rPr>
            </w:pPr>
          </w:p>
        </w:tc>
        <w:tc>
          <w:tcPr>
            <w:tcW w:w="1572" w:type="dxa"/>
            <w:tcBorders>
              <w:tl2br w:val="nil"/>
              <w:tr2bl w:val="nil"/>
            </w:tcBorders>
            <w:vAlign w:val="center"/>
          </w:tcPr>
          <w:p w14:paraId="1377B36C">
            <w:pPr>
              <w:adjustRightInd w:val="0"/>
              <w:snapToGrid w:val="0"/>
              <w:spacing w:line="288" w:lineRule="auto"/>
              <w:jc w:val="center"/>
              <w:rPr>
                <w:color w:val="auto"/>
                <w:sz w:val="21"/>
                <w:szCs w:val="21"/>
                <w:highlight w:val="none"/>
              </w:rPr>
            </w:pPr>
          </w:p>
        </w:tc>
        <w:tc>
          <w:tcPr>
            <w:tcW w:w="1256" w:type="dxa"/>
            <w:tcBorders>
              <w:tl2br w:val="nil"/>
              <w:tr2bl w:val="nil"/>
            </w:tcBorders>
            <w:vAlign w:val="center"/>
          </w:tcPr>
          <w:p w14:paraId="5F1EC1A7">
            <w:pPr>
              <w:adjustRightInd w:val="0"/>
              <w:snapToGrid w:val="0"/>
              <w:spacing w:line="288" w:lineRule="auto"/>
              <w:jc w:val="center"/>
              <w:rPr>
                <w:color w:val="auto"/>
                <w:sz w:val="21"/>
                <w:szCs w:val="21"/>
                <w:highlight w:val="none"/>
              </w:rPr>
            </w:pPr>
          </w:p>
        </w:tc>
      </w:tr>
      <w:tr w14:paraId="638385D9">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11" w:type="dxa"/>
            <w:tcBorders>
              <w:tl2br w:val="nil"/>
              <w:tr2bl w:val="nil"/>
            </w:tcBorders>
            <w:vAlign w:val="center"/>
          </w:tcPr>
          <w:p w14:paraId="7F54AD42">
            <w:pPr>
              <w:adjustRightInd w:val="0"/>
              <w:snapToGrid w:val="0"/>
              <w:spacing w:line="288" w:lineRule="auto"/>
              <w:jc w:val="center"/>
              <w:rPr>
                <w:color w:val="auto"/>
                <w:sz w:val="21"/>
                <w:szCs w:val="21"/>
                <w:highlight w:val="none"/>
              </w:rPr>
            </w:pPr>
          </w:p>
        </w:tc>
        <w:tc>
          <w:tcPr>
            <w:tcW w:w="1321" w:type="dxa"/>
            <w:tcBorders>
              <w:tl2br w:val="nil"/>
              <w:tr2bl w:val="nil"/>
            </w:tcBorders>
            <w:vAlign w:val="center"/>
          </w:tcPr>
          <w:p w14:paraId="09C19189">
            <w:pPr>
              <w:adjustRightInd w:val="0"/>
              <w:snapToGrid w:val="0"/>
              <w:spacing w:line="288" w:lineRule="auto"/>
              <w:jc w:val="center"/>
              <w:rPr>
                <w:color w:val="auto"/>
                <w:sz w:val="21"/>
                <w:szCs w:val="21"/>
                <w:highlight w:val="none"/>
              </w:rPr>
            </w:pPr>
          </w:p>
        </w:tc>
        <w:tc>
          <w:tcPr>
            <w:tcW w:w="1992" w:type="dxa"/>
            <w:tcBorders>
              <w:tl2br w:val="nil"/>
              <w:tr2bl w:val="nil"/>
            </w:tcBorders>
            <w:vAlign w:val="center"/>
          </w:tcPr>
          <w:p w14:paraId="737F40A3">
            <w:pPr>
              <w:adjustRightInd w:val="0"/>
              <w:snapToGrid w:val="0"/>
              <w:spacing w:line="288" w:lineRule="auto"/>
              <w:jc w:val="center"/>
              <w:rPr>
                <w:color w:val="auto"/>
                <w:sz w:val="21"/>
                <w:szCs w:val="21"/>
                <w:highlight w:val="none"/>
              </w:rPr>
            </w:pPr>
          </w:p>
        </w:tc>
        <w:tc>
          <w:tcPr>
            <w:tcW w:w="1309" w:type="dxa"/>
            <w:tcBorders>
              <w:tl2br w:val="nil"/>
              <w:tr2bl w:val="nil"/>
            </w:tcBorders>
            <w:vAlign w:val="center"/>
          </w:tcPr>
          <w:p w14:paraId="1A2B966F">
            <w:pPr>
              <w:adjustRightInd w:val="0"/>
              <w:snapToGrid w:val="0"/>
              <w:spacing w:line="288" w:lineRule="auto"/>
              <w:jc w:val="center"/>
              <w:rPr>
                <w:color w:val="auto"/>
                <w:sz w:val="21"/>
                <w:szCs w:val="21"/>
                <w:highlight w:val="none"/>
              </w:rPr>
            </w:pPr>
          </w:p>
        </w:tc>
        <w:tc>
          <w:tcPr>
            <w:tcW w:w="937" w:type="dxa"/>
            <w:tcBorders>
              <w:tl2br w:val="nil"/>
              <w:tr2bl w:val="nil"/>
            </w:tcBorders>
            <w:vAlign w:val="center"/>
          </w:tcPr>
          <w:p w14:paraId="71075F4B">
            <w:pPr>
              <w:adjustRightInd w:val="0"/>
              <w:snapToGrid w:val="0"/>
              <w:spacing w:line="288" w:lineRule="auto"/>
              <w:jc w:val="center"/>
              <w:rPr>
                <w:color w:val="auto"/>
                <w:sz w:val="21"/>
                <w:szCs w:val="21"/>
                <w:highlight w:val="none"/>
              </w:rPr>
            </w:pPr>
          </w:p>
        </w:tc>
        <w:tc>
          <w:tcPr>
            <w:tcW w:w="1572" w:type="dxa"/>
            <w:tcBorders>
              <w:tl2br w:val="nil"/>
              <w:tr2bl w:val="nil"/>
            </w:tcBorders>
            <w:vAlign w:val="center"/>
          </w:tcPr>
          <w:p w14:paraId="4A2B3BA7">
            <w:pPr>
              <w:adjustRightInd w:val="0"/>
              <w:snapToGrid w:val="0"/>
              <w:spacing w:line="288" w:lineRule="auto"/>
              <w:jc w:val="center"/>
              <w:rPr>
                <w:color w:val="auto"/>
                <w:sz w:val="21"/>
                <w:szCs w:val="21"/>
                <w:highlight w:val="none"/>
              </w:rPr>
            </w:pPr>
          </w:p>
        </w:tc>
        <w:tc>
          <w:tcPr>
            <w:tcW w:w="1256" w:type="dxa"/>
            <w:tcBorders>
              <w:tl2br w:val="nil"/>
              <w:tr2bl w:val="nil"/>
            </w:tcBorders>
            <w:vAlign w:val="center"/>
          </w:tcPr>
          <w:p w14:paraId="68457882">
            <w:pPr>
              <w:adjustRightInd w:val="0"/>
              <w:snapToGrid w:val="0"/>
              <w:spacing w:line="288" w:lineRule="auto"/>
              <w:jc w:val="center"/>
              <w:rPr>
                <w:color w:val="auto"/>
                <w:sz w:val="21"/>
                <w:szCs w:val="21"/>
                <w:highlight w:val="none"/>
              </w:rPr>
            </w:pPr>
          </w:p>
        </w:tc>
      </w:tr>
      <w:tr w14:paraId="7012A147">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811" w:type="dxa"/>
            <w:tcBorders>
              <w:tl2br w:val="nil"/>
              <w:tr2bl w:val="nil"/>
            </w:tcBorders>
            <w:vAlign w:val="center"/>
          </w:tcPr>
          <w:p w14:paraId="0B87D3F4">
            <w:pPr>
              <w:adjustRightInd w:val="0"/>
              <w:snapToGrid w:val="0"/>
              <w:spacing w:line="288" w:lineRule="auto"/>
              <w:jc w:val="center"/>
              <w:rPr>
                <w:color w:val="auto"/>
                <w:sz w:val="21"/>
                <w:szCs w:val="21"/>
                <w:highlight w:val="none"/>
              </w:rPr>
            </w:pPr>
          </w:p>
        </w:tc>
        <w:tc>
          <w:tcPr>
            <w:tcW w:w="1321" w:type="dxa"/>
            <w:tcBorders>
              <w:tl2br w:val="nil"/>
              <w:tr2bl w:val="nil"/>
            </w:tcBorders>
            <w:vAlign w:val="center"/>
          </w:tcPr>
          <w:p w14:paraId="525C659B">
            <w:pPr>
              <w:adjustRightInd w:val="0"/>
              <w:snapToGrid w:val="0"/>
              <w:spacing w:line="288" w:lineRule="auto"/>
              <w:jc w:val="center"/>
              <w:rPr>
                <w:color w:val="auto"/>
                <w:sz w:val="21"/>
                <w:szCs w:val="21"/>
                <w:highlight w:val="none"/>
              </w:rPr>
            </w:pPr>
          </w:p>
        </w:tc>
        <w:tc>
          <w:tcPr>
            <w:tcW w:w="1992" w:type="dxa"/>
            <w:tcBorders>
              <w:tl2br w:val="nil"/>
              <w:tr2bl w:val="nil"/>
            </w:tcBorders>
            <w:vAlign w:val="center"/>
          </w:tcPr>
          <w:p w14:paraId="226CF920">
            <w:pPr>
              <w:adjustRightInd w:val="0"/>
              <w:snapToGrid w:val="0"/>
              <w:spacing w:line="288" w:lineRule="auto"/>
              <w:jc w:val="center"/>
              <w:rPr>
                <w:color w:val="auto"/>
                <w:sz w:val="21"/>
                <w:szCs w:val="21"/>
                <w:highlight w:val="none"/>
              </w:rPr>
            </w:pPr>
          </w:p>
        </w:tc>
        <w:tc>
          <w:tcPr>
            <w:tcW w:w="1309" w:type="dxa"/>
            <w:tcBorders>
              <w:tl2br w:val="nil"/>
              <w:tr2bl w:val="nil"/>
            </w:tcBorders>
            <w:vAlign w:val="center"/>
          </w:tcPr>
          <w:p w14:paraId="4CECD6C5">
            <w:pPr>
              <w:adjustRightInd w:val="0"/>
              <w:snapToGrid w:val="0"/>
              <w:spacing w:line="288" w:lineRule="auto"/>
              <w:jc w:val="center"/>
              <w:rPr>
                <w:color w:val="auto"/>
                <w:sz w:val="21"/>
                <w:szCs w:val="21"/>
                <w:highlight w:val="none"/>
              </w:rPr>
            </w:pPr>
          </w:p>
        </w:tc>
        <w:tc>
          <w:tcPr>
            <w:tcW w:w="937" w:type="dxa"/>
            <w:tcBorders>
              <w:tl2br w:val="nil"/>
              <w:tr2bl w:val="nil"/>
            </w:tcBorders>
            <w:vAlign w:val="center"/>
          </w:tcPr>
          <w:p w14:paraId="45872152">
            <w:pPr>
              <w:adjustRightInd w:val="0"/>
              <w:snapToGrid w:val="0"/>
              <w:spacing w:line="288" w:lineRule="auto"/>
              <w:jc w:val="center"/>
              <w:rPr>
                <w:color w:val="auto"/>
                <w:sz w:val="21"/>
                <w:szCs w:val="21"/>
                <w:highlight w:val="none"/>
              </w:rPr>
            </w:pPr>
          </w:p>
        </w:tc>
        <w:tc>
          <w:tcPr>
            <w:tcW w:w="1572" w:type="dxa"/>
            <w:tcBorders>
              <w:tl2br w:val="nil"/>
              <w:tr2bl w:val="nil"/>
            </w:tcBorders>
            <w:vAlign w:val="center"/>
          </w:tcPr>
          <w:p w14:paraId="37C3E0F2">
            <w:pPr>
              <w:adjustRightInd w:val="0"/>
              <w:snapToGrid w:val="0"/>
              <w:spacing w:line="288" w:lineRule="auto"/>
              <w:jc w:val="center"/>
              <w:rPr>
                <w:color w:val="auto"/>
                <w:sz w:val="21"/>
                <w:szCs w:val="21"/>
                <w:highlight w:val="none"/>
              </w:rPr>
            </w:pPr>
          </w:p>
        </w:tc>
        <w:tc>
          <w:tcPr>
            <w:tcW w:w="1256" w:type="dxa"/>
            <w:tcBorders>
              <w:tl2br w:val="nil"/>
              <w:tr2bl w:val="nil"/>
            </w:tcBorders>
            <w:vAlign w:val="center"/>
          </w:tcPr>
          <w:p w14:paraId="5BA4DFC5">
            <w:pPr>
              <w:adjustRightInd w:val="0"/>
              <w:snapToGrid w:val="0"/>
              <w:spacing w:line="288" w:lineRule="auto"/>
              <w:jc w:val="center"/>
              <w:rPr>
                <w:color w:val="auto"/>
                <w:sz w:val="21"/>
                <w:szCs w:val="21"/>
                <w:highlight w:val="none"/>
              </w:rPr>
            </w:pPr>
          </w:p>
        </w:tc>
      </w:tr>
    </w:tbl>
    <w:p w14:paraId="7FB3D5AE">
      <w:pPr>
        <w:adjustRightInd w:val="0"/>
        <w:snapToGrid w:val="0"/>
        <w:spacing w:line="288" w:lineRule="auto"/>
        <w:rPr>
          <w:color w:val="auto"/>
          <w:sz w:val="21"/>
          <w:szCs w:val="21"/>
          <w:highlight w:val="none"/>
        </w:rPr>
      </w:pPr>
    </w:p>
    <w:p w14:paraId="6F1671BB">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1BCD497F">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14:paraId="1FBAA548">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14:paraId="124B931C">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14:paraId="32D47ED9">
      <w:pPr>
        <w:adjustRightInd w:val="0"/>
        <w:snapToGrid w:val="0"/>
        <w:spacing w:line="288" w:lineRule="auto"/>
        <w:rPr>
          <w:color w:val="auto"/>
          <w:sz w:val="21"/>
          <w:szCs w:val="21"/>
          <w:highlight w:val="none"/>
        </w:rPr>
      </w:pPr>
    </w:p>
    <w:p w14:paraId="105DAE2D">
      <w:pPr>
        <w:adjustRightInd w:val="0"/>
        <w:snapToGrid w:val="0"/>
        <w:spacing w:line="288" w:lineRule="auto"/>
        <w:rPr>
          <w:color w:val="auto"/>
          <w:sz w:val="21"/>
          <w:szCs w:val="21"/>
          <w:highlight w:val="none"/>
        </w:rPr>
      </w:pPr>
    </w:p>
    <w:p w14:paraId="5FAFF26F">
      <w:pPr>
        <w:adjustRightInd w:val="0"/>
        <w:snapToGrid w:val="0"/>
        <w:spacing w:line="288" w:lineRule="auto"/>
        <w:rPr>
          <w:color w:val="auto"/>
          <w:sz w:val="21"/>
          <w:szCs w:val="21"/>
          <w:highlight w:val="none"/>
        </w:rPr>
      </w:pPr>
    </w:p>
    <w:p w14:paraId="7597D002">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0197A3CE">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28D9511A">
      <w:pPr>
        <w:adjustRightInd w:val="0"/>
        <w:snapToGrid w:val="0"/>
        <w:spacing w:line="288" w:lineRule="auto"/>
        <w:rPr>
          <w:b/>
          <w:bCs/>
          <w:color w:val="auto"/>
          <w:sz w:val="21"/>
          <w:szCs w:val="21"/>
          <w:highlight w:val="none"/>
        </w:rPr>
        <w:sectPr>
          <w:pgSz w:w="11906" w:h="16838"/>
          <w:pgMar w:top="1247" w:right="1247" w:bottom="1247" w:left="1247" w:header="0" w:footer="692" w:gutter="0"/>
          <w:pgBorders>
            <w:top w:val="none" w:sz="0" w:space="0"/>
            <w:left w:val="none" w:sz="0" w:space="0"/>
            <w:bottom w:val="none" w:sz="0" w:space="0"/>
            <w:right w:val="none" w:sz="0" w:space="0"/>
          </w:pgBorders>
          <w:cols w:space="720" w:num="1"/>
          <w:docGrid w:type="lines" w:linePitch="312" w:charSpace="0"/>
        </w:sectPr>
      </w:pPr>
    </w:p>
    <w:p w14:paraId="2CF2C1A7">
      <w:pPr>
        <w:adjustRightInd w:val="0"/>
        <w:snapToGrid w:val="0"/>
        <w:spacing w:line="288" w:lineRule="auto"/>
        <w:jc w:val="left"/>
        <w:outlineLvl w:val="1"/>
        <w:rPr>
          <w:b/>
          <w:color w:val="auto"/>
          <w:spacing w:val="-6"/>
          <w:sz w:val="21"/>
          <w:szCs w:val="21"/>
          <w:highlight w:val="none"/>
        </w:rPr>
      </w:pPr>
      <w:r>
        <w:rPr>
          <w:rFonts w:hint="eastAsia"/>
          <w:b/>
          <w:bCs/>
          <w:color w:val="auto"/>
          <w:sz w:val="21"/>
          <w:szCs w:val="21"/>
          <w:highlight w:val="none"/>
        </w:rPr>
        <w:t>六、</w:t>
      </w:r>
      <w:r>
        <w:rPr>
          <w:rFonts w:hint="eastAsia"/>
          <w:b/>
          <w:color w:val="auto"/>
          <w:spacing w:val="-6"/>
          <w:sz w:val="21"/>
          <w:szCs w:val="21"/>
          <w:highlight w:val="none"/>
        </w:rPr>
        <w:t>节能环保产品证明材料</w:t>
      </w:r>
    </w:p>
    <w:p w14:paraId="011ABBD2">
      <w:pPr>
        <w:adjustRightInd w:val="0"/>
        <w:snapToGrid w:val="0"/>
        <w:spacing w:line="288" w:lineRule="auto"/>
        <w:ind w:firstLine="422" w:firstLineChars="200"/>
        <w:jc w:val="left"/>
        <w:rPr>
          <w:b/>
          <w:color w:val="auto"/>
          <w:sz w:val="21"/>
          <w:szCs w:val="21"/>
          <w:highlight w:val="none"/>
        </w:rPr>
      </w:pPr>
      <w:r>
        <w:rPr>
          <w:rFonts w:hint="eastAsia"/>
          <w:b/>
          <w:color w:val="auto"/>
          <w:sz w:val="21"/>
          <w:szCs w:val="21"/>
          <w:highlight w:val="none"/>
        </w:rPr>
        <w:t>说明：响应产品属于品目清单范围且提供国家确定的认证机构出具的有效的节能产品、环境标志产品认证证书（扫描件加盖公章）</w:t>
      </w:r>
    </w:p>
    <w:p w14:paraId="15B4A16D">
      <w:pPr>
        <w:adjustRightInd w:val="0"/>
        <w:snapToGrid w:val="0"/>
        <w:spacing w:line="288" w:lineRule="auto"/>
        <w:ind w:firstLine="420" w:firstLineChars="200"/>
        <w:jc w:val="left"/>
        <w:rPr>
          <w:bCs/>
          <w:color w:val="auto"/>
          <w:sz w:val="21"/>
          <w:szCs w:val="21"/>
          <w:highlight w:val="none"/>
        </w:rPr>
      </w:pPr>
      <w:r>
        <w:rPr>
          <w:rFonts w:hint="eastAsia"/>
          <w:bCs/>
          <w:color w:val="auto"/>
          <w:sz w:val="21"/>
          <w:szCs w:val="21"/>
          <w:highlight w:val="none"/>
        </w:rPr>
        <w:t>1、采购人拟采购的产品属于品目清单范围的，采购人及其委托的采购代理机构将依据国家确定的认证机构出具的、有效的节能产品、环境标志产品认证证书，对获得证书的产品实施政府优先采购或强制采购。</w:t>
      </w:r>
      <w:r>
        <w:rPr>
          <w:rFonts w:hint="eastAsia"/>
          <w:color w:val="auto"/>
          <w:spacing w:val="-6"/>
          <w:sz w:val="21"/>
          <w:szCs w:val="21"/>
          <w:highlight w:val="none"/>
          <w:lang w:bidi="ar"/>
        </w:rPr>
        <w:t>供应商须按采磋商文件要求提供相关产品认证证书。</w:t>
      </w:r>
    </w:p>
    <w:p w14:paraId="780B430F">
      <w:pPr>
        <w:adjustRightInd w:val="0"/>
        <w:snapToGrid w:val="0"/>
        <w:spacing w:line="288" w:lineRule="auto"/>
        <w:ind w:firstLine="420" w:firstLineChars="200"/>
        <w:jc w:val="left"/>
        <w:rPr>
          <w:bCs/>
          <w:color w:val="auto"/>
          <w:sz w:val="21"/>
          <w:szCs w:val="21"/>
          <w:highlight w:val="none"/>
        </w:rPr>
      </w:pPr>
      <w:r>
        <w:rPr>
          <w:rFonts w:hint="eastAsia"/>
          <w:bCs/>
          <w:color w:val="auto"/>
          <w:sz w:val="21"/>
          <w:szCs w:val="21"/>
          <w:highlight w:val="none"/>
        </w:rPr>
        <w:t>2、▲采购人拟采购的产品属于政府强制采购的节能产品品目清单范围的，供应商未按磋商文件要求提供国家确定的认证机构出具的、有效的节能产品认证证书的，响应无效。</w:t>
      </w:r>
    </w:p>
    <w:p w14:paraId="7D6F5A0D">
      <w:pPr>
        <w:spacing w:line="288" w:lineRule="auto"/>
        <w:rPr>
          <w:color w:val="auto"/>
          <w:sz w:val="21"/>
          <w:szCs w:val="21"/>
          <w:highlight w:val="none"/>
        </w:rPr>
      </w:pPr>
    </w:p>
    <w:p w14:paraId="565F6E21">
      <w:pPr>
        <w:adjustRightInd w:val="0"/>
        <w:snapToGrid w:val="0"/>
        <w:spacing w:line="288" w:lineRule="auto"/>
        <w:rPr>
          <w:b/>
          <w:bCs/>
          <w:color w:val="auto"/>
          <w:sz w:val="21"/>
          <w:szCs w:val="21"/>
          <w:highlight w:val="none"/>
        </w:rPr>
      </w:pPr>
    </w:p>
    <w:p w14:paraId="50309DB7">
      <w:pPr>
        <w:adjustRightInd w:val="0"/>
        <w:snapToGrid w:val="0"/>
        <w:spacing w:line="288" w:lineRule="auto"/>
        <w:rPr>
          <w:b/>
          <w:bCs/>
          <w:color w:val="auto"/>
          <w:sz w:val="21"/>
          <w:szCs w:val="21"/>
          <w:highlight w:val="none"/>
        </w:rPr>
      </w:pPr>
    </w:p>
    <w:p w14:paraId="4CF34C48">
      <w:pPr>
        <w:adjustRightInd w:val="0"/>
        <w:snapToGrid w:val="0"/>
        <w:spacing w:line="288" w:lineRule="auto"/>
        <w:jc w:val="left"/>
        <w:outlineLvl w:val="1"/>
        <w:rPr>
          <w:b/>
          <w:bCs/>
          <w:color w:val="auto"/>
          <w:sz w:val="21"/>
          <w:szCs w:val="21"/>
          <w:highlight w:val="none"/>
        </w:rPr>
      </w:pPr>
      <w:r>
        <w:rPr>
          <w:rFonts w:hint="eastAsia"/>
          <w:b/>
          <w:bCs/>
          <w:color w:val="auto"/>
          <w:sz w:val="21"/>
          <w:szCs w:val="21"/>
          <w:highlight w:val="none"/>
        </w:rPr>
        <w:br w:type="page"/>
      </w:r>
      <w:bookmarkStart w:id="162" w:name="_Toc16143"/>
      <w:r>
        <w:rPr>
          <w:rFonts w:hint="eastAsia"/>
          <w:b/>
          <w:bCs/>
          <w:color w:val="auto"/>
          <w:sz w:val="21"/>
          <w:szCs w:val="21"/>
          <w:highlight w:val="none"/>
        </w:rPr>
        <w:t>七、技术</w:t>
      </w:r>
      <w:bookmarkEnd w:id="162"/>
      <w:r>
        <w:rPr>
          <w:rFonts w:hint="eastAsia"/>
          <w:b/>
          <w:bCs/>
          <w:color w:val="auto"/>
          <w:sz w:val="21"/>
          <w:szCs w:val="21"/>
          <w:highlight w:val="none"/>
        </w:rPr>
        <w:t>方案</w:t>
      </w:r>
    </w:p>
    <w:p w14:paraId="7C019ED7">
      <w:pPr>
        <w:adjustRightInd w:val="0"/>
        <w:snapToGrid w:val="0"/>
        <w:spacing w:line="288" w:lineRule="auto"/>
        <w:outlineLvl w:val="2"/>
        <w:rPr>
          <w:b/>
          <w:bCs/>
          <w:color w:val="auto"/>
          <w:sz w:val="21"/>
          <w:szCs w:val="21"/>
          <w:highlight w:val="none"/>
        </w:rPr>
      </w:pPr>
      <w:r>
        <w:rPr>
          <w:rFonts w:hint="eastAsia"/>
          <w:color w:val="auto"/>
          <w:sz w:val="21"/>
          <w:szCs w:val="21"/>
          <w:highlight w:val="none"/>
        </w:rPr>
        <w:t>1</w:t>
      </w:r>
      <w:r>
        <w:rPr>
          <w:rFonts w:hint="eastAsia"/>
          <w:b/>
          <w:bCs/>
          <w:color w:val="auto"/>
          <w:sz w:val="21"/>
          <w:szCs w:val="21"/>
          <w:highlight w:val="none"/>
        </w:rPr>
        <w:t>、产品功能及配置</w:t>
      </w:r>
    </w:p>
    <w:p w14:paraId="5E6D2E0E">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货物配置清单（不含报价）</w:t>
      </w:r>
    </w:p>
    <w:p w14:paraId="144D6106">
      <w:pPr>
        <w:adjustRightInd w:val="0"/>
        <w:snapToGrid w:val="0"/>
        <w:spacing w:line="288" w:lineRule="auto"/>
        <w:rPr>
          <w:color w:val="auto"/>
          <w:sz w:val="21"/>
          <w:szCs w:val="21"/>
          <w:highlight w:val="none"/>
        </w:rPr>
      </w:pPr>
      <w:r>
        <w:rPr>
          <w:rFonts w:hint="eastAsia"/>
          <w:color w:val="auto"/>
          <w:sz w:val="21"/>
          <w:szCs w:val="21"/>
          <w:highlight w:val="none"/>
        </w:rPr>
        <w:t>采 购 人：浙江树人学院</w:t>
      </w:r>
    </w:p>
    <w:p w14:paraId="62FFDADC">
      <w:pPr>
        <w:adjustRightInd w:val="0"/>
        <w:snapToGrid w:val="0"/>
        <w:spacing w:line="288" w:lineRule="auto"/>
        <w:rPr>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后勤智慧餐厅与仓储管理系统</w:t>
      </w:r>
      <w:r>
        <w:rPr>
          <w:rFonts w:hint="eastAsia"/>
          <w:color w:val="auto"/>
          <w:sz w:val="21"/>
          <w:szCs w:val="21"/>
          <w:highlight w:val="none"/>
        </w:rPr>
        <w:t>项目</w:t>
      </w:r>
    </w:p>
    <w:p w14:paraId="56596DD9">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QSZBB250106ZHCS</w:t>
      </w:r>
      <w:r>
        <w:rPr>
          <w:rFonts w:hint="eastAsia"/>
          <w:color w:val="auto"/>
          <w:sz w:val="21"/>
          <w:szCs w:val="21"/>
          <w:highlight w:val="none"/>
        </w:rPr>
        <w:t xml:space="preserve">  </w:t>
      </w:r>
    </w:p>
    <w:tbl>
      <w:tblPr>
        <w:tblStyle w:val="25"/>
        <w:tblW w:w="4998" w:type="pct"/>
        <w:tblInd w:w="0" w:type="dxa"/>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autofit"/>
        <w:tblCellMar>
          <w:top w:w="0" w:type="dxa"/>
          <w:left w:w="108" w:type="dxa"/>
          <w:bottom w:w="0" w:type="dxa"/>
          <w:right w:w="108" w:type="dxa"/>
        </w:tblCellMar>
      </w:tblPr>
      <w:tblGrid>
        <w:gridCol w:w="659"/>
        <w:gridCol w:w="1717"/>
        <w:gridCol w:w="942"/>
        <w:gridCol w:w="2069"/>
        <w:gridCol w:w="703"/>
        <w:gridCol w:w="703"/>
        <w:gridCol w:w="942"/>
        <w:gridCol w:w="1889"/>
      </w:tblGrid>
      <w:tr w14:paraId="06495832">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1189" w:hRule="atLeast"/>
        </w:trPr>
        <w:tc>
          <w:tcPr>
            <w:tcW w:w="342" w:type="pct"/>
            <w:tcBorders>
              <w:tl2br w:val="nil"/>
              <w:tr2bl w:val="nil"/>
            </w:tcBorders>
            <w:shd w:val="clear" w:color="auto" w:fill="FDEADA"/>
            <w:vAlign w:val="center"/>
          </w:tcPr>
          <w:p w14:paraId="752F2874">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891" w:type="pct"/>
            <w:tcBorders>
              <w:tl2br w:val="nil"/>
              <w:tr2bl w:val="nil"/>
            </w:tcBorders>
            <w:shd w:val="clear" w:color="auto" w:fill="FDEADA"/>
            <w:vAlign w:val="center"/>
          </w:tcPr>
          <w:p w14:paraId="05B0C2CA">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货物名称</w:t>
            </w:r>
          </w:p>
        </w:tc>
        <w:tc>
          <w:tcPr>
            <w:tcW w:w="489" w:type="pct"/>
            <w:tcBorders>
              <w:tl2br w:val="nil"/>
              <w:tr2bl w:val="nil"/>
            </w:tcBorders>
            <w:shd w:val="clear" w:color="auto" w:fill="FDEADA"/>
            <w:vAlign w:val="center"/>
          </w:tcPr>
          <w:p w14:paraId="59EAE5B9">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品牌</w:t>
            </w:r>
          </w:p>
        </w:tc>
        <w:tc>
          <w:tcPr>
            <w:tcW w:w="1074" w:type="pct"/>
            <w:tcBorders>
              <w:tl2br w:val="nil"/>
              <w:tr2bl w:val="nil"/>
            </w:tcBorders>
            <w:shd w:val="clear" w:color="auto" w:fill="FDEADA"/>
            <w:vAlign w:val="center"/>
          </w:tcPr>
          <w:p w14:paraId="1D3FB2A1">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规格型号</w:t>
            </w:r>
          </w:p>
          <w:p w14:paraId="49D1349B">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或具体服务</w:t>
            </w:r>
          </w:p>
        </w:tc>
        <w:tc>
          <w:tcPr>
            <w:tcW w:w="365" w:type="pct"/>
            <w:tcBorders>
              <w:tl2br w:val="nil"/>
              <w:tr2bl w:val="nil"/>
            </w:tcBorders>
            <w:shd w:val="clear" w:color="auto" w:fill="FDEADA"/>
            <w:vAlign w:val="center"/>
          </w:tcPr>
          <w:p w14:paraId="58D505C7">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制造商</w:t>
            </w:r>
          </w:p>
        </w:tc>
        <w:tc>
          <w:tcPr>
            <w:tcW w:w="365" w:type="pct"/>
            <w:tcBorders>
              <w:tl2br w:val="nil"/>
              <w:tr2bl w:val="nil"/>
            </w:tcBorders>
            <w:shd w:val="clear" w:color="auto" w:fill="FDEADA"/>
            <w:vAlign w:val="center"/>
          </w:tcPr>
          <w:p w14:paraId="2249905B">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产地</w:t>
            </w:r>
          </w:p>
        </w:tc>
        <w:tc>
          <w:tcPr>
            <w:tcW w:w="489" w:type="pct"/>
            <w:tcBorders>
              <w:tl2br w:val="nil"/>
              <w:tr2bl w:val="nil"/>
            </w:tcBorders>
            <w:shd w:val="clear" w:color="auto" w:fill="FDEADA"/>
            <w:vAlign w:val="center"/>
          </w:tcPr>
          <w:p w14:paraId="655999EA">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980" w:type="pct"/>
            <w:tcBorders>
              <w:tl2br w:val="nil"/>
              <w:tr2bl w:val="nil"/>
            </w:tcBorders>
            <w:shd w:val="clear" w:color="auto" w:fill="FDEADA"/>
            <w:vAlign w:val="center"/>
          </w:tcPr>
          <w:p w14:paraId="7B07D130">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配置（可另附页）</w:t>
            </w:r>
          </w:p>
        </w:tc>
      </w:tr>
      <w:tr w14:paraId="35594005">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342" w:type="pct"/>
            <w:tcBorders>
              <w:tl2br w:val="nil"/>
              <w:tr2bl w:val="nil"/>
            </w:tcBorders>
            <w:shd w:val="clear" w:color="auto" w:fill="auto"/>
            <w:vAlign w:val="center"/>
          </w:tcPr>
          <w:p w14:paraId="0CCF2163">
            <w:pPr>
              <w:spacing w:line="288" w:lineRule="auto"/>
              <w:jc w:val="center"/>
              <w:rPr>
                <w:color w:val="auto"/>
                <w:sz w:val="21"/>
                <w:szCs w:val="21"/>
                <w:highlight w:val="none"/>
              </w:rPr>
            </w:pPr>
            <w:r>
              <w:rPr>
                <w:rFonts w:hint="eastAsia"/>
                <w:color w:val="auto"/>
                <w:sz w:val="21"/>
                <w:szCs w:val="21"/>
                <w:highlight w:val="none"/>
              </w:rPr>
              <w:t>1</w:t>
            </w:r>
          </w:p>
        </w:tc>
        <w:tc>
          <w:tcPr>
            <w:tcW w:w="891" w:type="pct"/>
            <w:tcBorders>
              <w:tl2br w:val="nil"/>
              <w:tr2bl w:val="nil"/>
            </w:tcBorders>
            <w:shd w:val="clear" w:color="auto" w:fill="auto"/>
            <w:vAlign w:val="center"/>
          </w:tcPr>
          <w:p w14:paraId="36656AD1">
            <w:pPr>
              <w:spacing w:line="288" w:lineRule="auto"/>
              <w:jc w:val="center"/>
              <w:rPr>
                <w:color w:val="auto"/>
                <w:sz w:val="21"/>
                <w:szCs w:val="21"/>
                <w:highlight w:val="none"/>
              </w:rPr>
            </w:pPr>
          </w:p>
        </w:tc>
        <w:tc>
          <w:tcPr>
            <w:tcW w:w="489" w:type="pct"/>
            <w:tcBorders>
              <w:tl2br w:val="nil"/>
              <w:tr2bl w:val="nil"/>
            </w:tcBorders>
            <w:shd w:val="clear" w:color="auto" w:fill="FFFFFF"/>
            <w:vAlign w:val="center"/>
          </w:tcPr>
          <w:p w14:paraId="35BFE6F5">
            <w:pPr>
              <w:adjustRightInd w:val="0"/>
              <w:snapToGrid w:val="0"/>
              <w:spacing w:line="288" w:lineRule="auto"/>
              <w:jc w:val="center"/>
              <w:rPr>
                <w:b/>
                <w:bCs/>
                <w:color w:val="auto"/>
                <w:sz w:val="21"/>
                <w:szCs w:val="21"/>
                <w:highlight w:val="none"/>
              </w:rPr>
            </w:pPr>
          </w:p>
        </w:tc>
        <w:tc>
          <w:tcPr>
            <w:tcW w:w="1074" w:type="pct"/>
            <w:tcBorders>
              <w:tl2br w:val="nil"/>
              <w:tr2bl w:val="nil"/>
            </w:tcBorders>
            <w:shd w:val="clear" w:color="auto" w:fill="FFFFFF"/>
            <w:vAlign w:val="center"/>
          </w:tcPr>
          <w:p w14:paraId="09AFC580">
            <w:pPr>
              <w:adjustRightInd w:val="0"/>
              <w:snapToGrid w:val="0"/>
              <w:spacing w:line="288" w:lineRule="auto"/>
              <w:jc w:val="center"/>
              <w:rPr>
                <w:b/>
                <w:bCs/>
                <w:color w:val="auto"/>
                <w:sz w:val="21"/>
                <w:szCs w:val="21"/>
                <w:highlight w:val="none"/>
              </w:rPr>
            </w:pPr>
          </w:p>
        </w:tc>
        <w:tc>
          <w:tcPr>
            <w:tcW w:w="365" w:type="pct"/>
            <w:tcBorders>
              <w:tl2br w:val="nil"/>
              <w:tr2bl w:val="nil"/>
            </w:tcBorders>
            <w:shd w:val="clear" w:color="auto" w:fill="FFFFFF"/>
            <w:vAlign w:val="center"/>
          </w:tcPr>
          <w:p w14:paraId="06FC2282">
            <w:pPr>
              <w:adjustRightInd w:val="0"/>
              <w:snapToGrid w:val="0"/>
              <w:spacing w:line="288" w:lineRule="auto"/>
              <w:jc w:val="center"/>
              <w:rPr>
                <w:b/>
                <w:bCs/>
                <w:color w:val="auto"/>
                <w:sz w:val="21"/>
                <w:szCs w:val="21"/>
                <w:highlight w:val="none"/>
              </w:rPr>
            </w:pPr>
          </w:p>
        </w:tc>
        <w:tc>
          <w:tcPr>
            <w:tcW w:w="365" w:type="pct"/>
            <w:tcBorders>
              <w:tl2br w:val="nil"/>
              <w:tr2bl w:val="nil"/>
            </w:tcBorders>
            <w:shd w:val="clear" w:color="auto" w:fill="FFFFFF"/>
            <w:vAlign w:val="center"/>
          </w:tcPr>
          <w:p w14:paraId="712B9083">
            <w:pPr>
              <w:adjustRightInd w:val="0"/>
              <w:snapToGrid w:val="0"/>
              <w:spacing w:line="288" w:lineRule="auto"/>
              <w:jc w:val="center"/>
              <w:rPr>
                <w:b/>
                <w:bCs/>
                <w:color w:val="auto"/>
                <w:sz w:val="21"/>
                <w:szCs w:val="21"/>
                <w:highlight w:val="none"/>
              </w:rPr>
            </w:pPr>
          </w:p>
        </w:tc>
        <w:tc>
          <w:tcPr>
            <w:tcW w:w="489" w:type="pct"/>
            <w:tcBorders>
              <w:tl2br w:val="nil"/>
              <w:tr2bl w:val="nil"/>
            </w:tcBorders>
            <w:shd w:val="clear" w:color="auto" w:fill="FFFFFF"/>
            <w:vAlign w:val="center"/>
          </w:tcPr>
          <w:p w14:paraId="55355920">
            <w:pPr>
              <w:adjustRightInd w:val="0"/>
              <w:snapToGrid w:val="0"/>
              <w:spacing w:line="288" w:lineRule="auto"/>
              <w:jc w:val="center"/>
              <w:rPr>
                <w:b/>
                <w:bCs/>
                <w:color w:val="auto"/>
                <w:sz w:val="21"/>
                <w:szCs w:val="21"/>
                <w:highlight w:val="none"/>
              </w:rPr>
            </w:pPr>
          </w:p>
        </w:tc>
        <w:tc>
          <w:tcPr>
            <w:tcW w:w="980" w:type="pct"/>
            <w:tcBorders>
              <w:tl2br w:val="nil"/>
              <w:tr2bl w:val="nil"/>
            </w:tcBorders>
            <w:vAlign w:val="center"/>
          </w:tcPr>
          <w:p w14:paraId="6557D617">
            <w:pPr>
              <w:adjustRightInd w:val="0"/>
              <w:snapToGrid w:val="0"/>
              <w:spacing w:line="288" w:lineRule="auto"/>
              <w:jc w:val="center"/>
              <w:rPr>
                <w:b/>
                <w:bCs/>
                <w:color w:val="auto"/>
                <w:sz w:val="21"/>
                <w:szCs w:val="21"/>
                <w:highlight w:val="none"/>
              </w:rPr>
            </w:pPr>
          </w:p>
        </w:tc>
      </w:tr>
      <w:tr w14:paraId="0C8E2E59">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342" w:type="pct"/>
            <w:tcBorders>
              <w:tl2br w:val="nil"/>
              <w:tr2bl w:val="nil"/>
            </w:tcBorders>
            <w:shd w:val="clear" w:color="auto" w:fill="auto"/>
            <w:vAlign w:val="center"/>
          </w:tcPr>
          <w:p w14:paraId="5ECC0AE9">
            <w:pPr>
              <w:spacing w:line="288" w:lineRule="auto"/>
              <w:jc w:val="center"/>
              <w:rPr>
                <w:color w:val="auto"/>
                <w:sz w:val="21"/>
                <w:szCs w:val="21"/>
                <w:highlight w:val="none"/>
              </w:rPr>
            </w:pPr>
            <w:r>
              <w:rPr>
                <w:rFonts w:hint="eastAsia"/>
                <w:color w:val="auto"/>
                <w:sz w:val="21"/>
                <w:szCs w:val="21"/>
                <w:highlight w:val="none"/>
              </w:rPr>
              <w:t>2</w:t>
            </w:r>
          </w:p>
        </w:tc>
        <w:tc>
          <w:tcPr>
            <w:tcW w:w="891" w:type="pct"/>
            <w:tcBorders>
              <w:tl2br w:val="nil"/>
              <w:tr2bl w:val="nil"/>
            </w:tcBorders>
            <w:shd w:val="clear" w:color="auto" w:fill="auto"/>
            <w:vAlign w:val="center"/>
          </w:tcPr>
          <w:p w14:paraId="1FD334EB">
            <w:pPr>
              <w:spacing w:line="288" w:lineRule="auto"/>
              <w:jc w:val="center"/>
              <w:rPr>
                <w:color w:val="auto"/>
                <w:sz w:val="21"/>
                <w:szCs w:val="21"/>
                <w:highlight w:val="none"/>
              </w:rPr>
            </w:pPr>
          </w:p>
        </w:tc>
        <w:tc>
          <w:tcPr>
            <w:tcW w:w="489" w:type="pct"/>
            <w:tcBorders>
              <w:tl2br w:val="nil"/>
              <w:tr2bl w:val="nil"/>
            </w:tcBorders>
            <w:shd w:val="clear" w:color="auto" w:fill="FFFFFF"/>
            <w:vAlign w:val="center"/>
          </w:tcPr>
          <w:p w14:paraId="6C6C97B7">
            <w:pPr>
              <w:adjustRightInd w:val="0"/>
              <w:snapToGrid w:val="0"/>
              <w:spacing w:line="288" w:lineRule="auto"/>
              <w:jc w:val="center"/>
              <w:rPr>
                <w:b/>
                <w:bCs/>
                <w:color w:val="auto"/>
                <w:sz w:val="21"/>
                <w:szCs w:val="21"/>
                <w:highlight w:val="none"/>
              </w:rPr>
            </w:pPr>
          </w:p>
        </w:tc>
        <w:tc>
          <w:tcPr>
            <w:tcW w:w="1074" w:type="pct"/>
            <w:tcBorders>
              <w:tl2br w:val="nil"/>
              <w:tr2bl w:val="nil"/>
            </w:tcBorders>
            <w:shd w:val="clear" w:color="auto" w:fill="FFFFFF"/>
            <w:vAlign w:val="center"/>
          </w:tcPr>
          <w:p w14:paraId="7567F8BC">
            <w:pPr>
              <w:adjustRightInd w:val="0"/>
              <w:snapToGrid w:val="0"/>
              <w:spacing w:line="288" w:lineRule="auto"/>
              <w:jc w:val="center"/>
              <w:rPr>
                <w:b/>
                <w:bCs/>
                <w:color w:val="auto"/>
                <w:sz w:val="21"/>
                <w:szCs w:val="21"/>
                <w:highlight w:val="none"/>
              </w:rPr>
            </w:pPr>
          </w:p>
        </w:tc>
        <w:tc>
          <w:tcPr>
            <w:tcW w:w="365" w:type="pct"/>
            <w:tcBorders>
              <w:tl2br w:val="nil"/>
              <w:tr2bl w:val="nil"/>
            </w:tcBorders>
            <w:shd w:val="clear" w:color="auto" w:fill="FFFFFF"/>
            <w:vAlign w:val="center"/>
          </w:tcPr>
          <w:p w14:paraId="7DBA6B76">
            <w:pPr>
              <w:adjustRightInd w:val="0"/>
              <w:snapToGrid w:val="0"/>
              <w:spacing w:line="288" w:lineRule="auto"/>
              <w:jc w:val="center"/>
              <w:rPr>
                <w:b/>
                <w:bCs/>
                <w:color w:val="auto"/>
                <w:sz w:val="21"/>
                <w:szCs w:val="21"/>
                <w:highlight w:val="none"/>
              </w:rPr>
            </w:pPr>
          </w:p>
        </w:tc>
        <w:tc>
          <w:tcPr>
            <w:tcW w:w="365" w:type="pct"/>
            <w:tcBorders>
              <w:tl2br w:val="nil"/>
              <w:tr2bl w:val="nil"/>
            </w:tcBorders>
            <w:shd w:val="clear" w:color="auto" w:fill="FFFFFF"/>
            <w:vAlign w:val="center"/>
          </w:tcPr>
          <w:p w14:paraId="461E3796">
            <w:pPr>
              <w:adjustRightInd w:val="0"/>
              <w:snapToGrid w:val="0"/>
              <w:spacing w:line="288" w:lineRule="auto"/>
              <w:jc w:val="center"/>
              <w:rPr>
                <w:b/>
                <w:bCs/>
                <w:color w:val="auto"/>
                <w:sz w:val="21"/>
                <w:szCs w:val="21"/>
                <w:highlight w:val="none"/>
              </w:rPr>
            </w:pPr>
          </w:p>
        </w:tc>
        <w:tc>
          <w:tcPr>
            <w:tcW w:w="489" w:type="pct"/>
            <w:tcBorders>
              <w:tl2br w:val="nil"/>
              <w:tr2bl w:val="nil"/>
            </w:tcBorders>
            <w:shd w:val="clear" w:color="auto" w:fill="FFFFFF"/>
            <w:vAlign w:val="center"/>
          </w:tcPr>
          <w:p w14:paraId="018506C9">
            <w:pPr>
              <w:adjustRightInd w:val="0"/>
              <w:snapToGrid w:val="0"/>
              <w:spacing w:line="288" w:lineRule="auto"/>
              <w:jc w:val="center"/>
              <w:rPr>
                <w:b/>
                <w:bCs/>
                <w:color w:val="auto"/>
                <w:sz w:val="21"/>
                <w:szCs w:val="21"/>
                <w:highlight w:val="none"/>
              </w:rPr>
            </w:pPr>
          </w:p>
        </w:tc>
        <w:tc>
          <w:tcPr>
            <w:tcW w:w="980" w:type="pct"/>
            <w:tcBorders>
              <w:tl2br w:val="nil"/>
              <w:tr2bl w:val="nil"/>
            </w:tcBorders>
            <w:vAlign w:val="center"/>
          </w:tcPr>
          <w:p w14:paraId="06369A23">
            <w:pPr>
              <w:adjustRightInd w:val="0"/>
              <w:snapToGrid w:val="0"/>
              <w:spacing w:line="288" w:lineRule="auto"/>
              <w:jc w:val="center"/>
              <w:rPr>
                <w:b/>
                <w:bCs/>
                <w:color w:val="auto"/>
                <w:sz w:val="21"/>
                <w:szCs w:val="21"/>
                <w:highlight w:val="none"/>
              </w:rPr>
            </w:pPr>
          </w:p>
        </w:tc>
      </w:tr>
      <w:tr w14:paraId="5F1CBC1F">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342" w:type="pct"/>
            <w:tcBorders>
              <w:tl2br w:val="nil"/>
              <w:tr2bl w:val="nil"/>
            </w:tcBorders>
            <w:shd w:val="clear" w:color="auto" w:fill="auto"/>
            <w:vAlign w:val="center"/>
          </w:tcPr>
          <w:p w14:paraId="31A9D253">
            <w:pPr>
              <w:spacing w:line="288" w:lineRule="auto"/>
              <w:jc w:val="center"/>
              <w:rPr>
                <w:color w:val="auto"/>
                <w:sz w:val="21"/>
                <w:szCs w:val="21"/>
                <w:highlight w:val="none"/>
              </w:rPr>
            </w:pPr>
            <w:r>
              <w:rPr>
                <w:rFonts w:hint="eastAsia"/>
                <w:color w:val="auto"/>
                <w:sz w:val="21"/>
                <w:szCs w:val="21"/>
                <w:highlight w:val="none"/>
              </w:rPr>
              <w:t>3</w:t>
            </w:r>
          </w:p>
        </w:tc>
        <w:tc>
          <w:tcPr>
            <w:tcW w:w="891" w:type="pct"/>
            <w:tcBorders>
              <w:tl2br w:val="nil"/>
              <w:tr2bl w:val="nil"/>
            </w:tcBorders>
            <w:shd w:val="clear" w:color="auto" w:fill="auto"/>
            <w:vAlign w:val="center"/>
          </w:tcPr>
          <w:p w14:paraId="1FA4C0E4">
            <w:pPr>
              <w:spacing w:line="288" w:lineRule="auto"/>
              <w:jc w:val="center"/>
              <w:rPr>
                <w:color w:val="auto"/>
                <w:sz w:val="21"/>
                <w:szCs w:val="21"/>
                <w:highlight w:val="none"/>
              </w:rPr>
            </w:pPr>
          </w:p>
        </w:tc>
        <w:tc>
          <w:tcPr>
            <w:tcW w:w="489" w:type="pct"/>
            <w:tcBorders>
              <w:tl2br w:val="nil"/>
              <w:tr2bl w:val="nil"/>
            </w:tcBorders>
            <w:shd w:val="clear" w:color="auto" w:fill="FFFFFF"/>
            <w:vAlign w:val="center"/>
          </w:tcPr>
          <w:p w14:paraId="1FA5A95A">
            <w:pPr>
              <w:adjustRightInd w:val="0"/>
              <w:snapToGrid w:val="0"/>
              <w:spacing w:line="288" w:lineRule="auto"/>
              <w:jc w:val="center"/>
              <w:rPr>
                <w:b/>
                <w:bCs/>
                <w:color w:val="auto"/>
                <w:sz w:val="21"/>
                <w:szCs w:val="21"/>
                <w:highlight w:val="none"/>
              </w:rPr>
            </w:pPr>
          </w:p>
        </w:tc>
        <w:tc>
          <w:tcPr>
            <w:tcW w:w="1074" w:type="pct"/>
            <w:tcBorders>
              <w:tl2br w:val="nil"/>
              <w:tr2bl w:val="nil"/>
            </w:tcBorders>
            <w:shd w:val="clear" w:color="auto" w:fill="FFFFFF"/>
            <w:vAlign w:val="center"/>
          </w:tcPr>
          <w:p w14:paraId="6ABCD76E">
            <w:pPr>
              <w:adjustRightInd w:val="0"/>
              <w:snapToGrid w:val="0"/>
              <w:spacing w:line="288" w:lineRule="auto"/>
              <w:jc w:val="center"/>
              <w:rPr>
                <w:b/>
                <w:bCs/>
                <w:color w:val="auto"/>
                <w:sz w:val="21"/>
                <w:szCs w:val="21"/>
                <w:highlight w:val="none"/>
              </w:rPr>
            </w:pPr>
          </w:p>
        </w:tc>
        <w:tc>
          <w:tcPr>
            <w:tcW w:w="365" w:type="pct"/>
            <w:tcBorders>
              <w:tl2br w:val="nil"/>
              <w:tr2bl w:val="nil"/>
            </w:tcBorders>
            <w:shd w:val="clear" w:color="auto" w:fill="FFFFFF"/>
            <w:vAlign w:val="center"/>
          </w:tcPr>
          <w:p w14:paraId="3590FE87">
            <w:pPr>
              <w:adjustRightInd w:val="0"/>
              <w:snapToGrid w:val="0"/>
              <w:spacing w:line="288" w:lineRule="auto"/>
              <w:jc w:val="center"/>
              <w:rPr>
                <w:b/>
                <w:bCs/>
                <w:color w:val="auto"/>
                <w:sz w:val="21"/>
                <w:szCs w:val="21"/>
                <w:highlight w:val="none"/>
              </w:rPr>
            </w:pPr>
          </w:p>
        </w:tc>
        <w:tc>
          <w:tcPr>
            <w:tcW w:w="365" w:type="pct"/>
            <w:tcBorders>
              <w:tl2br w:val="nil"/>
              <w:tr2bl w:val="nil"/>
            </w:tcBorders>
            <w:shd w:val="clear" w:color="auto" w:fill="FFFFFF"/>
            <w:vAlign w:val="center"/>
          </w:tcPr>
          <w:p w14:paraId="5E6FEFF0">
            <w:pPr>
              <w:adjustRightInd w:val="0"/>
              <w:snapToGrid w:val="0"/>
              <w:spacing w:line="288" w:lineRule="auto"/>
              <w:jc w:val="center"/>
              <w:rPr>
                <w:b/>
                <w:bCs/>
                <w:color w:val="auto"/>
                <w:sz w:val="21"/>
                <w:szCs w:val="21"/>
                <w:highlight w:val="none"/>
              </w:rPr>
            </w:pPr>
          </w:p>
        </w:tc>
        <w:tc>
          <w:tcPr>
            <w:tcW w:w="489" w:type="pct"/>
            <w:tcBorders>
              <w:tl2br w:val="nil"/>
              <w:tr2bl w:val="nil"/>
            </w:tcBorders>
            <w:shd w:val="clear" w:color="auto" w:fill="FFFFFF"/>
            <w:vAlign w:val="center"/>
          </w:tcPr>
          <w:p w14:paraId="26F7A0F7">
            <w:pPr>
              <w:adjustRightInd w:val="0"/>
              <w:snapToGrid w:val="0"/>
              <w:spacing w:line="288" w:lineRule="auto"/>
              <w:jc w:val="center"/>
              <w:rPr>
                <w:b/>
                <w:bCs/>
                <w:color w:val="auto"/>
                <w:sz w:val="21"/>
                <w:szCs w:val="21"/>
                <w:highlight w:val="none"/>
              </w:rPr>
            </w:pPr>
          </w:p>
        </w:tc>
        <w:tc>
          <w:tcPr>
            <w:tcW w:w="980" w:type="pct"/>
            <w:tcBorders>
              <w:tl2br w:val="nil"/>
              <w:tr2bl w:val="nil"/>
            </w:tcBorders>
            <w:vAlign w:val="center"/>
          </w:tcPr>
          <w:p w14:paraId="384132E3">
            <w:pPr>
              <w:adjustRightInd w:val="0"/>
              <w:snapToGrid w:val="0"/>
              <w:spacing w:line="288" w:lineRule="auto"/>
              <w:jc w:val="center"/>
              <w:rPr>
                <w:b/>
                <w:bCs/>
                <w:color w:val="auto"/>
                <w:sz w:val="21"/>
                <w:szCs w:val="21"/>
                <w:highlight w:val="none"/>
              </w:rPr>
            </w:pPr>
          </w:p>
        </w:tc>
      </w:tr>
      <w:tr w14:paraId="42A9552D">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342" w:type="pct"/>
            <w:tcBorders>
              <w:tl2br w:val="nil"/>
              <w:tr2bl w:val="nil"/>
            </w:tcBorders>
            <w:shd w:val="clear" w:color="auto" w:fill="auto"/>
            <w:vAlign w:val="center"/>
          </w:tcPr>
          <w:p w14:paraId="5ECCEEDB">
            <w:pPr>
              <w:spacing w:line="288" w:lineRule="auto"/>
              <w:jc w:val="center"/>
              <w:rPr>
                <w:color w:val="auto"/>
                <w:sz w:val="21"/>
                <w:szCs w:val="21"/>
                <w:highlight w:val="none"/>
              </w:rPr>
            </w:pPr>
            <w:r>
              <w:rPr>
                <w:rFonts w:hint="eastAsia"/>
                <w:color w:val="auto"/>
                <w:sz w:val="21"/>
                <w:szCs w:val="21"/>
                <w:highlight w:val="none"/>
              </w:rPr>
              <w:t>4</w:t>
            </w:r>
          </w:p>
        </w:tc>
        <w:tc>
          <w:tcPr>
            <w:tcW w:w="891" w:type="pct"/>
            <w:tcBorders>
              <w:tl2br w:val="nil"/>
              <w:tr2bl w:val="nil"/>
            </w:tcBorders>
            <w:shd w:val="clear" w:color="auto" w:fill="auto"/>
            <w:vAlign w:val="center"/>
          </w:tcPr>
          <w:p w14:paraId="42AC73E1">
            <w:pPr>
              <w:spacing w:line="288" w:lineRule="auto"/>
              <w:jc w:val="center"/>
              <w:rPr>
                <w:color w:val="auto"/>
                <w:sz w:val="21"/>
                <w:szCs w:val="21"/>
                <w:highlight w:val="none"/>
              </w:rPr>
            </w:pPr>
          </w:p>
        </w:tc>
        <w:tc>
          <w:tcPr>
            <w:tcW w:w="489" w:type="pct"/>
            <w:tcBorders>
              <w:tl2br w:val="nil"/>
              <w:tr2bl w:val="nil"/>
            </w:tcBorders>
            <w:shd w:val="clear" w:color="auto" w:fill="FFFFFF"/>
            <w:vAlign w:val="center"/>
          </w:tcPr>
          <w:p w14:paraId="44918D0C">
            <w:pPr>
              <w:adjustRightInd w:val="0"/>
              <w:snapToGrid w:val="0"/>
              <w:spacing w:line="288" w:lineRule="auto"/>
              <w:jc w:val="center"/>
              <w:rPr>
                <w:b/>
                <w:bCs/>
                <w:color w:val="auto"/>
                <w:sz w:val="21"/>
                <w:szCs w:val="21"/>
                <w:highlight w:val="none"/>
              </w:rPr>
            </w:pPr>
          </w:p>
        </w:tc>
        <w:tc>
          <w:tcPr>
            <w:tcW w:w="1074" w:type="pct"/>
            <w:tcBorders>
              <w:tl2br w:val="nil"/>
              <w:tr2bl w:val="nil"/>
            </w:tcBorders>
            <w:shd w:val="clear" w:color="auto" w:fill="FFFFFF"/>
            <w:vAlign w:val="center"/>
          </w:tcPr>
          <w:p w14:paraId="389FC960">
            <w:pPr>
              <w:adjustRightInd w:val="0"/>
              <w:snapToGrid w:val="0"/>
              <w:spacing w:line="288" w:lineRule="auto"/>
              <w:jc w:val="center"/>
              <w:rPr>
                <w:b/>
                <w:bCs/>
                <w:color w:val="auto"/>
                <w:sz w:val="21"/>
                <w:szCs w:val="21"/>
                <w:highlight w:val="none"/>
              </w:rPr>
            </w:pPr>
          </w:p>
        </w:tc>
        <w:tc>
          <w:tcPr>
            <w:tcW w:w="365" w:type="pct"/>
            <w:tcBorders>
              <w:tl2br w:val="nil"/>
              <w:tr2bl w:val="nil"/>
            </w:tcBorders>
            <w:shd w:val="clear" w:color="auto" w:fill="FFFFFF"/>
            <w:vAlign w:val="center"/>
          </w:tcPr>
          <w:p w14:paraId="334E83DC">
            <w:pPr>
              <w:adjustRightInd w:val="0"/>
              <w:snapToGrid w:val="0"/>
              <w:spacing w:line="288" w:lineRule="auto"/>
              <w:jc w:val="center"/>
              <w:rPr>
                <w:b/>
                <w:bCs/>
                <w:color w:val="auto"/>
                <w:sz w:val="21"/>
                <w:szCs w:val="21"/>
                <w:highlight w:val="none"/>
              </w:rPr>
            </w:pPr>
          </w:p>
        </w:tc>
        <w:tc>
          <w:tcPr>
            <w:tcW w:w="365" w:type="pct"/>
            <w:tcBorders>
              <w:tl2br w:val="nil"/>
              <w:tr2bl w:val="nil"/>
            </w:tcBorders>
            <w:shd w:val="clear" w:color="auto" w:fill="FFFFFF"/>
            <w:vAlign w:val="center"/>
          </w:tcPr>
          <w:p w14:paraId="6071BD29">
            <w:pPr>
              <w:adjustRightInd w:val="0"/>
              <w:snapToGrid w:val="0"/>
              <w:spacing w:line="288" w:lineRule="auto"/>
              <w:jc w:val="center"/>
              <w:rPr>
                <w:b/>
                <w:bCs/>
                <w:color w:val="auto"/>
                <w:sz w:val="21"/>
                <w:szCs w:val="21"/>
                <w:highlight w:val="none"/>
              </w:rPr>
            </w:pPr>
          </w:p>
        </w:tc>
        <w:tc>
          <w:tcPr>
            <w:tcW w:w="489" w:type="pct"/>
            <w:tcBorders>
              <w:tl2br w:val="nil"/>
              <w:tr2bl w:val="nil"/>
            </w:tcBorders>
            <w:shd w:val="clear" w:color="auto" w:fill="FFFFFF"/>
            <w:vAlign w:val="center"/>
          </w:tcPr>
          <w:p w14:paraId="1C3FF445">
            <w:pPr>
              <w:adjustRightInd w:val="0"/>
              <w:snapToGrid w:val="0"/>
              <w:spacing w:line="288" w:lineRule="auto"/>
              <w:jc w:val="center"/>
              <w:rPr>
                <w:b/>
                <w:bCs/>
                <w:color w:val="auto"/>
                <w:sz w:val="21"/>
                <w:szCs w:val="21"/>
                <w:highlight w:val="none"/>
              </w:rPr>
            </w:pPr>
          </w:p>
        </w:tc>
        <w:tc>
          <w:tcPr>
            <w:tcW w:w="980" w:type="pct"/>
            <w:tcBorders>
              <w:tl2br w:val="nil"/>
              <w:tr2bl w:val="nil"/>
            </w:tcBorders>
            <w:vAlign w:val="center"/>
          </w:tcPr>
          <w:p w14:paraId="4E7E0C85">
            <w:pPr>
              <w:adjustRightInd w:val="0"/>
              <w:snapToGrid w:val="0"/>
              <w:spacing w:line="288" w:lineRule="auto"/>
              <w:jc w:val="center"/>
              <w:rPr>
                <w:b/>
                <w:bCs/>
                <w:color w:val="auto"/>
                <w:sz w:val="21"/>
                <w:szCs w:val="21"/>
                <w:highlight w:val="none"/>
              </w:rPr>
            </w:pPr>
          </w:p>
        </w:tc>
      </w:tr>
      <w:tr w14:paraId="59E2C52D">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342" w:type="pct"/>
            <w:tcBorders>
              <w:tl2br w:val="nil"/>
              <w:tr2bl w:val="nil"/>
            </w:tcBorders>
            <w:shd w:val="clear" w:color="auto" w:fill="auto"/>
            <w:vAlign w:val="center"/>
          </w:tcPr>
          <w:p w14:paraId="450DC9AF">
            <w:pPr>
              <w:spacing w:line="288" w:lineRule="auto"/>
              <w:jc w:val="center"/>
              <w:rPr>
                <w:color w:val="auto"/>
                <w:sz w:val="21"/>
                <w:szCs w:val="21"/>
                <w:highlight w:val="none"/>
              </w:rPr>
            </w:pPr>
            <w:r>
              <w:rPr>
                <w:rFonts w:hint="eastAsia"/>
                <w:color w:val="auto"/>
                <w:sz w:val="21"/>
                <w:szCs w:val="21"/>
                <w:highlight w:val="none"/>
              </w:rPr>
              <w:t>5</w:t>
            </w:r>
          </w:p>
        </w:tc>
        <w:tc>
          <w:tcPr>
            <w:tcW w:w="891" w:type="pct"/>
            <w:tcBorders>
              <w:tl2br w:val="nil"/>
              <w:tr2bl w:val="nil"/>
            </w:tcBorders>
            <w:shd w:val="clear" w:color="auto" w:fill="auto"/>
            <w:vAlign w:val="center"/>
          </w:tcPr>
          <w:p w14:paraId="49AF2DBA">
            <w:pPr>
              <w:spacing w:line="288" w:lineRule="auto"/>
              <w:jc w:val="center"/>
              <w:rPr>
                <w:color w:val="auto"/>
                <w:sz w:val="21"/>
                <w:szCs w:val="21"/>
                <w:highlight w:val="none"/>
              </w:rPr>
            </w:pPr>
          </w:p>
        </w:tc>
        <w:tc>
          <w:tcPr>
            <w:tcW w:w="489" w:type="pct"/>
            <w:tcBorders>
              <w:tl2br w:val="nil"/>
              <w:tr2bl w:val="nil"/>
            </w:tcBorders>
            <w:shd w:val="clear" w:color="auto" w:fill="FFFFFF"/>
            <w:vAlign w:val="center"/>
          </w:tcPr>
          <w:p w14:paraId="60BC9919">
            <w:pPr>
              <w:adjustRightInd w:val="0"/>
              <w:snapToGrid w:val="0"/>
              <w:spacing w:line="288" w:lineRule="auto"/>
              <w:jc w:val="center"/>
              <w:rPr>
                <w:b/>
                <w:bCs/>
                <w:color w:val="auto"/>
                <w:sz w:val="21"/>
                <w:szCs w:val="21"/>
                <w:highlight w:val="none"/>
              </w:rPr>
            </w:pPr>
          </w:p>
        </w:tc>
        <w:tc>
          <w:tcPr>
            <w:tcW w:w="1074" w:type="pct"/>
            <w:tcBorders>
              <w:tl2br w:val="nil"/>
              <w:tr2bl w:val="nil"/>
            </w:tcBorders>
            <w:shd w:val="clear" w:color="auto" w:fill="FFFFFF"/>
            <w:vAlign w:val="center"/>
          </w:tcPr>
          <w:p w14:paraId="1BE964BC">
            <w:pPr>
              <w:adjustRightInd w:val="0"/>
              <w:snapToGrid w:val="0"/>
              <w:spacing w:line="288" w:lineRule="auto"/>
              <w:jc w:val="center"/>
              <w:rPr>
                <w:b/>
                <w:bCs/>
                <w:color w:val="auto"/>
                <w:sz w:val="21"/>
                <w:szCs w:val="21"/>
                <w:highlight w:val="none"/>
              </w:rPr>
            </w:pPr>
          </w:p>
        </w:tc>
        <w:tc>
          <w:tcPr>
            <w:tcW w:w="365" w:type="pct"/>
            <w:tcBorders>
              <w:tl2br w:val="nil"/>
              <w:tr2bl w:val="nil"/>
            </w:tcBorders>
            <w:shd w:val="clear" w:color="auto" w:fill="FFFFFF"/>
            <w:vAlign w:val="center"/>
          </w:tcPr>
          <w:p w14:paraId="279BB665">
            <w:pPr>
              <w:adjustRightInd w:val="0"/>
              <w:snapToGrid w:val="0"/>
              <w:spacing w:line="288" w:lineRule="auto"/>
              <w:jc w:val="center"/>
              <w:rPr>
                <w:b/>
                <w:bCs/>
                <w:color w:val="auto"/>
                <w:sz w:val="21"/>
                <w:szCs w:val="21"/>
                <w:highlight w:val="none"/>
              </w:rPr>
            </w:pPr>
          </w:p>
        </w:tc>
        <w:tc>
          <w:tcPr>
            <w:tcW w:w="365" w:type="pct"/>
            <w:tcBorders>
              <w:tl2br w:val="nil"/>
              <w:tr2bl w:val="nil"/>
            </w:tcBorders>
            <w:shd w:val="clear" w:color="auto" w:fill="FFFFFF"/>
            <w:vAlign w:val="center"/>
          </w:tcPr>
          <w:p w14:paraId="3865D2B4">
            <w:pPr>
              <w:adjustRightInd w:val="0"/>
              <w:snapToGrid w:val="0"/>
              <w:spacing w:line="288" w:lineRule="auto"/>
              <w:jc w:val="center"/>
              <w:rPr>
                <w:b/>
                <w:bCs/>
                <w:color w:val="auto"/>
                <w:sz w:val="21"/>
                <w:szCs w:val="21"/>
                <w:highlight w:val="none"/>
              </w:rPr>
            </w:pPr>
          </w:p>
        </w:tc>
        <w:tc>
          <w:tcPr>
            <w:tcW w:w="489" w:type="pct"/>
            <w:tcBorders>
              <w:tl2br w:val="nil"/>
              <w:tr2bl w:val="nil"/>
            </w:tcBorders>
            <w:shd w:val="clear" w:color="auto" w:fill="FFFFFF"/>
            <w:vAlign w:val="center"/>
          </w:tcPr>
          <w:p w14:paraId="2ADA8570">
            <w:pPr>
              <w:adjustRightInd w:val="0"/>
              <w:snapToGrid w:val="0"/>
              <w:spacing w:line="288" w:lineRule="auto"/>
              <w:jc w:val="center"/>
              <w:rPr>
                <w:b/>
                <w:bCs/>
                <w:color w:val="auto"/>
                <w:sz w:val="21"/>
                <w:szCs w:val="21"/>
                <w:highlight w:val="none"/>
              </w:rPr>
            </w:pPr>
          </w:p>
        </w:tc>
        <w:tc>
          <w:tcPr>
            <w:tcW w:w="980" w:type="pct"/>
            <w:tcBorders>
              <w:tl2br w:val="nil"/>
              <w:tr2bl w:val="nil"/>
            </w:tcBorders>
            <w:vAlign w:val="center"/>
          </w:tcPr>
          <w:p w14:paraId="109E6BBE">
            <w:pPr>
              <w:adjustRightInd w:val="0"/>
              <w:snapToGrid w:val="0"/>
              <w:spacing w:line="288" w:lineRule="auto"/>
              <w:jc w:val="center"/>
              <w:rPr>
                <w:b/>
                <w:bCs/>
                <w:color w:val="auto"/>
                <w:sz w:val="21"/>
                <w:szCs w:val="21"/>
                <w:highlight w:val="none"/>
              </w:rPr>
            </w:pPr>
          </w:p>
        </w:tc>
      </w:tr>
    </w:tbl>
    <w:p w14:paraId="2979B59D">
      <w:pPr>
        <w:adjustRightInd w:val="0"/>
        <w:snapToGrid w:val="0"/>
        <w:spacing w:line="288" w:lineRule="auto"/>
        <w:rPr>
          <w:color w:val="auto"/>
          <w:sz w:val="21"/>
          <w:szCs w:val="21"/>
          <w:highlight w:val="none"/>
        </w:rPr>
      </w:pPr>
    </w:p>
    <w:p w14:paraId="443490CA">
      <w:pPr>
        <w:adjustRightInd w:val="0"/>
        <w:snapToGrid w:val="0"/>
        <w:spacing w:line="288" w:lineRule="auto"/>
        <w:rPr>
          <w:color w:val="auto"/>
          <w:sz w:val="21"/>
          <w:szCs w:val="21"/>
          <w:highlight w:val="none"/>
        </w:rPr>
      </w:pPr>
    </w:p>
    <w:p w14:paraId="23B17A40">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14F3F9CE">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3F55F08D">
      <w:pPr>
        <w:adjustRightInd w:val="0"/>
        <w:snapToGrid w:val="0"/>
        <w:spacing w:line="288" w:lineRule="auto"/>
        <w:jc w:val="left"/>
        <w:rPr>
          <w:b/>
          <w:bCs/>
          <w:color w:val="auto"/>
          <w:spacing w:val="-6"/>
          <w:sz w:val="21"/>
          <w:szCs w:val="21"/>
          <w:highlight w:val="none"/>
        </w:rPr>
      </w:pPr>
    </w:p>
    <w:p w14:paraId="0B5F6CD3">
      <w:pPr>
        <w:adjustRightInd w:val="0"/>
        <w:snapToGrid w:val="0"/>
        <w:spacing w:line="288" w:lineRule="auto"/>
        <w:jc w:val="left"/>
        <w:rPr>
          <w:b/>
          <w:bCs/>
          <w:color w:val="auto"/>
          <w:sz w:val="21"/>
          <w:szCs w:val="21"/>
          <w:highlight w:val="none"/>
        </w:rPr>
      </w:pPr>
      <w:r>
        <w:rPr>
          <w:rFonts w:hint="eastAsia"/>
          <w:b/>
          <w:bCs/>
          <w:color w:val="auto"/>
          <w:spacing w:val="-6"/>
          <w:sz w:val="21"/>
          <w:szCs w:val="21"/>
          <w:highlight w:val="none"/>
        </w:rPr>
        <w:t>填表说明：所有定型的产品应完整填写品牌、型号；定制类产品，有型号的填写具体型号，无型号的填写“定制”；服务类项目填写具体服务。</w:t>
      </w:r>
    </w:p>
    <w:p w14:paraId="24996CCE">
      <w:pPr>
        <w:adjustRightInd w:val="0"/>
        <w:snapToGrid w:val="0"/>
        <w:spacing w:line="288" w:lineRule="auto"/>
        <w:outlineLvl w:val="2"/>
        <w:rPr>
          <w:b/>
          <w:bCs/>
          <w:color w:val="auto"/>
          <w:sz w:val="21"/>
          <w:szCs w:val="21"/>
          <w:highlight w:val="none"/>
        </w:rPr>
      </w:pPr>
      <w:bookmarkStart w:id="163" w:name="_Toc26598"/>
      <w:r>
        <w:rPr>
          <w:rFonts w:hint="eastAsia"/>
          <w:b/>
          <w:bCs/>
          <w:color w:val="auto"/>
          <w:sz w:val="21"/>
          <w:szCs w:val="21"/>
          <w:highlight w:val="none"/>
        </w:rPr>
        <w:br w:type="page"/>
      </w:r>
      <w:r>
        <w:rPr>
          <w:rFonts w:hint="eastAsia"/>
          <w:b/>
          <w:bCs/>
          <w:color w:val="auto"/>
          <w:sz w:val="21"/>
          <w:szCs w:val="21"/>
          <w:highlight w:val="none"/>
        </w:rPr>
        <w:t>2、项目实施方案</w:t>
      </w:r>
    </w:p>
    <w:p w14:paraId="17CCB5C1">
      <w:pPr>
        <w:pStyle w:val="54"/>
        <w:spacing w:line="288" w:lineRule="auto"/>
        <w:outlineLvl w:val="2"/>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3、</w:t>
      </w:r>
      <w:r>
        <w:rPr>
          <w:rFonts w:hint="eastAsia" w:ascii="宋体" w:hAnsi="宋体" w:cs="宋体"/>
          <w:b/>
          <w:color w:val="auto"/>
          <w:sz w:val="21"/>
          <w:szCs w:val="21"/>
          <w:highlight w:val="none"/>
          <w:lang w:bidi="ar"/>
        </w:rPr>
        <w:t>安装调试</w:t>
      </w:r>
    </w:p>
    <w:p w14:paraId="1F788BDF">
      <w:pPr>
        <w:pStyle w:val="54"/>
        <w:spacing w:line="288" w:lineRule="auto"/>
        <w:outlineLvl w:val="2"/>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4、售后服务</w:t>
      </w:r>
    </w:p>
    <w:p w14:paraId="3B7F4339">
      <w:pPr>
        <w:pStyle w:val="54"/>
        <w:spacing w:line="288" w:lineRule="auto"/>
        <w:outlineLvl w:val="2"/>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5、技术服务、培训方案</w:t>
      </w:r>
    </w:p>
    <w:p w14:paraId="1C2C60C4">
      <w:pPr>
        <w:adjustRightInd w:val="0"/>
        <w:snapToGrid w:val="0"/>
        <w:spacing w:line="288" w:lineRule="auto"/>
        <w:outlineLvl w:val="2"/>
        <w:rPr>
          <w:b/>
          <w:bCs/>
          <w:color w:val="auto"/>
          <w:sz w:val="21"/>
          <w:szCs w:val="21"/>
          <w:highlight w:val="none"/>
        </w:rPr>
        <w:sectPr>
          <w:pgSz w:w="11906" w:h="16838"/>
          <w:pgMar w:top="1247" w:right="1247" w:bottom="1247" w:left="1247" w:header="0" w:footer="692" w:gutter="0"/>
          <w:pgBorders>
            <w:top w:val="none" w:sz="0" w:space="0"/>
            <w:left w:val="none" w:sz="0" w:space="0"/>
            <w:bottom w:val="none" w:sz="0" w:space="0"/>
            <w:right w:val="none" w:sz="0" w:space="0"/>
          </w:pgBorders>
          <w:cols w:space="720" w:num="1"/>
          <w:titlePg/>
          <w:docGrid w:linePitch="312" w:charSpace="0"/>
        </w:sectPr>
      </w:pPr>
    </w:p>
    <w:p w14:paraId="1EEE0A0C">
      <w:pPr>
        <w:adjustRightInd w:val="0"/>
        <w:snapToGrid w:val="0"/>
        <w:spacing w:line="288" w:lineRule="auto"/>
        <w:outlineLvl w:val="1"/>
        <w:rPr>
          <w:b/>
          <w:color w:val="auto"/>
          <w:spacing w:val="-6"/>
          <w:sz w:val="21"/>
          <w:szCs w:val="21"/>
          <w:highlight w:val="none"/>
        </w:rPr>
      </w:pPr>
      <w:r>
        <w:rPr>
          <w:rFonts w:hint="eastAsia"/>
          <w:b/>
          <w:bCs/>
          <w:color w:val="auto"/>
          <w:sz w:val="21"/>
          <w:szCs w:val="21"/>
          <w:highlight w:val="none"/>
        </w:rPr>
        <w:t>八、供应商需要说明的其他文件和材料（如有）</w:t>
      </w:r>
      <w:bookmarkEnd w:id="163"/>
    </w:p>
    <w:p w14:paraId="207C8402">
      <w:pPr>
        <w:widowControl/>
        <w:spacing w:line="288" w:lineRule="auto"/>
        <w:jc w:val="left"/>
        <w:rPr>
          <w:b/>
          <w:color w:val="auto"/>
          <w:spacing w:val="-6"/>
          <w:kern w:val="0"/>
          <w:sz w:val="21"/>
          <w:szCs w:val="21"/>
          <w:highlight w:val="none"/>
        </w:rPr>
      </w:pPr>
      <w:r>
        <w:rPr>
          <w:rFonts w:hint="eastAsia"/>
          <w:b/>
          <w:color w:val="auto"/>
          <w:spacing w:val="-6"/>
          <w:sz w:val="21"/>
          <w:szCs w:val="21"/>
          <w:highlight w:val="none"/>
        </w:rPr>
        <w:br w:type="page"/>
      </w:r>
      <w:bookmarkStart w:id="164" w:name="_Toc10331"/>
      <w:r>
        <w:rPr>
          <w:rFonts w:hint="eastAsia"/>
          <w:b/>
          <w:color w:val="auto"/>
          <w:spacing w:val="-6"/>
          <w:kern w:val="0"/>
          <w:sz w:val="21"/>
          <w:szCs w:val="21"/>
          <w:highlight w:val="none"/>
        </w:rPr>
        <w:t>九、其他</w:t>
      </w:r>
    </w:p>
    <w:p w14:paraId="63431D1C">
      <w:pPr>
        <w:suppressAutoHyphens/>
        <w:spacing w:line="288" w:lineRule="auto"/>
        <w:jc w:val="center"/>
        <w:rPr>
          <w:color w:val="auto"/>
          <w:kern w:val="0"/>
          <w:sz w:val="21"/>
          <w:szCs w:val="21"/>
          <w:highlight w:val="none"/>
        </w:rPr>
      </w:pPr>
      <w:bookmarkStart w:id="165" w:name="_Toc27245"/>
      <w:bookmarkStart w:id="166" w:name="_Toc28412"/>
      <w:bookmarkStart w:id="167" w:name="_Toc24380"/>
      <w:bookmarkStart w:id="168" w:name="_Toc13074"/>
      <w:bookmarkStart w:id="169" w:name="_Toc17717"/>
      <w:bookmarkStart w:id="170" w:name="_Toc20808"/>
      <w:r>
        <w:rPr>
          <w:rFonts w:hint="eastAsia"/>
          <w:b/>
          <w:color w:val="auto"/>
          <w:spacing w:val="-6"/>
          <w:kern w:val="0"/>
          <w:sz w:val="21"/>
          <w:szCs w:val="21"/>
          <w:highlight w:val="none"/>
        </w:rPr>
        <w:t>政府</w:t>
      </w:r>
      <w:r>
        <w:rPr>
          <w:rFonts w:hint="eastAsia"/>
          <w:b/>
          <w:color w:val="auto"/>
          <w:kern w:val="0"/>
          <w:sz w:val="21"/>
          <w:szCs w:val="21"/>
          <w:highlight w:val="none"/>
        </w:rPr>
        <w:t>采购活动现场确认声明书</w:t>
      </w:r>
      <w:bookmarkEnd w:id="165"/>
      <w:bookmarkEnd w:id="166"/>
      <w:bookmarkEnd w:id="167"/>
      <w:bookmarkEnd w:id="168"/>
      <w:bookmarkEnd w:id="169"/>
      <w:bookmarkEnd w:id="170"/>
    </w:p>
    <w:p w14:paraId="75234CAA">
      <w:pPr>
        <w:spacing w:line="288" w:lineRule="auto"/>
        <w:rPr>
          <w:color w:val="auto"/>
          <w:sz w:val="21"/>
          <w:szCs w:val="21"/>
          <w:highlight w:val="none"/>
        </w:rPr>
      </w:pPr>
      <w:r>
        <w:rPr>
          <w:rFonts w:hint="eastAsia"/>
          <w:color w:val="auto"/>
          <w:sz w:val="21"/>
          <w:szCs w:val="21"/>
          <w:highlight w:val="none"/>
        </w:rPr>
        <w:t>浙江求是招标代理有限公司：</w:t>
      </w:r>
    </w:p>
    <w:p w14:paraId="23FEC273">
      <w:pPr>
        <w:spacing w:line="288" w:lineRule="auto"/>
        <w:ind w:firstLine="420" w:firstLineChars="200"/>
        <w:jc w:val="left"/>
        <w:rPr>
          <w:color w:val="auto"/>
          <w:sz w:val="21"/>
          <w:szCs w:val="21"/>
          <w:highlight w:val="none"/>
        </w:rPr>
      </w:pPr>
      <w:r>
        <w:rPr>
          <w:rFonts w:hint="eastAsia"/>
          <w:color w:val="auto"/>
          <w:sz w:val="21"/>
          <w:szCs w:val="21"/>
          <w:highlight w:val="none"/>
        </w:rPr>
        <w:t>本人经由</w:t>
      </w:r>
      <w:r>
        <w:rPr>
          <w:rFonts w:hint="eastAsia"/>
          <w:color w:val="auto"/>
          <w:sz w:val="21"/>
          <w:szCs w:val="21"/>
          <w:highlight w:val="none"/>
          <w:u w:val="single"/>
        </w:rPr>
        <w:t xml:space="preserve">                                    </w:t>
      </w:r>
      <w:r>
        <w:rPr>
          <w:rFonts w:hint="eastAsia"/>
          <w:color w:val="auto"/>
          <w:sz w:val="21"/>
          <w:szCs w:val="21"/>
          <w:highlight w:val="none"/>
        </w:rPr>
        <w:t>（单位）负责人（法人代表）</w:t>
      </w:r>
    </w:p>
    <w:p w14:paraId="43EAF0E8">
      <w:pPr>
        <w:spacing w:line="288" w:lineRule="auto"/>
        <w:jc w:val="left"/>
        <w:rPr>
          <w:color w:val="auto"/>
          <w:sz w:val="21"/>
          <w:szCs w:val="21"/>
          <w:highlight w:val="none"/>
        </w:rPr>
      </w:pPr>
      <w:r>
        <w:rPr>
          <w:rFonts w:hint="eastAsia"/>
          <w:color w:val="auto"/>
          <w:sz w:val="21"/>
          <w:szCs w:val="21"/>
          <w:highlight w:val="none"/>
          <w:u w:val="single"/>
        </w:rPr>
        <w:t xml:space="preserve">          </w:t>
      </w:r>
      <w:r>
        <w:rPr>
          <w:rFonts w:hint="eastAsia"/>
          <w:color w:val="auto"/>
          <w:sz w:val="21"/>
          <w:szCs w:val="21"/>
          <w:highlight w:val="none"/>
        </w:rPr>
        <w:t>（姓名）合法授权参加浙江树人学院</w:t>
      </w:r>
      <w:r>
        <w:rPr>
          <w:rFonts w:hint="eastAsia"/>
          <w:color w:val="auto"/>
          <w:sz w:val="21"/>
          <w:szCs w:val="21"/>
          <w:highlight w:val="none"/>
          <w:lang w:eastAsia="zh-CN"/>
        </w:rPr>
        <w:t>后勤智慧餐厅与仓储管理系统</w:t>
      </w:r>
      <w:r>
        <w:rPr>
          <w:rFonts w:hint="eastAsia"/>
          <w:color w:val="auto"/>
          <w:sz w:val="21"/>
          <w:szCs w:val="21"/>
          <w:highlight w:val="none"/>
        </w:rPr>
        <w:t>项目（编号：</w:t>
      </w:r>
      <w:r>
        <w:rPr>
          <w:rFonts w:hint="eastAsia"/>
          <w:color w:val="auto"/>
          <w:sz w:val="21"/>
          <w:szCs w:val="21"/>
          <w:highlight w:val="none"/>
          <w:lang w:eastAsia="zh-CN"/>
        </w:rPr>
        <w:t>QSZBB250106ZHCS</w:t>
      </w:r>
      <w:r>
        <w:rPr>
          <w:rFonts w:hint="eastAsia"/>
          <w:color w:val="auto"/>
          <w:sz w:val="21"/>
          <w:szCs w:val="21"/>
          <w:highlight w:val="none"/>
        </w:rPr>
        <w:t>）采购活动，经与本单位法人代表（负责人）联系确认，现就有关公平竞争事项郑重声明如下：</w:t>
      </w:r>
    </w:p>
    <w:p w14:paraId="078C7E1F">
      <w:pPr>
        <w:spacing w:line="288" w:lineRule="auto"/>
        <w:rPr>
          <w:color w:val="auto"/>
          <w:sz w:val="21"/>
          <w:szCs w:val="21"/>
          <w:highlight w:val="none"/>
        </w:rPr>
      </w:pPr>
      <w:r>
        <w:rPr>
          <w:rFonts w:hint="eastAsia"/>
          <w:color w:val="auto"/>
          <w:sz w:val="21"/>
          <w:szCs w:val="21"/>
          <w:highlight w:val="none"/>
        </w:rPr>
        <w:t>一、本单位与采购人之间：</w:t>
      </w:r>
    </w:p>
    <w:p w14:paraId="36A55102">
      <w:pPr>
        <w:spacing w:line="288" w:lineRule="auto"/>
        <w:rPr>
          <w:color w:val="auto"/>
          <w:sz w:val="21"/>
          <w:szCs w:val="21"/>
          <w:highlight w:val="none"/>
        </w:rPr>
      </w:pPr>
      <w:r>
        <w:rPr>
          <w:rFonts w:hint="eastAsia"/>
          <w:color w:val="auto"/>
          <w:sz w:val="21"/>
          <w:szCs w:val="21"/>
          <w:highlight w:val="none"/>
        </w:rPr>
        <w:t>□不存在利害关系；</w:t>
      </w:r>
    </w:p>
    <w:p w14:paraId="451AF6DC">
      <w:pPr>
        <w:spacing w:line="288" w:lineRule="auto"/>
        <w:rPr>
          <w:color w:val="auto"/>
          <w:sz w:val="21"/>
          <w:szCs w:val="21"/>
          <w:highlight w:val="none"/>
        </w:rPr>
      </w:pPr>
      <w:r>
        <w:rPr>
          <w:rFonts w:hint="eastAsia"/>
          <w:color w:val="auto"/>
          <w:sz w:val="21"/>
          <w:szCs w:val="21"/>
          <w:highlight w:val="none"/>
        </w:rPr>
        <w:t>□存在下列利害关系：</w:t>
      </w:r>
    </w:p>
    <w:p w14:paraId="5EC78706">
      <w:pPr>
        <w:spacing w:line="288" w:lineRule="auto"/>
        <w:rPr>
          <w:color w:val="auto"/>
          <w:sz w:val="21"/>
          <w:szCs w:val="21"/>
          <w:highlight w:val="none"/>
        </w:rPr>
      </w:pPr>
      <w:r>
        <w:rPr>
          <w:rFonts w:hint="eastAsia"/>
          <w:color w:val="auto"/>
          <w:sz w:val="21"/>
          <w:szCs w:val="21"/>
          <w:highlight w:val="none"/>
        </w:rPr>
        <w:t xml:space="preserve">  A.投资关系    B.行政隶属关系    C.业务指导关系</w:t>
      </w:r>
    </w:p>
    <w:p w14:paraId="3691D907">
      <w:pPr>
        <w:spacing w:line="288" w:lineRule="auto"/>
        <w:rPr>
          <w:color w:val="auto"/>
          <w:sz w:val="21"/>
          <w:szCs w:val="21"/>
          <w:highlight w:val="none"/>
        </w:rPr>
      </w:pPr>
      <w:r>
        <w:rPr>
          <w:rFonts w:hint="eastAsia"/>
          <w:color w:val="auto"/>
          <w:sz w:val="21"/>
          <w:szCs w:val="21"/>
          <w:highlight w:val="none"/>
        </w:rPr>
        <w:t xml:space="preserve">  D.其他可能影响采购公正的利害关系（如有，请如实说明）</w:t>
      </w:r>
      <w:r>
        <w:rPr>
          <w:rFonts w:hint="eastAsia"/>
          <w:color w:val="auto"/>
          <w:sz w:val="21"/>
          <w:szCs w:val="21"/>
          <w:highlight w:val="none"/>
          <w:u w:val="single"/>
        </w:rPr>
        <w:t xml:space="preserve">                 </w:t>
      </w:r>
      <w:r>
        <w:rPr>
          <w:rFonts w:hint="eastAsia"/>
          <w:color w:val="auto"/>
          <w:sz w:val="21"/>
          <w:szCs w:val="21"/>
          <w:highlight w:val="none"/>
        </w:rPr>
        <w:t>。</w:t>
      </w:r>
    </w:p>
    <w:p w14:paraId="2BF751F2">
      <w:pPr>
        <w:spacing w:line="288" w:lineRule="auto"/>
        <w:rPr>
          <w:color w:val="auto"/>
          <w:sz w:val="21"/>
          <w:szCs w:val="21"/>
          <w:highlight w:val="none"/>
        </w:rPr>
      </w:pPr>
      <w:r>
        <w:rPr>
          <w:rFonts w:hint="eastAsia"/>
          <w:color w:val="auto"/>
          <w:sz w:val="21"/>
          <w:szCs w:val="21"/>
          <w:highlight w:val="none"/>
        </w:rPr>
        <w:t>二、现已清楚知道参加本项目采购活动的其他所有供应商名称，本单位：</w:t>
      </w:r>
    </w:p>
    <w:p w14:paraId="393F3B8C">
      <w:pPr>
        <w:spacing w:line="288" w:lineRule="auto"/>
        <w:rPr>
          <w:color w:val="auto"/>
          <w:sz w:val="21"/>
          <w:szCs w:val="21"/>
          <w:highlight w:val="none"/>
        </w:rPr>
      </w:pPr>
      <w:r>
        <w:rPr>
          <w:rFonts w:hint="eastAsia"/>
          <w:color w:val="auto"/>
          <w:sz w:val="21"/>
          <w:szCs w:val="21"/>
          <w:highlight w:val="none"/>
        </w:rPr>
        <w:t>□与其他所有供应商之间均不存在利害关系；</w:t>
      </w:r>
    </w:p>
    <w:p w14:paraId="55F1E1A0">
      <w:pPr>
        <w:spacing w:line="288" w:lineRule="auto"/>
        <w:rPr>
          <w:color w:val="auto"/>
          <w:sz w:val="21"/>
          <w:szCs w:val="21"/>
          <w:highlight w:val="none"/>
        </w:rPr>
      </w:pPr>
      <w:r>
        <w:rPr>
          <w:rFonts w:hint="eastAsia"/>
          <w:color w:val="auto"/>
          <w:sz w:val="21"/>
          <w:szCs w:val="21"/>
          <w:highlight w:val="none"/>
        </w:rPr>
        <w:t>□与</w:t>
      </w:r>
      <w:r>
        <w:rPr>
          <w:rFonts w:hint="eastAsia"/>
          <w:color w:val="auto"/>
          <w:sz w:val="21"/>
          <w:szCs w:val="21"/>
          <w:highlight w:val="none"/>
          <w:u w:val="single"/>
        </w:rPr>
        <w:t xml:space="preserve">           </w:t>
      </w:r>
      <w:r>
        <w:rPr>
          <w:rFonts w:hint="eastAsia"/>
          <w:color w:val="auto"/>
          <w:sz w:val="21"/>
          <w:szCs w:val="21"/>
          <w:highlight w:val="none"/>
        </w:rPr>
        <w:t>（供应商名称）之间存在下列利害关系：</w:t>
      </w:r>
    </w:p>
    <w:p w14:paraId="42B60D32">
      <w:pPr>
        <w:spacing w:line="288" w:lineRule="auto"/>
        <w:rPr>
          <w:color w:val="auto"/>
          <w:sz w:val="21"/>
          <w:szCs w:val="21"/>
          <w:highlight w:val="none"/>
        </w:rPr>
      </w:pPr>
      <w:r>
        <w:rPr>
          <w:rFonts w:hint="eastAsia"/>
          <w:color w:val="auto"/>
          <w:sz w:val="21"/>
          <w:szCs w:val="21"/>
          <w:highlight w:val="none"/>
        </w:rPr>
        <w:t xml:space="preserve">  A.法定代表人或负责人或实际控制人是同一人</w:t>
      </w:r>
    </w:p>
    <w:p w14:paraId="33F3E957">
      <w:pPr>
        <w:spacing w:line="288" w:lineRule="auto"/>
        <w:rPr>
          <w:color w:val="auto"/>
          <w:sz w:val="21"/>
          <w:szCs w:val="21"/>
          <w:highlight w:val="none"/>
        </w:rPr>
      </w:pPr>
      <w:r>
        <w:rPr>
          <w:rFonts w:hint="eastAsia"/>
          <w:color w:val="auto"/>
          <w:sz w:val="21"/>
          <w:szCs w:val="21"/>
          <w:highlight w:val="none"/>
        </w:rPr>
        <w:t xml:space="preserve">  B.法定代表人或负责人或实际控制人是夫妻关系</w:t>
      </w:r>
    </w:p>
    <w:p w14:paraId="4FAD4D77">
      <w:pPr>
        <w:spacing w:line="288" w:lineRule="auto"/>
        <w:rPr>
          <w:color w:val="auto"/>
          <w:sz w:val="21"/>
          <w:szCs w:val="21"/>
          <w:highlight w:val="none"/>
        </w:rPr>
      </w:pPr>
      <w:r>
        <w:rPr>
          <w:rFonts w:hint="eastAsia"/>
          <w:color w:val="auto"/>
          <w:sz w:val="21"/>
          <w:szCs w:val="21"/>
          <w:highlight w:val="none"/>
        </w:rPr>
        <w:t xml:space="preserve">  C.法定代表人或负责人或实际控制人是直系血亲关系</w:t>
      </w:r>
    </w:p>
    <w:p w14:paraId="30EAEF10">
      <w:pPr>
        <w:spacing w:line="288" w:lineRule="auto"/>
        <w:rPr>
          <w:color w:val="auto"/>
          <w:sz w:val="21"/>
          <w:szCs w:val="21"/>
          <w:highlight w:val="none"/>
        </w:rPr>
      </w:pPr>
      <w:r>
        <w:rPr>
          <w:rFonts w:hint="eastAsia"/>
          <w:color w:val="auto"/>
          <w:sz w:val="21"/>
          <w:szCs w:val="21"/>
          <w:highlight w:val="none"/>
        </w:rPr>
        <w:t xml:space="preserve">  D.法定代表人或负责人或实际控制人存在三代以内旁系血亲关系</w:t>
      </w:r>
    </w:p>
    <w:p w14:paraId="6B300BB1">
      <w:pPr>
        <w:spacing w:line="288" w:lineRule="auto"/>
        <w:rPr>
          <w:color w:val="auto"/>
          <w:sz w:val="21"/>
          <w:szCs w:val="21"/>
          <w:highlight w:val="none"/>
        </w:rPr>
      </w:pPr>
      <w:r>
        <w:rPr>
          <w:rFonts w:hint="eastAsia"/>
          <w:color w:val="auto"/>
          <w:sz w:val="21"/>
          <w:szCs w:val="21"/>
          <w:highlight w:val="none"/>
        </w:rPr>
        <w:t xml:space="preserve">  E.法定代表人或负责人或实际控制人存在近姻亲关系</w:t>
      </w:r>
    </w:p>
    <w:p w14:paraId="737B66A9">
      <w:pPr>
        <w:spacing w:line="288" w:lineRule="auto"/>
        <w:rPr>
          <w:color w:val="auto"/>
          <w:sz w:val="21"/>
          <w:szCs w:val="21"/>
          <w:highlight w:val="none"/>
        </w:rPr>
      </w:pPr>
      <w:r>
        <w:rPr>
          <w:rFonts w:hint="eastAsia"/>
          <w:color w:val="auto"/>
          <w:sz w:val="21"/>
          <w:szCs w:val="21"/>
          <w:highlight w:val="none"/>
        </w:rPr>
        <w:t xml:space="preserve">  F.法定代表人或负责人或实际控制人存在股份控制或实际控制关系</w:t>
      </w:r>
    </w:p>
    <w:p w14:paraId="1EC9B384">
      <w:pPr>
        <w:spacing w:line="288" w:lineRule="auto"/>
        <w:rPr>
          <w:color w:val="auto"/>
          <w:sz w:val="21"/>
          <w:szCs w:val="21"/>
          <w:highlight w:val="none"/>
        </w:rPr>
      </w:pPr>
      <w:r>
        <w:rPr>
          <w:rFonts w:hint="eastAsia"/>
          <w:color w:val="auto"/>
          <w:sz w:val="21"/>
          <w:szCs w:val="21"/>
          <w:highlight w:val="none"/>
        </w:rPr>
        <w:t xml:space="preserve">  G.存在共同直接或间接投资设立子公司、联营企业和合营企业情况</w:t>
      </w:r>
    </w:p>
    <w:p w14:paraId="1FF02497">
      <w:pPr>
        <w:spacing w:line="288" w:lineRule="auto"/>
        <w:rPr>
          <w:color w:val="auto"/>
          <w:sz w:val="21"/>
          <w:szCs w:val="21"/>
          <w:highlight w:val="none"/>
        </w:rPr>
      </w:pPr>
      <w:r>
        <w:rPr>
          <w:rFonts w:hint="eastAsia"/>
          <w:color w:val="auto"/>
          <w:sz w:val="21"/>
          <w:szCs w:val="21"/>
          <w:highlight w:val="none"/>
        </w:rPr>
        <w:t xml:space="preserve">  H.存在分级代理或代销关系、同一生产制造商关系、管理关系、重要业务（占主营业务收入50%以上）或重要财务往来关系（如融资）等其他实质性控制关系</w:t>
      </w:r>
    </w:p>
    <w:p w14:paraId="5B81DF10">
      <w:pPr>
        <w:spacing w:line="288" w:lineRule="auto"/>
        <w:rPr>
          <w:color w:val="auto"/>
          <w:sz w:val="21"/>
          <w:szCs w:val="21"/>
          <w:highlight w:val="none"/>
        </w:rPr>
      </w:pPr>
      <w:r>
        <w:rPr>
          <w:rFonts w:hint="eastAsia"/>
          <w:color w:val="auto"/>
          <w:sz w:val="21"/>
          <w:szCs w:val="21"/>
          <w:highlight w:val="none"/>
        </w:rPr>
        <w:t xml:space="preserve">  </w:t>
      </w:r>
      <w:bookmarkStart w:id="171" w:name="_Toc23840"/>
      <w:bookmarkStart w:id="172" w:name="_Toc3552"/>
      <w:bookmarkStart w:id="173" w:name="_Toc3126"/>
      <w:r>
        <w:rPr>
          <w:rFonts w:hint="eastAsia"/>
          <w:color w:val="auto"/>
          <w:sz w:val="21"/>
          <w:szCs w:val="21"/>
          <w:highlight w:val="none"/>
        </w:rPr>
        <w:t>I.其他利害关系情况。</w:t>
      </w:r>
      <w:bookmarkEnd w:id="171"/>
      <w:bookmarkEnd w:id="172"/>
      <w:bookmarkEnd w:id="173"/>
    </w:p>
    <w:p w14:paraId="0D64BD51">
      <w:pPr>
        <w:spacing w:line="288" w:lineRule="auto"/>
        <w:rPr>
          <w:color w:val="auto"/>
          <w:sz w:val="21"/>
          <w:szCs w:val="21"/>
          <w:highlight w:val="none"/>
        </w:rPr>
      </w:pPr>
      <w:r>
        <w:rPr>
          <w:rFonts w:hint="eastAsia"/>
          <w:color w:val="auto"/>
          <w:sz w:val="21"/>
          <w:szCs w:val="21"/>
          <w:highlight w:val="none"/>
        </w:rPr>
        <w:t>三、现已清楚知道并严格遵守政府采购法律法规和现场纪律。</w:t>
      </w:r>
    </w:p>
    <w:p w14:paraId="30947F60">
      <w:pPr>
        <w:spacing w:line="288" w:lineRule="auto"/>
        <w:rPr>
          <w:color w:val="auto"/>
          <w:sz w:val="21"/>
          <w:szCs w:val="21"/>
          <w:highlight w:val="none"/>
        </w:rPr>
      </w:pPr>
      <w:r>
        <w:rPr>
          <w:rFonts w:hint="eastAsia"/>
          <w:color w:val="auto"/>
          <w:sz w:val="21"/>
          <w:szCs w:val="21"/>
          <w:highlight w:val="none"/>
        </w:rPr>
        <w:t>四、我发现供应商</w:t>
      </w:r>
      <w:r>
        <w:rPr>
          <w:rFonts w:hint="eastAsia"/>
          <w:color w:val="auto"/>
          <w:sz w:val="21"/>
          <w:szCs w:val="21"/>
          <w:highlight w:val="none"/>
          <w:u w:val="single"/>
        </w:rPr>
        <w:t xml:space="preserve">           </w:t>
      </w:r>
      <w:r>
        <w:rPr>
          <w:rFonts w:hint="eastAsia"/>
          <w:color w:val="auto"/>
          <w:sz w:val="21"/>
          <w:szCs w:val="21"/>
          <w:highlight w:val="none"/>
        </w:rPr>
        <w:t>之间存在或可能存在上述第二条第</w:t>
      </w:r>
      <w:r>
        <w:rPr>
          <w:rFonts w:hint="eastAsia"/>
          <w:color w:val="auto"/>
          <w:sz w:val="21"/>
          <w:szCs w:val="21"/>
          <w:highlight w:val="none"/>
          <w:u w:val="single"/>
        </w:rPr>
        <w:t xml:space="preserve">    </w:t>
      </w:r>
      <w:r>
        <w:rPr>
          <w:rFonts w:hint="eastAsia"/>
          <w:color w:val="auto"/>
          <w:sz w:val="21"/>
          <w:szCs w:val="21"/>
          <w:highlight w:val="none"/>
        </w:rPr>
        <w:t>项利害关系。</w:t>
      </w:r>
    </w:p>
    <w:p w14:paraId="24CE2C98">
      <w:pPr>
        <w:spacing w:line="288" w:lineRule="auto"/>
        <w:rPr>
          <w:color w:val="auto"/>
          <w:sz w:val="21"/>
          <w:szCs w:val="21"/>
          <w:highlight w:val="none"/>
          <w:u w:val="single"/>
        </w:rPr>
      </w:pPr>
      <w:r>
        <w:rPr>
          <w:rFonts w:hint="eastAsia"/>
          <w:color w:val="auto"/>
          <w:sz w:val="21"/>
          <w:szCs w:val="21"/>
          <w:highlight w:val="none"/>
          <w:u w:val="single"/>
        </w:rPr>
        <w:t xml:space="preserve">                                                             </w:t>
      </w:r>
    </w:p>
    <w:p w14:paraId="61A49063">
      <w:pPr>
        <w:spacing w:line="288" w:lineRule="auto"/>
        <w:rPr>
          <w:color w:val="auto"/>
          <w:sz w:val="21"/>
          <w:szCs w:val="21"/>
          <w:highlight w:val="none"/>
        </w:rPr>
      </w:pPr>
      <w:r>
        <w:rPr>
          <w:rFonts w:hint="eastAsia"/>
          <w:color w:val="auto"/>
          <w:sz w:val="21"/>
          <w:szCs w:val="21"/>
          <w:highlight w:val="none"/>
        </w:rPr>
        <w:t xml:space="preserve">                                供应商代表（签名）：</w:t>
      </w:r>
    </w:p>
    <w:p w14:paraId="443117A7">
      <w:pPr>
        <w:spacing w:line="288" w:lineRule="auto"/>
        <w:jc w:val="right"/>
        <w:rPr>
          <w:b/>
          <w:bCs/>
          <w:color w:val="auto"/>
          <w:sz w:val="21"/>
          <w:szCs w:val="21"/>
          <w:highlight w:val="none"/>
        </w:rPr>
      </w:pPr>
      <w:r>
        <w:rPr>
          <w:rFonts w:hint="eastAsia"/>
          <w:color w:val="auto"/>
          <w:sz w:val="21"/>
          <w:szCs w:val="21"/>
          <w:highlight w:val="none"/>
          <w:lang w:eastAsia="zh-CN"/>
        </w:rPr>
        <w:t>2025年</w:t>
      </w:r>
      <w:r>
        <w:rPr>
          <w:rFonts w:hint="eastAsia"/>
          <w:color w:val="auto"/>
          <w:sz w:val="21"/>
          <w:szCs w:val="21"/>
          <w:highlight w:val="none"/>
        </w:rPr>
        <w:t xml:space="preserve"> 月 日</w:t>
      </w:r>
    </w:p>
    <w:p w14:paraId="427915D6">
      <w:pPr>
        <w:spacing w:line="288" w:lineRule="auto"/>
        <w:rPr>
          <w:b/>
          <w:bCs/>
          <w:color w:val="auto"/>
          <w:sz w:val="21"/>
          <w:szCs w:val="21"/>
          <w:highlight w:val="none"/>
        </w:rPr>
      </w:pPr>
      <w:r>
        <w:rPr>
          <w:rFonts w:hint="eastAsia"/>
          <w:b/>
          <w:bCs/>
          <w:color w:val="auto"/>
          <w:sz w:val="21"/>
          <w:szCs w:val="21"/>
          <w:highlight w:val="none"/>
        </w:rPr>
        <w:t>备注：</w:t>
      </w:r>
      <w:r>
        <w:rPr>
          <w:color w:val="auto"/>
          <w:highlight w:val="none"/>
        </w:rPr>
        <w:fldChar w:fldCharType="begin"/>
      </w:r>
      <w:r>
        <w:rPr>
          <w:color w:val="auto"/>
          <w:highlight w:val="none"/>
        </w:rPr>
        <w:instrText xml:space="preserve"> HYPERLINK "mailto:供应商须在投标文件解密后，通过电子邮件形式，向邮箱地址（qinjl@zjsct.cn）发送《政府采购活动现场确认声明书》（上表）。" </w:instrText>
      </w:r>
      <w:r>
        <w:rPr>
          <w:color w:val="auto"/>
          <w:highlight w:val="none"/>
        </w:rPr>
        <w:fldChar w:fldCharType="separate"/>
      </w:r>
      <w:r>
        <w:rPr>
          <w:rStyle w:val="30"/>
          <w:rFonts w:hint="eastAsia"/>
          <w:b/>
          <w:bCs/>
          <w:color w:val="auto"/>
          <w:sz w:val="21"/>
          <w:szCs w:val="21"/>
          <w:highlight w:val="none"/>
        </w:rPr>
        <w:t>供应商须在投标文件解密后，通过电子邮件形式，向邮箱地址（zb02@qszb.net）发送《政府采购活动现场确认声明书》（上表）。</w:t>
      </w:r>
      <w:r>
        <w:rPr>
          <w:rStyle w:val="30"/>
          <w:rFonts w:hint="eastAsia"/>
          <w:b/>
          <w:bCs/>
          <w:color w:val="auto"/>
          <w:sz w:val="21"/>
          <w:szCs w:val="21"/>
          <w:highlight w:val="none"/>
        </w:rPr>
        <w:fldChar w:fldCharType="end"/>
      </w:r>
    </w:p>
    <w:p w14:paraId="49114035">
      <w:pPr>
        <w:adjustRightInd w:val="0"/>
        <w:snapToGrid w:val="0"/>
        <w:spacing w:line="288" w:lineRule="auto"/>
        <w:rPr>
          <w:b/>
          <w:color w:val="auto"/>
          <w:spacing w:val="-6"/>
          <w:sz w:val="21"/>
          <w:szCs w:val="21"/>
          <w:highlight w:val="none"/>
        </w:rPr>
        <w:sectPr>
          <w:pgSz w:w="11906" w:h="16838"/>
          <w:pgMar w:top="1247" w:right="1247" w:bottom="1247" w:left="1247" w:header="0" w:footer="692" w:gutter="0"/>
          <w:pgBorders>
            <w:top w:val="none" w:sz="0" w:space="0"/>
            <w:left w:val="none" w:sz="0" w:space="0"/>
            <w:bottom w:val="none" w:sz="0" w:space="0"/>
            <w:right w:val="none" w:sz="0" w:space="0"/>
          </w:pgBorders>
          <w:cols w:space="720" w:num="1"/>
          <w:titlePg/>
          <w:docGrid w:linePitch="312" w:charSpace="0"/>
        </w:sectPr>
      </w:pPr>
    </w:p>
    <w:p w14:paraId="72BAAF26">
      <w:pPr>
        <w:adjustRightInd w:val="0"/>
        <w:snapToGrid w:val="0"/>
        <w:spacing w:line="288" w:lineRule="auto"/>
        <w:jc w:val="center"/>
        <w:rPr>
          <w:b/>
          <w:bCs/>
          <w:color w:val="auto"/>
          <w:sz w:val="21"/>
          <w:szCs w:val="21"/>
          <w:highlight w:val="none"/>
        </w:rPr>
      </w:pPr>
      <w:bookmarkStart w:id="174" w:name="_Toc12983"/>
      <w:bookmarkStart w:id="175" w:name="_Toc22480"/>
      <w:bookmarkStart w:id="176" w:name="_Toc14668"/>
      <w:r>
        <w:rPr>
          <w:rFonts w:hint="eastAsia"/>
          <w:b/>
          <w:bCs/>
          <w:color w:val="auto"/>
          <w:sz w:val="21"/>
          <w:szCs w:val="21"/>
          <w:highlight w:val="none"/>
        </w:rPr>
        <w:t>最后报价一览表</w:t>
      </w:r>
    </w:p>
    <w:p w14:paraId="6A22C941">
      <w:pPr>
        <w:adjustRightInd w:val="0"/>
        <w:snapToGrid w:val="0"/>
        <w:spacing w:line="288" w:lineRule="auto"/>
        <w:rPr>
          <w:color w:val="auto"/>
          <w:sz w:val="21"/>
          <w:szCs w:val="21"/>
          <w:highlight w:val="none"/>
        </w:rPr>
      </w:pPr>
      <w:r>
        <w:rPr>
          <w:rFonts w:hint="eastAsia"/>
          <w:color w:val="auto"/>
          <w:sz w:val="21"/>
          <w:szCs w:val="21"/>
          <w:highlight w:val="none"/>
        </w:rPr>
        <w:t>采 购 人：浙江树人学院</w:t>
      </w:r>
    </w:p>
    <w:p w14:paraId="0B1C1E22">
      <w:pPr>
        <w:adjustRightInd w:val="0"/>
        <w:snapToGrid w:val="0"/>
        <w:spacing w:line="288" w:lineRule="auto"/>
        <w:rPr>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后勤智慧餐厅与仓储管理系统</w:t>
      </w:r>
      <w:r>
        <w:rPr>
          <w:rFonts w:hint="eastAsia"/>
          <w:color w:val="auto"/>
          <w:sz w:val="21"/>
          <w:szCs w:val="21"/>
          <w:highlight w:val="none"/>
        </w:rPr>
        <w:t>项目</w:t>
      </w:r>
    </w:p>
    <w:p w14:paraId="77E5F75D">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QSZBB250106ZHCS</w:t>
      </w:r>
      <w:r>
        <w:rPr>
          <w:rFonts w:hint="eastAsia"/>
          <w:color w:val="auto"/>
          <w:sz w:val="21"/>
          <w:szCs w:val="21"/>
          <w:highlight w:val="none"/>
        </w:rPr>
        <w:t xml:space="preserve">  </w:t>
      </w:r>
    </w:p>
    <w:tbl>
      <w:tblPr>
        <w:tblStyle w:val="25"/>
        <w:tblW w:w="0" w:type="auto"/>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71"/>
      </w:tblGrid>
      <w:tr w14:paraId="28525CD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shd w:val="clear" w:color="auto" w:fill="auto"/>
            <w:vAlign w:val="center"/>
          </w:tcPr>
          <w:p w14:paraId="56866772">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839" w:type="dxa"/>
            <w:shd w:val="clear" w:color="auto" w:fill="auto"/>
            <w:vAlign w:val="center"/>
          </w:tcPr>
          <w:p w14:paraId="5238CFBC">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708" w:type="dxa"/>
            <w:shd w:val="clear" w:color="auto" w:fill="FFFFFF"/>
            <w:vAlign w:val="center"/>
          </w:tcPr>
          <w:p w14:paraId="70941BCF">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品牌</w:t>
            </w:r>
          </w:p>
        </w:tc>
        <w:tc>
          <w:tcPr>
            <w:tcW w:w="1702" w:type="dxa"/>
            <w:shd w:val="clear" w:color="auto" w:fill="FFFFFF"/>
            <w:vAlign w:val="center"/>
          </w:tcPr>
          <w:p w14:paraId="0178BF3B">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规格型号</w:t>
            </w:r>
          </w:p>
          <w:p w14:paraId="3F1669FD">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或具体服务</w:t>
            </w:r>
          </w:p>
        </w:tc>
        <w:tc>
          <w:tcPr>
            <w:tcW w:w="756" w:type="dxa"/>
            <w:shd w:val="clear" w:color="auto" w:fill="FFFFFF"/>
            <w:vAlign w:val="center"/>
          </w:tcPr>
          <w:p w14:paraId="553A6035">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产地</w:t>
            </w:r>
          </w:p>
        </w:tc>
        <w:tc>
          <w:tcPr>
            <w:tcW w:w="1011" w:type="dxa"/>
            <w:shd w:val="clear" w:color="auto" w:fill="FFFFFF"/>
            <w:vAlign w:val="center"/>
          </w:tcPr>
          <w:p w14:paraId="497F18AD">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1323" w:type="dxa"/>
            <w:vAlign w:val="center"/>
          </w:tcPr>
          <w:p w14:paraId="4FD50FC7">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单价（元）</w:t>
            </w:r>
          </w:p>
        </w:tc>
        <w:tc>
          <w:tcPr>
            <w:tcW w:w="1871" w:type="dxa"/>
            <w:vAlign w:val="center"/>
          </w:tcPr>
          <w:p w14:paraId="0BCAEFC1">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金额（元）</w:t>
            </w:r>
          </w:p>
        </w:tc>
      </w:tr>
      <w:tr w14:paraId="26DCC18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shd w:val="clear" w:color="auto" w:fill="auto"/>
            <w:vAlign w:val="center"/>
          </w:tcPr>
          <w:p w14:paraId="53DFFE09">
            <w:pPr>
              <w:adjustRightInd w:val="0"/>
              <w:snapToGrid w:val="0"/>
              <w:spacing w:line="288" w:lineRule="auto"/>
              <w:jc w:val="center"/>
              <w:rPr>
                <w:b/>
                <w:bCs/>
                <w:color w:val="auto"/>
                <w:sz w:val="21"/>
                <w:szCs w:val="21"/>
                <w:highlight w:val="none"/>
              </w:rPr>
            </w:pPr>
          </w:p>
        </w:tc>
        <w:tc>
          <w:tcPr>
            <w:tcW w:w="1839" w:type="dxa"/>
            <w:shd w:val="clear" w:color="auto" w:fill="auto"/>
            <w:vAlign w:val="center"/>
          </w:tcPr>
          <w:p w14:paraId="6477E112">
            <w:pPr>
              <w:adjustRightInd w:val="0"/>
              <w:snapToGrid w:val="0"/>
              <w:spacing w:line="288" w:lineRule="auto"/>
              <w:jc w:val="center"/>
              <w:rPr>
                <w:b/>
                <w:bCs/>
                <w:color w:val="auto"/>
                <w:sz w:val="21"/>
                <w:szCs w:val="21"/>
                <w:highlight w:val="none"/>
              </w:rPr>
            </w:pPr>
          </w:p>
        </w:tc>
        <w:tc>
          <w:tcPr>
            <w:tcW w:w="708" w:type="dxa"/>
            <w:shd w:val="clear" w:color="auto" w:fill="FFFFFF"/>
            <w:vAlign w:val="center"/>
          </w:tcPr>
          <w:p w14:paraId="16E44DC2">
            <w:pPr>
              <w:adjustRightInd w:val="0"/>
              <w:snapToGrid w:val="0"/>
              <w:spacing w:line="288" w:lineRule="auto"/>
              <w:jc w:val="center"/>
              <w:rPr>
                <w:b/>
                <w:bCs/>
                <w:color w:val="auto"/>
                <w:sz w:val="21"/>
                <w:szCs w:val="21"/>
                <w:highlight w:val="none"/>
              </w:rPr>
            </w:pPr>
          </w:p>
        </w:tc>
        <w:tc>
          <w:tcPr>
            <w:tcW w:w="1702" w:type="dxa"/>
            <w:shd w:val="clear" w:color="auto" w:fill="FFFFFF"/>
            <w:vAlign w:val="center"/>
          </w:tcPr>
          <w:p w14:paraId="12F3A753">
            <w:pPr>
              <w:adjustRightInd w:val="0"/>
              <w:snapToGrid w:val="0"/>
              <w:spacing w:line="288" w:lineRule="auto"/>
              <w:jc w:val="center"/>
              <w:rPr>
                <w:b/>
                <w:bCs/>
                <w:color w:val="auto"/>
                <w:sz w:val="21"/>
                <w:szCs w:val="21"/>
                <w:highlight w:val="none"/>
              </w:rPr>
            </w:pPr>
          </w:p>
        </w:tc>
        <w:tc>
          <w:tcPr>
            <w:tcW w:w="756" w:type="dxa"/>
            <w:shd w:val="clear" w:color="auto" w:fill="FFFFFF"/>
            <w:vAlign w:val="center"/>
          </w:tcPr>
          <w:p w14:paraId="554ABB3F">
            <w:pPr>
              <w:adjustRightInd w:val="0"/>
              <w:snapToGrid w:val="0"/>
              <w:spacing w:line="288" w:lineRule="auto"/>
              <w:jc w:val="center"/>
              <w:rPr>
                <w:b/>
                <w:bCs/>
                <w:color w:val="auto"/>
                <w:sz w:val="21"/>
                <w:szCs w:val="21"/>
                <w:highlight w:val="none"/>
              </w:rPr>
            </w:pPr>
          </w:p>
        </w:tc>
        <w:tc>
          <w:tcPr>
            <w:tcW w:w="1011" w:type="dxa"/>
            <w:shd w:val="clear" w:color="auto" w:fill="FFFFFF"/>
            <w:vAlign w:val="center"/>
          </w:tcPr>
          <w:p w14:paraId="134E98BB">
            <w:pPr>
              <w:adjustRightInd w:val="0"/>
              <w:snapToGrid w:val="0"/>
              <w:spacing w:line="288" w:lineRule="auto"/>
              <w:jc w:val="center"/>
              <w:rPr>
                <w:b/>
                <w:bCs/>
                <w:color w:val="auto"/>
                <w:sz w:val="21"/>
                <w:szCs w:val="21"/>
                <w:highlight w:val="none"/>
              </w:rPr>
            </w:pPr>
          </w:p>
        </w:tc>
        <w:tc>
          <w:tcPr>
            <w:tcW w:w="1323" w:type="dxa"/>
            <w:vAlign w:val="center"/>
          </w:tcPr>
          <w:p w14:paraId="589D3EDC">
            <w:pPr>
              <w:adjustRightInd w:val="0"/>
              <w:snapToGrid w:val="0"/>
              <w:spacing w:line="288" w:lineRule="auto"/>
              <w:jc w:val="center"/>
              <w:rPr>
                <w:b/>
                <w:bCs/>
                <w:color w:val="auto"/>
                <w:sz w:val="21"/>
                <w:szCs w:val="21"/>
                <w:highlight w:val="none"/>
              </w:rPr>
            </w:pPr>
          </w:p>
        </w:tc>
        <w:tc>
          <w:tcPr>
            <w:tcW w:w="1871" w:type="dxa"/>
            <w:vAlign w:val="center"/>
          </w:tcPr>
          <w:p w14:paraId="0BA6A7C3">
            <w:pPr>
              <w:adjustRightInd w:val="0"/>
              <w:snapToGrid w:val="0"/>
              <w:spacing w:line="288" w:lineRule="auto"/>
              <w:jc w:val="center"/>
              <w:rPr>
                <w:b/>
                <w:bCs/>
                <w:color w:val="auto"/>
                <w:sz w:val="21"/>
                <w:szCs w:val="21"/>
                <w:highlight w:val="none"/>
              </w:rPr>
            </w:pPr>
          </w:p>
        </w:tc>
      </w:tr>
      <w:tr w14:paraId="78EC120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shd w:val="clear" w:color="auto" w:fill="auto"/>
            <w:vAlign w:val="center"/>
          </w:tcPr>
          <w:p w14:paraId="58B60C9B">
            <w:pPr>
              <w:adjustRightInd w:val="0"/>
              <w:snapToGrid w:val="0"/>
              <w:spacing w:line="288" w:lineRule="auto"/>
              <w:jc w:val="center"/>
              <w:rPr>
                <w:b/>
                <w:bCs/>
                <w:color w:val="auto"/>
                <w:sz w:val="21"/>
                <w:szCs w:val="21"/>
                <w:highlight w:val="none"/>
              </w:rPr>
            </w:pPr>
          </w:p>
        </w:tc>
        <w:tc>
          <w:tcPr>
            <w:tcW w:w="1839" w:type="dxa"/>
            <w:shd w:val="clear" w:color="auto" w:fill="auto"/>
            <w:vAlign w:val="center"/>
          </w:tcPr>
          <w:p w14:paraId="1D56D3FE">
            <w:pPr>
              <w:adjustRightInd w:val="0"/>
              <w:snapToGrid w:val="0"/>
              <w:spacing w:line="288" w:lineRule="auto"/>
              <w:jc w:val="center"/>
              <w:rPr>
                <w:b/>
                <w:bCs/>
                <w:color w:val="auto"/>
                <w:sz w:val="21"/>
                <w:szCs w:val="21"/>
                <w:highlight w:val="none"/>
              </w:rPr>
            </w:pPr>
          </w:p>
        </w:tc>
        <w:tc>
          <w:tcPr>
            <w:tcW w:w="708" w:type="dxa"/>
            <w:shd w:val="clear" w:color="auto" w:fill="FFFFFF"/>
            <w:vAlign w:val="center"/>
          </w:tcPr>
          <w:p w14:paraId="04B7C83C">
            <w:pPr>
              <w:adjustRightInd w:val="0"/>
              <w:snapToGrid w:val="0"/>
              <w:spacing w:line="288" w:lineRule="auto"/>
              <w:jc w:val="center"/>
              <w:rPr>
                <w:b/>
                <w:bCs/>
                <w:color w:val="auto"/>
                <w:sz w:val="21"/>
                <w:szCs w:val="21"/>
                <w:highlight w:val="none"/>
              </w:rPr>
            </w:pPr>
          </w:p>
        </w:tc>
        <w:tc>
          <w:tcPr>
            <w:tcW w:w="1702" w:type="dxa"/>
            <w:shd w:val="clear" w:color="auto" w:fill="FFFFFF"/>
            <w:vAlign w:val="center"/>
          </w:tcPr>
          <w:p w14:paraId="17F2857C">
            <w:pPr>
              <w:adjustRightInd w:val="0"/>
              <w:snapToGrid w:val="0"/>
              <w:spacing w:line="288" w:lineRule="auto"/>
              <w:jc w:val="center"/>
              <w:rPr>
                <w:b/>
                <w:bCs/>
                <w:color w:val="auto"/>
                <w:sz w:val="21"/>
                <w:szCs w:val="21"/>
                <w:highlight w:val="none"/>
              </w:rPr>
            </w:pPr>
          </w:p>
        </w:tc>
        <w:tc>
          <w:tcPr>
            <w:tcW w:w="756" w:type="dxa"/>
            <w:shd w:val="clear" w:color="auto" w:fill="FFFFFF"/>
            <w:vAlign w:val="center"/>
          </w:tcPr>
          <w:p w14:paraId="1767CDF0">
            <w:pPr>
              <w:adjustRightInd w:val="0"/>
              <w:snapToGrid w:val="0"/>
              <w:spacing w:line="288" w:lineRule="auto"/>
              <w:jc w:val="center"/>
              <w:rPr>
                <w:b/>
                <w:bCs/>
                <w:color w:val="auto"/>
                <w:sz w:val="21"/>
                <w:szCs w:val="21"/>
                <w:highlight w:val="none"/>
              </w:rPr>
            </w:pPr>
          </w:p>
        </w:tc>
        <w:tc>
          <w:tcPr>
            <w:tcW w:w="1011" w:type="dxa"/>
            <w:shd w:val="clear" w:color="auto" w:fill="FFFFFF"/>
            <w:vAlign w:val="center"/>
          </w:tcPr>
          <w:p w14:paraId="497671ED">
            <w:pPr>
              <w:adjustRightInd w:val="0"/>
              <w:snapToGrid w:val="0"/>
              <w:spacing w:line="288" w:lineRule="auto"/>
              <w:jc w:val="center"/>
              <w:rPr>
                <w:b/>
                <w:bCs/>
                <w:color w:val="auto"/>
                <w:sz w:val="21"/>
                <w:szCs w:val="21"/>
                <w:highlight w:val="none"/>
              </w:rPr>
            </w:pPr>
          </w:p>
        </w:tc>
        <w:tc>
          <w:tcPr>
            <w:tcW w:w="1323" w:type="dxa"/>
            <w:vAlign w:val="center"/>
          </w:tcPr>
          <w:p w14:paraId="579DB2BF">
            <w:pPr>
              <w:adjustRightInd w:val="0"/>
              <w:snapToGrid w:val="0"/>
              <w:spacing w:line="288" w:lineRule="auto"/>
              <w:jc w:val="center"/>
              <w:rPr>
                <w:b/>
                <w:bCs/>
                <w:color w:val="auto"/>
                <w:sz w:val="21"/>
                <w:szCs w:val="21"/>
                <w:highlight w:val="none"/>
              </w:rPr>
            </w:pPr>
          </w:p>
        </w:tc>
        <w:tc>
          <w:tcPr>
            <w:tcW w:w="1871" w:type="dxa"/>
            <w:vAlign w:val="center"/>
          </w:tcPr>
          <w:p w14:paraId="5DC53DBC">
            <w:pPr>
              <w:adjustRightInd w:val="0"/>
              <w:snapToGrid w:val="0"/>
              <w:spacing w:line="288" w:lineRule="auto"/>
              <w:jc w:val="center"/>
              <w:rPr>
                <w:b/>
                <w:bCs/>
                <w:color w:val="auto"/>
                <w:sz w:val="21"/>
                <w:szCs w:val="21"/>
                <w:highlight w:val="none"/>
              </w:rPr>
            </w:pPr>
          </w:p>
        </w:tc>
      </w:tr>
      <w:tr w14:paraId="2CD7A95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shd w:val="clear" w:color="auto" w:fill="auto"/>
            <w:vAlign w:val="center"/>
          </w:tcPr>
          <w:p w14:paraId="464970FF">
            <w:pPr>
              <w:adjustRightInd w:val="0"/>
              <w:snapToGrid w:val="0"/>
              <w:spacing w:line="288" w:lineRule="auto"/>
              <w:jc w:val="center"/>
              <w:rPr>
                <w:b/>
                <w:bCs/>
                <w:color w:val="auto"/>
                <w:sz w:val="21"/>
                <w:szCs w:val="21"/>
                <w:highlight w:val="none"/>
              </w:rPr>
            </w:pPr>
          </w:p>
        </w:tc>
        <w:tc>
          <w:tcPr>
            <w:tcW w:w="1839" w:type="dxa"/>
            <w:shd w:val="clear" w:color="auto" w:fill="auto"/>
            <w:vAlign w:val="center"/>
          </w:tcPr>
          <w:p w14:paraId="2FCB4643">
            <w:pPr>
              <w:adjustRightInd w:val="0"/>
              <w:snapToGrid w:val="0"/>
              <w:spacing w:line="288" w:lineRule="auto"/>
              <w:jc w:val="center"/>
              <w:rPr>
                <w:b/>
                <w:bCs/>
                <w:color w:val="auto"/>
                <w:sz w:val="21"/>
                <w:szCs w:val="21"/>
                <w:highlight w:val="none"/>
              </w:rPr>
            </w:pPr>
          </w:p>
        </w:tc>
        <w:tc>
          <w:tcPr>
            <w:tcW w:w="708" w:type="dxa"/>
            <w:shd w:val="clear" w:color="auto" w:fill="FFFFFF"/>
            <w:vAlign w:val="center"/>
          </w:tcPr>
          <w:p w14:paraId="12FA72E9">
            <w:pPr>
              <w:adjustRightInd w:val="0"/>
              <w:snapToGrid w:val="0"/>
              <w:spacing w:line="288" w:lineRule="auto"/>
              <w:jc w:val="center"/>
              <w:rPr>
                <w:b/>
                <w:bCs/>
                <w:color w:val="auto"/>
                <w:sz w:val="21"/>
                <w:szCs w:val="21"/>
                <w:highlight w:val="none"/>
              </w:rPr>
            </w:pPr>
          </w:p>
        </w:tc>
        <w:tc>
          <w:tcPr>
            <w:tcW w:w="1702" w:type="dxa"/>
            <w:shd w:val="clear" w:color="auto" w:fill="FFFFFF"/>
            <w:vAlign w:val="center"/>
          </w:tcPr>
          <w:p w14:paraId="50E7624D">
            <w:pPr>
              <w:adjustRightInd w:val="0"/>
              <w:snapToGrid w:val="0"/>
              <w:spacing w:line="288" w:lineRule="auto"/>
              <w:jc w:val="center"/>
              <w:rPr>
                <w:b/>
                <w:bCs/>
                <w:color w:val="auto"/>
                <w:sz w:val="21"/>
                <w:szCs w:val="21"/>
                <w:highlight w:val="none"/>
              </w:rPr>
            </w:pPr>
          </w:p>
        </w:tc>
        <w:tc>
          <w:tcPr>
            <w:tcW w:w="756" w:type="dxa"/>
            <w:shd w:val="clear" w:color="auto" w:fill="FFFFFF"/>
            <w:vAlign w:val="center"/>
          </w:tcPr>
          <w:p w14:paraId="3F4E59CF">
            <w:pPr>
              <w:adjustRightInd w:val="0"/>
              <w:snapToGrid w:val="0"/>
              <w:spacing w:line="288" w:lineRule="auto"/>
              <w:jc w:val="center"/>
              <w:rPr>
                <w:b/>
                <w:bCs/>
                <w:color w:val="auto"/>
                <w:sz w:val="21"/>
                <w:szCs w:val="21"/>
                <w:highlight w:val="none"/>
              </w:rPr>
            </w:pPr>
          </w:p>
        </w:tc>
        <w:tc>
          <w:tcPr>
            <w:tcW w:w="1011" w:type="dxa"/>
            <w:shd w:val="clear" w:color="auto" w:fill="FFFFFF"/>
            <w:vAlign w:val="center"/>
          </w:tcPr>
          <w:p w14:paraId="49808C71">
            <w:pPr>
              <w:adjustRightInd w:val="0"/>
              <w:snapToGrid w:val="0"/>
              <w:spacing w:line="288" w:lineRule="auto"/>
              <w:jc w:val="center"/>
              <w:rPr>
                <w:b/>
                <w:bCs/>
                <w:color w:val="auto"/>
                <w:sz w:val="21"/>
                <w:szCs w:val="21"/>
                <w:highlight w:val="none"/>
              </w:rPr>
            </w:pPr>
          </w:p>
        </w:tc>
        <w:tc>
          <w:tcPr>
            <w:tcW w:w="1323" w:type="dxa"/>
            <w:vAlign w:val="center"/>
          </w:tcPr>
          <w:p w14:paraId="3AFA8396">
            <w:pPr>
              <w:adjustRightInd w:val="0"/>
              <w:snapToGrid w:val="0"/>
              <w:spacing w:line="288" w:lineRule="auto"/>
              <w:jc w:val="center"/>
              <w:rPr>
                <w:b/>
                <w:bCs/>
                <w:color w:val="auto"/>
                <w:sz w:val="21"/>
                <w:szCs w:val="21"/>
                <w:highlight w:val="none"/>
              </w:rPr>
            </w:pPr>
          </w:p>
        </w:tc>
        <w:tc>
          <w:tcPr>
            <w:tcW w:w="1871" w:type="dxa"/>
            <w:vAlign w:val="center"/>
          </w:tcPr>
          <w:p w14:paraId="3593E18C">
            <w:pPr>
              <w:adjustRightInd w:val="0"/>
              <w:snapToGrid w:val="0"/>
              <w:spacing w:line="288" w:lineRule="auto"/>
              <w:jc w:val="center"/>
              <w:rPr>
                <w:b/>
                <w:bCs/>
                <w:color w:val="auto"/>
                <w:sz w:val="21"/>
                <w:szCs w:val="21"/>
                <w:highlight w:val="none"/>
              </w:rPr>
            </w:pPr>
          </w:p>
        </w:tc>
      </w:tr>
      <w:tr w14:paraId="300D39F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shd w:val="clear" w:color="auto" w:fill="auto"/>
            <w:vAlign w:val="center"/>
          </w:tcPr>
          <w:p w14:paraId="6EE9AB01">
            <w:pPr>
              <w:adjustRightInd w:val="0"/>
              <w:snapToGrid w:val="0"/>
              <w:spacing w:line="288" w:lineRule="auto"/>
              <w:jc w:val="center"/>
              <w:rPr>
                <w:b/>
                <w:bCs/>
                <w:color w:val="auto"/>
                <w:sz w:val="21"/>
                <w:szCs w:val="21"/>
                <w:highlight w:val="none"/>
              </w:rPr>
            </w:pPr>
          </w:p>
        </w:tc>
        <w:tc>
          <w:tcPr>
            <w:tcW w:w="1839" w:type="dxa"/>
            <w:shd w:val="clear" w:color="auto" w:fill="auto"/>
            <w:vAlign w:val="center"/>
          </w:tcPr>
          <w:p w14:paraId="4455CB4C">
            <w:pPr>
              <w:adjustRightInd w:val="0"/>
              <w:snapToGrid w:val="0"/>
              <w:spacing w:line="288" w:lineRule="auto"/>
              <w:jc w:val="center"/>
              <w:rPr>
                <w:b/>
                <w:bCs/>
                <w:color w:val="auto"/>
                <w:sz w:val="21"/>
                <w:szCs w:val="21"/>
                <w:highlight w:val="none"/>
              </w:rPr>
            </w:pPr>
          </w:p>
        </w:tc>
        <w:tc>
          <w:tcPr>
            <w:tcW w:w="708" w:type="dxa"/>
            <w:shd w:val="clear" w:color="auto" w:fill="FFFFFF"/>
            <w:vAlign w:val="center"/>
          </w:tcPr>
          <w:p w14:paraId="6E028073">
            <w:pPr>
              <w:adjustRightInd w:val="0"/>
              <w:snapToGrid w:val="0"/>
              <w:spacing w:line="288" w:lineRule="auto"/>
              <w:jc w:val="center"/>
              <w:rPr>
                <w:b/>
                <w:bCs/>
                <w:color w:val="auto"/>
                <w:sz w:val="21"/>
                <w:szCs w:val="21"/>
                <w:highlight w:val="none"/>
              </w:rPr>
            </w:pPr>
          </w:p>
        </w:tc>
        <w:tc>
          <w:tcPr>
            <w:tcW w:w="1702" w:type="dxa"/>
            <w:shd w:val="clear" w:color="auto" w:fill="FFFFFF"/>
            <w:vAlign w:val="center"/>
          </w:tcPr>
          <w:p w14:paraId="513265A8">
            <w:pPr>
              <w:adjustRightInd w:val="0"/>
              <w:snapToGrid w:val="0"/>
              <w:spacing w:line="288" w:lineRule="auto"/>
              <w:jc w:val="center"/>
              <w:rPr>
                <w:b/>
                <w:bCs/>
                <w:color w:val="auto"/>
                <w:sz w:val="21"/>
                <w:szCs w:val="21"/>
                <w:highlight w:val="none"/>
              </w:rPr>
            </w:pPr>
          </w:p>
        </w:tc>
        <w:tc>
          <w:tcPr>
            <w:tcW w:w="756" w:type="dxa"/>
            <w:shd w:val="clear" w:color="auto" w:fill="FFFFFF"/>
            <w:vAlign w:val="center"/>
          </w:tcPr>
          <w:p w14:paraId="351AE3CB">
            <w:pPr>
              <w:adjustRightInd w:val="0"/>
              <w:snapToGrid w:val="0"/>
              <w:spacing w:line="288" w:lineRule="auto"/>
              <w:jc w:val="center"/>
              <w:rPr>
                <w:b/>
                <w:bCs/>
                <w:color w:val="auto"/>
                <w:sz w:val="21"/>
                <w:szCs w:val="21"/>
                <w:highlight w:val="none"/>
              </w:rPr>
            </w:pPr>
          </w:p>
        </w:tc>
        <w:tc>
          <w:tcPr>
            <w:tcW w:w="1011" w:type="dxa"/>
            <w:shd w:val="clear" w:color="auto" w:fill="FFFFFF"/>
            <w:vAlign w:val="center"/>
          </w:tcPr>
          <w:p w14:paraId="74EA9B5E">
            <w:pPr>
              <w:adjustRightInd w:val="0"/>
              <w:snapToGrid w:val="0"/>
              <w:spacing w:line="288" w:lineRule="auto"/>
              <w:jc w:val="center"/>
              <w:rPr>
                <w:b/>
                <w:bCs/>
                <w:color w:val="auto"/>
                <w:sz w:val="21"/>
                <w:szCs w:val="21"/>
                <w:highlight w:val="none"/>
              </w:rPr>
            </w:pPr>
          </w:p>
        </w:tc>
        <w:tc>
          <w:tcPr>
            <w:tcW w:w="1323" w:type="dxa"/>
            <w:vAlign w:val="center"/>
          </w:tcPr>
          <w:p w14:paraId="67AEA74A">
            <w:pPr>
              <w:adjustRightInd w:val="0"/>
              <w:snapToGrid w:val="0"/>
              <w:spacing w:line="288" w:lineRule="auto"/>
              <w:jc w:val="center"/>
              <w:rPr>
                <w:b/>
                <w:bCs/>
                <w:color w:val="auto"/>
                <w:sz w:val="21"/>
                <w:szCs w:val="21"/>
                <w:highlight w:val="none"/>
              </w:rPr>
            </w:pPr>
          </w:p>
        </w:tc>
        <w:tc>
          <w:tcPr>
            <w:tcW w:w="1871" w:type="dxa"/>
            <w:vAlign w:val="center"/>
          </w:tcPr>
          <w:p w14:paraId="7EDF7158">
            <w:pPr>
              <w:adjustRightInd w:val="0"/>
              <w:snapToGrid w:val="0"/>
              <w:spacing w:line="288" w:lineRule="auto"/>
              <w:jc w:val="center"/>
              <w:rPr>
                <w:b/>
                <w:bCs/>
                <w:color w:val="auto"/>
                <w:sz w:val="21"/>
                <w:szCs w:val="21"/>
                <w:highlight w:val="none"/>
              </w:rPr>
            </w:pPr>
          </w:p>
        </w:tc>
      </w:tr>
      <w:tr w14:paraId="7D62291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shd w:val="clear" w:color="auto" w:fill="auto"/>
            <w:vAlign w:val="center"/>
          </w:tcPr>
          <w:p w14:paraId="372369A7">
            <w:pPr>
              <w:adjustRightInd w:val="0"/>
              <w:snapToGrid w:val="0"/>
              <w:spacing w:line="288" w:lineRule="auto"/>
              <w:jc w:val="center"/>
              <w:rPr>
                <w:b/>
                <w:bCs/>
                <w:color w:val="auto"/>
                <w:sz w:val="21"/>
                <w:szCs w:val="21"/>
                <w:highlight w:val="none"/>
              </w:rPr>
            </w:pPr>
          </w:p>
        </w:tc>
        <w:tc>
          <w:tcPr>
            <w:tcW w:w="1839" w:type="dxa"/>
            <w:shd w:val="clear" w:color="auto" w:fill="auto"/>
            <w:vAlign w:val="center"/>
          </w:tcPr>
          <w:p w14:paraId="0885588B">
            <w:pPr>
              <w:adjustRightInd w:val="0"/>
              <w:snapToGrid w:val="0"/>
              <w:spacing w:line="288" w:lineRule="auto"/>
              <w:jc w:val="center"/>
              <w:rPr>
                <w:b/>
                <w:bCs/>
                <w:color w:val="auto"/>
                <w:sz w:val="21"/>
                <w:szCs w:val="21"/>
                <w:highlight w:val="none"/>
              </w:rPr>
            </w:pPr>
          </w:p>
        </w:tc>
        <w:tc>
          <w:tcPr>
            <w:tcW w:w="708" w:type="dxa"/>
            <w:shd w:val="clear" w:color="auto" w:fill="FFFFFF"/>
            <w:vAlign w:val="center"/>
          </w:tcPr>
          <w:p w14:paraId="31DEEC4A">
            <w:pPr>
              <w:adjustRightInd w:val="0"/>
              <w:snapToGrid w:val="0"/>
              <w:spacing w:line="288" w:lineRule="auto"/>
              <w:jc w:val="center"/>
              <w:rPr>
                <w:b/>
                <w:bCs/>
                <w:color w:val="auto"/>
                <w:sz w:val="21"/>
                <w:szCs w:val="21"/>
                <w:highlight w:val="none"/>
              </w:rPr>
            </w:pPr>
          </w:p>
        </w:tc>
        <w:tc>
          <w:tcPr>
            <w:tcW w:w="1702" w:type="dxa"/>
            <w:shd w:val="clear" w:color="auto" w:fill="FFFFFF"/>
            <w:vAlign w:val="center"/>
          </w:tcPr>
          <w:p w14:paraId="043BF28B">
            <w:pPr>
              <w:adjustRightInd w:val="0"/>
              <w:snapToGrid w:val="0"/>
              <w:spacing w:line="288" w:lineRule="auto"/>
              <w:jc w:val="center"/>
              <w:rPr>
                <w:b/>
                <w:bCs/>
                <w:color w:val="auto"/>
                <w:sz w:val="21"/>
                <w:szCs w:val="21"/>
                <w:highlight w:val="none"/>
              </w:rPr>
            </w:pPr>
          </w:p>
        </w:tc>
        <w:tc>
          <w:tcPr>
            <w:tcW w:w="756" w:type="dxa"/>
            <w:shd w:val="clear" w:color="auto" w:fill="FFFFFF"/>
            <w:vAlign w:val="center"/>
          </w:tcPr>
          <w:p w14:paraId="1F1DA6BE">
            <w:pPr>
              <w:adjustRightInd w:val="0"/>
              <w:snapToGrid w:val="0"/>
              <w:spacing w:line="288" w:lineRule="auto"/>
              <w:jc w:val="center"/>
              <w:rPr>
                <w:b/>
                <w:bCs/>
                <w:color w:val="auto"/>
                <w:sz w:val="21"/>
                <w:szCs w:val="21"/>
                <w:highlight w:val="none"/>
              </w:rPr>
            </w:pPr>
          </w:p>
        </w:tc>
        <w:tc>
          <w:tcPr>
            <w:tcW w:w="1011" w:type="dxa"/>
            <w:shd w:val="clear" w:color="auto" w:fill="FFFFFF"/>
            <w:vAlign w:val="center"/>
          </w:tcPr>
          <w:p w14:paraId="58A075B7">
            <w:pPr>
              <w:adjustRightInd w:val="0"/>
              <w:snapToGrid w:val="0"/>
              <w:spacing w:line="288" w:lineRule="auto"/>
              <w:jc w:val="center"/>
              <w:rPr>
                <w:b/>
                <w:bCs/>
                <w:color w:val="auto"/>
                <w:sz w:val="21"/>
                <w:szCs w:val="21"/>
                <w:highlight w:val="none"/>
              </w:rPr>
            </w:pPr>
          </w:p>
        </w:tc>
        <w:tc>
          <w:tcPr>
            <w:tcW w:w="1323" w:type="dxa"/>
            <w:vAlign w:val="center"/>
          </w:tcPr>
          <w:p w14:paraId="291BF341">
            <w:pPr>
              <w:adjustRightInd w:val="0"/>
              <w:snapToGrid w:val="0"/>
              <w:spacing w:line="288" w:lineRule="auto"/>
              <w:jc w:val="center"/>
              <w:rPr>
                <w:b/>
                <w:bCs/>
                <w:color w:val="auto"/>
                <w:sz w:val="21"/>
                <w:szCs w:val="21"/>
                <w:highlight w:val="none"/>
              </w:rPr>
            </w:pPr>
          </w:p>
        </w:tc>
        <w:tc>
          <w:tcPr>
            <w:tcW w:w="1871" w:type="dxa"/>
            <w:vAlign w:val="center"/>
          </w:tcPr>
          <w:p w14:paraId="177A9834">
            <w:pPr>
              <w:adjustRightInd w:val="0"/>
              <w:snapToGrid w:val="0"/>
              <w:spacing w:line="288" w:lineRule="auto"/>
              <w:jc w:val="center"/>
              <w:rPr>
                <w:b/>
                <w:bCs/>
                <w:color w:val="auto"/>
                <w:sz w:val="21"/>
                <w:szCs w:val="21"/>
                <w:highlight w:val="none"/>
              </w:rPr>
            </w:pPr>
          </w:p>
        </w:tc>
      </w:tr>
      <w:tr w14:paraId="17CA105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18" w:type="dxa"/>
            <w:gridSpan w:val="8"/>
            <w:vAlign w:val="center"/>
          </w:tcPr>
          <w:p w14:paraId="3988EAF6">
            <w:pPr>
              <w:adjustRightInd w:val="0"/>
              <w:snapToGrid w:val="0"/>
              <w:spacing w:line="288" w:lineRule="auto"/>
              <w:jc w:val="left"/>
              <w:rPr>
                <w:b/>
                <w:bCs/>
                <w:color w:val="auto"/>
                <w:sz w:val="21"/>
                <w:szCs w:val="21"/>
                <w:highlight w:val="none"/>
              </w:rPr>
            </w:pPr>
            <w:r>
              <w:rPr>
                <w:rFonts w:hint="eastAsia"/>
                <w:b/>
                <w:color w:val="auto"/>
                <w:spacing w:val="-6"/>
                <w:sz w:val="21"/>
                <w:szCs w:val="21"/>
                <w:highlight w:val="none"/>
              </w:rPr>
              <w:t>说明：采购人将以合同形式有偿取得货物或服务，不接受供应商给予的赠品、回扣或者与采购无关的其他商品、服务。本项目为总价包干价，报价范围应当涵盖完成本项目所需的全部费用，以及税金、管理费、利润、风险费、投标费用等一切成本及费用。</w:t>
            </w:r>
          </w:p>
          <w:p w14:paraId="362F8477">
            <w:pPr>
              <w:adjustRightInd w:val="0"/>
              <w:snapToGrid w:val="0"/>
              <w:spacing w:line="288" w:lineRule="auto"/>
              <w:jc w:val="center"/>
              <w:rPr>
                <w:b/>
                <w:bCs/>
                <w:color w:val="auto"/>
                <w:sz w:val="21"/>
                <w:szCs w:val="21"/>
                <w:highlight w:val="none"/>
              </w:rPr>
            </w:pPr>
          </w:p>
          <w:p w14:paraId="125D5B17">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总价（人民币元）</w:t>
            </w:r>
          </w:p>
          <w:p w14:paraId="02C055B5">
            <w:pPr>
              <w:adjustRightInd w:val="0"/>
              <w:snapToGrid w:val="0"/>
              <w:spacing w:line="288" w:lineRule="auto"/>
              <w:rPr>
                <w:b/>
                <w:bCs/>
                <w:color w:val="auto"/>
                <w:sz w:val="21"/>
                <w:szCs w:val="21"/>
                <w:highlight w:val="none"/>
              </w:rPr>
            </w:pPr>
          </w:p>
          <w:p w14:paraId="4EAACB35">
            <w:pPr>
              <w:adjustRightInd w:val="0"/>
              <w:snapToGrid w:val="0"/>
              <w:spacing w:line="288" w:lineRule="auto"/>
              <w:rPr>
                <w:b/>
                <w:bCs/>
                <w:color w:val="auto"/>
                <w:sz w:val="21"/>
                <w:szCs w:val="21"/>
                <w:highlight w:val="none"/>
              </w:rPr>
            </w:pPr>
            <w:r>
              <w:rPr>
                <w:rFonts w:hint="eastAsia"/>
                <w:b/>
                <w:bCs/>
                <w:color w:val="auto"/>
                <w:sz w:val="21"/>
                <w:szCs w:val="21"/>
                <w:highlight w:val="none"/>
              </w:rPr>
              <w:t>小写：_________________________</w:t>
            </w:r>
          </w:p>
          <w:p w14:paraId="74C3B43A">
            <w:pPr>
              <w:adjustRightInd w:val="0"/>
              <w:snapToGrid w:val="0"/>
              <w:spacing w:line="288" w:lineRule="auto"/>
              <w:rPr>
                <w:b/>
                <w:bCs/>
                <w:color w:val="auto"/>
                <w:sz w:val="21"/>
                <w:szCs w:val="21"/>
                <w:highlight w:val="none"/>
              </w:rPr>
            </w:pPr>
          </w:p>
          <w:p w14:paraId="33239421">
            <w:pPr>
              <w:adjustRightInd w:val="0"/>
              <w:snapToGrid w:val="0"/>
              <w:spacing w:line="288" w:lineRule="auto"/>
              <w:rPr>
                <w:b/>
                <w:bCs/>
                <w:color w:val="auto"/>
                <w:sz w:val="21"/>
                <w:szCs w:val="21"/>
                <w:highlight w:val="none"/>
              </w:rPr>
            </w:pPr>
            <w:r>
              <w:rPr>
                <w:rFonts w:hint="eastAsia"/>
                <w:b/>
                <w:bCs/>
                <w:color w:val="auto"/>
                <w:sz w:val="21"/>
                <w:szCs w:val="21"/>
                <w:highlight w:val="none"/>
              </w:rPr>
              <w:t>大写：_________________________</w:t>
            </w:r>
          </w:p>
          <w:p w14:paraId="0764782F">
            <w:pPr>
              <w:adjustRightInd w:val="0"/>
              <w:snapToGrid w:val="0"/>
              <w:spacing w:line="288" w:lineRule="auto"/>
              <w:rPr>
                <w:b/>
                <w:bCs/>
                <w:color w:val="auto"/>
                <w:sz w:val="21"/>
                <w:szCs w:val="21"/>
                <w:highlight w:val="none"/>
              </w:rPr>
            </w:pPr>
          </w:p>
        </w:tc>
      </w:tr>
    </w:tbl>
    <w:p w14:paraId="6F1BA17C">
      <w:pPr>
        <w:adjustRightInd w:val="0"/>
        <w:snapToGrid w:val="0"/>
        <w:spacing w:line="288" w:lineRule="auto"/>
        <w:rPr>
          <w:color w:val="auto"/>
          <w:spacing w:val="-6"/>
          <w:sz w:val="21"/>
          <w:szCs w:val="21"/>
          <w:highlight w:val="none"/>
        </w:rPr>
      </w:pPr>
    </w:p>
    <w:p w14:paraId="2AAC9B53">
      <w:pPr>
        <w:pStyle w:val="7"/>
        <w:spacing w:line="288" w:lineRule="auto"/>
        <w:rPr>
          <w:rFonts w:hAnsi="宋体" w:cs="宋体"/>
          <w:color w:val="auto"/>
          <w:spacing w:val="-6"/>
          <w:sz w:val="21"/>
          <w:szCs w:val="21"/>
          <w:highlight w:val="none"/>
        </w:rPr>
      </w:pPr>
    </w:p>
    <w:p w14:paraId="47B949B2">
      <w:pPr>
        <w:spacing w:line="288" w:lineRule="auto"/>
        <w:rPr>
          <w:color w:val="auto"/>
          <w:sz w:val="21"/>
          <w:szCs w:val="21"/>
          <w:highlight w:val="none"/>
        </w:rPr>
      </w:pPr>
    </w:p>
    <w:p w14:paraId="6EAF7A4B">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说明：</w:t>
      </w:r>
    </w:p>
    <w:p w14:paraId="6FF8E895">
      <w:pPr>
        <w:adjustRightInd w:val="0"/>
        <w:snapToGrid w:val="0"/>
        <w:spacing w:line="288" w:lineRule="auto"/>
        <w:rPr>
          <w:bCs/>
          <w:color w:val="auto"/>
          <w:spacing w:val="-6"/>
          <w:sz w:val="21"/>
          <w:szCs w:val="21"/>
          <w:highlight w:val="none"/>
        </w:rPr>
      </w:pPr>
      <w:r>
        <w:rPr>
          <w:rFonts w:hint="eastAsia"/>
          <w:bCs/>
          <w:color w:val="auto"/>
          <w:spacing w:val="-6"/>
          <w:sz w:val="21"/>
          <w:szCs w:val="21"/>
          <w:highlight w:val="none"/>
        </w:rPr>
        <w:t>1.此表在不改变格式要求的情况下，可自行增行。</w:t>
      </w:r>
    </w:p>
    <w:p w14:paraId="38CCB16E">
      <w:pPr>
        <w:adjustRightInd w:val="0"/>
        <w:snapToGrid w:val="0"/>
        <w:spacing w:line="288" w:lineRule="auto"/>
        <w:jc w:val="left"/>
        <w:rPr>
          <w:b/>
          <w:color w:val="auto"/>
          <w:spacing w:val="-6"/>
          <w:sz w:val="21"/>
          <w:szCs w:val="21"/>
          <w:highlight w:val="none"/>
        </w:rPr>
      </w:pPr>
      <w:r>
        <w:rPr>
          <w:rFonts w:hint="eastAsia"/>
          <w:bCs/>
          <w:color w:val="auto"/>
          <w:spacing w:val="-6"/>
          <w:sz w:val="21"/>
          <w:szCs w:val="21"/>
          <w:highlight w:val="none"/>
        </w:rPr>
        <w:t>2.有关本项目实施所涉及的一切费用均计入报价。</w:t>
      </w:r>
    </w:p>
    <w:p w14:paraId="0CF657BC">
      <w:pPr>
        <w:spacing w:line="288" w:lineRule="auto"/>
        <w:rPr>
          <w:bCs/>
          <w:color w:val="auto"/>
          <w:spacing w:val="-6"/>
          <w:sz w:val="21"/>
          <w:szCs w:val="21"/>
          <w:highlight w:val="none"/>
        </w:rPr>
      </w:pPr>
      <w:r>
        <w:rPr>
          <w:rFonts w:hint="eastAsia"/>
          <w:b/>
          <w:color w:val="auto"/>
          <w:spacing w:val="-6"/>
          <w:sz w:val="21"/>
          <w:szCs w:val="21"/>
          <w:highlight w:val="none"/>
        </w:rPr>
        <w:t>3.以上表格要求细分项目及报价，在“规格型号（或具体服务）”一栏中，货物类项目填写规格型号，服务类项目填写具体服务</w:t>
      </w:r>
      <w:r>
        <w:rPr>
          <w:rFonts w:hint="eastAsia"/>
          <w:bCs/>
          <w:color w:val="auto"/>
          <w:spacing w:val="-6"/>
          <w:sz w:val="21"/>
          <w:szCs w:val="21"/>
          <w:highlight w:val="none"/>
        </w:rPr>
        <w:t>。</w:t>
      </w:r>
    </w:p>
    <w:p w14:paraId="16178A71">
      <w:pPr>
        <w:adjustRightInd w:val="0"/>
        <w:snapToGrid w:val="0"/>
        <w:spacing w:line="288" w:lineRule="auto"/>
        <w:rPr>
          <w:bCs/>
          <w:color w:val="auto"/>
          <w:sz w:val="21"/>
          <w:szCs w:val="21"/>
          <w:highlight w:val="none"/>
        </w:rPr>
      </w:pPr>
    </w:p>
    <w:p w14:paraId="1DC8A4EE">
      <w:pPr>
        <w:adjustRightInd w:val="0"/>
        <w:snapToGrid w:val="0"/>
        <w:spacing w:line="288" w:lineRule="auto"/>
        <w:rPr>
          <w:bCs/>
          <w:color w:val="auto"/>
          <w:sz w:val="21"/>
          <w:szCs w:val="21"/>
          <w:highlight w:val="none"/>
        </w:rPr>
      </w:pPr>
    </w:p>
    <w:p w14:paraId="6E68E7A1">
      <w:pPr>
        <w:adjustRightInd w:val="0"/>
        <w:snapToGrid w:val="0"/>
        <w:spacing w:line="288" w:lineRule="auto"/>
        <w:rPr>
          <w:bCs/>
          <w:color w:val="auto"/>
          <w:spacing w:val="-6"/>
          <w:sz w:val="21"/>
          <w:szCs w:val="21"/>
          <w:highlight w:val="none"/>
        </w:rPr>
      </w:pPr>
      <w:r>
        <w:rPr>
          <w:rFonts w:hint="eastAsia"/>
          <w:bCs/>
          <w:color w:val="auto"/>
          <w:spacing w:val="-6"/>
          <w:sz w:val="21"/>
          <w:szCs w:val="21"/>
          <w:highlight w:val="none"/>
        </w:rPr>
        <w:t>供应商名称（电子签名/公章）：</w:t>
      </w:r>
    </w:p>
    <w:p w14:paraId="198CA4E7">
      <w:pPr>
        <w:adjustRightInd w:val="0"/>
        <w:snapToGrid w:val="0"/>
        <w:spacing w:line="288" w:lineRule="auto"/>
        <w:rPr>
          <w:bCs/>
          <w:color w:val="auto"/>
          <w:spacing w:val="-6"/>
          <w:sz w:val="21"/>
          <w:szCs w:val="21"/>
          <w:highlight w:val="none"/>
        </w:rPr>
      </w:pPr>
      <w:r>
        <w:rPr>
          <w:rFonts w:hint="eastAsia"/>
          <w:bCs/>
          <w:color w:val="auto"/>
          <w:spacing w:val="-6"/>
          <w:sz w:val="21"/>
          <w:szCs w:val="21"/>
          <w:highlight w:val="none"/>
        </w:rPr>
        <w:t>日期：</w:t>
      </w:r>
      <w:r>
        <w:rPr>
          <w:rFonts w:hint="eastAsia"/>
          <w:bCs/>
          <w:color w:val="auto"/>
          <w:spacing w:val="-6"/>
          <w:sz w:val="21"/>
          <w:szCs w:val="21"/>
          <w:highlight w:val="none"/>
          <w:lang w:eastAsia="zh-CN"/>
        </w:rPr>
        <w:t>2025年</w:t>
      </w:r>
      <w:r>
        <w:rPr>
          <w:rFonts w:hint="eastAsia"/>
          <w:bCs/>
          <w:color w:val="auto"/>
          <w:spacing w:val="-6"/>
          <w:sz w:val="21"/>
          <w:szCs w:val="21"/>
          <w:highlight w:val="none"/>
        </w:rPr>
        <w:t xml:space="preserve">  月  日</w:t>
      </w:r>
    </w:p>
    <w:p w14:paraId="456D9E92">
      <w:pPr>
        <w:adjustRightInd w:val="0"/>
        <w:snapToGrid w:val="0"/>
        <w:spacing w:line="288" w:lineRule="auto"/>
        <w:rPr>
          <w:b/>
          <w:color w:val="auto"/>
          <w:spacing w:val="-6"/>
          <w:sz w:val="21"/>
          <w:szCs w:val="21"/>
          <w:highlight w:val="none"/>
        </w:rPr>
      </w:pPr>
    </w:p>
    <w:p w14:paraId="7EA94DE2">
      <w:pPr>
        <w:pStyle w:val="63"/>
        <w:spacing w:line="288" w:lineRule="auto"/>
        <w:ind w:firstLine="398"/>
        <w:rPr>
          <w:rFonts w:ascii="宋体" w:hAnsi="宋体" w:eastAsia="宋体" w:cs="宋体"/>
          <w:b/>
          <w:color w:val="auto"/>
          <w:spacing w:val="-6"/>
          <w:sz w:val="21"/>
          <w:szCs w:val="21"/>
          <w:highlight w:val="none"/>
        </w:rPr>
      </w:pPr>
    </w:p>
    <w:p w14:paraId="1092866D">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说明：此表在政采云开标当天最后报价时作为附件上传系统。</w:t>
      </w:r>
    </w:p>
    <w:p w14:paraId="4747CC6D">
      <w:pPr>
        <w:pStyle w:val="63"/>
        <w:spacing w:line="288" w:lineRule="auto"/>
        <w:ind w:firstLine="398"/>
        <w:rPr>
          <w:rFonts w:ascii="宋体" w:hAnsi="宋体" w:eastAsia="宋体" w:cs="宋体"/>
          <w:b/>
          <w:color w:val="auto"/>
          <w:spacing w:val="-6"/>
          <w:sz w:val="21"/>
          <w:szCs w:val="21"/>
          <w:highlight w:val="none"/>
        </w:rPr>
        <w:sectPr>
          <w:pgSz w:w="11906" w:h="16838"/>
          <w:pgMar w:top="1247" w:right="1247" w:bottom="1247" w:left="1247" w:header="0" w:footer="692" w:gutter="0"/>
          <w:pgBorders>
            <w:top w:val="none" w:sz="0" w:space="0"/>
            <w:left w:val="none" w:sz="0" w:space="0"/>
            <w:bottom w:val="none" w:sz="0" w:space="0"/>
            <w:right w:val="none" w:sz="0" w:space="0"/>
          </w:pgBorders>
          <w:cols w:space="720" w:num="1"/>
          <w:docGrid w:type="lines" w:linePitch="312" w:charSpace="0"/>
        </w:sectPr>
      </w:pPr>
    </w:p>
    <w:p w14:paraId="58E49753">
      <w:pPr>
        <w:adjustRightInd w:val="0"/>
        <w:snapToGrid w:val="0"/>
        <w:spacing w:line="288" w:lineRule="auto"/>
        <w:outlineLvl w:val="1"/>
        <w:rPr>
          <w:b/>
          <w:color w:val="auto"/>
          <w:spacing w:val="-6"/>
          <w:sz w:val="21"/>
          <w:szCs w:val="21"/>
          <w:highlight w:val="none"/>
        </w:rPr>
      </w:pPr>
      <w:r>
        <w:rPr>
          <w:rFonts w:hint="eastAsia"/>
          <w:b/>
          <w:color w:val="auto"/>
          <w:spacing w:val="-6"/>
          <w:sz w:val="21"/>
          <w:szCs w:val="21"/>
          <w:highlight w:val="none"/>
        </w:rPr>
        <w:t>十、附件</w:t>
      </w:r>
    </w:p>
    <w:p w14:paraId="5617E556">
      <w:pPr>
        <w:adjustRightInd w:val="0"/>
        <w:snapToGrid w:val="0"/>
        <w:spacing w:line="288" w:lineRule="auto"/>
        <w:outlineLvl w:val="2"/>
        <w:rPr>
          <w:b/>
          <w:bCs/>
          <w:color w:val="auto"/>
          <w:sz w:val="21"/>
          <w:szCs w:val="21"/>
          <w:highlight w:val="none"/>
        </w:rPr>
      </w:pPr>
      <w:r>
        <w:rPr>
          <w:rFonts w:hint="eastAsia"/>
          <w:b/>
          <w:color w:val="auto"/>
          <w:spacing w:val="-6"/>
          <w:sz w:val="21"/>
          <w:szCs w:val="21"/>
          <w:highlight w:val="none"/>
        </w:rPr>
        <w:t>附件1：</w:t>
      </w:r>
      <w:r>
        <w:rPr>
          <w:rFonts w:hint="eastAsia"/>
          <w:b/>
          <w:bCs/>
          <w:color w:val="auto"/>
          <w:sz w:val="21"/>
          <w:szCs w:val="21"/>
          <w:highlight w:val="none"/>
        </w:rPr>
        <w:t>业务专用章使用说明函</w:t>
      </w:r>
      <w:bookmarkEnd w:id="164"/>
      <w:bookmarkEnd w:id="174"/>
      <w:bookmarkEnd w:id="175"/>
      <w:bookmarkEnd w:id="176"/>
    </w:p>
    <w:p w14:paraId="0C6A841A">
      <w:pPr>
        <w:snapToGrid w:val="0"/>
        <w:spacing w:line="288" w:lineRule="auto"/>
        <w:rPr>
          <w:color w:val="auto"/>
          <w:sz w:val="21"/>
          <w:szCs w:val="21"/>
          <w:highlight w:val="none"/>
          <w:u w:val="single"/>
        </w:rPr>
      </w:pPr>
    </w:p>
    <w:p w14:paraId="33EE3573">
      <w:pPr>
        <w:snapToGrid w:val="0"/>
        <w:spacing w:line="288" w:lineRule="auto"/>
        <w:rPr>
          <w:color w:val="auto"/>
          <w:sz w:val="21"/>
          <w:szCs w:val="21"/>
          <w:highlight w:val="none"/>
        </w:rPr>
      </w:pPr>
      <w:r>
        <w:rPr>
          <w:rFonts w:hint="eastAsia"/>
          <w:color w:val="auto"/>
          <w:sz w:val="21"/>
          <w:szCs w:val="21"/>
          <w:highlight w:val="none"/>
          <w:u w:val="single"/>
        </w:rPr>
        <w:t>（采购人）、（采购代理机构）</w:t>
      </w:r>
    </w:p>
    <w:p w14:paraId="595CB5BE">
      <w:pPr>
        <w:snapToGrid w:val="0"/>
        <w:spacing w:line="288" w:lineRule="auto"/>
        <w:ind w:firstLine="424" w:firstLineChars="202"/>
        <w:rPr>
          <w:color w:val="auto"/>
          <w:sz w:val="21"/>
          <w:szCs w:val="21"/>
          <w:highlight w:val="none"/>
        </w:rPr>
      </w:pPr>
      <w:r>
        <w:rPr>
          <w:rFonts w:hint="eastAsia"/>
          <w:color w:val="auto"/>
          <w:kern w:val="0"/>
          <w:sz w:val="21"/>
          <w:szCs w:val="21"/>
          <w:highlight w:val="none"/>
          <w:lang w:val="zh-CN"/>
        </w:rPr>
        <w:t>我方</w:t>
      </w:r>
      <w:r>
        <w:rPr>
          <w:rFonts w:hint="eastAsia"/>
          <w:color w:val="auto"/>
          <w:kern w:val="0"/>
          <w:sz w:val="21"/>
          <w:szCs w:val="21"/>
          <w:highlight w:val="none"/>
          <w:u w:val="single"/>
          <w:lang w:val="zh-CN"/>
        </w:rPr>
        <w:t xml:space="preserve">                         </w:t>
      </w:r>
      <w:r>
        <w:rPr>
          <w:rFonts w:hint="eastAsia"/>
          <w:color w:val="auto"/>
          <w:sz w:val="21"/>
          <w:szCs w:val="21"/>
          <w:highlight w:val="none"/>
        </w:rPr>
        <w:t>(供应商全称)是中华人民共和国依法登记注册的合法企业，</w:t>
      </w:r>
      <w:r>
        <w:rPr>
          <w:rFonts w:hint="eastAsia"/>
          <w:bCs/>
          <w:color w:val="auto"/>
          <w:sz w:val="21"/>
          <w:szCs w:val="21"/>
          <w:highlight w:val="none"/>
        </w:rPr>
        <w:t>在参加</w:t>
      </w:r>
      <w:r>
        <w:rPr>
          <w:rFonts w:hint="eastAsia"/>
          <w:color w:val="auto"/>
          <w:sz w:val="21"/>
          <w:szCs w:val="21"/>
          <w:highlight w:val="none"/>
        </w:rPr>
        <w:t>你方组织的</w:t>
      </w:r>
      <w:r>
        <w:rPr>
          <w:rFonts w:hint="eastAsia"/>
          <w:color w:val="auto"/>
          <w:sz w:val="21"/>
          <w:szCs w:val="21"/>
          <w:highlight w:val="none"/>
          <w:u w:val="single"/>
        </w:rPr>
        <w:t>（项目名称）</w:t>
      </w:r>
      <w:r>
        <w:rPr>
          <w:rFonts w:hint="eastAsia"/>
          <w:color w:val="auto"/>
          <w:sz w:val="21"/>
          <w:szCs w:val="21"/>
          <w:highlight w:val="none"/>
        </w:rPr>
        <w:t>项目</w:t>
      </w:r>
      <w:r>
        <w:rPr>
          <w:rFonts w:hint="eastAsia"/>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“XX专用章”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“XX专用章”</w:t>
      </w:r>
      <w:r>
        <w:rPr>
          <w:rFonts w:hint="eastAsia"/>
          <w:color w:val="auto"/>
          <w:sz w:val="21"/>
          <w:szCs w:val="21"/>
          <w:highlight w:val="none"/>
        </w:rPr>
        <w:t>的行为予以完全承认，并愿意承担相应责任。</w:t>
      </w:r>
    </w:p>
    <w:p w14:paraId="343198F0">
      <w:pPr>
        <w:snapToGrid w:val="0"/>
        <w:spacing w:line="288" w:lineRule="auto"/>
        <w:ind w:firstLine="424" w:firstLineChars="202"/>
        <w:rPr>
          <w:color w:val="auto"/>
          <w:sz w:val="21"/>
          <w:szCs w:val="21"/>
          <w:highlight w:val="none"/>
        </w:rPr>
      </w:pPr>
      <w:r>
        <w:rPr>
          <w:rFonts w:hint="eastAsia"/>
          <w:color w:val="auto"/>
          <w:sz w:val="21"/>
          <w:szCs w:val="21"/>
          <w:highlight w:val="none"/>
        </w:rPr>
        <w:t>特此说明。</w:t>
      </w:r>
    </w:p>
    <w:p w14:paraId="2125EFEE">
      <w:pPr>
        <w:snapToGrid w:val="0"/>
        <w:spacing w:line="288" w:lineRule="auto"/>
        <w:ind w:firstLine="424" w:firstLineChars="202"/>
        <w:rPr>
          <w:color w:val="auto"/>
          <w:sz w:val="21"/>
          <w:szCs w:val="21"/>
          <w:highlight w:val="none"/>
        </w:rPr>
      </w:pPr>
      <w:r>
        <w:rPr>
          <w:rFonts w:hint="eastAsia"/>
          <w:color w:val="auto"/>
          <w:sz w:val="21"/>
          <w:szCs w:val="21"/>
          <w:highlight w:val="none"/>
        </w:rPr>
        <w:t>供应商（法定名称章）：</w:t>
      </w:r>
    </w:p>
    <w:p w14:paraId="7A8FFBF8">
      <w:pPr>
        <w:snapToGrid w:val="0"/>
        <w:spacing w:line="288" w:lineRule="auto"/>
        <w:ind w:firstLine="424" w:firstLineChars="202"/>
        <w:rPr>
          <w:color w:val="auto"/>
          <w:sz w:val="21"/>
          <w:szCs w:val="21"/>
          <w:highlight w:val="none"/>
        </w:rPr>
      </w:pPr>
      <w:r>
        <w:rPr>
          <w:rFonts w:hint="eastAsia"/>
          <w:color w:val="auto"/>
          <w:sz w:val="21"/>
          <w:szCs w:val="21"/>
          <w:highlight w:val="none"/>
        </w:rPr>
        <w:t>日期：       年     月     日</w:t>
      </w:r>
    </w:p>
    <w:p w14:paraId="423B2A18">
      <w:pPr>
        <w:snapToGrid w:val="0"/>
        <w:spacing w:line="288" w:lineRule="auto"/>
        <w:rPr>
          <w:b/>
          <w:bCs/>
          <w:color w:val="auto"/>
          <w:sz w:val="21"/>
          <w:szCs w:val="21"/>
          <w:highlight w:val="none"/>
        </w:rPr>
      </w:pPr>
    </w:p>
    <w:p w14:paraId="2034C44A">
      <w:pPr>
        <w:snapToGrid w:val="0"/>
        <w:spacing w:line="288" w:lineRule="auto"/>
        <w:rPr>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                供应商“XX专用章”（印模）</w:t>
      </w:r>
    </w:p>
    <w:p w14:paraId="774D1262">
      <w:pPr>
        <w:snapToGrid w:val="0"/>
        <w:spacing w:line="288" w:lineRule="auto"/>
        <w:rPr>
          <w:color w:val="auto"/>
          <w:sz w:val="21"/>
          <w:szCs w:val="21"/>
          <w:highlight w:val="none"/>
        </w:rPr>
      </w:pPr>
      <w:r>
        <w:rPr>
          <w:rFonts w:hint="eastAsia"/>
          <w:color w:val="auto"/>
          <w:sz w:val="21"/>
          <w:szCs w:val="21"/>
          <w:highlight w:val="none"/>
        </w:rPr>
        <mc:AlternateContent>
          <mc:Choice Requires="wps">
            <w:drawing>
              <wp:inline distT="0" distB="0" distL="114300" distR="114300">
                <wp:extent cx="2704465" cy="2253615"/>
                <wp:effectExtent l="5080" t="4445" r="14605" b="8890"/>
                <wp:docPr id="1"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inline>
            </w:drawing>
          </mc:Choice>
          <mc:Fallback>
            <w:pict>
              <v:rect id="矩形 2" o:spid="_x0000_s1026" o:spt="1" style="height:177.45pt;width:212.95pt;" fillcolor="#FFFFFF" filled="t" stroked="t" coordsize="21600,21600" o:gfxdata="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S0Rk9UAAAAF&#10;AQAADwAAAAAAAAABACAAAAAiAAAAZHJzL2Rvd25yZXYueG1sUEsBAhQAFAAAAAgAh07iQK7+aYAf&#10;AgAAYwQAAA4AAAAAAAAAAQAgAAAAJAEAAGRycy9lMm9Eb2MueG1sUEsFBgAAAAAGAAYAWQEAALUF&#10;AAAAAA==&#10;">
                <v:fill on="t" focussize="0,0"/>
                <v:stroke color="#000000" joinstyle="miter"/>
                <v:imagedata o:title=""/>
                <o:lock v:ext="edit" rotation="t" aspectratio="t"/>
                <w10:wrap type="none"/>
                <w10:anchorlock/>
              </v:rect>
            </w:pict>
          </mc:Fallback>
        </mc:AlternateContent>
      </w:r>
      <w:r>
        <w:rPr>
          <w:rFonts w:hint="eastAsia"/>
          <w:color w:val="auto"/>
          <w:sz w:val="21"/>
          <w:szCs w:val="21"/>
          <w:highlight w:val="none"/>
        </w:rPr>
        <w:t xml:space="preserve"> </w:t>
      </w:r>
      <w:r>
        <w:rPr>
          <w:rFonts w:hint="eastAsia"/>
          <w:color w:val="auto"/>
          <w:sz w:val="21"/>
          <w:szCs w:val="21"/>
          <w:highlight w:val="none"/>
        </w:rPr>
        <mc:AlternateContent>
          <mc:Choice Requires="wps">
            <w:drawing>
              <wp:inline distT="0" distB="0" distL="114300" distR="114300">
                <wp:extent cx="2647950" cy="2253615"/>
                <wp:effectExtent l="5080" t="4445" r="13970" b="8890"/>
                <wp:docPr id="2"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inline>
            </w:drawing>
          </mc:Choice>
          <mc:Fallback>
            <w:pict>
              <v:rect id="矩形 1" o:spid="_x0000_s1026" o:spt="1" style="height:177.45pt;width:208.5pt;" fillcolor="#FFFFFF" filled="t" stroked="t" coordsize="21600,21600" o:gfxdata="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vpR3VAAAA&#10;BQEAAA8AAAAAAAAAAQAgAAAAIgAAAGRycy9kb3ducmV2LnhtbFBLAQIUABQAAAAIAIdO4kDLvTQA&#10;IAIAAGMEAAAOAAAAAAAAAAEAIAAAACQBAABkcnMvZTJvRG9jLnhtbFBLBQYAAAAABgAGAFkBAAC2&#10;BQAAAAA=&#10;">
                <v:fill on="t" focussize="0,0"/>
                <v:stroke color="#000000" joinstyle="miter"/>
                <v:imagedata o:title=""/>
                <o:lock v:ext="edit" rotation="t" aspectratio="t"/>
                <w10:wrap type="none"/>
                <w10:anchorlock/>
              </v:rect>
            </w:pict>
          </mc:Fallback>
        </mc:AlternateContent>
      </w:r>
    </w:p>
    <w:p w14:paraId="17413DAB">
      <w:pPr>
        <w:widowControl/>
        <w:spacing w:line="288" w:lineRule="auto"/>
        <w:jc w:val="center"/>
        <w:rPr>
          <w:b/>
          <w:color w:val="auto"/>
          <w:kern w:val="0"/>
          <w:sz w:val="21"/>
          <w:szCs w:val="21"/>
          <w:highlight w:val="none"/>
          <w:lang w:val="zh-CN"/>
        </w:rPr>
      </w:pPr>
      <w:r>
        <w:rPr>
          <w:rFonts w:hint="eastAsia"/>
          <w:b/>
          <w:color w:val="auto"/>
          <w:spacing w:val="-6"/>
          <w:sz w:val="21"/>
          <w:szCs w:val="21"/>
          <w:highlight w:val="none"/>
        </w:rPr>
        <w:br w:type="page"/>
      </w:r>
      <w:bookmarkStart w:id="177" w:name="_Toc23208"/>
      <w:bookmarkStart w:id="178" w:name="_Toc24386"/>
      <w:bookmarkStart w:id="179" w:name="_Toc23516"/>
      <w:bookmarkStart w:id="180" w:name="_Toc24422"/>
      <w:r>
        <w:rPr>
          <w:rFonts w:hint="eastAsia"/>
          <w:b/>
          <w:color w:val="auto"/>
          <w:kern w:val="0"/>
          <w:sz w:val="21"/>
          <w:szCs w:val="21"/>
          <w:highlight w:val="none"/>
          <w:lang w:val="zh-CN"/>
        </w:rPr>
        <w:t>附件2：联合协议</w:t>
      </w:r>
      <w:bookmarkEnd w:id="177"/>
      <w:bookmarkEnd w:id="178"/>
      <w:bookmarkEnd w:id="179"/>
      <w:bookmarkEnd w:id="180"/>
    </w:p>
    <w:p w14:paraId="49E8A9B3">
      <w:pPr>
        <w:widowControl/>
        <w:snapToGrid w:val="0"/>
        <w:spacing w:line="288" w:lineRule="auto"/>
        <w:ind w:firstLine="424" w:firstLineChars="201"/>
        <w:jc w:val="left"/>
        <w:rPr>
          <w:b/>
          <w:color w:val="auto"/>
          <w:sz w:val="21"/>
          <w:szCs w:val="21"/>
          <w:highlight w:val="none"/>
        </w:rPr>
      </w:pPr>
      <w:r>
        <w:rPr>
          <w:rFonts w:hint="eastAsia"/>
          <w:b/>
          <w:color w:val="auto"/>
          <w:sz w:val="21"/>
          <w:szCs w:val="21"/>
          <w:highlight w:val="none"/>
        </w:rPr>
        <w:t>（以联合体形式响应的，提供联合协议；供应商不以联合体形式响应的，则不需要提供）</w:t>
      </w:r>
    </w:p>
    <w:p w14:paraId="5D45544C">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u w:val="single"/>
        </w:rPr>
        <w:t>（联合体所有成员名称）</w:t>
      </w:r>
      <w:r>
        <w:rPr>
          <w:rFonts w:hint="eastAsia"/>
          <w:color w:val="auto"/>
          <w:kern w:val="0"/>
          <w:sz w:val="21"/>
          <w:szCs w:val="21"/>
          <w:highlight w:val="none"/>
        </w:rPr>
        <w:t>自愿</w:t>
      </w:r>
      <w:r>
        <w:rPr>
          <w:rFonts w:hint="eastAsia"/>
          <w:color w:val="auto"/>
          <w:kern w:val="0"/>
          <w:sz w:val="21"/>
          <w:szCs w:val="21"/>
          <w:highlight w:val="none"/>
          <w:lang w:val="zh-CN"/>
        </w:rPr>
        <w:t>组成一个联合体，以一个供应商的身份</w:t>
      </w:r>
      <w:r>
        <w:rPr>
          <w:rFonts w:hint="eastAsia"/>
          <w:color w:val="auto"/>
          <w:kern w:val="0"/>
          <w:sz w:val="21"/>
          <w:szCs w:val="21"/>
          <w:highlight w:val="none"/>
        </w:rPr>
        <w:t>参加</w:t>
      </w:r>
      <w:r>
        <w:rPr>
          <w:rFonts w:hint="eastAsia"/>
          <w:color w:val="auto"/>
          <w:sz w:val="21"/>
          <w:szCs w:val="21"/>
          <w:highlight w:val="none"/>
        </w:rPr>
        <w:t>（项目名称）【招标编号：（采购编号）】</w:t>
      </w:r>
      <w:r>
        <w:rPr>
          <w:rFonts w:hint="eastAsia"/>
          <w:color w:val="auto"/>
          <w:kern w:val="0"/>
          <w:sz w:val="21"/>
          <w:szCs w:val="21"/>
          <w:highlight w:val="none"/>
          <w:lang w:val="zh-CN"/>
        </w:rPr>
        <w:t>响应。</w:t>
      </w:r>
    </w:p>
    <w:p w14:paraId="5D2E20C4">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一、各方一致决定，</w:t>
      </w:r>
      <w:r>
        <w:rPr>
          <w:rFonts w:hint="eastAsia"/>
          <w:color w:val="auto"/>
          <w:kern w:val="0"/>
          <w:sz w:val="21"/>
          <w:szCs w:val="21"/>
          <w:highlight w:val="none"/>
          <w:u w:val="single"/>
        </w:rPr>
        <w:t>（某联合体成员名称）</w:t>
      </w:r>
      <w:r>
        <w:rPr>
          <w:rFonts w:hint="eastAsia"/>
          <w:color w:val="auto"/>
          <w:kern w:val="0"/>
          <w:sz w:val="21"/>
          <w:szCs w:val="21"/>
          <w:highlight w:val="none"/>
        </w:rPr>
        <w:t>为联合体</w:t>
      </w:r>
      <w:r>
        <w:rPr>
          <w:rFonts w:hint="eastAsia"/>
          <w:color w:val="auto"/>
          <w:kern w:val="0"/>
          <w:sz w:val="21"/>
          <w:szCs w:val="21"/>
          <w:highlight w:val="none"/>
          <w:lang w:val="zh-CN"/>
        </w:rPr>
        <w:t>牵头人</w:t>
      </w:r>
      <w:r>
        <w:rPr>
          <w:rFonts w:hint="eastAsia"/>
          <w:color w:val="auto"/>
          <w:sz w:val="21"/>
          <w:szCs w:val="21"/>
          <w:highlight w:val="none"/>
        </w:rPr>
        <w:t>，代表所有联合体成员负责响应和合同实施阶段的主办、协调工作</w:t>
      </w:r>
      <w:r>
        <w:rPr>
          <w:rFonts w:hint="eastAsia"/>
          <w:color w:val="auto"/>
          <w:kern w:val="0"/>
          <w:sz w:val="21"/>
          <w:szCs w:val="21"/>
          <w:highlight w:val="none"/>
          <w:lang w:val="zh-CN"/>
        </w:rPr>
        <w:t>。</w:t>
      </w:r>
    </w:p>
    <w:p w14:paraId="500F34C8">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二、</w:t>
      </w:r>
      <w:r>
        <w:rPr>
          <w:rFonts w:hint="eastAsia"/>
          <w:color w:val="auto"/>
          <w:sz w:val="21"/>
          <w:szCs w:val="21"/>
          <w:highlight w:val="none"/>
        </w:rPr>
        <w:t>所有联合体成员各方签署授权书，授权书载明的</w:t>
      </w:r>
      <w:r>
        <w:rPr>
          <w:rFonts w:hint="eastAsia"/>
          <w:color w:val="auto"/>
          <w:kern w:val="0"/>
          <w:sz w:val="21"/>
          <w:szCs w:val="21"/>
          <w:highlight w:val="none"/>
          <w:lang w:val="zh-CN"/>
        </w:rPr>
        <w:t>授权代表根据磋商文件规定及响应内容而对采购人、采购机构所作的任何合法承诺，包括书面澄清及相应等均对联合响应各方产生约束力。</w:t>
      </w:r>
    </w:p>
    <w:p w14:paraId="3BFFEE7E">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三、本次联合响应中，分工如下：</w:t>
      </w:r>
      <w:r>
        <w:rPr>
          <w:rFonts w:hint="eastAsia"/>
          <w:color w:val="auto"/>
          <w:kern w:val="0"/>
          <w:sz w:val="21"/>
          <w:szCs w:val="21"/>
          <w:highlight w:val="none"/>
          <w:u w:val="single"/>
        </w:rPr>
        <w:t>（联合体其中一方成员名称）</w:t>
      </w:r>
      <w:r>
        <w:rPr>
          <w:rFonts w:hint="eastAsia"/>
          <w:color w:val="auto"/>
          <w:kern w:val="0"/>
          <w:sz w:val="21"/>
          <w:szCs w:val="21"/>
          <w:highlight w:val="none"/>
          <w:lang w:val="zh-CN"/>
        </w:rPr>
        <w:t>承担的工作和义务为：</w:t>
      </w:r>
      <w:r>
        <w:rPr>
          <w:rFonts w:hint="eastAsia"/>
          <w:color w:val="auto"/>
          <w:sz w:val="21"/>
          <w:szCs w:val="21"/>
          <w:highlight w:val="none"/>
          <w:u w:val="single"/>
        </w:rPr>
        <w:t xml:space="preserve">             </w:t>
      </w:r>
      <w:r>
        <w:rPr>
          <w:rFonts w:hint="eastAsia"/>
          <w:color w:val="auto"/>
          <w:kern w:val="0"/>
          <w:sz w:val="21"/>
          <w:szCs w:val="21"/>
          <w:highlight w:val="none"/>
          <w:lang w:val="zh-CN"/>
        </w:rPr>
        <w:t>；……。</w:t>
      </w:r>
    </w:p>
    <w:p w14:paraId="440F6B81">
      <w:pPr>
        <w:snapToGrid w:val="0"/>
        <w:spacing w:line="288" w:lineRule="auto"/>
        <w:ind w:firstLine="422" w:firstLineChars="201"/>
        <w:rPr>
          <w:b/>
          <w:color w:val="auto"/>
          <w:kern w:val="0"/>
          <w:sz w:val="21"/>
          <w:szCs w:val="21"/>
          <w:highlight w:val="none"/>
          <w:lang w:val="zh-CN"/>
        </w:rPr>
      </w:pPr>
      <w:r>
        <w:rPr>
          <w:rFonts w:hint="eastAsia"/>
          <w:color w:val="auto"/>
          <w:kern w:val="0"/>
          <w:sz w:val="21"/>
          <w:szCs w:val="21"/>
          <w:highlight w:val="none"/>
          <w:lang w:val="zh-CN"/>
        </w:rPr>
        <w:t>四、</w:t>
      </w:r>
      <w:r>
        <w:rPr>
          <w:rFonts w:hint="eastAsia"/>
          <w:color w:val="auto"/>
          <w:kern w:val="0"/>
          <w:sz w:val="21"/>
          <w:szCs w:val="21"/>
          <w:highlight w:val="none"/>
          <w:u w:val="single"/>
        </w:rPr>
        <w:t>（联合体其中一方成员名称）</w:t>
      </w:r>
      <w:r>
        <w:rPr>
          <w:rFonts w:hint="eastAsia"/>
          <w:color w:val="auto"/>
          <w:kern w:val="0"/>
          <w:sz w:val="21"/>
          <w:szCs w:val="21"/>
          <w:highlight w:val="none"/>
        </w:rPr>
        <w:t>提供的全部货物由小微企业制造，其合同份额占到合同总金额</w:t>
      </w:r>
      <w:r>
        <w:rPr>
          <w:rFonts w:hint="eastAsia"/>
          <w:color w:val="auto"/>
          <w:kern w:val="0"/>
          <w:sz w:val="21"/>
          <w:szCs w:val="21"/>
          <w:highlight w:val="none"/>
          <w:u w:val="single"/>
        </w:rPr>
        <w:t xml:space="preserve">     </w:t>
      </w:r>
      <w:r>
        <w:rPr>
          <w:rFonts w:hint="eastAsia"/>
          <w:color w:val="auto"/>
          <w:kern w:val="0"/>
          <w:sz w:val="21"/>
          <w:szCs w:val="21"/>
          <w:highlight w:val="none"/>
        </w:rPr>
        <w:t>%以上；</w:t>
      </w:r>
      <w:r>
        <w:rPr>
          <w:rFonts w:hint="eastAsia"/>
          <w:color w:val="auto"/>
          <w:kern w:val="0"/>
          <w:sz w:val="21"/>
          <w:szCs w:val="21"/>
          <w:highlight w:val="none"/>
          <w:lang w:val="zh-CN"/>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highlight w:val="none"/>
          <w:lang w:val="zh-CN"/>
        </w:rPr>
        <w:t>30%以上</w:t>
      </w:r>
      <w:r>
        <w:rPr>
          <w:rFonts w:hint="eastAsia" w:cs="仿宋_GB2312"/>
          <w:b/>
          <w:color w:val="auto"/>
          <w:kern w:val="0"/>
          <w:sz w:val="21"/>
          <w:szCs w:val="21"/>
          <w:highlight w:val="none"/>
          <w:lang w:val="zh-CN"/>
        </w:rPr>
        <w:t>的，对大中型企业的报价给予4%</w:t>
      </w:r>
      <w:r>
        <w:rPr>
          <w:rFonts w:cs="仿宋_GB2312"/>
          <w:b/>
          <w:color w:val="auto"/>
          <w:kern w:val="0"/>
          <w:sz w:val="21"/>
          <w:szCs w:val="21"/>
          <w:highlight w:val="none"/>
          <w:lang w:val="zh-CN"/>
        </w:rPr>
        <w:t>的扣除</w:t>
      </w:r>
      <w:r>
        <w:rPr>
          <w:rFonts w:hint="eastAsia" w:cs="仿宋_GB2312"/>
          <w:b/>
          <w:color w:val="auto"/>
          <w:kern w:val="0"/>
          <w:sz w:val="21"/>
          <w:szCs w:val="21"/>
          <w:highlight w:val="none"/>
          <w:lang w:val="zh-CN"/>
        </w:rPr>
        <w:t>）</w:t>
      </w:r>
    </w:p>
    <w:p w14:paraId="13421226">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五、如果成交，</w:t>
      </w:r>
      <w:r>
        <w:rPr>
          <w:rFonts w:hint="eastAsia"/>
          <w:color w:val="auto"/>
          <w:sz w:val="21"/>
          <w:szCs w:val="21"/>
          <w:highlight w:val="none"/>
        </w:rPr>
        <w:t>联合体各成员方共同与采购人签订合同，并就采购合同约定的事项对采购人承担连带责任。</w:t>
      </w:r>
    </w:p>
    <w:p w14:paraId="0DE8504F">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六、有关本次联合响应的其他事宜：</w:t>
      </w:r>
    </w:p>
    <w:p w14:paraId="42BB6345">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1、联合体各方不再单独参加或者与其他供应商另外组成联合体参加同一合同项下的政府采购活动。</w:t>
      </w:r>
    </w:p>
    <w:p w14:paraId="4F418FB7">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2、联合体中有同类资质的各方按照联合体分工承担相同工作的，按照资质等级较低的供应商确定资质等级。</w:t>
      </w:r>
    </w:p>
    <w:p w14:paraId="60EE0880">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3、本协议提交采购人、采购机构后，联合体各方不得以任何形式对上述内容进行修改或撤销。</w:t>
      </w:r>
    </w:p>
    <w:p w14:paraId="3705DF82">
      <w:pPr>
        <w:snapToGrid w:val="0"/>
        <w:spacing w:line="288" w:lineRule="auto"/>
        <w:ind w:firstLine="422" w:firstLineChars="201"/>
        <w:rPr>
          <w:color w:val="auto"/>
          <w:kern w:val="0"/>
          <w:sz w:val="21"/>
          <w:szCs w:val="21"/>
          <w:highlight w:val="none"/>
          <w:lang w:val="zh-CN"/>
        </w:rPr>
      </w:pPr>
    </w:p>
    <w:p w14:paraId="6ACC82F6">
      <w:pPr>
        <w:snapToGrid w:val="0"/>
        <w:spacing w:line="288" w:lineRule="auto"/>
        <w:ind w:firstLine="422" w:firstLineChars="201"/>
        <w:rPr>
          <w:color w:val="auto"/>
          <w:kern w:val="0"/>
          <w:sz w:val="21"/>
          <w:szCs w:val="21"/>
          <w:highlight w:val="none"/>
          <w:lang w:val="zh-CN"/>
        </w:rPr>
      </w:pPr>
    </w:p>
    <w:p w14:paraId="027EF01A">
      <w:pPr>
        <w:snapToGrid w:val="0"/>
        <w:spacing w:line="288" w:lineRule="auto"/>
        <w:ind w:firstLine="424" w:firstLineChars="201"/>
        <w:rPr>
          <w:b/>
          <w:bCs/>
          <w:color w:val="auto"/>
          <w:kern w:val="0"/>
          <w:sz w:val="21"/>
          <w:szCs w:val="21"/>
          <w:highlight w:val="none"/>
          <w:lang w:val="zh-CN"/>
        </w:rPr>
      </w:pPr>
      <w:r>
        <w:rPr>
          <w:rFonts w:hint="eastAsia"/>
          <w:b/>
          <w:bCs/>
          <w:color w:val="auto"/>
          <w:kern w:val="0"/>
          <w:sz w:val="21"/>
          <w:szCs w:val="21"/>
          <w:highlight w:val="none"/>
          <w:lang w:val="zh-CN"/>
        </w:rPr>
        <w:t>联合体成员名称(电子签名/公章)：</w:t>
      </w:r>
    </w:p>
    <w:p w14:paraId="57A9E5D9">
      <w:pPr>
        <w:snapToGrid w:val="0"/>
        <w:spacing w:line="288" w:lineRule="auto"/>
        <w:ind w:firstLine="424" w:firstLineChars="201"/>
        <w:rPr>
          <w:b/>
          <w:bCs/>
          <w:color w:val="auto"/>
          <w:kern w:val="0"/>
          <w:sz w:val="21"/>
          <w:szCs w:val="21"/>
          <w:highlight w:val="none"/>
          <w:lang w:val="zh-CN"/>
        </w:rPr>
      </w:pPr>
    </w:p>
    <w:p w14:paraId="0E3F9DCF">
      <w:pPr>
        <w:snapToGrid w:val="0"/>
        <w:spacing w:line="288" w:lineRule="auto"/>
        <w:ind w:firstLine="424" w:firstLineChars="201"/>
        <w:rPr>
          <w:b/>
          <w:bCs/>
          <w:color w:val="auto"/>
          <w:sz w:val="21"/>
          <w:szCs w:val="21"/>
          <w:highlight w:val="none"/>
        </w:rPr>
      </w:pPr>
    </w:p>
    <w:p w14:paraId="0A92CE99">
      <w:pPr>
        <w:snapToGrid w:val="0"/>
        <w:spacing w:line="288" w:lineRule="auto"/>
        <w:ind w:firstLine="424" w:firstLineChars="201"/>
        <w:rPr>
          <w:b/>
          <w:bCs/>
          <w:color w:val="auto"/>
          <w:kern w:val="0"/>
          <w:sz w:val="21"/>
          <w:szCs w:val="21"/>
          <w:highlight w:val="none"/>
          <w:lang w:val="zh-CN"/>
        </w:rPr>
      </w:pPr>
      <w:r>
        <w:rPr>
          <w:rFonts w:hint="eastAsia"/>
          <w:b/>
          <w:bCs/>
          <w:color w:val="auto"/>
          <w:kern w:val="0"/>
          <w:sz w:val="21"/>
          <w:szCs w:val="21"/>
          <w:highlight w:val="none"/>
          <w:lang w:val="zh-CN"/>
        </w:rPr>
        <w:t>日期：  年  月   日</w:t>
      </w:r>
    </w:p>
    <w:p w14:paraId="5B9AB525">
      <w:pPr>
        <w:widowControl/>
        <w:spacing w:line="288" w:lineRule="auto"/>
        <w:jc w:val="center"/>
        <w:rPr>
          <w:b/>
          <w:color w:val="auto"/>
          <w:kern w:val="0"/>
          <w:sz w:val="21"/>
          <w:szCs w:val="21"/>
          <w:highlight w:val="none"/>
        </w:rPr>
      </w:pPr>
      <w:r>
        <w:rPr>
          <w:rFonts w:hint="eastAsia"/>
          <w:b/>
          <w:color w:val="auto"/>
          <w:kern w:val="0"/>
          <w:sz w:val="21"/>
          <w:szCs w:val="21"/>
          <w:highlight w:val="none"/>
        </w:rPr>
        <w:br w:type="page"/>
      </w:r>
      <w:bookmarkStart w:id="181" w:name="_Toc30452"/>
      <w:bookmarkStart w:id="182" w:name="_Toc23454"/>
      <w:bookmarkStart w:id="183" w:name="_Toc5675"/>
      <w:bookmarkStart w:id="184" w:name="_Toc8476"/>
      <w:r>
        <w:rPr>
          <w:rFonts w:hint="eastAsia"/>
          <w:b/>
          <w:color w:val="auto"/>
          <w:kern w:val="0"/>
          <w:sz w:val="21"/>
          <w:szCs w:val="21"/>
          <w:highlight w:val="none"/>
        </w:rPr>
        <w:t>附件3：分包意向协议</w:t>
      </w:r>
      <w:bookmarkEnd w:id="181"/>
      <w:bookmarkEnd w:id="182"/>
      <w:bookmarkEnd w:id="183"/>
      <w:bookmarkEnd w:id="184"/>
    </w:p>
    <w:p w14:paraId="4AEF635B">
      <w:pPr>
        <w:widowControl/>
        <w:snapToGrid w:val="0"/>
        <w:spacing w:line="288" w:lineRule="auto"/>
        <w:ind w:firstLine="422" w:firstLineChars="201"/>
        <w:jc w:val="left"/>
        <w:rPr>
          <w:color w:val="auto"/>
          <w:sz w:val="21"/>
          <w:szCs w:val="21"/>
          <w:highlight w:val="none"/>
        </w:rPr>
      </w:pPr>
      <w:r>
        <w:rPr>
          <w:rFonts w:hint="eastAsia"/>
          <w:color w:val="auto"/>
          <w:sz w:val="21"/>
          <w:szCs w:val="21"/>
          <w:highlight w:val="none"/>
        </w:rPr>
        <w:t>（</w:t>
      </w:r>
      <w:r>
        <w:rPr>
          <w:rFonts w:hint="eastAsia"/>
          <w:b/>
          <w:color w:val="auto"/>
          <w:sz w:val="21"/>
          <w:szCs w:val="21"/>
          <w:highlight w:val="none"/>
        </w:rPr>
        <w:t>成交后以分包方式履行合同的，提供分包意向协议；采购人不同意分包或者供应商成交后不以分包方式履行合同的，则不需要提供。</w:t>
      </w:r>
      <w:r>
        <w:rPr>
          <w:rFonts w:hint="eastAsia"/>
          <w:color w:val="auto"/>
          <w:sz w:val="21"/>
          <w:szCs w:val="21"/>
          <w:highlight w:val="none"/>
        </w:rPr>
        <w:t>）</w:t>
      </w:r>
    </w:p>
    <w:p w14:paraId="6A24EEE7">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u w:val="single"/>
        </w:rPr>
        <w:t>（供应商名称）</w:t>
      </w:r>
      <w:r>
        <w:rPr>
          <w:rFonts w:hint="eastAsia"/>
          <w:color w:val="auto"/>
          <w:kern w:val="0"/>
          <w:sz w:val="21"/>
          <w:szCs w:val="21"/>
          <w:highlight w:val="none"/>
          <w:lang w:val="zh-CN"/>
        </w:rPr>
        <w:t>若成为</w:t>
      </w:r>
      <w:r>
        <w:rPr>
          <w:rFonts w:hint="eastAsia"/>
          <w:color w:val="auto"/>
          <w:sz w:val="21"/>
          <w:szCs w:val="21"/>
          <w:highlight w:val="none"/>
        </w:rPr>
        <w:t>（项目名称）【招标编号：（采购编号）】</w:t>
      </w:r>
      <w:r>
        <w:rPr>
          <w:rFonts w:hint="eastAsia"/>
          <w:color w:val="auto"/>
          <w:kern w:val="0"/>
          <w:sz w:val="21"/>
          <w:szCs w:val="21"/>
          <w:highlight w:val="none"/>
          <w:lang w:val="zh-CN"/>
        </w:rPr>
        <w:t>的成交供应商，将依法采取分包方式履行合同。</w:t>
      </w:r>
      <w:r>
        <w:rPr>
          <w:rFonts w:hint="eastAsia"/>
          <w:color w:val="auto"/>
          <w:kern w:val="0"/>
          <w:sz w:val="21"/>
          <w:szCs w:val="21"/>
          <w:highlight w:val="none"/>
          <w:u w:val="single"/>
        </w:rPr>
        <w:t>（供应商名称）</w:t>
      </w:r>
      <w:r>
        <w:rPr>
          <w:rFonts w:hint="eastAsia"/>
          <w:color w:val="auto"/>
          <w:kern w:val="0"/>
          <w:sz w:val="21"/>
          <w:szCs w:val="21"/>
          <w:highlight w:val="none"/>
        </w:rPr>
        <w:t>与</w:t>
      </w:r>
      <w:r>
        <w:rPr>
          <w:rFonts w:hint="eastAsia"/>
          <w:color w:val="auto"/>
          <w:kern w:val="0"/>
          <w:sz w:val="21"/>
          <w:szCs w:val="21"/>
          <w:highlight w:val="none"/>
          <w:u w:val="single"/>
        </w:rPr>
        <w:t>（所有分包供应商名称）</w:t>
      </w:r>
      <w:r>
        <w:rPr>
          <w:rFonts w:hint="eastAsia"/>
          <w:color w:val="auto"/>
          <w:kern w:val="0"/>
          <w:sz w:val="21"/>
          <w:szCs w:val="21"/>
          <w:highlight w:val="none"/>
        </w:rPr>
        <w:t>达成分包意向协议</w:t>
      </w:r>
      <w:r>
        <w:rPr>
          <w:rFonts w:hint="eastAsia"/>
          <w:color w:val="auto"/>
          <w:kern w:val="0"/>
          <w:sz w:val="21"/>
          <w:szCs w:val="21"/>
          <w:highlight w:val="none"/>
          <w:lang w:val="zh-CN"/>
        </w:rPr>
        <w:t xml:space="preserve">。 </w:t>
      </w:r>
    </w:p>
    <w:p w14:paraId="641346A2">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一、分包标的及数量</w:t>
      </w:r>
    </w:p>
    <w:p w14:paraId="4992B773">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u w:val="single"/>
        </w:rPr>
        <w:t>（供应商名称）</w:t>
      </w:r>
      <w:r>
        <w:rPr>
          <w:rFonts w:hint="eastAsia"/>
          <w:color w:val="auto"/>
          <w:kern w:val="0"/>
          <w:sz w:val="21"/>
          <w:szCs w:val="21"/>
          <w:highlight w:val="none"/>
          <w:lang w:val="zh-CN"/>
        </w:rPr>
        <w:t>将</w:t>
      </w:r>
      <w:r>
        <w:rPr>
          <w:rFonts w:hint="eastAsia"/>
          <w:color w:val="auto"/>
          <w:sz w:val="21"/>
          <w:szCs w:val="21"/>
          <w:highlight w:val="none"/>
          <w:u w:val="single"/>
        </w:rPr>
        <w:t xml:space="preserve">   XX工作内容   </w:t>
      </w:r>
      <w:r>
        <w:rPr>
          <w:rFonts w:hint="eastAsia"/>
          <w:color w:val="auto"/>
          <w:sz w:val="21"/>
          <w:szCs w:val="21"/>
          <w:highlight w:val="none"/>
        </w:rPr>
        <w:t>分包给</w:t>
      </w:r>
      <w:r>
        <w:rPr>
          <w:rFonts w:hint="eastAsia"/>
          <w:color w:val="auto"/>
          <w:kern w:val="0"/>
          <w:sz w:val="21"/>
          <w:szCs w:val="21"/>
          <w:highlight w:val="none"/>
          <w:u w:val="single"/>
        </w:rPr>
        <w:t>（某分包供应商名称）</w:t>
      </w:r>
      <w:r>
        <w:rPr>
          <w:rFonts w:hint="eastAsia"/>
          <w:color w:val="auto"/>
          <w:kern w:val="0"/>
          <w:sz w:val="21"/>
          <w:szCs w:val="21"/>
          <w:highlight w:val="none"/>
          <w:lang w:val="zh-CN"/>
        </w:rPr>
        <w:t>，</w:t>
      </w:r>
      <w:r>
        <w:rPr>
          <w:rFonts w:hint="eastAsia"/>
          <w:color w:val="auto"/>
          <w:kern w:val="0"/>
          <w:sz w:val="21"/>
          <w:szCs w:val="21"/>
          <w:highlight w:val="none"/>
          <w:u w:val="single"/>
        </w:rPr>
        <w:t>（某分包供应商名称），</w:t>
      </w:r>
      <w:r>
        <w:rPr>
          <w:rFonts w:hint="eastAsia"/>
          <w:color w:val="auto"/>
          <w:kern w:val="0"/>
          <w:sz w:val="21"/>
          <w:szCs w:val="21"/>
          <w:highlight w:val="none"/>
          <w:lang w:val="zh-CN"/>
        </w:rPr>
        <w:t>具备承</w:t>
      </w:r>
      <w:r>
        <w:rPr>
          <w:rFonts w:hint="eastAsia"/>
          <w:color w:val="auto"/>
          <w:kern w:val="0"/>
          <w:sz w:val="21"/>
          <w:szCs w:val="21"/>
          <w:highlight w:val="none"/>
        </w:rPr>
        <w:t>担</w:t>
      </w:r>
      <w:r>
        <w:rPr>
          <w:rFonts w:hint="eastAsia"/>
          <w:color w:val="auto"/>
          <w:kern w:val="0"/>
          <w:sz w:val="21"/>
          <w:szCs w:val="21"/>
          <w:highlight w:val="none"/>
          <w:u w:val="single"/>
          <w:lang w:val="zh-CN"/>
        </w:rPr>
        <w:t>XX工作内容</w:t>
      </w:r>
      <w:r>
        <w:rPr>
          <w:rFonts w:hint="eastAsia"/>
          <w:color w:val="auto"/>
          <w:kern w:val="0"/>
          <w:sz w:val="21"/>
          <w:szCs w:val="21"/>
          <w:highlight w:val="none"/>
          <w:lang w:val="zh-CN"/>
        </w:rPr>
        <w:t>相应资质条件且不得再次分包；</w:t>
      </w:r>
    </w:p>
    <w:p w14:paraId="0D1351B5">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w:t>
      </w:r>
    </w:p>
    <w:p w14:paraId="29EA6402">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二、分包工作履行期限、地点、方式</w:t>
      </w:r>
    </w:p>
    <w:p w14:paraId="5F00A7E6">
      <w:pPr>
        <w:snapToGrid w:val="0"/>
        <w:spacing w:line="288" w:lineRule="auto"/>
        <w:ind w:firstLine="422" w:firstLineChars="201"/>
        <w:rPr>
          <w:color w:val="auto"/>
          <w:sz w:val="21"/>
          <w:szCs w:val="21"/>
          <w:highlight w:val="none"/>
          <w:u w:val="single"/>
        </w:rPr>
      </w:pPr>
      <w:r>
        <w:rPr>
          <w:rFonts w:hint="eastAsia"/>
          <w:color w:val="auto"/>
          <w:sz w:val="21"/>
          <w:szCs w:val="21"/>
          <w:highlight w:val="none"/>
          <w:u w:val="single"/>
        </w:rPr>
        <w:t xml:space="preserve">                                                                                  </w:t>
      </w:r>
    </w:p>
    <w:p w14:paraId="7861D82A">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三、质量</w:t>
      </w:r>
    </w:p>
    <w:p w14:paraId="2BD9F48D">
      <w:pPr>
        <w:snapToGrid w:val="0"/>
        <w:spacing w:line="288" w:lineRule="auto"/>
        <w:ind w:firstLine="422" w:firstLineChars="201"/>
        <w:rPr>
          <w:color w:val="auto"/>
          <w:kern w:val="0"/>
          <w:sz w:val="21"/>
          <w:szCs w:val="21"/>
          <w:highlight w:val="none"/>
          <w:lang w:val="zh-CN"/>
        </w:rPr>
      </w:pPr>
      <w:r>
        <w:rPr>
          <w:rFonts w:hint="eastAsia"/>
          <w:color w:val="auto"/>
          <w:sz w:val="21"/>
          <w:szCs w:val="21"/>
          <w:highlight w:val="none"/>
          <w:u w:val="single"/>
        </w:rPr>
        <w:t xml:space="preserve">                                                                                       </w:t>
      </w:r>
    </w:p>
    <w:p w14:paraId="58AB0AF5">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四、价款或者报酬</w:t>
      </w:r>
    </w:p>
    <w:p w14:paraId="6232EFD2">
      <w:pPr>
        <w:snapToGrid w:val="0"/>
        <w:spacing w:line="288" w:lineRule="auto"/>
        <w:ind w:firstLine="422" w:firstLineChars="201"/>
        <w:rPr>
          <w:color w:val="auto"/>
          <w:kern w:val="0"/>
          <w:sz w:val="21"/>
          <w:szCs w:val="21"/>
          <w:highlight w:val="none"/>
          <w:lang w:val="zh-CN"/>
        </w:rPr>
      </w:pPr>
      <w:r>
        <w:rPr>
          <w:rFonts w:hint="eastAsia"/>
          <w:color w:val="auto"/>
          <w:sz w:val="21"/>
          <w:szCs w:val="21"/>
          <w:highlight w:val="none"/>
          <w:u w:val="single"/>
        </w:rPr>
        <w:t xml:space="preserve">                                                                                     </w:t>
      </w:r>
    </w:p>
    <w:p w14:paraId="2C024FCF">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五、违约责任</w:t>
      </w:r>
    </w:p>
    <w:p w14:paraId="7397874F">
      <w:pPr>
        <w:snapToGrid w:val="0"/>
        <w:spacing w:line="288" w:lineRule="auto"/>
        <w:ind w:firstLine="422" w:firstLineChars="201"/>
        <w:rPr>
          <w:color w:val="auto"/>
          <w:kern w:val="0"/>
          <w:sz w:val="21"/>
          <w:szCs w:val="21"/>
          <w:highlight w:val="none"/>
          <w:lang w:val="zh-CN"/>
        </w:rPr>
      </w:pPr>
      <w:r>
        <w:rPr>
          <w:rFonts w:hint="eastAsia"/>
          <w:color w:val="auto"/>
          <w:sz w:val="21"/>
          <w:szCs w:val="21"/>
          <w:highlight w:val="none"/>
          <w:u w:val="single"/>
        </w:rPr>
        <w:t xml:space="preserve">                                                                                     </w:t>
      </w:r>
    </w:p>
    <w:p w14:paraId="0D5636D4">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六、争议解决的办法</w:t>
      </w:r>
    </w:p>
    <w:p w14:paraId="2F5581AE">
      <w:pPr>
        <w:snapToGrid w:val="0"/>
        <w:spacing w:line="288" w:lineRule="auto"/>
        <w:ind w:firstLine="422" w:firstLineChars="201"/>
        <w:rPr>
          <w:color w:val="auto"/>
          <w:kern w:val="0"/>
          <w:sz w:val="21"/>
          <w:szCs w:val="21"/>
          <w:highlight w:val="none"/>
          <w:lang w:val="zh-CN"/>
        </w:rPr>
      </w:pPr>
      <w:r>
        <w:rPr>
          <w:rFonts w:hint="eastAsia"/>
          <w:color w:val="auto"/>
          <w:sz w:val="21"/>
          <w:szCs w:val="21"/>
          <w:highlight w:val="none"/>
          <w:u w:val="single"/>
        </w:rPr>
        <w:t xml:space="preserve">                                                                                  </w:t>
      </w:r>
    </w:p>
    <w:p w14:paraId="46BC7AF8">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七、其他</w:t>
      </w:r>
    </w:p>
    <w:p w14:paraId="6797CB4C">
      <w:pPr>
        <w:snapToGrid w:val="0"/>
        <w:spacing w:line="288" w:lineRule="auto"/>
        <w:ind w:firstLine="422" w:firstLineChars="201"/>
        <w:rPr>
          <w:b/>
          <w:color w:val="auto"/>
          <w:kern w:val="0"/>
          <w:sz w:val="21"/>
          <w:szCs w:val="21"/>
          <w:highlight w:val="none"/>
          <w:lang w:val="zh-CN"/>
        </w:rPr>
      </w:pPr>
      <w:r>
        <w:rPr>
          <w:rFonts w:hint="eastAsia"/>
          <w:color w:val="auto"/>
          <w:kern w:val="0"/>
          <w:sz w:val="21"/>
          <w:szCs w:val="21"/>
          <w:highlight w:val="none"/>
          <w:u w:val="single"/>
        </w:rPr>
        <w:t>（分包供应商名称）提供的货物全部由小微企业制造，</w:t>
      </w:r>
      <w:r>
        <w:rPr>
          <w:rFonts w:hint="eastAsia"/>
          <w:color w:val="auto"/>
          <w:kern w:val="0"/>
          <w:sz w:val="21"/>
          <w:szCs w:val="21"/>
          <w:highlight w:val="none"/>
        </w:rPr>
        <w:t>其合同份额占到合同总金额</w:t>
      </w:r>
      <w:r>
        <w:rPr>
          <w:rFonts w:hint="eastAsia"/>
          <w:color w:val="auto"/>
          <w:kern w:val="0"/>
          <w:sz w:val="21"/>
          <w:szCs w:val="21"/>
          <w:highlight w:val="none"/>
          <w:u w:val="single"/>
        </w:rPr>
        <w:t xml:space="preserve">     </w:t>
      </w:r>
      <w:r>
        <w:rPr>
          <w:rFonts w:hint="eastAsia"/>
          <w:color w:val="auto"/>
          <w:kern w:val="0"/>
          <w:sz w:val="21"/>
          <w:szCs w:val="21"/>
          <w:highlight w:val="none"/>
        </w:rPr>
        <w:t>%以上</w:t>
      </w:r>
      <w:r>
        <w:rPr>
          <w:rFonts w:hint="eastAsia"/>
          <w:color w:val="auto"/>
          <w:sz w:val="21"/>
          <w:szCs w:val="21"/>
          <w:highlight w:val="none"/>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highlight w:val="none"/>
          <w:lang w:val="zh-CN"/>
        </w:rPr>
        <w:t>30%以上</w:t>
      </w:r>
      <w:r>
        <w:rPr>
          <w:rFonts w:hint="eastAsia" w:cs="仿宋_GB2312"/>
          <w:b/>
          <w:color w:val="auto"/>
          <w:kern w:val="0"/>
          <w:sz w:val="21"/>
          <w:szCs w:val="21"/>
          <w:highlight w:val="none"/>
          <w:lang w:val="zh-CN"/>
        </w:rPr>
        <w:t>的，对大中型企业的报价给予4%</w:t>
      </w:r>
      <w:r>
        <w:rPr>
          <w:rFonts w:cs="仿宋_GB2312"/>
          <w:b/>
          <w:color w:val="auto"/>
          <w:kern w:val="0"/>
          <w:sz w:val="21"/>
          <w:szCs w:val="21"/>
          <w:highlight w:val="none"/>
          <w:lang w:val="zh-CN"/>
        </w:rPr>
        <w:t>的扣除</w:t>
      </w:r>
      <w:r>
        <w:rPr>
          <w:rFonts w:hint="eastAsia" w:cs="仿宋_GB2312"/>
          <w:b/>
          <w:color w:val="auto"/>
          <w:kern w:val="0"/>
          <w:sz w:val="21"/>
          <w:szCs w:val="21"/>
          <w:highlight w:val="none"/>
          <w:lang w:val="zh-CN"/>
        </w:rPr>
        <w:t>）</w:t>
      </w:r>
    </w:p>
    <w:p w14:paraId="4303FD85">
      <w:pPr>
        <w:snapToGrid w:val="0"/>
        <w:spacing w:line="288" w:lineRule="auto"/>
        <w:rPr>
          <w:color w:val="auto"/>
          <w:kern w:val="0"/>
          <w:sz w:val="21"/>
          <w:szCs w:val="21"/>
          <w:highlight w:val="none"/>
          <w:lang w:val="zh-CN"/>
        </w:rPr>
      </w:pPr>
    </w:p>
    <w:p w14:paraId="74225E7B">
      <w:pPr>
        <w:snapToGrid w:val="0"/>
        <w:spacing w:line="288" w:lineRule="auto"/>
        <w:ind w:firstLine="422" w:firstLineChars="200"/>
        <w:rPr>
          <w:b/>
          <w:bCs/>
          <w:color w:val="auto"/>
          <w:kern w:val="0"/>
          <w:sz w:val="21"/>
          <w:szCs w:val="21"/>
          <w:highlight w:val="none"/>
          <w:lang w:val="zh-CN"/>
        </w:rPr>
      </w:pPr>
      <w:r>
        <w:rPr>
          <w:rFonts w:hint="eastAsia"/>
          <w:b/>
          <w:bCs/>
          <w:color w:val="auto"/>
          <w:kern w:val="0"/>
          <w:sz w:val="21"/>
          <w:szCs w:val="21"/>
          <w:highlight w:val="none"/>
          <w:lang w:val="zh-CN"/>
        </w:rPr>
        <w:t>供应商名称（电子签名/公章）：</w:t>
      </w:r>
    </w:p>
    <w:p w14:paraId="0844476D">
      <w:pPr>
        <w:snapToGrid w:val="0"/>
        <w:spacing w:line="288" w:lineRule="auto"/>
        <w:ind w:firstLine="424" w:firstLineChars="201"/>
        <w:rPr>
          <w:b/>
          <w:bCs/>
          <w:color w:val="auto"/>
          <w:kern w:val="0"/>
          <w:sz w:val="21"/>
          <w:szCs w:val="21"/>
          <w:highlight w:val="none"/>
          <w:lang w:val="zh-CN"/>
        </w:rPr>
      </w:pPr>
    </w:p>
    <w:p w14:paraId="7463A09E">
      <w:pPr>
        <w:snapToGrid w:val="0"/>
        <w:spacing w:line="288" w:lineRule="auto"/>
        <w:ind w:firstLine="424" w:firstLineChars="201"/>
        <w:rPr>
          <w:b/>
          <w:bCs/>
          <w:color w:val="auto"/>
          <w:kern w:val="0"/>
          <w:sz w:val="21"/>
          <w:szCs w:val="21"/>
          <w:highlight w:val="none"/>
          <w:lang w:val="zh-CN"/>
        </w:rPr>
      </w:pPr>
      <w:r>
        <w:rPr>
          <w:rFonts w:hint="eastAsia"/>
          <w:b/>
          <w:bCs/>
          <w:color w:val="auto"/>
          <w:kern w:val="0"/>
          <w:sz w:val="21"/>
          <w:szCs w:val="21"/>
          <w:highlight w:val="none"/>
          <w:lang w:val="zh-CN"/>
        </w:rPr>
        <w:t>分包供应商名称：</w:t>
      </w:r>
    </w:p>
    <w:p w14:paraId="7DB48DA1">
      <w:pPr>
        <w:snapToGrid w:val="0"/>
        <w:spacing w:line="288" w:lineRule="auto"/>
        <w:rPr>
          <w:b/>
          <w:bCs/>
          <w:color w:val="auto"/>
          <w:kern w:val="0"/>
          <w:sz w:val="21"/>
          <w:szCs w:val="21"/>
          <w:highlight w:val="none"/>
          <w:lang w:val="zh-CN"/>
        </w:rPr>
      </w:pPr>
    </w:p>
    <w:p w14:paraId="66D9E3C0">
      <w:pPr>
        <w:snapToGrid w:val="0"/>
        <w:spacing w:line="288" w:lineRule="auto"/>
        <w:ind w:firstLine="424" w:firstLineChars="201"/>
        <w:rPr>
          <w:b/>
          <w:bCs/>
          <w:color w:val="auto"/>
          <w:kern w:val="0"/>
          <w:sz w:val="21"/>
          <w:szCs w:val="21"/>
          <w:highlight w:val="none"/>
          <w:lang w:val="zh-CN"/>
        </w:rPr>
      </w:pPr>
      <w:r>
        <w:rPr>
          <w:rFonts w:hint="eastAsia"/>
          <w:b/>
          <w:bCs/>
          <w:color w:val="auto"/>
          <w:kern w:val="0"/>
          <w:sz w:val="21"/>
          <w:szCs w:val="21"/>
          <w:highlight w:val="none"/>
          <w:lang w:val="zh-CN"/>
        </w:rPr>
        <w:t>日期：  年  月   日</w:t>
      </w:r>
    </w:p>
    <w:p w14:paraId="5BEC744A">
      <w:pPr>
        <w:rPr>
          <w:color w:val="auto"/>
          <w:highlight w:val="none"/>
        </w:rPr>
      </w:pPr>
      <w:r>
        <w:rPr>
          <w:rFonts w:hint="eastAsia"/>
          <w:b/>
          <w:bCs/>
          <w:color w:val="auto"/>
          <w:kern w:val="0"/>
          <w:sz w:val="21"/>
          <w:szCs w:val="21"/>
          <w:highlight w:val="none"/>
          <w:lang w:val="zh-CN"/>
        </w:rPr>
        <w:br w:type="page"/>
      </w:r>
      <w:bookmarkStart w:id="185" w:name="_Toc12504"/>
      <w:bookmarkStart w:id="186" w:name="_Toc27489"/>
      <w:bookmarkStart w:id="187" w:name="_Toc23373"/>
      <w:r>
        <w:rPr>
          <w:rFonts w:hint="eastAsia"/>
          <w:color w:val="auto"/>
          <w:highlight w:val="none"/>
        </w:rPr>
        <w:t>二、质疑函范本及制作说明</w:t>
      </w:r>
      <w:bookmarkEnd w:id="185"/>
      <w:bookmarkEnd w:id="186"/>
      <w:bookmarkEnd w:id="187"/>
    </w:p>
    <w:p w14:paraId="5745851A">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14:paraId="680F0270">
      <w:pPr>
        <w:snapToGrid w:val="0"/>
        <w:spacing w:before="312" w:beforeLines="100" w:line="360" w:lineRule="auto"/>
        <w:rPr>
          <w:rFonts w:ascii="仿宋_GB2312" w:hAnsi="仿宋" w:eastAsia="仿宋_GB2312" w:cs="仿宋"/>
          <w:bCs/>
          <w:color w:val="auto"/>
          <w:sz w:val="21"/>
          <w:szCs w:val="21"/>
          <w:highlight w:val="none"/>
        </w:rPr>
      </w:pPr>
      <w:r>
        <w:rPr>
          <w:rFonts w:hint="eastAsia" w:ascii="仿宋_GB2312" w:hAnsi="仿宋" w:eastAsia="仿宋_GB2312" w:cs="仿宋"/>
          <w:bCs/>
          <w:color w:val="auto"/>
          <w:sz w:val="21"/>
          <w:szCs w:val="21"/>
          <w:highlight w:val="none"/>
        </w:rPr>
        <w:t>一、质疑供应商基本信息</w:t>
      </w:r>
    </w:p>
    <w:p w14:paraId="07F07D06">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质疑供应商：</w:t>
      </w:r>
      <w:r>
        <w:rPr>
          <w:rFonts w:ascii="仿宋_GB2312" w:hAnsi="仿宋" w:eastAsia="仿宋_GB2312" w:cs="仿宋"/>
          <w:color w:val="auto"/>
          <w:sz w:val="21"/>
          <w:szCs w:val="21"/>
          <w:highlight w:val="none"/>
          <w:u w:val="dotted"/>
        </w:rPr>
        <w:t xml:space="preserve">                                        </w:t>
      </w:r>
    </w:p>
    <w:p w14:paraId="75D01D5D">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地址：</w:t>
      </w:r>
      <w:r>
        <w:rPr>
          <w:rFonts w:ascii="仿宋_GB2312" w:hAnsi="仿宋" w:eastAsia="仿宋_GB2312" w:cs="仿宋"/>
          <w:color w:val="auto"/>
          <w:sz w:val="21"/>
          <w:szCs w:val="21"/>
          <w:highlight w:val="none"/>
          <w:u w:val="dotted"/>
        </w:rPr>
        <w:t xml:space="preserve">                          </w:t>
      </w:r>
      <w:r>
        <w:rPr>
          <w:rFonts w:hint="eastAsia" w:ascii="仿宋_GB2312" w:hAnsi="仿宋" w:eastAsia="仿宋_GB2312" w:cs="仿宋"/>
          <w:color w:val="auto"/>
          <w:sz w:val="21"/>
          <w:szCs w:val="21"/>
          <w:highlight w:val="none"/>
        </w:rPr>
        <w:t>邮编：</w:t>
      </w:r>
      <w:r>
        <w:rPr>
          <w:rFonts w:ascii="仿宋_GB2312" w:hAnsi="仿宋" w:eastAsia="仿宋_GB2312" w:cs="仿宋"/>
          <w:color w:val="auto"/>
          <w:sz w:val="21"/>
          <w:szCs w:val="21"/>
          <w:highlight w:val="none"/>
          <w:u w:val="dotted"/>
        </w:rPr>
        <w:t xml:space="preserve">                                                   </w:t>
      </w:r>
    </w:p>
    <w:p w14:paraId="0BEF9068">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联系人：</w:t>
      </w:r>
      <w:r>
        <w:rPr>
          <w:rFonts w:ascii="仿宋_GB2312" w:hAnsi="仿宋" w:eastAsia="仿宋_GB2312" w:cs="仿宋"/>
          <w:color w:val="auto"/>
          <w:sz w:val="21"/>
          <w:szCs w:val="21"/>
          <w:highlight w:val="none"/>
          <w:u w:val="dotted"/>
        </w:rPr>
        <w:t xml:space="preserve">                      </w:t>
      </w:r>
      <w:r>
        <w:rPr>
          <w:rFonts w:hint="eastAsia" w:ascii="仿宋_GB2312" w:hAnsi="仿宋" w:eastAsia="仿宋_GB2312" w:cs="仿宋"/>
          <w:color w:val="auto"/>
          <w:sz w:val="21"/>
          <w:szCs w:val="21"/>
          <w:highlight w:val="none"/>
        </w:rPr>
        <w:t>联系电话：</w:t>
      </w:r>
      <w:r>
        <w:rPr>
          <w:rFonts w:ascii="仿宋_GB2312" w:hAnsi="仿宋" w:eastAsia="仿宋_GB2312" w:cs="仿宋"/>
          <w:color w:val="auto"/>
          <w:sz w:val="21"/>
          <w:szCs w:val="21"/>
          <w:highlight w:val="none"/>
          <w:u w:val="dotted"/>
        </w:rPr>
        <w:t xml:space="preserve">                              </w:t>
      </w:r>
    </w:p>
    <w:p w14:paraId="0103113F">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授权代表：</w:t>
      </w:r>
      <w:r>
        <w:rPr>
          <w:rFonts w:ascii="仿宋_GB2312" w:hAnsi="仿宋" w:eastAsia="仿宋_GB2312" w:cs="仿宋"/>
          <w:color w:val="auto"/>
          <w:sz w:val="21"/>
          <w:szCs w:val="21"/>
          <w:highlight w:val="none"/>
          <w:u w:val="dotted"/>
        </w:rPr>
        <w:t xml:space="preserve">                                          </w:t>
      </w:r>
    </w:p>
    <w:p w14:paraId="5FEE0857">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联系电话：</w:t>
      </w:r>
      <w:r>
        <w:rPr>
          <w:rFonts w:ascii="仿宋_GB2312" w:hAnsi="仿宋" w:eastAsia="仿宋_GB2312" w:cs="仿宋"/>
          <w:color w:val="auto"/>
          <w:sz w:val="21"/>
          <w:szCs w:val="21"/>
          <w:highlight w:val="none"/>
          <w:u w:val="dotted"/>
        </w:rPr>
        <w:t xml:space="preserve">                                           </w:t>
      </w:r>
      <w:r>
        <w:rPr>
          <w:rFonts w:ascii="仿宋_GB2312" w:hAnsi="仿宋" w:eastAsia="仿宋_GB2312" w:cs="仿宋"/>
          <w:color w:val="auto"/>
          <w:sz w:val="21"/>
          <w:szCs w:val="21"/>
          <w:highlight w:val="none"/>
        </w:rPr>
        <w:t xml:space="preserve"> </w:t>
      </w:r>
    </w:p>
    <w:p w14:paraId="516C8D14">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地址：</w:t>
      </w:r>
      <w:r>
        <w:rPr>
          <w:rFonts w:ascii="仿宋_GB2312" w:hAnsi="仿宋" w:eastAsia="仿宋_GB2312" w:cs="仿宋"/>
          <w:color w:val="auto"/>
          <w:sz w:val="21"/>
          <w:szCs w:val="21"/>
          <w:highlight w:val="none"/>
        </w:rPr>
        <w:t xml:space="preserve"> </w:t>
      </w:r>
      <w:r>
        <w:rPr>
          <w:rFonts w:ascii="仿宋_GB2312" w:hAnsi="仿宋" w:eastAsia="仿宋_GB2312" w:cs="仿宋"/>
          <w:color w:val="auto"/>
          <w:sz w:val="21"/>
          <w:szCs w:val="21"/>
          <w:highlight w:val="none"/>
          <w:u w:val="dotted"/>
        </w:rPr>
        <w:t xml:space="preserve">                        </w:t>
      </w:r>
      <w:r>
        <w:rPr>
          <w:rFonts w:hint="eastAsia" w:ascii="仿宋_GB2312" w:hAnsi="仿宋" w:eastAsia="仿宋_GB2312" w:cs="仿宋"/>
          <w:color w:val="auto"/>
          <w:sz w:val="21"/>
          <w:szCs w:val="21"/>
          <w:highlight w:val="none"/>
        </w:rPr>
        <w:t>邮编：</w:t>
      </w:r>
      <w:r>
        <w:rPr>
          <w:rFonts w:ascii="仿宋_GB2312" w:hAnsi="仿宋" w:eastAsia="仿宋_GB2312" w:cs="仿宋"/>
          <w:color w:val="auto"/>
          <w:sz w:val="21"/>
          <w:szCs w:val="21"/>
          <w:highlight w:val="none"/>
          <w:u w:val="dotted"/>
        </w:rPr>
        <w:t xml:space="preserve">                                                </w:t>
      </w:r>
    </w:p>
    <w:p w14:paraId="312F8475">
      <w:pPr>
        <w:snapToGrid w:val="0"/>
        <w:spacing w:line="360" w:lineRule="auto"/>
        <w:rPr>
          <w:rFonts w:ascii="仿宋_GB2312" w:hAnsi="仿宋" w:eastAsia="仿宋_GB2312" w:cs="仿宋"/>
          <w:bCs/>
          <w:color w:val="auto"/>
          <w:sz w:val="21"/>
          <w:szCs w:val="21"/>
          <w:highlight w:val="none"/>
        </w:rPr>
      </w:pPr>
      <w:r>
        <w:rPr>
          <w:rFonts w:hint="eastAsia" w:ascii="仿宋_GB2312" w:hAnsi="仿宋" w:eastAsia="仿宋_GB2312" w:cs="仿宋"/>
          <w:bCs/>
          <w:color w:val="auto"/>
          <w:sz w:val="21"/>
          <w:szCs w:val="21"/>
          <w:highlight w:val="none"/>
        </w:rPr>
        <w:t>二、质疑项目基本情况</w:t>
      </w:r>
    </w:p>
    <w:p w14:paraId="5DABD7D3">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质疑项目的名称：</w:t>
      </w:r>
      <w:r>
        <w:rPr>
          <w:rFonts w:ascii="仿宋_GB2312" w:hAnsi="仿宋" w:eastAsia="仿宋_GB2312" w:cs="仿宋"/>
          <w:color w:val="auto"/>
          <w:sz w:val="21"/>
          <w:szCs w:val="21"/>
          <w:highlight w:val="none"/>
          <w:u w:val="dotted"/>
        </w:rPr>
        <w:t xml:space="preserve">                                      </w:t>
      </w:r>
    </w:p>
    <w:p w14:paraId="431E0A46">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质疑项目的编号：</w:t>
      </w:r>
      <w:r>
        <w:rPr>
          <w:rFonts w:ascii="仿宋_GB2312" w:hAnsi="仿宋" w:eastAsia="仿宋_GB2312" w:cs="仿宋"/>
          <w:color w:val="auto"/>
          <w:sz w:val="21"/>
          <w:szCs w:val="21"/>
          <w:highlight w:val="none"/>
          <w:u w:val="dotted"/>
        </w:rPr>
        <w:t xml:space="preserve">               </w:t>
      </w:r>
      <w:r>
        <w:rPr>
          <w:rFonts w:hint="eastAsia" w:ascii="仿宋_GB2312" w:hAnsi="仿宋" w:eastAsia="仿宋_GB2312" w:cs="仿宋"/>
          <w:color w:val="auto"/>
          <w:sz w:val="21"/>
          <w:szCs w:val="21"/>
          <w:highlight w:val="none"/>
        </w:rPr>
        <w:t>包号：</w:t>
      </w:r>
      <w:r>
        <w:rPr>
          <w:rFonts w:ascii="仿宋_GB2312" w:hAnsi="仿宋" w:eastAsia="仿宋_GB2312" w:cs="仿宋"/>
          <w:color w:val="auto"/>
          <w:sz w:val="21"/>
          <w:szCs w:val="21"/>
          <w:highlight w:val="none"/>
          <w:u w:val="dotted"/>
        </w:rPr>
        <w:t xml:space="preserve">                 </w:t>
      </w:r>
    </w:p>
    <w:p w14:paraId="78A88147">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采购人名称：</w:t>
      </w:r>
      <w:r>
        <w:rPr>
          <w:rFonts w:ascii="仿宋_GB2312" w:hAnsi="仿宋" w:eastAsia="仿宋_GB2312" w:cs="仿宋"/>
          <w:color w:val="auto"/>
          <w:sz w:val="21"/>
          <w:szCs w:val="21"/>
          <w:highlight w:val="none"/>
          <w:u w:val="dotted"/>
        </w:rPr>
        <w:t xml:space="preserve">                                         </w:t>
      </w:r>
    </w:p>
    <w:p w14:paraId="5B2CCFEB">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采购文件获取日期：</w:t>
      </w:r>
      <w:r>
        <w:rPr>
          <w:rFonts w:ascii="仿宋_GB2312" w:hAnsi="仿宋" w:eastAsia="仿宋_GB2312" w:cs="仿宋"/>
          <w:color w:val="auto"/>
          <w:sz w:val="21"/>
          <w:szCs w:val="21"/>
          <w:highlight w:val="none"/>
          <w:u w:val="dotted"/>
        </w:rPr>
        <w:t xml:space="preserve">                                           </w:t>
      </w:r>
    </w:p>
    <w:p w14:paraId="228C7751">
      <w:pPr>
        <w:snapToGrid w:val="0"/>
        <w:spacing w:line="360" w:lineRule="auto"/>
        <w:rPr>
          <w:rFonts w:ascii="仿宋_GB2312" w:hAnsi="仿宋" w:eastAsia="仿宋_GB2312" w:cs="仿宋"/>
          <w:bCs/>
          <w:color w:val="auto"/>
          <w:sz w:val="21"/>
          <w:szCs w:val="21"/>
          <w:highlight w:val="none"/>
        </w:rPr>
      </w:pPr>
      <w:r>
        <w:rPr>
          <w:rFonts w:hint="eastAsia" w:ascii="仿宋_GB2312" w:hAnsi="仿宋" w:eastAsia="仿宋_GB2312" w:cs="仿宋"/>
          <w:bCs/>
          <w:color w:val="auto"/>
          <w:sz w:val="21"/>
          <w:szCs w:val="21"/>
          <w:highlight w:val="none"/>
        </w:rPr>
        <w:t>三、质疑事项具体内容</w:t>
      </w:r>
    </w:p>
    <w:p w14:paraId="4061B3AD">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质疑事项</w:t>
      </w:r>
      <w:r>
        <w:rPr>
          <w:rFonts w:ascii="仿宋_GB2312" w:hAnsi="仿宋" w:eastAsia="仿宋_GB2312" w:cs="仿宋"/>
          <w:color w:val="auto"/>
          <w:sz w:val="21"/>
          <w:szCs w:val="21"/>
          <w:highlight w:val="none"/>
        </w:rPr>
        <w:t>1：</w:t>
      </w:r>
      <w:r>
        <w:rPr>
          <w:rFonts w:ascii="仿宋_GB2312" w:hAnsi="仿宋" w:eastAsia="仿宋_GB2312" w:cs="仿宋"/>
          <w:color w:val="auto"/>
          <w:sz w:val="21"/>
          <w:szCs w:val="21"/>
          <w:highlight w:val="none"/>
          <w:u w:val="dotted"/>
        </w:rPr>
        <w:t xml:space="preserve">                                         </w:t>
      </w:r>
    </w:p>
    <w:p w14:paraId="42E16BBE">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事实依据：</w:t>
      </w:r>
      <w:r>
        <w:rPr>
          <w:rFonts w:ascii="仿宋_GB2312" w:hAnsi="仿宋" w:eastAsia="仿宋_GB2312" w:cs="仿宋"/>
          <w:color w:val="auto"/>
          <w:sz w:val="21"/>
          <w:szCs w:val="21"/>
          <w:highlight w:val="none"/>
          <w:u w:val="dotted"/>
        </w:rPr>
        <w:t xml:space="preserve">                                          </w:t>
      </w:r>
    </w:p>
    <w:p w14:paraId="2D7224A0">
      <w:pPr>
        <w:snapToGrid w:val="0"/>
        <w:spacing w:line="360" w:lineRule="auto"/>
        <w:rPr>
          <w:rFonts w:ascii="仿宋_GB2312" w:hAnsi="仿宋" w:eastAsia="仿宋_GB2312" w:cs="仿宋"/>
          <w:color w:val="auto"/>
          <w:sz w:val="21"/>
          <w:szCs w:val="21"/>
          <w:highlight w:val="none"/>
        </w:rPr>
      </w:pPr>
      <w:r>
        <w:rPr>
          <w:rFonts w:ascii="仿宋_GB2312" w:hAnsi="仿宋" w:eastAsia="仿宋_GB2312" w:cs="仿宋"/>
          <w:color w:val="auto"/>
          <w:sz w:val="21"/>
          <w:szCs w:val="21"/>
          <w:highlight w:val="none"/>
          <w:u w:val="dotted"/>
        </w:rPr>
        <w:t xml:space="preserve">                                                       </w:t>
      </w:r>
    </w:p>
    <w:p w14:paraId="4161240B">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法律依据：</w:t>
      </w:r>
      <w:r>
        <w:rPr>
          <w:rFonts w:ascii="仿宋_GB2312" w:hAnsi="仿宋" w:eastAsia="仿宋_GB2312" w:cs="仿宋"/>
          <w:color w:val="auto"/>
          <w:sz w:val="21"/>
          <w:szCs w:val="21"/>
          <w:highlight w:val="none"/>
          <w:u w:val="dotted"/>
        </w:rPr>
        <w:t xml:space="preserve">                                          </w:t>
      </w:r>
    </w:p>
    <w:p w14:paraId="0A782F44">
      <w:pPr>
        <w:snapToGrid w:val="0"/>
        <w:spacing w:line="360" w:lineRule="auto"/>
        <w:rPr>
          <w:rFonts w:ascii="仿宋_GB2312" w:hAnsi="仿宋" w:eastAsia="仿宋_GB2312" w:cs="仿宋"/>
          <w:color w:val="auto"/>
          <w:sz w:val="21"/>
          <w:szCs w:val="21"/>
          <w:highlight w:val="none"/>
          <w:u w:val="dotted"/>
        </w:rPr>
      </w:pPr>
      <w:r>
        <w:rPr>
          <w:rFonts w:ascii="仿宋_GB2312" w:hAnsi="仿宋" w:eastAsia="仿宋_GB2312" w:cs="仿宋"/>
          <w:color w:val="auto"/>
          <w:sz w:val="21"/>
          <w:szCs w:val="21"/>
          <w:highlight w:val="none"/>
          <w:u w:val="dotted"/>
        </w:rPr>
        <w:t xml:space="preserve">                                                     </w:t>
      </w:r>
    </w:p>
    <w:p w14:paraId="1FEA9779">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质疑事项</w:t>
      </w:r>
      <w:r>
        <w:rPr>
          <w:rFonts w:ascii="仿宋_GB2312" w:hAnsi="仿宋" w:eastAsia="仿宋_GB2312" w:cs="仿宋"/>
          <w:color w:val="auto"/>
          <w:sz w:val="21"/>
          <w:szCs w:val="21"/>
          <w:highlight w:val="none"/>
        </w:rPr>
        <w:t>2</w:t>
      </w:r>
    </w:p>
    <w:p w14:paraId="019A0E18">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w:t>
      </w:r>
    </w:p>
    <w:p w14:paraId="08FBC451">
      <w:pPr>
        <w:snapToGrid w:val="0"/>
        <w:spacing w:line="360" w:lineRule="auto"/>
        <w:rPr>
          <w:rFonts w:ascii="仿宋_GB2312" w:hAnsi="仿宋" w:eastAsia="仿宋_GB2312" w:cs="仿宋"/>
          <w:bCs/>
          <w:color w:val="auto"/>
          <w:sz w:val="21"/>
          <w:szCs w:val="21"/>
          <w:highlight w:val="none"/>
        </w:rPr>
      </w:pPr>
      <w:r>
        <w:rPr>
          <w:rFonts w:hint="eastAsia" w:ascii="仿宋_GB2312" w:hAnsi="仿宋" w:eastAsia="仿宋_GB2312" w:cs="仿宋"/>
          <w:bCs/>
          <w:color w:val="auto"/>
          <w:sz w:val="21"/>
          <w:szCs w:val="21"/>
          <w:highlight w:val="none"/>
        </w:rPr>
        <w:t>四、与质疑事项相关的质疑请求</w:t>
      </w:r>
    </w:p>
    <w:p w14:paraId="1A759366">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请求：</w:t>
      </w:r>
      <w:r>
        <w:rPr>
          <w:rFonts w:ascii="仿宋_GB2312" w:hAnsi="仿宋" w:eastAsia="仿宋_GB2312" w:cs="仿宋"/>
          <w:color w:val="auto"/>
          <w:sz w:val="21"/>
          <w:szCs w:val="21"/>
          <w:highlight w:val="none"/>
          <w:u w:val="dotted"/>
        </w:rPr>
        <w:t xml:space="preserve">                                               </w:t>
      </w:r>
    </w:p>
    <w:p w14:paraId="793D3F43">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签字</w:t>
      </w:r>
      <w:r>
        <w:rPr>
          <w:rFonts w:ascii="仿宋_GB2312" w:hAnsi="仿宋" w:eastAsia="仿宋_GB2312"/>
          <w:color w:val="auto"/>
          <w:sz w:val="21"/>
          <w:szCs w:val="21"/>
          <w:highlight w:val="none"/>
        </w:rPr>
        <w:t xml:space="preserve">(签章)：                   公章：                      </w:t>
      </w:r>
    </w:p>
    <w:p w14:paraId="4C74EBCE">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日期：</w:t>
      </w:r>
      <w:r>
        <w:rPr>
          <w:rFonts w:ascii="仿宋_GB2312" w:hAnsi="仿宋" w:eastAsia="仿宋_GB2312"/>
          <w:color w:val="auto"/>
          <w:sz w:val="21"/>
          <w:szCs w:val="21"/>
          <w:highlight w:val="none"/>
        </w:rPr>
        <w:t xml:space="preserve">    </w:t>
      </w:r>
    </w:p>
    <w:p w14:paraId="4D71BC29">
      <w:pPr>
        <w:spacing w:line="360" w:lineRule="auto"/>
        <w:jc w:val="center"/>
        <w:rPr>
          <w:rFonts w:ascii="仿宋_GB2312" w:hAnsi="仿宋" w:eastAsia="仿宋_GB2312" w:cs="仿宋"/>
          <w:b/>
          <w:bCs/>
          <w:color w:val="auto"/>
          <w:sz w:val="21"/>
          <w:szCs w:val="21"/>
          <w:highlight w:val="none"/>
        </w:rPr>
      </w:pPr>
    </w:p>
    <w:p w14:paraId="0F2E01B3">
      <w:pPr>
        <w:spacing w:line="360" w:lineRule="auto"/>
        <w:rPr>
          <w:rFonts w:ascii="仿宋_GB2312" w:hAnsi="仿宋" w:eastAsia="仿宋_GB2312"/>
          <w:b/>
          <w:color w:val="auto"/>
          <w:sz w:val="21"/>
          <w:szCs w:val="21"/>
          <w:highlight w:val="none"/>
        </w:rPr>
      </w:pPr>
    </w:p>
    <w:p w14:paraId="382BEFC5">
      <w:pPr>
        <w:spacing w:line="360" w:lineRule="auto"/>
        <w:rPr>
          <w:rFonts w:ascii="仿宋_GB2312" w:hAnsi="仿宋" w:eastAsia="仿宋_GB2312"/>
          <w:b/>
          <w:color w:val="auto"/>
          <w:sz w:val="21"/>
          <w:szCs w:val="21"/>
          <w:highlight w:val="none"/>
        </w:rPr>
      </w:pPr>
    </w:p>
    <w:p w14:paraId="00DF615A">
      <w:pPr>
        <w:spacing w:line="360" w:lineRule="auto"/>
        <w:rPr>
          <w:rFonts w:ascii="仿宋_GB2312" w:hAnsi="仿宋" w:eastAsia="仿宋_GB2312"/>
          <w:b/>
          <w:color w:val="auto"/>
          <w:sz w:val="21"/>
          <w:szCs w:val="21"/>
          <w:highlight w:val="none"/>
        </w:rPr>
      </w:pPr>
    </w:p>
    <w:p w14:paraId="2835803C">
      <w:pPr>
        <w:spacing w:line="360" w:lineRule="auto"/>
        <w:rPr>
          <w:rFonts w:ascii="仿宋_GB2312" w:hAnsi="仿宋" w:eastAsia="仿宋_GB2312"/>
          <w:b/>
          <w:color w:val="auto"/>
          <w:sz w:val="21"/>
          <w:szCs w:val="21"/>
          <w:highlight w:val="none"/>
        </w:rPr>
      </w:pPr>
      <w:r>
        <w:rPr>
          <w:rFonts w:hint="eastAsia" w:ascii="仿宋_GB2312" w:hAnsi="仿宋" w:eastAsia="仿宋_GB2312"/>
          <w:b/>
          <w:color w:val="auto"/>
          <w:sz w:val="21"/>
          <w:szCs w:val="21"/>
          <w:highlight w:val="none"/>
        </w:rPr>
        <w:t>质疑函制作说明：</w:t>
      </w:r>
    </w:p>
    <w:p w14:paraId="7EAE09A3">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1.供应商提出质疑时，应提交质疑函和必要的证明材料。</w:t>
      </w:r>
    </w:p>
    <w:p w14:paraId="70E26AA7">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2.质疑供应商若委托代理人进行质疑的，</w:t>
      </w:r>
      <w:r>
        <w:rPr>
          <w:rFonts w:hint="eastAsia" w:ascii="仿宋_GB2312" w:hAnsi="仿宋" w:eastAsia="仿宋_GB2312"/>
          <w:color w:val="auto"/>
          <w:sz w:val="21"/>
          <w:szCs w:val="21"/>
          <w:highlight w:val="none"/>
        </w:rPr>
        <w:t>质疑函应按要求列明“授权代表”的有关内容，并在附件中提交由质疑</w:t>
      </w:r>
      <w:r>
        <w:rPr>
          <w:rFonts w:hint="eastAsia" w:ascii="仿宋_GB2312" w:hAnsi="仿宋" w:eastAsia="仿宋_GB2312"/>
          <w:color w:val="auto"/>
          <w:kern w:val="0"/>
          <w:sz w:val="21"/>
          <w:szCs w:val="21"/>
          <w:highlight w:val="none"/>
        </w:rPr>
        <w:t>供应商签署的授权委托书。授权委托书应载明代理人的姓名或者名称、代理事项、具体权限、期限和相关事项。</w:t>
      </w:r>
    </w:p>
    <w:p w14:paraId="26F3572E">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3.质疑供应商若对项目的某一分包进行质疑，质疑函中应列明具体分包号。</w:t>
      </w:r>
    </w:p>
    <w:p w14:paraId="12710162">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4.质疑函的质疑事项应具体、明确，并有必要的事实依据和法律依据。</w:t>
      </w:r>
    </w:p>
    <w:p w14:paraId="74E3D807">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5.质疑函的质疑请求应与质疑事项相关。</w:t>
      </w:r>
    </w:p>
    <w:p w14:paraId="5FAF216E">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6.质疑供应商为自然人的，</w:t>
      </w:r>
      <w:r>
        <w:rPr>
          <w:rFonts w:hint="eastAsia" w:ascii="仿宋_GB2312" w:hAnsi="仿宋" w:eastAsia="仿宋_GB2312"/>
          <w:color w:val="auto"/>
          <w:sz w:val="21"/>
          <w:szCs w:val="21"/>
          <w:highlight w:val="none"/>
        </w:rPr>
        <w:t>质疑函应由本人签字；质疑供应商为法人或者其他组织的，质疑函应由法定代表人、主要负责人，或者其授权代表签字或者盖章，并加盖公章。</w:t>
      </w:r>
    </w:p>
    <w:p w14:paraId="7C5A9E26">
      <w:pPr>
        <w:widowControl/>
        <w:spacing w:line="360" w:lineRule="auto"/>
        <w:ind w:firstLine="600" w:firstLineChars="200"/>
        <w:jc w:val="left"/>
        <w:rPr>
          <w:rFonts w:ascii="仿宋_GB2312" w:hAnsi="仿宋" w:eastAsia="仿宋_GB2312"/>
          <w:color w:val="auto"/>
          <w:sz w:val="30"/>
          <w:szCs w:val="30"/>
          <w:highlight w:val="none"/>
        </w:rPr>
      </w:pPr>
    </w:p>
    <w:p w14:paraId="01799D87">
      <w:pPr>
        <w:spacing w:line="360" w:lineRule="auto"/>
        <w:jc w:val="center"/>
        <w:rPr>
          <w:rFonts w:ascii="仿宋_GB2312" w:hAnsi="仿宋" w:eastAsia="仿宋_GB2312"/>
          <w:b/>
          <w:color w:val="auto"/>
          <w:spacing w:val="6"/>
          <w:sz w:val="32"/>
          <w:szCs w:val="32"/>
          <w:highlight w:val="none"/>
        </w:rPr>
      </w:pPr>
    </w:p>
    <w:p w14:paraId="1917642F">
      <w:pPr>
        <w:spacing w:line="360" w:lineRule="auto"/>
        <w:jc w:val="center"/>
        <w:rPr>
          <w:rFonts w:ascii="仿宋_GB2312" w:hAnsi="仿宋" w:eastAsia="仿宋_GB2312"/>
          <w:b/>
          <w:color w:val="auto"/>
          <w:spacing w:val="6"/>
          <w:sz w:val="32"/>
          <w:szCs w:val="32"/>
          <w:highlight w:val="none"/>
        </w:rPr>
      </w:pPr>
    </w:p>
    <w:p w14:paraId="1367672B">
      <w:pPr>
        <w:spacing w:line="360" w:lineRule="auto"/>
        <w:jc w:val="center"/>
        <w:rPr>
          <w:rFonts w:ascii="仿宋_GB2312" w:hAnsi="仿宋" w:eastAsia="仿宋_GB2312"/>
          <w:b/>
          <w:color w:val="auto"/>
          <w:spacing w:val="6"/>
          <w:sz w:val="32"/>
          <w:szCs w:val="32"/>
          <w:highlight w:val="none"/>
        </w:rPr>
      </w:pPr>
    </w:p>
    <w:p w14:paraId="5E438EA0">
      <w:pPr>
        <w:spacing w:line="360" w:lineRule="auto"/>
        <w:jc w:val="center"/>
        <w:rPr>
          <w:rFonts w:ascii="仿宋_GB2312" w:hAnsi="仿宋" w:eastAsia="仿宋_GB2312"/>
          <w:b/>
          <w:color w:val="auto"/>
          <w:spacing w:val="6"/>
          <w:sz w:val="32"/>
          <w:szCs w:val="32"/>
          <w:highlight w:val="none"/>
        </w:rPr>
      </w:pPr>
    </w:p>
    <w:p w14:paraId="36D62E9B">
      <w:pPr>
        <w:spacing w:line="360" w:lineRule="auto"/>
        <w:jc w:val="center"/>
        <w:rPr>
          <w:rFonts w:ascii="仿宋_GB2312" w:hAnsi="仿宋" w:eastAsia="仿宋_GB2312"/>
          <w:b/>
          <w:color w:val="auto"/>
          <w:spacing w:val="6"/>
          <w:sz w:val="32"/>
          <w:szCs w:val="32"/>
          <w:highlight w:val="none"/>
        </w:rPr>
      </w:pPr>
    </w:p>
    <w:p w14:paraId="214EB192">
      <w:pPr>
        <w:spacing w:line="360" w:lineRule="auto"/>
        <w:jc w:val="center"/>
        <w:rPr>
          <w:rFonts w:ascii="仿宋_GB2312" w:hAnsi="仿宋" w:eastAsia="仿宋_GB2312"/>
          <w:b/>
          <w:color w:val="auto"/>
          <w:spacing w:val="6"/>
          <w:sz w:val="32"/>
          <w:szCs w:val="32"/>
          <w:highlight w:val="none"/>
        </w:rPr>
      </w:pPr>
    </w:p>
    <w:p w14:paraId="3F290507">
      <w:pPr>
        <w:spacing w:line="360" w:lineRule="auto"/>
        <w:jc w:val="center"/>
        <w:rPr>
          <w:rFonts w:ascii="仿宋_GB2312" w:hAnsi="仿宋" w:eastAsia="仿宋_GB2312"/>
          <w:b/>
          <w:color w:val="auto"/>
          <w:spacing w:val="6"/>
          <w:sz w:val="32"/>
          <w:szCs w:val="32"/>
          <w:highlight w:val="none"/>
        </w:rPr>
      </w:pPr>
    </w:p>
    <w:p w14:paraId="5265D80A">
      <w:pPr>
        <w:spacing w:line="360" w:lineRule="auto"/>
        <w:jc w:val="center"/>
        <w:rPr>
          <w:rFonts w:ascii="仿宋_GB2312" w:hAnsi="仿宋" w:eastAsia="仿宋_GB2312"/>
          <w:b/>
          <w:color w:val="auto"/>
          <w:spacing w:val="6"/>
          <w:sz w:val="32"/>
          <w:szCs w:val="32"/>
          <w:highlight w:val="none"/>
        </w:rPr>
      </w:pPr>
    </w:p>
    <w:p w14:paraId="51C7BAFD">
      <w:pPr>
        <w:spacing w:line="360" w:lineRule="auto"/>
        <w:jc w:val="center"/>
        <w:rPr>
          <w:rFonts w:ascii="仿宋_GB2312" w:hAnsi="仿宋" w:eastAsia="仿宋_GB2312"/>
          <w:b/>
          <w:color w:val="auto"/>
          <w:spacing w:val="6"/>
          <w:sz w:val="32"/>
          <w:szCs w:val="32"/>
          <w:highlight w:val="none"/>
        </w:rPr>
      </w:pPr>
    </w:p>
    <w:p w14:paraId="5EB2FFC5">
      <w:pPr>
        <w:spacing w:line="360" w:lineRule="auto"/>
        <w:jc w:val="center"/>
        <w:rPr>
          <w:rFonts w:ascii="仿宋_GB2312" w:hAnsi="仿宋" w:eastAsia="仿宋_GB2312"/>
          <w:b/>
          <w:color w:val="auto"/>
          <w:spacing w:val="6"/>
          <w:sz w:val="32"/>
          <w:szCs w:val="32"/>
          <w:highlight w:val="none"/>
        </w:rPr>
      </w:pPr>
    </w:p>
    <w:p w14:paraId="409EB83C">
      <w:pPr>
        <w:spacing w:line="360" w:lineRule="auto"/>
        <w:jc w:val="center"/>
        <w:rPr>
          <w:rFonts w:ascii="仿宋_GB2312" w:hAnsi="仿宋" w:eastAsia="仿宋_GB2312"/>
          <w:b/>
          <w:color w:val="auto"/>
          <w:spacing w:val="6"/>
          <w:sz w:val="32"/>
          <w:szCs w:val="32"/>
          <w:highlight w:val="none"/>
        </w:rPr>
      </w:pPr>
    </w:p>
    <w:p w14:paraId="3D904057">
      <w:pPr>
        <w:spacing w:line="360" w:lineRule="auto"/>
        <w:jc w:val="center"/>
        <w:rPr>
          <w:rFonts w:ascii="仿宋_GB2312" w:hAnsi="仿宋" w:eastAsia="仿宋_GB2312"/>
          <w:b/>
          <w:color w:val="auto"/>
          <w:spacing w:val="6"/>
          <w:sz w:val="32"/>
          <w:szCs w:val="32"/>
          <w:highlight w:val="none"/>
        </w:rPr>
      </w:pPr>
    </w:p>
    <w:p w14:paraId="4DB2FD34">
      <w:pPr>
        <w:spacing w:line="360" w:lineRule="auto"/>
        <w:jc w:val="left"/>
        <w:rPr>
          <w:rFonts w:ascii="仿宋_GB2312" w:hAnsi="仿宋" w:eastAsia="仿宋_GB2312"/>
          <w:b/>
          <w:color w:val="auto"/>
          <w:spacing w:val="6"/>
          <w:sz w:val="32"/>
          <w:szCs w:val="32"/>
          <w:highlight w:val="none"/>
        </w:rPr>
      </w:pPr>
    </w:p>
    <w:p w14:paraId="4E2FE930">
      <w:pPr>
        <w:spacing w:line="360" w:lineRule="auto"/>
        <w:jc w:val="left"/>
        <w:rPr>
          <w:rFonts w:ascii="仿宋_GB2312" w:hAnsi="仿宋" w:eastAsia="仿宋_GB2312"/>
          <w:b/>
          <w:color w:val="auto"/>
          <w:spacing w:val="6"/>
          <w:sz w:val="32"/>
          <w:szCs w:val="32"/>
          <w:highlight w:val="none"/>
        </w:rPr>
      </w:pPr>
    </w:p>
    <w:p w14:paraId="3E5B0144">
      <w:pPr>
        <w:spacing w:line="360" w:lineRule="auto"/>
        <w:jc w:val="left"/>
        <w:outlineLvl w:val="2"/>
        <w:rPr>
          <w:rFonts w:ascii="仿宋_GB2312" w:hAnsi="仿宋" w:eastAsia="仿宋_GB2312"/>
          <w:b/>
          <w:color w:val="auto"/>
          <w:spacing w:val="6"/>
          <w:sz w:val="32"/>
          <w:szCs w:val="32"/>
          <w:highlight w:val="none"/>
        </w:rPr>
      </w:pPr>
      <w:bookmarkStart w:id="188" w:name="_Toc10678"/>
      <w:bookmarkStart w:id="189" w:name="_Toc25656"/>
      <w:bookmarkStart w:id="190" w:name="_Toc7397"/>
      <w:r>
        <w:rPr>
          <w:rFonts w:hint="eastAsia" w:ascii="仿宋_GB2312" w:hAnsi="仿宋" w:eastAsia="仿宋_GB2312"/>
          <w:b/>
          <w:color w:val="auto"/>
          <w:spacing w:val="6"/>
          <w:sz w:val="32"/>
          <w:szCs w:val="32"/>
          <w:highlight w:val="none"/>
        </w:rPr>
        <w:br w:type="page"/>
      </w:r>
      <w:r>
        <w:rPr>
          <w:rFonts w:hint="eastAsia" w:ascii="仿宋_GB2312" w:hAnsi="仿宋" w:eastAsia="仿宋_GB2312"/>
          <w:b/>
          <w:color w:val="auto"/>
          <w:spacing w:val="6"/>
          <w:sz w:val="32"/>
          <w:szCs w:val="32"/>
          <w:highlight w:val="none"/>
        </w:rPr>
        <w:t>附件4</w:t>
      </w:r>
      <w:r>
        <w:rPr>
          <w:rFonts w:ascii="仿宋_GB2312" w:hAnsi="仿宋" w:eastAsia="仿宋_GB2312"/>
          <w:b/>
          <w:color w:val="auto"/>
          <w:spacing w:val="6"/>
          <w:sz w:val="32"/>
          <w:szCs w:val="32"/>
          <w:highlight w:val="none"/>
        </w:rPr>
        <w:t>：投诉书范本及制作说明</w:t>
      </w:r>
      <w:bookmarkEnd w:id="188"/>
      <w:bookmarkEnd w:id="189"/>
      <w:bookmarkEnd w:id="190"/>
    </w:p>
    <w:p w14:paraId="1EF45C89">
      <w:pPr>
        <w:spacing w:line="360" w:lineRule="auto"/>
        <w:jc w:val="center"/>
        <w:rPr>
          <w:rFonts w:ascii="仿宋_GB2312" w:hAnsi="仿宋" w:eastAsia="仿宋_GB2312"/>
          <w:b/>
          <w:color w:val="auto"/>
          <w:highlight w:val="none"/>
        </w:rPr>
      </w:pPr>
    </w:p>
    <w:p w14:paraId="79F80168">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14:paraId="278D3B30">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一、投诉相关主体基本情况</w:t>
      </w:r>
    </w:p>
    <w:p w14:paraId="7B772D8A">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投诉人：</w:t>
      </w:r>
      <w:r>
        <w:rPr>
          <w:rFonts w:ascii="仿宋_GB2312" w:hAnsi="仿宋" w:eastAsia="仿宋_GB2312"/>
          <w:color w:val="auto"/>
          <w:sz w:val="21"/>
          <w:szCs w:val="21"/>
          <w:highlight w:val="none"/>
          <w:u w:val="dotted"/>
        </w:rPr>
        <w:t xml:space="preserve">                                               </w:t>
      </w:r>
    </w:p>
    <w:p w14:paraId="58DF0E99">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地</w:t>
      </w:r>
      <w:r>
        <w:rPr>
          <w:rFonts w:ascii="仿宋_GB2312" w:hAnsi="仿宋" w:eastAsia="仿宋_GB2312"/>
          <w:color w:val="auto"/>
          <w:sz w:val="21"/>
          <w:szCs w:val="21"/>
          <w:highlight w:val="none"/>
        </w:rPr>
        <w:t xml:space="preserve">     </w:t>
      </w:r>
      <w:r>
        <w:rPr>
          <w:rFonts w:hint="eastAsia" w:ascii="仿宋_GB2312" w:hAnsi="仿宋" w:eastAsia="仿宋_GB2312"/>
          <w:color w:val="auto"/>
          <w:sz w:val="21"/>
          <w:szCs w:val="21"/>
          <w:highlight w:val="none"/>
        </w:rPr>
        <w:t>址：</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邮编：</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6E2B048E">
      <w:pPr>
        <w:tabs>
          <w:tab w:val="left" w:pos="6510"/>
        </w:tabs>
        <w:spacing w:line="360" w:lineRule="auto"/>
        <w:jc w:val="left"/>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法定代表人</w:t>
      </w:r>
      <w:r>
        <w:rPr>
          <w:rFonts w:ascii="仿宋_GB2312" w:hAnsi="仿宋" w:eastAsia="仿宋_GB2312"/>
          <w:color w:val="auto"/>
          <w:sz w:val="21"/>
          <w:szCs w:val="21"/>
          <w:highlight w:val="none"/>
        </w:rPr>
        <w:t>/主要负责人：</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rPr>
        <w:t xml:space="preserve">  </w:t>
      </w:r>
    </w:p>
    <w:p w14:paraId="17B1EC42">
      <w:pPr>
        <w:tabs>
          <w:tab w:val="left" w:pos="6510"/>
        </w:tabs>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联系电话：</w:t>
      </w:r>
      <w:r>
        <w:rPr>
          <w:rFonts w:ascii="仿宋_GB2312" w:hAnsi="仿宋" w:eastAsia="仿宋_GB2312"/>
          <w:color w:val="auto"/>
          <w:sz w:val="21"/>
          <w:szCs w:val="21"/>
          <w:highlight w:val="none"/>
          <w:u w:val="dotted"/>
        </w:rPr>
        <w:t xml:space="preserve">                                             </w:t>
      </w:r>
    </w:p>
    <w:p w14:paraId="05A98B04">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授权代表：</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联系电话</w:t>
      </w:r>
      <w:r>
        <w:rPr>
          <w:rFonts w:hint="eastAsia" w:ascii="仿宋_GB2312" w:hAnsi="仿宋" w:eastAsia="仿宋_GB2312"/>
          <w:color w:val="auto"/>
          <w:sz w:val="21"/>
          <w:szCs w:val="21"/>
          <w:highlight w:val="none"/>
          <w:u w:val="dotted"/>
        </w:rPr>
        <w:t>：</w:t>
      </w:r>
      <w:r>
        <w:rPr>
          <w:rFonts w:ascii="仿宋_GB2312" w:hAnsi="仿宋" w:eastAsia="仿宋_GB2312"/>
          <w:color w:val="auto"/>
          <w:sz w:val="21"/>
          <w:szCs w:val="21"/>
          <w:highlight w:val="none"/>
          <w:u w:val="dotted"/>
        </w:rPr>
        <w:t xml:space="preserve">                  </w:t>
      </w:r>
    </w:p>
    <w:p w14:paraId="12385F0D">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地</w:t>
      </w:r>
      <w:r>
        <w:rPr>
          <w:rFonts w:ascii="仿宋_GB2312" w:hAnsi="仿宋" w:eastAsia="仿宋_GB2312"/>
          <w:color w:val="auto"/>
          <w:sz w:val="21"/>
          <w:szCs w:val="21"/>
          <w:highlight w:val="none"/>
        </w:rPr>
        <w:t xml:space="preserve">     </w:t>
      </w:r>
      <w:r>
        <w:rPr>
          <w:rFonts w:hint="eastAsia" w:ascii="仿宋_GB2312" w:hAnsi="仿宋" w:eastAsia="仿宋_GB2312"/>
          <w:color w:val="auto"/>
          <w:sz w:val="21"/>
          <w:szCs w:val="21"/>
          <w:highlight w:val="none"/>
        </w:rPr>
        <w:t>址：</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邮编：</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r>
        <w:rPr>
          <w:rFonts w:ascii="仿宋_GB2312" w:hAnsi="仿宋" w:eastAsia="仿宋_GB2312"/>
          <w:color w:val="auto"/>
          <w:sz w:val="21"/>
          <w:szCs w:val="21"/>
          <w:highlight w:val="none"/>
          <w:u w:val="dotted"/>
        </w:rPr>
        <w:t xml:space="preserve">                   </w:t>
      </w:r>
    </w:p>
    <w:p w14:paraId="5E8401EC">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被投诉人</w:t>
      </w:r>
      <w:r>
        <w:rPr>
          <w:rFonts w:ascii="仿宋_GB2312" w:hAnsi="仿宋" w:eastAsia="仿宋_GB2312"/>
          <w:color w:val="auto"/>
          <w:sz w:val="21"/>
          <w:szCs w:val="21"/>
          <w:highlight w:val="none"/>
        </w:rPr>
        <w:t>1：</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4CAE5813">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地</w:t>
      </w:r>
      <w:r>
        <w:rPr>
          <w:rFonts w:ascii="仿宋_GB2312" w:hAnsi="仿宋" w:eastAsia="仿宋_GB2312"/>
          <w:color w:val="auto"/>
          <w:sz w:val="21"/>
          <w:szCs w:val="21"/>
          <w:highlight w:val="none"/>
        </w:rPr>
        <w:t xml:space="preserve">     </w:t>
      </w:r>
      <w:r>
        <w:rPr>
          <w:rFonts w:hint="eastAsia" w:ascii="仿宋_GB2312" w:hAnsi="仿宋" w:eastAsia="仿宋_GB2312"/>
          <w:color w:val="auto"/>
          <w:sz w:val="21"/>
          <w:szCs w:val="21"/>
          <w:highlight w:val="none"/>
        </w:rPr>
        <w:t>址：</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邮编：</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7B45CA58">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联系人：</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联系电话：</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5A7333FD">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被投诉人</w:t>
      </w:r>
      <w:r>
        <w:rPr>
          <w:rFonts w:ascii="仿宋_GB2312" w:hAnsi="仿宋" w:eastAsia="仿宋_GB2312"/>
          <w:color w:val="auto"/>
          <w:sz w:val="21"/>
          <w:szCs w:val="21"/>
          <w:highlight w:val="none"/>
        </w:rPr>
        <w:t>2</w:t>
      </w:r>
    </w:p>
    <w:p w14:paraId="6ED649BD">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w:t>
      </w:r>
    </w:p>
    <w:p w14:paraId="50E94010">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相关供应商：</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310C3EE9">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地</w:t>
      </w:r>
      <w:r>
        <w:rPr>
          <w:rFonts w:ascii="仿宋_GB2312" w:hAnsi="仿宋" w:eastAsia="仿宋_GB2312"/>
          <w:color w:val="auto"/>
          <w:sz w:val="21"/>
          <w:szCs w:val="21"/>
          <w:highlight w:val="none"/>
        </w:rPr>
        <w:t xml:space="preserve">     </w:t>
      </w:r>
      <w:r>
        <w:rPr>
          <w:rFonts w:hint="eastAsia" w:ascii="仿宋_GB2312" w:hAnsi="仿宋" w:eastAsia="仿宋_GB2312"/>
          <w:color w:val="auto"/>
          <w:sz w:val="21"/>
          <w:szCs w:val="21"/>
          <w:highlight w:val="none"/>
        </w:rPr>
        <w:t>址：</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邮编：</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13BA6935">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联系人：</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联系电话：</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18CCFD94">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二、投诉项目基本情况</w:t>
      </w:r>
    </w:p>
    <w:p w14:paraId="27F395E8">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采购项目名称：</w:t>
      </w:r>
      <w:r>
        <w:rPr>
          <w:rFonts w:ascii="仿宋_GB2312" w:hAnsi="仿宋" w:eastAsia="仿宋_GB2312"/>
          <w:color w:val="auto"/>
          <w:sz w:val="21"/>
          <w:szCs w:val="21"/>
          <w:highlight w:val="none"/>
          <w:u w:val="dotted"/>
        </w:rPr>
        <w:t xml:space="preserve">                                        </w:t>
      </w:r>
    </w:p>
    <w:p w14:paraId="3F8747DB">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采购项目编号：</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包号：</w:t>
      </w:r>
      <w:r>
        <w:rPr>
          <w:rFonts w:ascii="仿宋_GB2312" w:hAnsi="仿宋" w:eastAsia="仿宋_GB2312"/>
          <w:color w:val="auto"/>
          <w:sz w:val="21"/>
          <w:szCs w:val="21"/>
          <w:highlight w:val="none"/>
          <w:u w:val="dotted"/>
        </w:rPr>
        <w:t xml:space="preserve">              </w:t>
      </w:r>
    </w:p>
    <w:p w14:paraId="6E74E850">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采购人名称：</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016E8189">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代理机构名称：</w:t>
      </w:r>
      <w:r>
        <w:rPr>
          <w:rFonts w:ascii="仿宋_GB2312" w:hAnsi="仿宋" w:eastAsia="仿宋_GB2312"/>
          <w:color w:val="auto"/>
          <w:sz w:val="21"/>
          <w:szCs w:val="21"/>
          <w:highlight w:val="none"/>
          <w:u w:val="dotted"/>
        </w:rPr>
        <w:t xml:space="preserve">                                         </w:t>
      </w:r>
    </w:p>
    <w:p w14:paraId="0758BC9A">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采购文件公告</w:t>
      </w:r>
      <w:r>
        <w:rPr>
          <w:rFonts w:ascii="仿宋_GB2312" w:hAnsi="仿宋" w:eastAsia="仿宋_GB2312"/>
          <w:color w:val="auto"/>
          <w:sz w:val="21"/>
          <w:szCs w:val="21"/>
          <w:highlight w:val="none"/>
        </w:rPr>
        <w:t>:</w:t>
      </w:r>
      <w:r>
        <w:rPr>
          <w:rFonts w:hint="eastAsia" w:ascii="仿宋_GB2312" w:hAnsi="仿宋" w:eastAsia="仿宋_GB2312"/>
          <w:color w:val="auto"/>
          <w:sz w:val="21"/>
          <w:szCs w:val="21"/>
          <w:highlight w:val="none"/>
          <w:u w:val="dotted"/>
        </w:rPr>
        <w:t>是</w:t>
      </w:r>
      <w:r>
        <w:rPr>
          <w:rFonts w:ascii="仿宋_GB2312" w:hAnsi="仿宋" w:eastAsia="仿宋_GB2312"/>
          <w:color w:val="auto"/>
          <w:sz w:val="21"/>
          <w:szCs w:val="21"/>
          <w:highlight w:val="none"/>
          <w:u w:val="dotted"/>
        </w:rPr>
        <w:t xml:space="preserve">/否 </w:t>
      </w:r>
      <w:r>
        <w:rPr>
          <w:rFonts w:hint="eastAsia" w:ascii="仿宋_GB2312" w:hAnsi="仿宋" w:eastAsia="仿宋_GB2312"/>
          <w:color w:val="auto"/>
          <w:sz w:val="21"/>
          <w:szCs w:val="21"/>
          <w:highlight w:val="none"/>
        </w:rPr>
        <w:t>公告期限：</w:t>
      </w:r>
      <w:r>
        <w:rPr>
          <w:rFonts w:ascii="仿宋_GB2312" w:hAnsi="仿宋" w:eastAsia="仿宋_GB2312"/>
          <w:color w:val="auto"/>
          <w:sz w:val="21"/>
          <w:szCs w:val="21"/>
          <w:highlight w:val="none"/>
          <w:u w:val="dotted"/>
        </w:rPr>
        <w:t xml:space="preserve">                                 </w:t>
      </w:r>
    </w:p>
    <w:p w14:paraId="0F24E397">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采购结果公告</w:t>
      </w:r>
      <w:r>
        <w:rPr>
          <w:rFonts w:ascii="仿宋_GB2312" w:hAnsi="仿宋" w:eastAsia="仿宋_GB2312"/>
          <w:color w:val="auto"/>
          <w:sz w:val="21"/>
          <w:szCs w:val="21"/>
          <w:highlight w:val="none"/>
        </w:rPr>
        <w:t>:</w:t>
      </w:r>
      <w:r>
        <w:rPr>
          <w:rFonts w:hint="eastAsia" w:ascii="仿宋_GB2312" w:hAnsi="仿宋" w:eastAsia="仿宋_GB2312"/>
          <w:color w:val="auto"/>
          <w:sz w:val="21"/>
          <w:szCs w:val="21"/>
          <w:highlight w:val="none"/>
          <w:u w:val="dotted"/>
        </w:rPr>
        <w:t>是</w:t>
      </w:r>
      <w:r>
        <w:rPr>
          <w:rFonts w:ascii="仿宋_GB2312" w:hAnsi="仿宋" w:eastAsia="仿宋_GB2312"/>
          <w:color w:val="auto"/>
          <w:sz w:val="21"/>
          <w:szCs w:val="21"/>
          <w:highlight w:val="none"/>
          <w:u w:val="dotted"/>
        </w:rPr>
        <w:t xml:space="preserve">/否 </w:t>
      </w:r>
      <w:r>
        <w:rPr>
          <w:rFonts w:hint="eastAsia" w:ascii="仿宋_GB2312" w:hAnsi="仿宋" w:eastAsia="仿宋_GB2312"/>
          <w:color w:val="auto"/>
          <w:sz w:val="21"/>
          <w:szCs w:val="21"/>
          <w:highlight w:val="none"/>
        </w:rPr>
        <w:t>公告期限：</w:t>
      </w:r>
      <w:r>
        <w:rPr>
          <w:rFonts w:ascii="仿宋_GB2312" w:hAnsi="仿宋" w:eastAsia="仿宋_GB2312"/>
          <w:color w:val="auto"/>
          <w:sz w:val="21"/>
          <w:szCs w:val="21"/>
          <w:highlight w:val="none"/>
          <w:u w:val="dotted"/>
        </w:rPr>
        <w:t xml:space="preserve">                        </w:t>
      </w:r>
    </w:p>
    <w:p w14:paraId="340A385C">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三、质疑基本情况</w:t>
      </w:r>
    </w:p>
    <w:p w14:paraId="04FE6633">
      <w:pPr>
        <w:spacing w:line="360" w:lineRule="auto"/>
        <w:ind w:firstLine="420" w:firstLineChars="200"/>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投诉人于</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年</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月</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日</w:t>
      </w:r>
      <w:r>
        <w:rPr>
          <w:rFonts w:ascii="仿宋_GB2312" w:hAnsi="仿宋" w:eastAsia="仿宋_GB2312"/>
          <w:color w:val="auto"/>
          <w:sz w:val="21"/>
          <w:szCs w:val="21"/>
          <w:highlight w:val="none"/>
        </w:rPr>
        <w:t>,向</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提出质疑，质疑事项为：</w:t>
      </w:r>
      <w:r>
        <w:rPr>
          <w:rFonts w:ascii="仿宋_GB2312" w:hAnsi="仿宋" w:eastAsia="仿宋_GB2312"/>
          <w:color w:val="auto"/>
          <w:sz w:val="21"/>
          <w:szCs w:val="21"/>
          <w:highlight w:val="none"/>
          <w:u w:val="dotted"/>
        </w:rPr>
        <w:t xml:space="preserve">                                </w:t>
      </w:r>
    </w:p>
    <w:p w14:paraId="17F40D12">
      <w:pPr>
        <w:spacing w:line="360" w:lineRule="auto"/>
        <w:rPr>
          <w:rFonts w:ascii="仿宋_GB2312" w:hAnsi="仿宋" w:eastAsia="仿宋_GB2312"/>
          <w:color w:val="auto"/>
          <w:sz w:val="21"/>
          <w:szCs w:val="21"/>
          <w:highlight w:val="none"/>
          <w:u w:val="dotted"/>
        </w:rPr>
      </w:pP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rPr>
        <w:t xml:space="preserve">  </w:t>
      </w:r>
    </w:p>
    <w:p w14:paraId="74965809">
      <w:pPr>
        <w:spacing w:line="360" w:lineRule="auto"/>
        <w:ind w:firstLine="315" w:firstLineChars="150"/>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u w:val="dotted"/>
        </w:rPr>
        <w:t>采购人</w:t>
      </w:r>
      <w:r>
        <w:rPr>
          <w:rFonts w:ascii="仿宋_GB2312" w:hAnsi="仿宋" w:eastAsia="仿宋_GB2312"/>
          <w:color w:val="auto"/>
          <w:sz w:val="21"/>
          <w:szCs w:val="21"/>
          <w:highlight w:val="none"/>
          <w:u w:val="dotted"/>
        </w:rPr>
        <w:t>/代理机构</w:t>
      </w:r>
      <w:r>
        <w:rPr>
          <w:rFonts w:hint="eastAsia" w:ascii="仿宋_GB2312" w:hAnsi="仿宋" w:eastAsia="仿宋_GB2312"/>
          <w:color w:val="auto"/>
          <w:sz w:val="21"/>
          <w:szCs w:val="21"/>
          <w:highlight w:val="none"/>
        </w:rPr>
        <w:t>于</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年</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月</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日</w:t>
      </w:r>
      <w:r>
        <w:rPr>
          <w:rFonts w:ascii="仿宋_GB2312" w:hAnsi="仿宋" w:eastAsia="仿宋_GB2312"/>
          <w:color w:val="auto"/>
          <w:sz w:val="21"/>
          <w:szCs w:val="21"/>
          <w:highlight w:val="none"/>
        </w:rPr>
        <w:t>,就质疑事项</w:t>
      </w:r>
      <w:r>
        <w:rPr>
          <w:rFonts w:hint="eastAsia" w:ascii="仿宋_GB2312" w:hAnsi="仿宋" w:eastAsia="仿宋_GB2312"/>
          <w:color w:val="auto"/>
          <w:sz w:val="21"/>
          <w:szCs w:val="21"/>
          <w:highlight w:val="none"/>
        </w:rPr>
        <w:t>作出了答复</w:t>
      </w:r>
      <w:r>
        <w:rPr>
          <w:rFonts w:ascii="仿宋_GB2312" w:hAnsi="仿宋" w:eastAsia="仿宋_GB2312"/>
          <w:color w:val="auto"/>
          <w:sz w:val="21"/>
          <w:szCs w:val="21"/>
          <w:highlight w:val="none"/>
        </w:rPr>
        <w:t>/没有在法定期限内</w:t>
      </w:r>
      <w:r>
        <w:rPr>
          <w:rFonts w:hint="eastAsia" w:ascii="仿宋_GB2312" w:hAnsi="仿宋" w:eastAsia="仿宋_GB2312"/>
          <w:color w:val="auto"/>
          <w:sz w:val="21"/>
          <w:szCs w:val="21"/>
          <w:highlight w:val="none"/>
        </w:rPr>
        <w:t>作出答复。</w:t>
      </w:r>
    </w:p>
    <w:p w14:paraId="5AF68C28">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四、投诉事项具体内容</w:t>
      </w:r>
    </w:p>
    <w:p w14:paraId="49D7BB61">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投诉事项</w:t>
      </w:r>
      <w:r>
        <w:rPr>
          <w:rFonts w:ascii="仿宋_GB2312" w:hAnsi="仿宋" w:eastAsia="仿宋_GB2312"/>
          <w:color w:val="auto"/>
          <w:sz w:val="21"/>
          <w:szCs w:val="21"/>
          <w:highlight w:val="none"/>
        </w:rPr>
        <w:t xml:space="preserve"> 1：</w:t>
      </w:r>
      <w:r>
        <w:rPr>
          <w:rFonts w:ascii="仿宋_GB2312" w:hAnsi="仿宋" w:eastAsia="仿宋_GB2312"/>
          <w:color w:val="auto"/>
          <w:sz w:val="21"/>
          <w:szCs w:val="21"/>
          <w:highlight w:val="none"/>
          <w:u w:val="dotted"/>
        </w:rPr>
        <w:t xml:space="preserve">                                       </w:t>
      </w:r>
    </w:p>
    <w:p w14:paraId="4637A33E">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事实依据：</w:t>
      </w:r>
      <w:r>
        <w:rPr>
          <w:rFonts w:ascii="仿宋_GB2312" w:hAnsi="仿宋" w:eastAsia="仿宋_GB2312"/>
          <w:color w:val="auto"/>
          <w:sz w:val="21"/>
          <w:szCs w:val="21"/>
          <w:highlight w:val="none"/>
          <w:u w:val="dotted"/>
        </w:rPr>
        <w:t xml:space="preserve">                                         </w:t>
      </w:r>
    </w:p>
    <w:p w14:paraId="320FA447">
      <w:pPr>
        <w:spacing w:line="360" w:lineRule="auto"/>
        <w:rPr>
          <w:rFonts w:ascii="仿宋_GB2312" w:hAnsi="仿宋" w:eastAsia="仿宋_GB2312"/>
          <w:color w:val="auto"/>
          <w:sz w:val="21"/>
          <w:szCs w:val="21"/>
          <w:highlight w:val="none"/>
          <w:u w:val="dotted"/>
        </w:rPr>
      </w:pPr>
      <w:r>
        <w:rPr>
          <w:rFonts w:ascii="仿宋_GB2312" w:hAnsi="仿宋" w:eastAsia="仿宋_GB2312"/>
          <w:color w:val="auto"/>
          <w:sz w:val="21"/>
          <w:szCs w:val="21"/>
          <w:highlight w:val="none"/>
          <w:u w:val="dotted"/>
        </w:rPr>
        <w:t xml:space="preserve">                                                      </w:t>
      </w:r>
    </w:p>
    <w:p w14:paraId="6A36684F">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法律依据：</w:t>
      </w:r>
      <w:r>
        <w:rPr>
          <w:rFonts w:ascii="仿宋_GB2312" w:hAnsi="仿宋" w:eastAsia="仿宋_GB2312"/>
          <w:color w:val="auto"/>
          <w:sz w:val="21"/>
          <w:szCs w:val="21"/>
          <w:highlight w:val="none"/>
          <w:u w:val="dotted"/>
        </w:rPr>
        <w:t xml:space="preserve">                                          </w:t>
      </w:r>
    </w:p>
    <w:p w14:paraId="5E08B68F">
      <w:pPr>
        <w:spacing w:line="360" w:lineRule="auto"/>
        <w:rPr>
          <w:rFonts w:ascii="仿宋_GB2312" w:hAnsi="仿宋" w:eastAsia="仿宋_GB2312"/>
          <w:color w:val="auto"/>
          <w:sz w:val="21"/>
          <w:szCs w:val="21"/>
          <w:highlight w:val="none"/>
          <w:u w:val="dotted"/>
        </w:rPr>
      </w:pPr>
      <w:r>
        <w:rPr>
          <w:rFonts w:ascii="仿宋_GB2312" w:hAnsi="仿宋" w:eastAsia="仿宋_GB2312"/>
          <w:color w:val="auto"/>
          <w:sz w:val="21"/>
          <w:szCs w:val="21"/>
          <w:highlight w:val="none"/>
          <w:u w:val="dotted"/>
        </w:rPr>
        <w:t xml:space="preserve">                                                      </w:t>
      </w:r>
    </w:p>
    <w:p w14:paraId="548B6939">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投诉事项</w:t>
      </w:r>
      <w:r>
        <w:rPr>
          <w:rFonts w:ascii="仿宋_GB2312" w:hAnsi="仿宋" w:eastAsia="仿宋_GB2312"/>
          <w:color w:val="auto"/>
          <w:sz w:val="21"/>
          <w:szCs w:val="21"/>
          <w:highlight w:val="none"/>
        </w:rPr>
        <w:t>2</w:t>
      </w:r>
    </w:p>
    <w:p w14:paraId="16E989B5">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w:t>
      </w:r>
    </w:p>
    <w:p w14:paraId="0C45F62C">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五、与投诉事项相关的投诉请求</w:t>
      </w:r>
    </w:p>
    <w:p w14:paraId="575E368C">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请求：</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rPr>
        <w:t xml:space="preserve"> </w:t>
      </w:r>
    </w:p>
    <w:p w14:paraId="44786BE2">
      <w:pPr>
        <w:spacing w:line="360" w:lineRule="auto"/>
        <w:rPr>
          <w:rFonts w:ascii="仿宋_GB2312" w:hAnsi="仿宋" w:eastAsia="仿宋_GB2312"/>
          <w:color w:val="auto"/>
          <w:sz w:val="21"/>
          <w:szCs w:val="21"/>
          <w:highlight w:val="none"/>
          <w:u w:val="single"/>
        </w:rPr>
      </w:pPr>
      <w:r>
        <w:rPr>
          <w:rFonts w:ascii="仿宋_GB2312" w:hAnsi="仿宋" w:eastAsia="仿宋_GB2312"/>
          <w:color w:val="auto"/>
          <w:sz w:val="21"/>
          <w:szCs w:val="21"/>
          <w:highlight w:val="none"/>
        </w:rPr>
        <w:t xml:space="preserve">                                                                                                    </w:t>
      </w:r>
    </w:p>
    <w:p w14:paraId="7A05E7BE">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签字</w:t>
      </w:r>
      <w:r>
        <w:rPr>
          <w:rFonts w:ascii="仿宋_GB2312" w:hAnsi="仿宋" w:eastAsia="仿宋_GB2312"/>
          <w:color w:val="auto"/>
          <w:sz w:val="21"/>
          <w:szCs w:val="21"/>
          <w:highlight w:val="none"/>
        </w:rPr>
        <w:t xml:space="preserve">(签章)：                   公章：                      </w:t>
      </w:r>
    </w:p>
    <w:p w14:paraId="4890DD19">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日期：</w:t>
      </w:r>
      <w:r>
        <w:rPr>
          <w:rFonts w:ascii="仿宋_GB2312" w:hAnsi="仿宋" w:eastAsia="仿宋_GB2312"/>
          <w:color w:val="auto"/>
          <w:sz w:val="21"/>
          <w:szCs w:val="21"/>
          <w:highlight w:val="none"/>
        </w:rPr>
        <w:t xml:space="preserve">    </w:t>
      </w:r>
    </w:p>
    <w:p w14:paraId="2AD2AA2A">
      <w:pPr>
        <w:spacing w:line="360" w:lineRule="auto"/>
        <w:rPr>
          <w:rFonts w:ascii="仿宋_GB2312" w:hAnsi="仿宋" w:eastAsia="仿宋_GB2312"/>
          <w:b/>
          <w:color w:val="auto"/>
          <w:sz w:val="21"/>
          <w:szCs w:val="21"/>
          <w:highlight w:val="none"/>
        </w:rPr>
      </w:pPr>
    </w:p>
    <w:p w14:paraId="7EB77404">
      <w:pPr>
        <w:spacing w:line="360" w:lineRule="auto"/>
        <w:rPr>
          <w:rFonts w:ascii="仿宋_GB2312" w:hAnsi="仿宋" w:eastAsia="仿宋_GB2312"/>
          <w:b/>
          <w:color w:val="auto"/>
          <w:sz w:val="21"/>
          <w:szCs w:val="21"/>
          <w:highlight w:val="none"/>
        </w:rPr>
      </w:pPr>
    </w:p>
    <w:p w14:paraId="3A59A3E7">
      <w:pPr>
        <w:spacing w:line="360" w:lineRule="auto"/>
        <w:rPr>
          <w:rFonts w:ascii="仿宋_GB2312" w:hAnsi="仿宋" w:eastAsia="仿宋_GB2312"/>
          <w:b/>
          <w:color w:val="auto"/>
          <w:sz w:val="21"/>
          <w:szCs w:val="21"/>
          <w:highlight w:val="none"/>
        </w:rPr>
      </w:pPr>
      <w:r>
        <w:rPr>
          <w:rFonts w:hint="eastAsia" w:ascii="仿宋_GB2312" w:hAnsi="仿宋" w:eastAsia="仿宋_GB2312"/>
          <w:b/>
          <w:color w:val="auto"/>
          <w:sz w:val="21"/>
          <w:szCs w:val="21"/>
          <w:highlight w:val="none"/>
        </w:rPr>
        <w:t>投诉书制作说明：</w:t>
      </w:r>
    </w:p>
    <w:p w14:paraId="5EAD52F2">
      <w:pPr>
        <w:widowControl/>
        <w:spacing w:line="360" w:lineRule="auto"/>
        <w:ind w:firstLine="420" w:firstLineChars="200"/>
        <w:rPr>
          <w:rFonts w:ascii="仿宋_GB2312" w:hAnsi="仿宋" w:eastAsia="仿宋_GB2312"/>
          <w:color w:val="auto"/>
          <w:kern w:val="0"/>
          <w:sz w:val="21"/>
          <w:szCs w:val="21"/>
          <w:highlight w:val="none"/>
        </w:rPr>
      </w:pPr>
      <w:r>
        <w:rPr>
          <w:rFonts w:ascii="仿宋_GB2312" w:hAnsi="仿宋" w:eastAsia="仿宋_GB2312"/>
          <w:color w:val="auto"/>
          <w:sz w:val="21"/>
          <w:szCs w:val="21"/>
          <w:highlight w:val="none"/>
        </w:rPr>
        <w:t>1.投诉人提起投诉时，应当提交投诉书和必要的证明材料，并按照被投诉人和与投诉事项有关的供应商数量提供投诉书副本。</w:t>
      </w:r>
    </w:p>
    <w:p w14:paraId="74309DE3">
      <w:pPr>
        <w:widowControl/>
        <w:spacing w:line="360" w:lineRule="auto"/>
        <w:ind w:firstLine="420" w:firstLineChars="200"/>
        <w:jc w:val="left"/>
        <w:rPr>
          <w:rFonts w:ascii="仿宋_GB2312" w:hAnsi="仿宋" w:eastAsia="仿宋_GB2312"/>
          <w:color w:val="auto"/>
          <w:kern w:val="0"/>
          <w:sz w:val="21"/>
          <w:szCs w:val="21"/>
          <w:highlight w:val="none"/>
        </w:rPr>
      </w:pPr>
      <w:r>
        <w:rPr>
          <w:rFonts w:ascii="仿宋_GB2312" w:hAnsi="仿宋" w:eastAsia="仿宋_GB2312"/>
          <w:color w:val="auto"/>
          <w:sz w:val="21"/>
          <w:szCs w:val="21"/>
          <w:highlight w:val="none"/>
        </w:rPr>
        <w:t>2.投诉人若委托代理人进行投诉的，投诉书应按照要求列明“授权代表”的有关内容，并在附件中提交由</w:t>
      </w:r>
      <w:r>
        <w:rPr>
          <w:rFonts w:hint="eastAsia" w:ascii="仿宋_GB2312" w:hAnsi="仿宋" w:eastAsia="仿宋_GB2312"/>
          <w:color w:val="auto"/>
          <w:kern w:val="0"/>
          <w:sz w:val="21"/>
          <w:szCs w:val="21"/>
          <w:highlight w:val="none"/>
        </w:rPr>
        <w:t>投诉人签署的授权委托书。授权委托书应当载明代理人的姓名或者名称、代理事项、具体权限、期限和相关事项。</w:t>
      </w:r>
    </w:p>
    <w:p w14:paraId="0F41B00E">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3.投诉人若对项目的某一分包进行投诉，投诉书应列明具体分包号。</w:t>
      </w:r>
    </w:p>
    <w:p w14:paraId="6F31E39D">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4.投诉书应简要列明质疑事项，质疑函、质疑答复等作为附件材料提供。</w:t>
      </w:r>
    </w:p>
    <w:p w14:paraId="70F8F82A">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5.投诉书的投诉事项应具体、明确，并有必要的事实依据和法律依据。</w:t>
      </w:r>
    </w:p>
    <w:p w14:paraId="62E03F76">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6.投诉书的投诉请求应与投诉事项相关。</w:t>
      </w:r>
    </w:p>
    <w:p w14:paraId="634B87EA">
      <w:pPr>
        <w:widowControl/>
        <w:spacing w:line="360" w:lineRule="auto"/>
        <w:ind w:firstLine="420" w:firstLineChars="200"/>
        <w:jc w:val="left"/>
        <w:rPr>
          <w:rFonts w:ascii="仿宋_GB2312" w:hAnsi="仿宋" w:eastAsia="仿宋_GB2312"/>
          <w:color w:val="auto"/>
          <w:kern w:val="0"/>
          <w:sz w:val="21"/>
          <w:szCs w:val="21"/>
          <w:highlight w:val="none"/>
        </w:rPr>
      </w:pPr>
      <w:r>
        <w:rPr>
          <w:rFonts w:ascii="仿宋_GB2312" w:hAnsi="仿宋" w:eastAsia="仿宋_GB2312"/>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0E5BA8BA">
      <w:pPr>
        <w:spacing w:line="360" w:lineRule="auto"/>
        <w:rPr>
          <w:rFonts w:ascii="仿宋_GB2312" w:hAnsi="仿宋" w:eastAsia="仿宋_GB2312" w:cs="仿宋_GB2312"/>
          <w:b/>
          <w:color w:val="auto"/>
          <w:highlight w:val="none"/>
        </w:rPr>
      </w:pPr>
    </w:p>
    <w:p w14:paraId="6E1FEE34">
      <w:pPr>
        <w:autoSpaceDE w:val="0"/>
        <w:autoSpaceDN w:val="0"/>
        <w:jc w:val="center"/>
        <w:rPr>
          <w:rFonts w:ascii="仿宋" w:hAnsi="仿宋" w:eastAsia="仿宋"/>
          <w:b/>
          <w:color w:val="auto"/>
          <w:spacing w:val="6"/>
          <w:sz w:val="32"/>
          <w:szCs w:val="32"/>
          <w:highlight w:val="none"/>
        </w:rPr>
      </w:pPr>
    </w:p>
    <w:p w14:paraId="7EC84782">
      <w:pPr>
        <w:rPr>
          <w:color w:val="auto"/>
          <w:highlight w:val="none"/>
        </w:rPr>
      </w:pPr>
    </w:p>
    <w:sectPr>
      <w:pgSz w:w="11906" w:h="16838"/>
      <w:pgMar w:top="1247" w:right="1247" w:bottom="1247" w:left="1247" w:header="0" w:footer="6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B6A95A9-6A58-43D8-BEAF-BA48F0E382EC}"/>
  </w:font>
  <w:font w:name="Arial">
    <w:panose1 w:val="020B0604020202020204"/>
    <w:charset w:val="01"/>
    <w:family w:val="swiss"/>
    <w:pitch w:val="default"/>
    <w:sig w:usb0="E0002EFF" w:usb1="C000785B" w:usb2="00000009" w:usb3="00000000" w:csb0="400001FF" w:csb1="FFFF0000"/>
    <w:embedRegular r:id="rId2" w:fontKey="{5A5CA2F8-FB5A-4D27-B584-B5D15F5F708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embedRegular r:id="rId3" w:fontKey="{1E634B71-E261-4DD2-AFEB-69303760DDB2}"/>
  </w:font>
  <w:font w:name="仿宋_GB2312">
    <w:panose1 w:val="02010609030101010101"/>
    <w:charset w:val="86"/>
    <w:family w:val="modern"/>
    <w:pitch w:val="default"/>
    <w:sig w:usb0="00000001" w:usb1="080E0000" w:usb2="00000000" w:usb3="00000000" w:csb0="00040000" w:csb1="00000000"/>
    <w:embedRegular r:id="rId4" w:fontKey="{0DA95264-0FDD-4735-B66F-093CE408B5F1}"/>
  </w:font>
  <w:font w:name="Wingdings 2">
    <w:panose1 w:val="05020102010507070707"/>
    <w:charset w:val="02"/>
    <w:family w:val="roman"/>
    <w:pitch w:val="default"/>
    <w:sig w:usb0="00000000" w:usb1="00000000" w:usb2="00000000" w:usb3="00000000" w:csb0="80000000" w:csb1="00000000"/>
    <w:embedRegular r:id="rId5" w:fontKey="{7FFCF12F-9CD8-49F4-8FD0-33D2A551AF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F982B">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1A9DC">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3C7984">
                          <w:pPr>
                            <w:pStyle w:val="1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FSzFLCAQAAjgMAAA4AAAAAAAAAAQAgAAAAHgEAAGRycy9lMm9Eb2MueG1sUEsF&#10;BgAAAAAGAAYAWQEAAFIFAAAAAA==&#10;">
              <v:fill on="f" focussize="0,0"/>
              <v:stroke on="f"/>
              <v:imagedata o:title=""/>
              <o:lock v:ext="edit" aspectratio="f"/>
              <v:textbox inset="0mm,0mm,0mm,0mm" style="mso-fit-shape-to-text:t;">
                <w:txbxContent>
                  <w:p w14:paraId="1E3C7984">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60302">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6C1D03">
                          <w:pPr>
                            <w:pStyle w:val="14"/>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3sFcIBAACO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m+&#10;zPr0AWpMuwuYmIa3fsCtmf2Azkx7UNHmLxIiGEd1z1d15ZCIyI/Wq/W6wpDA2HxBfPbwPERI76S3&#10;JBsNjTi+oio/fYA0ps4puZrzt9qYMkLj/nIgZvaw3PvYY7bSsB8mQnvfnpFPj5NvqMNFp8S8dyhs&#10;XpLZiLOxn4xcA8KbY8LCpZ+MOkJNxXBMhdG0UnkP/ryXrI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97BXCAQAAjgMAAA4AAAAAAAAAAQAgAAAAHgEAAGRycy9lMm9Eb2MueG1sUEsF&#10;BgAAAAAGAAYAWQEAAFIFAAAAAA==&#10;">
              <v:fill on="f" focussize="0,0"/>
              <v:stroke on="f"/>
              <v:imagedata o:title=""/>
              <o:lock v:ext="edit" aspectratio="f"/>
              <v:textbox inset="0mm,0mm,0mm,0mm" style="mso-fit-shape-to-text:t;">
                <w:txbxContent>
                  <w:p w14:paraId="0D6C1D03">
                    <w:pPr>
                      <w:pStyle w:val="1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4A593">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804451">
                          <w:pPr>
                            <w:pStyle w:val="14"/>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IO/8IBAACO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m+&#10;zPr0AWpMuwuYmIa3fsCtmf2Azkx7UNHmLxIiGEd1z1d15ZCIyI/Wq/W6wpDA2HxBfPbwPERI76S3&#10;JBsNjTi+oio/fYA0ps4puZrzt9qYMkLj/nIgZvaw3PvYY7bSsB8mQnvfnpFPj5NvqMNFp8S8dyhs&#10;XpLZiLOxn4xcA8KbY8LCpZ+MOkJNxXBMhdG0UnkP/ryXrI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jiDv/CAQAAjgMAAA4AAAAAAAAAAQAgAAAAHgEAAGRycy9lMm9Eb2MueG1sUEsF&#10;BgAAAAAGAAYAWQEAAFIFAAAAAA==&#10;">
              <v:fill on="f" focussize="0,0"/>
              <v:stroke on="f"/>
              <v:imagedata o:title=""/>
              <o:lock v:ext="edit" aspectratio="f"/>
              <v:textbox inset="0mm,0mm,0mm,0mm" style="mso-fit-shape-to-text:t;">
                <w:txbxContent>
                  <w:p w14:paraId="6E804451">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28333">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96CBD1">
                          <w:pPr>
                            <w:pStyle w:val="1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EcDsIBAACO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T5&#10;OuvTB6gx7T5gYhre+gG3ZvYDOjPtQUWbv0iIYBzVPV/VlUMiIj9ar9brCkMCY/MF8dnD8xAhvZPe&#10;kmw0NOL4iqr89AHSmDqn5GrO32ljygiN+8uBmNnDcu9jj9lKw36YCO19e0Y+PU6+oQ4XnRLz3qGw&#10;eUlmI87GfjJyDQhvjgkLl34y6gg1FcMxFUbTSuU9eHwvWQ+/0f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BHA7CAQAAjgMAAA4AAAAAAAAAAQAgAAAAHgEAAGRycy9lMm9Eb2MueG1sUEsF&#10;BgAAAAAGAAYAWQEAAFIFAAAAAA==&#10;">
              <v:fill on="f" focussize="0,0"/>
              <v:stroke on="f"/>
              <v:imagedata o:title=""/>
              <o:lock v:ext="edit" aspectratio="f"/>
              <v:textbox inset="0mm,0mm,0mm,0mm" style="mso-fit-shape-to-text:t;">
                <w:txbxContent>
                  <w:p w14:paraId="6196CBD1">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62304">
    <w:pPr>
      <w:pStyle w:val="1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AE5C98">
                          <w:pPr>
                            <w:pStyle w:val="14"/>
                          </w:pPr>
                          <w:r>
                            <w:fldChar w:fldCharType="begin"/>
                          </w:r>
                          <w:r>
                            <w:instrText xml:space="preserve"> PAGE  \* MERGEFORMAT </w:instrText>
                          </w:r>
                          <w:r>
                            <w:fldChar w:fldCharType="separate"/>
                          </w:r>
                          <w:r>
                            <w:t>58</w:t>
                          </w:r>
                          <w:r>
                            <w:fldChar w:fldCharType="end"/>
                          </w:r>
                        </w:p>
                      </w:txbxContent>
                    </wps:txbx>
                    <wps:bodyPr wrap="none" lIns="0" tIns="0" rIns="0" bIns="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r/kA8IBAACOAwAADgAAAGRycy9lMm9Eb2MueG1srVPNjtMwEL4j8Q6W&#10;79RpD0sV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fU2J4xYHfvnx/fLz9+XXN7K8&#10;yfr0AWpMuw+YmIa3fsCtmf2Azkx7UNHmLxIiGEd1z1d15ZCIyI/Wq/W6wpDA2HxBfPbwPERI76S3&#10;JBsNjTi+oio/fYA0ps4puZrzd9qYMkLj/nIgZvaw3PvYY7bSsB8mQnvfnpFPj5NvqMNFp8S8dyhs&#10;XpLZiLOxn4xcA8KbY8LCpZ+MOkJNxXBMhdG0UnkPHt9L1sNvt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6/5APCAQAAjgMAAA4AAAAAAAAAAQAgAAAAHgEAAGRycy9lMm9Eb2MueG1sUEsF&#10;BgAAAAAGAAYAWQEAAFIFAAAAAA==&#10;">
              <v:fill on="f" focussize="0,0"/>
              <v:stroke on="f"/>
              <v:imagedata o:title=""/>
              <o:lock v:ext="edit" aspectratio="f"/>
              <v:textbox inset="0mm,0mm,0mm,0mm" style="mso-fit-shape-to-text:t;">
                <w:txbxContent>
                  <w:p w14:paraId="19AE5C98">
                    <w:pPr>
                      <w:pStyle w:val="1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6FAAE">
    <w:pPr>
      <w:pStyle w:val="14"/>
      <w:jc w:val="center"/>
      <w:rPr>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F0D1C8">
                          <w:pPr>
                            <w:pStyle w:val="14"/>
                          </w:pPr>
                          <w:r>
                            <w:fldChar w:fldCharType="begin"/>
                          </w:r>
                          <w:r>
                            <w:instrText xml:space="preserve"> PAGE  \* MERGEFORMAT </w:instrText>
                          </w:r>
                          <w:r>
                            <w:fldChar w:fldCharType="separate"/>
                          </w:r>
                          <w:r>
                            <w:t>67</w:t>
                          </w:r>
                          <w:r>
                            <w:fldChar w:fldCharType="end"/>
                          </w:r>
                        </w:p>
                      </w:txbxContent>
                    </wps:txbx>
                    <wps:bodyPr wrap="none" lIns="0" tIns="0" rIns="0" bIns="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75GZ8IBAACO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imN33OLAL9+/XX78uvz8SpZv&#10;sj59gBrTHgImpuHOD7g1sx/QmWkPKtr8RUIE46ju+aquHBIR+dF6tV5XGBIYmy+Izx6fhwjprfSW&#10;ZKOhEcdXVOWn95DG1DklV3P+XhtTRmjcXw7EzB6Wex97zFYa9sNEaO/bM/LpcfINdbjolJh3DoXN&#10;SzIbcTb2k5FrQLg9Jixc+smoI9RUDMdUGE0rlffgz3vJevyNt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u+RmfCAQAAjgMAAA4AAAAAAAAAAQAgAAAAHgEAAGRycy9lMm9Eb2MueG1sUEsF&#10;BgAAAAAGAAYAWQEAAFIFAAAAAA==&#10;">
              <v:fill on="f" focussize="0,0"/>
              <v:stroke on="f"/>
              <v:imagedata o:title=""/>
              <o:lock v:ext="edit" aspectratio="f"/>
              <v:textbox inset="0mm,0mm,0mm,0mm" style="mso-fit-shape-to-text:t;">
                <w:txbxContent>
                  <w:p w14:paraId="1CF0D1C8">
                    <w:pPr>
                      <w:pStyle w:val="1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84A06">
    <w:pPr>
      <w:pStyle w:val="16"/>
    </w:pPr>
    <w:r>
      <w:rPr>
        <w:rFonts w:hint="eastAsia" w:eastAsia="宋体"/>
        <w:lang w:eastAsia="zh-CN"/>
      </w:rPr>
      <w:drawing>
        <wp:inline distT="0" distB="0" distL="114300" distR="114300">
          <wp:extent cx="5906770" cy="676910"/>
          <wp:effectExtent l="0" t="0" r="8255" b="8890"/>
          <wp:docPr id="10"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页眉"/>
                  <pic:cNvPicPr>
                    <a:picLocks noChangeAspect="1"/>
                  </pic:cNvPicPr>
                </pic:nvPicPr>
                <pic:blipFill>
                  <a:blip r:embed="rId1"/>
                  <a:stretch>
                    <a:fillRect/>
                  </a:stretch>
                </pic:blipFill>
                <pic:spPr>
                  <a:xfrm>
                    <a:off x="0" y="0"/>
                    <a:ext cx="5906770" cy="6769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BC629">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2ADA3">
    <w:pPr>
      <w:pStyle w:val="16"/>
      <w:pBdr>
        <w:bottom w:val="single" w:color="auto" w:sz="4" w:space="1"/>
      </w:pBdr>
      <w:jc w:val="left"/>
      <w:rPr>
        <w:szCs w:val="18"/>
      </w:rPr>
    </w:pPr>
    <w:r>
      <w:rPr>
        <w:rFonts w:hint="eastAsia" w:eastAsia="宋体"/>
        <w:lang w:eastAsia="zh-CN"/>
      </w:rPr>
      <w:drawing>
        <wp:inline distT="0" distB="0" distL="114300" distR="114300">
          <wp:extent cx="5906770" cy="676910"/>
          <wp:effectExtent l="0" t="0" r="8255" b="8890"/>
          <wp:docPr id="9"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页眉"/>
                  <pic:cNvPicPr>
                    <a:picLocks noChangeAspect="1"/>
                  </pic:cNvPicPr>
                </pic:nvPicPr>
                <pic:blipFill>
                  <a:blip r:embed="rId1"/>
                  <a:stretch>
                    <a:fillRect/>
                  </a:stretch>
                </pic:blipFill>
                <pic:spPr>
                  <a:xfrm>
                    <a:off x="0" y="0"/>
                    <a:ext cx="5906770" cy="6769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B6570"/>
    <w:multiLevelType w:val="singleLevel"/>
    <w:tmpl w:val="02FB657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dit="readOnly" w:enforcement="0"/>
  <w:defaultTabStop w:val="420"/>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Njc0OGNmMjIwZGRlZTJjNWI4MzJhNWUxMDRkYWYifQ=="/>
    <w:docVar w:name="KSO_WPS_MARK_KEY" w:val="329cc00d-31a1-424d-8f7f-811081ffa427"/>
  </w:docVars>
  <w:rsids>
    <w:rsidRoot w:val="2A2E0E20"/>
    <w:rsid w:val="00000FE0"/>
    <w:rsid w:val="00002968"/>
    <w:rsid w:val="00003692"/>
    <w:rsid w:val="00003FFC"/>
    <w:rsid w:val="0000672B"/>
    <w:rsid w:val="00006ED5"/>
    <w:rsid w:val="000071F7"/>
    <w:rsid w:val="00017F85"/>
    <w:rsid w:val="00020F6F"/>
    <w:rsid w:val="00021B54"/>
    <w:rsid w:val="00021E52"/>
    <w:rsid w:val="0002527B"/>
    <w:rsid w:val="00026204"/>
    <w:rsid w:val="0002684E"/>
    <w:rsid w:val="00031B39"/>
    <w:rsid w:val="00033A1D"/>
    <w:rsid w:val="000361A5"/>
    <w:rsid w:val="00052BA5"/>
    <w:rsid w:val="00057D5A"/>
    <w:rsid w:val="00071F0A"/>
    <w:rsid w:val="00072BF4"/>
    <w:rsid w:val="00072F3A"/>
    <w:rsid w:val="000767D0"/>
    <w:rsid w:val="000814F1"/>
    <w:rsid w:val="00081FB8"/>
    <w:rsid w:val="00083A4C"/>
    <w:rsid w:val="000849E8"/>
    <w:rsid w:val="000871AF"/>
    <w:rsid w:val="00087AA4"/>
    <w:rsid w:val="000908FB"/>
    <w:rsid w:val="00092938"/>
    <w:rsid w:val="0009587C"/>
    <w:rsid w:val="000A693B"/>
    <w:rsid w:val="000A7653"/>
    <w:rsid w:val="000B0AFC"/>
    <w:rsid w:val="000B2063"/>
    <w:rsid w:val="000B22A6"/>
    <w:rsid w:val="000B582B"/>
    <w:rsid w:val="000B6DC3"/>
    <w:rsid w:val="000C2E23"/>
    <w:rsid w:val="000C354C"/>
    <w:rsid w:val="000C5B13"/>
    <w:rsid w:val="000C5BAB"/>
    <w:rsid w:val="000D70AF"/>
    <w:rsid w:val="000E1952"/>
    <w:rsid w:val="000E6023"/>
    <w:rsid w:val="000F1C9D"/>
    <w:rsid w:val="000F2FDB"/>
    <w:rsid w:val="000F74F6"/>
    <w:rsid w:val="000F7F44"/>
    <w:rsid w:val="0010382F"/>
    <w:rsid w:val="00105402"/>
    <w:rsid w:val="00110E4C"/>
    <w:rsid w:val="00112934"/>
    <w:rsid w:val="001145A0"/>
    <w:rsid w:val="0012475B"/>
    <w:rsid w:val="00124850"/>
    <w:rsid w:val="00127624"/>
    <w:rsid w:val="00127812"/>
    <w:rsid w:val="0013073F"/>
    <w:rsid w:val="00131F8C"/>
    <w:rsid w:val="001407E0"/>
    <w:rsid w:val="001409BF"/>
    <w:rsid w:val="00142487"/>
    <w:rsid w:val="00145F4F"/>
    <w:rsid w:val="00146C91"/>
    <w:rsid w:val="001608A6"/>
    <w:rsid w:val="001629F2"/>
    <w:rsid w:val="0016331E"/>
    <w:rsid w:val="001705C9"/>
    <w:rsid w:val="00171BB9"/>
    <w:rsid w:val="001745BF"/>
    <w:rsid w:val="00174FAC"/>
    <w:rsid w:val="0017601C"/>
    <w:rsid w:val="001807FA"/>
    <w:rsid w:val="00180929"/>
    <w:rsid w:val="00180FC7"/>
    <w:rsid w:val="00183388"/>
    <w:rsid w:val="001841E7"/>
    <w:rsid w:val="001848A0"/>
    <w:rsid w:val="00184D11"/>
    <w:rsid w:val="00187378"/>
    <w:rsid w:val="00187B77"/>
    <w:rsid w:val="001929A5"/>
    <w:rsid w:val="0019300B"/>
    <w:rsid w:val="0019560E"/>
    <w:rsid w:val="00196F25"/>
    <w:rsid w:val="001A0438"/>
    <w:rsid w:val="001A0BB0"/>
    <w:rsid w:val="001A3239"/>
    <w:rsid w:val="001A44F4"/>
    <w:rsid w:val="001A4AFF"/>
    <w:rsid w:val="001A6712"/>
    <w:rsid w:val="001B0563"/>
    <w:rsid w:val="001B44C8"/>
    <w:rsid w:val="001B4D26"/>
    <w:rsid w:val="001B65D4"/>
    <w:rsid w:val="001B7E89"/>
    <w:rsid w:val="001C0122"/>
    <w:rsid w:val="001C398B"/>
    <w:rsid w:val="001C5E97"/>
    <w:rsid w:val="001C7942"/>
    <w:rsid w:val="001D0286"/>
    <w:rsid w:val="001D1E2A"/>
    <w:rsid w:val="001D3848"/>
    <w:rsid w:val="001E0FAD"/>
    <w:rsid w:val="001E505A"/>
    <w:rsid w:val="001F4C52"/>
    <w:rsid w:val="001F5B84"/>
    <w:rsid w:val="00201370"/>
    <w:rsid w:val="00203B7E"/>
    <w:rsid w:val="0020567E"/>
    <w:rsid w:val="00207647"/>
    <w:rsid w:val="00212EDD"/>
    <w:rsid w:val="00223344"/>
    <w:rsid w:val="002244D1"/>
    <w:rsid w:val="0022560D"/>
    <w:rsid w:val="00236087"/>
    <w:rsid w:val="002365FC"/>
    <w:rsid w:val="002428C3"/>
    <w:rsid w:val="002457EA"/>
    <w:rsid w:val="0024614F"/>
    <w:rsid w:val="00246483"/>
    <w:rsid w:val="002477E1"/>
    <w:rsid w:val="0025094B"/>
    <w:rsid w:val="00257623"/>
    <w:rsid w:val="00260A9F"/>
    <w:rsid w:val="00260D14"/>
    <w:rsid w:val="00261053"/>
    <w:rsid w:val="00264A17"/>
    <w:rsid w:val="002664FC"/>
    <w:rsid w:val="00271655"/>
    <w:rsid w:val="00271BC7"/>
    <w:rsid w:val="00272A61"/>
    <w:rsid w:val="00272B23"/>
    <w:rsid w:val="0027404F"/>
    <w:rsid w:val="00284383"/>
    <w:rsid w:val="002847E2"/>
    <w:rsid w:val="00284E31"/>
    <w:rsid w:val="00285ECD"/>
    <w:rsid w:val="0028756C"/>
    <w:rsid w:val="00290B03"/>
    <w:rsid w:val="00291C9E"/>
    <w:rsid w:val="00294B8C"/>
    <w:rsid w:val="00297341"/>
    <w:rsid w:val="002A0D65"/>
    <w:rsid w:val="002A143E"/>
    <w:rsid w:val="002A2B06"/>
    <w:rsid w:val="002A2E10"/>
    <w:rsid w:val="002A35AA"/>
    <w:rsid w:val="002A497A"/>
    <w:rsid w:val="002A7800"/>
    <w:rsid w:val="002B00EC"/>
    <w:rsid w:val="002B1D14"/>
    <w:rsid w:val="002B1D9A"/>
    <w:rsid w:val="002B6EDB"/>
    <w:rsid w:val="002C7B80"/>
    <w:rsid w:val="002D4CDE"/>
    <w:rsid w:val="002D5B1A"/>
    <w:rsid w:val="002D5E27"/>
    <w:rsid w:val="002E06FC"/>
    <w:rsid w:val="002E42D3"/>
    <w:rsid w:val="002E4A55"/>
    <w:rsid w:val="002E77E1"/>
    <w:rsid w:val="002F01A0"/>
    <w:rsid w:val="002F0A74"/>
    <w:rsid w:val="002F39B2"/>
    <w:rsid w:val="00301F56"/>
    <w:rsid w:val="00304910"/>
    <w:rsid w:val="00310D2D"/>
    <w:rsid w:val="00312E0A"/>
    <w:rsid w:val="003135FE"/>
    <w:rsid w:val="0031385A"/>
    <w:rsid w:val="00313A06"/>
    <w:rsid w:val="0031548D"/>
    <w:rsid w:val="003156ED"/>
    <w:rsid w:val="003159FE"/>
    <w:rsid w:val="003218CB"/>
    <w:rsid w:val="00324DBF"/>
    <w:rsid w:val="00326414"/>
    <w:rsid w:val="003277CE"/>
    <w:rsid w:val="0033123E"/>
    <w:rsid w:val="00331488"/>
    <w:rsid w:val="003321D8"/>
    <w:rsid w:val="00333ECD"/>
    <w:rsid w:val="00336076"/>
    <w:rsid w:val="003443D5"/>
    <w:rsid w:val="003451E0"/>
    <w:rsid w:val="00347DC5"/>
    <w:rsid w:val="003544E6"/>
    <w:rsid w:val="003554CF"/>
    <w:rsid w:val="00356525"/>
    <w:rsid w:val="003574D9"/>
    <w:rsid w:val="0036448F"/>
    <w:rsid w:val="00367407"/>
    <w:rsid w:val="003715FC"/>
    <w:rsid w:val="0037467E"/>
    <w:rsid w:val="00377AE5"/>
    <w:rsid w:val="00385DBD"/>
    <w:rsid w:val="003866DD"/>
    <w:rsid w:val="003875B9"/>
    <w:rsid w:val="0039100A"/>
    <w:rsid w:val="00391308"/>
    <w:rsid w:val="00393A98"/>
    <w:rsid w:val="00395B34"/>
    <w:rsid w:val="00395EE3"/>
    <w:rsid w:val="00396158"/>
    <w:rsid w:val="00396C6A"/>
    <w:rsid w:val="003A3B4B"/>
    <w:rsid w:val="003B5AAC"/>
    <w:rsid w:val="003B7308"/>
    <w:rsid w:val="003B7D07"/>
    <w:rsid w:val="003C00F7"/>
    <w:rsid w:val="003C3129"/>
    <w:rsid w:val="003C79AC"/>
    <w:rsid w:val="003D2668"/>
    <w:rsid w:val="003D2A8D"/>
    <w:rsid w:val="003D52D4"/>
    <w:rsid w:val="003E0C7F"/>
    <w:rsid w:val="003E1258"/>
    <w:rsid w:val="003E185A"/>
    <w:rsid w:val="003E3619"/>
    <w:rsid w:val="003F5A67"/>
    <w:rsid w:val="003F6DE7"/>
    <w:rsid w:val="003F738D"/>
    <w:rsid w:val="0040087E"/>
    <w:rsid w:val="00403DFF"/>
    <w:rsid w:val="0040692C"/>
    <w:rsid w:val="00406CB1"/>
    <w:rsid w:val="00406E33"/>
    <w:rsid w:val="00410205"/>
    <w:rsid w:val="004114B7"/>
    <w:rsid w:val="00411C4F"/>
    <w:rsid w:val="00412053"/>
    <w:rsid w:val="00413E6F"/>
    <w:rsid w:val="00414B48"/>
    <w:rsid w:val="00415AE6"/>
    <w:rsid w:val="00421745"/>
    <w:rsid w:val="004235BA"/>
    <w:rsid w:val="0043243E"/>
    <w:rsid w:val="00436610"/>
    <w:rsid w:val="004373B0"/>
    <w:rsid w:val="00437E88"/>
    <w:rsid w:val="004407A1"/>
    <w:rsid w:val="0044631C"/>
    <w:rsid w:val="00447892"/>
    <w:rsid w:val="0045716B"/>
    <w:rsid w:val="00460410"/>
    <w:rsid w:val="00460622"/>
    <w:rsid w:val="00462F48"/>
    <w:rsid w:val="00467FA3"/>
    <w:rsid w:val="0047650F"/>
    <w:rsid w:val="00477C08"/>
    <w:rsid w:val="004808A9"/>
    <w:rsid w:val="0048411A"/>
    <w:rsid w:val="0048646D"/>
    <w:rsid w:val="00486951"/>
    <w:rsid w:val="00491ED4"/>
    <w:rsid w:val="00495B52"/>
    <w:rsid w:val="004A2E0A"/>
    <w:rsid w:val="004A7850"/>
    <w:rsid w:val="004B27EF"/>
    <w:rsid w:val="004B4540"/>
    <w:rsid w:val="004B5259"/>
    <w:rsid w:val="004B5D4B"/>
    <w:rsid w:val="004C0583"/>
    <w:rsid w:val="004C28D6"/>
    <w:rsid w:val="004C5538"/>
    <w:rsid w:val="004C7B6B"/>
    <w:rsid w:val="004D29E5"/>
    <w:rsid w:val="004D632C"/>
    <w:rsid w:val="004E0163"/>
    <w:rsid w:val="004E5385"/>
    <w:rsid w:val="004E5BEF"/>
    <w:rsid w:val="004F285E"/>
    <w:rsid w:val="00501232"/>
    <w:rsid w:val="0050528C"/>
    <w:rsid w:val="00506BEA"/>
    <w:rsid w:val="00507935"/>
    <w:rsid w:val="005114AB"/>
    <w:rsid w:val="00512688"/>
    <w:rsid w:val="005146FE"/>
    <w:rsid w:val="00515539"/>
    <w:rsid w:val="00515BF9"/>
    <w:rsid w:val="005160C5"/>
    <w:rsid w:val="00516685"/>
    <w:rsid w:val="005203F2"/>
    <w:rsid w:val="0052060B"/>
    <w:rsid w:val="00521216"/>
    <w:rsid w:val="00521326"/>
    <w:rsid w:val="00524A81"/>
    <w:rsid w:val="00530769"/>
    <w:rsid w:val="00531406"/>
    <w:rsid w:val="005314FF"/>
    <w:rsid w:val="00533360"/>
    <w:rsid w:val="00537039"/>
    <w:rsid w:val="005400F0"/>
    <w:rsid w:val="00540291"/>
    <w:rsid w:val="00541586"/>
    <w:rsid w:val="00542553"/>
    <w:rsid w:val="00542E27"/>
    <w:rsid w:val="00544EE2"/>
    <w:rsid w:val="00553EFE"/>
    <w:rsid w:val="00557BFA"/>
    <w:rsid w:val="005627EA"/>
    <w:rsid w:val="0056288C"/>
    <w:rsid w:val="00563B42"/>
    <w:rsid w:val="00563F9A"/>
    <w:rsid w:val="00567E90"/>
    <w:rsid w:val="00572430"/>
    <w:rsid w:val="00572A91"/>
    <w:rsid w:val="00573A3D"/>
    <w:rsid w:val="00576CC0"/>
    <w:rsid w:val="00577E18"/>
    <w:rsid w:val="005854FF"/>
    <w:rsid w:val="00585872"/>
    <w:rsid w:val="005A0961"/>
    <w:rsid w:val="005A33A4"/>
    <w:rsid w:val="005A6BAA"/>
    <w:rsid w:val="005A7876"/>
    <w:rsid w:val="005B0747"/>
    <w:rsid w:val="005B2B3D"/>
    <w:rsid w:val="005B2FD9"/>
    <w:rsid w:val="005B3646"/>
    <w:rsid w:val="005B5E74"/>
    <w:rsid w:val="005B7054"/>
    <w:rsid w:val="005C3708"/>
    <w:rsid w:val="005C5996"/>
    <w:rsid w:val="005C76EF"/>
    <w:rsid w:val="005D7140"/>
    <w:rsid w:val="005E0672"/>
    <w:rsid w:val="005E0E5F"/>
    <w:rsid w:val="005E1447"/>
    <w:rsid w:val="005E15F5"/>
    <w:rsid w:val="005E541A"/>
    <w:rsid w:val="005E606B"/>
    <w:rsid w:val="005F090E"/>
    <w:rsid w:val="005F0EB3"/>
    <w:rsid w:val="005F1491"/>
    <w:rsid w:val="005F54EF"/>
    <w:rsid w:val="00601413"/>
    <w:rsid w:val="00602E69"/>
    <w:rsid w:val="00604B99"/>
    <w:rsid w:val="00605A26"/>
    <w:rsid w:val="00623375"/>
    <w:rsid w:val="00630726"/>
    <w:rsid w:val="00631899"/>
    <w:rsid w:val="00632793"/>
    <w:rsid w:val="006366F0"/>
    <w:rsid w:val="0064002C"/>
    <w:rsid w:val="00641E36"/>
    <w:rsid w:val="00645FD1"/>
    <w:rsid w:val="00647F07"/>
    <w:rsid w:val="00654391"/>
    <w:rsid w:val="006576BA"/>
    <w:rsid w:val="00660E80"/>
    <w:rsid w:val="00660F95"/>
    <w:rsid w:val="00665775"/>
    <w:rsid w:val="00666374"/>
    <w:rsid w:val="006764B3"/>
    <w:rsid w:val="00676C52"/>
    <w:rsid w:val="00680911"/>
    <w:rsid w:val="00680A5B"/>
    <w:rsid w:val="00682725"/>
    <w:rsid w:val="00683FD5"/>
    <w:rsid w:val="006A039B"/>
    <w:rsid w:val="006A5664"/>
    <w:rsid w:val="006A5A5D"/>
    <w:rsid w:val="006B4656"/>
    <w:rsid w:val="006B56BD"/>
    <w:rsid w:val="006C1D47"/>
    <w:rsid w:val="006C3481"/>
    <w:rsid w:val="006C4A19"/>
    <w:rsid w:val="006C6294"/>
    <w:rsid w:val="006C62B4"/>
    <w:rsid w:val="006D0DA8"/>
    <w:rsid w:val="006D3BAA"/>
    <w:rsid w:val="006D5BB2"/>
    <w:rsid w:val="006D7283"/>
    <w:rsid w:val="006E5749"/>
    <w:rsid w:val="006E5F7C"/>
    <w:rsid w:val="006F09B7"/>
    <w:rsid w:val="006F277C"/>
    <w:rsid w:val="006F30E0"/>
    <w:rsid w:val="006F46B6"/>
    <w:rsid w:val="006F4C41"/>
    <w:rsid w:val="0070138B"/>
    <w:rsid w:val="00705EF5"/>
    <w:rsid w:val="00707602"/>
    <w:rsid w:val="00707B60"/>
    <w:rsid w:val="00711714"/>
    <w:rsid w:val="00712984"/>
    <w:rsid w:val="00712AAF"/>
    <w:rsid w:val="0071599A"/>
    <w:rsid w:val="00717EBE"/>
    <w:rsid w:val="00720B98"/>
    <w:rsid w:val="007325CF"/>
    <w:rsid w:val="00732CDB"/>
    <w:rsid w:val="0073538E"/>
    <w:rsid w:val="00742B0C"/>
    <w:rsid w:val="007430B7"/>
    <w:rsid w:val="007453F9"/>
    <w:rsid w:val="0075711C"/>
    <w:rsid w:val="00757AD3"/>
    <w:rsid w:val="00757B26"/>
    <w:rsid w:val="00761EAB"/>
    <w:rsid w:val="00761FCE"/>
    <w:rsid w:val="00766742"/>
    <w:rsid w:val="00766D5A"/>
    <w:rsid w:val="007674CC"/>
    <w:rsid w:val="00771244"/>
    <w:rsid w:val="00771EA2"/>
    <w:rsid w:val="007836E8"/>
    <w:rsid w:val="00783DE5"/>
    <w:rsid w:val="00785D6C"/>
    <w:rsid w:val="00785E61"/>
    <w:rsid w:val="00786251"/>
    <w:rsid w:val="007873F4"/>
    <w:rsid w:val="0078759B"/>
    <w:rsid w:val="007904D7"/>
    <w:rsid w:val="00791767"/>
    <w:rsid w:val="007A2CA3"/>
    <w:rsid w:val="007B160C"/>
    <w:rsid w:val="007B70B8"/>
    <w:rsid w:val="007B7222"/>
    <w:rsid w:val="007C2F9C"/>
    <w:rsid w:val="007C537A"/>
    <w:rsid w:val="007D1444"/>
    <w:rsid w:val="007D1BA2"/>
    <w:rsid w:val="007D2661"/>
    <w:rsid w:val="007E240F"/>
    <w:rsid w:val="007E681D"/>
    <w:rsid w:val="007F1324"/>
    <w:rsid w:val="007F2E54"/>
    <w:rsid w:val="007F2E8B"/>
    <w:rsid w:val="007F705B"/>
    <w:rsid w:val="00800ABA"/>
    <w:rsid w:val="00800FCE"/>
    <w:rsid w:val="00810FA6"/>
    <w:rsid w:val="008133A4"/>
    <w:rsid w:val="00814192"/>
    <w:rsid w:val="00814C63"/>
    <w:rsid w:val="008211E3"/>
    <w:rsid w:val="0082686A"/>
    <w:rsid w:val="008316E0"/>
    <w:rsid w:val="00840283"/>
    <w:rsid w:val="00840FE7"/>
    <w:rsid w:val="00841ADD"/>
    <w:rsid w:val="00843675"/>
    <w:rsid w:val="00845E9F"/>
    <w:rsid w:val="00851510"/>
    <w:rsid w:val="008634FB"/>
    <w:rsid w:val="008639D0"/>
    <w:rsid w:val="00865FFB"/>
    <w:rsid w:val="00882EE8"/>
    <w:rsid w:val="00883287"/>
    <w:rsid w:val="00883BA0"/>
    <w:rsid w:val="00894E5B"/>
    <w:rsid w:val="00894FC3"/>
    <w:rsid w:val="008969AE"/>
    <w:rsid w:val="008A071D"/>
    <w:rsid w:val="008A18D2"/>
    <w:rsid w:val="008A34A6"/>
    <w:rsid w:val="008A59A5"/>
    <w:rsid w:val="008B218D"/>
    <w:rsid w:val="008B6837"/>
    <w:rsid w:val="008B71DF"/>
    <w:rsid w:val="008B7A93"/>
    <w:rsid w:val="008C0735"/>
    <w:rsid w:val="008C688F"/>
    <w:rsid w:val="008D1AF3"/>
    <w:rsid w:val="008D5940"/>
    <w:rsid w:val="008D737F"/>
    <w:rsid w:val="008D741F"/>
    <w:rsid w:val="008E0CE8"/>
    <w:rsid w:val="008E337A"/>
    <w:rsid w:val="008E4BFF"/>
    <w:rsid w:val="008E639F"/>
    <w:rsid w:val="008E648C"/>
    <w:rsid w:val="008F22D6"/>
    <w:rsid w:val="008F52EC"/>
    <w:rsid w:val="008F5B6A"/>
    <w:rsid w:val="008F6F9B"/>
    <w:rsid w:val="009011AD"/>
    <w:rsid w:val="009021E7"/>
    <w:rsid w:val="009023DD"/>
    <w:rsid w:val="00904B25"/>
    <w:rsid w:val="009132BA"/>
    <w:rsid w:val="00914148"/>
    <w:rsid w:val="00915C23"/>
    <w:rsid w:val="00920D1A"/>
    <w:rsid w:val="00922202"/>
    <w:rsid w:val="00925E18"/>
    <w:rsid w:val="0092726D"/>
    <w:rsid w:val="009273B3"/>
    <w:rsid w:val="00930242"/>
    <w:rsid w:val="00931A3E"/>
    <w:rsid w:val="00936D8A"/>
    <w:rsid w:val="00937430"/>
    <w:rsid w:val="00940BB4"/>
    <w:rsid w:val="00941011"/>
    <w:rsid w:val="00946CA8"/>
    <w:rsid w:val="00950B67"/>
    <w:rsid w:val="00953C5E"/>
    <w:rsid w:val="00957D35"/>
    <w:rsid w:val="009637F6"/>
    <w:rsid w:val="009653D9"/>
    <w:rsid w:val="00966E9D"/>
    <w:rsid w:val="00967418"/>
    <w:rsid w:val="009702BA"/>
    <w:rsid w:val="00981D3A"/>
    <w:rsid w:val="009875B5"/>
    <w:rsid w:val="009933E6"/>
    <w:rsid w:val="00993DBA"/>
    <w:rsid w:val="009949B7"/>
    <w:rsid w:val="009A33A7"/>
    <w:rsid w:val="009B0344"/>
    <w:rsid w:val="009B0494"/>
    <w:rsid w:val="009B2D3E"/>
    <w:rsid w:val="009B355A"/>
    <w:rsid w:val="009B35EF"/>
    <w:rsid w:val="009B4C50"/>
    <w:rsid w:val="009B750B"/>
    <w:rsid w:val="009C1B1F"/>
    <w:rsid w:val="009D152F"/>
    <w:rsid w:val="009D1E83"/>
    <w:rsid w:val="009D42DC"/>
    <w:rsid w:val="009D5682"/>
    <w:rsid w:val="009D5E5D"/>
    <w:rsid w:val="009D5FFD"/>
    <w:rsid w:val="009D6591"/>
    <w:rsid w:val="009D7233"/>
    <w:rsid w:val="009D7293"/>
    <w:rsid w:val="009E290A"/>
    <w:rsid w:val="009E3823"/>
    <w:rsid w:val="00A001AF"/>
    <w:rsid w:val="00A03AD8"/>
    <w:rsid w:val="00A07A45"/>
    <w:rsid w:val="00A10273"/>
    <w:rsid w:val="00A142D1"/>
    <w:rsid w:val="00A22CF0"/>
    <w:rsid w:val="00A2408D"/>
    <w:rsid w:val="00A249C0"/>
    <w:rsid w:val="00A25974"/>
    <w:rsid w:val="00A26592"/>
    <w:rsid w:val="00A2714D"/>
    <w:rsid w:val="00A30675"/>
    <w:rsid w:val="00A30EC0"/>
    <w:rsid w:val="00A33906"/>
    <w:rsid w:val="00A34291"/>
    <w:rsid w:val="00A35229"/>
    <w:rsid w:val="00A36700"/>
    <w:rsid w:val="00A40AAC"/>
    <w:rsid w:val="00A42750"/>
    <w:rsid w:val="00A42C00"/>
    <w:rsid w:val="00A50E3E"/>
    <w:rsid w:val="00A50ED8"/>
    <w:rsid w:val="00A549DF"/>
    <w:rsid w:val="00A6088B"/>
    <w:rsid w:val="00A64554"/>
    <w:rsid w:val="00A732F4"/>
    <w:rsid w:val="00A73C39"/>
    <w:rsid w:val="00A76148"/>
    <w:rsid w:val="00A76EBE"/>
    <w:rsid w:val="00A77A7A"/>
    <w:rsid w:val="00A819DE"/>
    <w:rsid w:val="00A81A32"/>
    <w:rsid w:val="00A82257"/>
    <w:rsid w:val="00A86E0A"/>
    <w:rsid w:val="00A9606B"/>
    <w:rsid w:val="00A96BAB"/>
    <w:rsid w:val="00AA0EF3"/>
    <w:rsid w:val="00AA31FE"/>
    <w:rsid w:val="00AA3A8D"/>
    <w:rsid w:val="00AA6460"/>
    <w:rsid w:val="00AB018B"/>
    <w:rsid w:val="00AB05B7"/>
    <w:rsid w:val="00AB2659"/>
    <w:rsid w:val="00AB4295"/>
    <w:rsid w:val="00AB5BA0"/>
    <w:rsid w:val="00AC1688"/>
    <w:rsid w:val="00AC20C7"/>
    <w:rsid w:val="00AC2671"/>
    <w:rsid w:val="00AC6367"/>
    <w:rsid w:val="00AC6923"/>
    <w:rsid w:val="00AD3D48"/>
    <w:rsid w:val="00AD3EB3"/>
    <w:rsid w:val="00AD6487"/>
    <w:rsid w:val="00AE244D"/>
    <w:rsid w:val="00AE34E6"/>
    <w:rsid w:val="00AE7769"/>
    <w:rsid w:val="00AE786C"/>
    <w:rsid w:val="00AF26F2"/>
    <w:rsid w:val="00AF2775"/>
    <w:rsid w:val="00AF74F9"/>
    <w:rsid w:val="00B011C0"/>
    <w:rsid w:val="00B02F83"/>
    <w:rsid w:val="00B04CC6"/>
    <w:rsid w:val="00B058CE"/>
    <w:rsid w:val="00B06BD1"/>
    <w:rsid w:val="00B06C53"/>
    <w:rsid w:val="00B102AE"/>
    <w:rsid w:val="00B10592"/>
    <w:rsid w:val="00B13329"/>
    <w:rsid w:val="00B13F59"/>
    <w:rsid w:val="00B145EA"/>
    <w:rsid w:val="00B20D10"/>
    <w:rsid w:val="00B22B41"/>
    <w:rsid w:val="00B252B0"/>
    <w:rsid w:val="00B255CB"/>
    <w:rsid w:val="00B273E5"/>
    <w:rsid w:val="00B27D5F"/>
    <w:rsid w:val="00B316E8"/>
    <w:rsid w:val="00B32825"/>
    <w:rsid w:val="00B34DE9"/>
    <w:rsid w:val="00B35964"/>
    <w:rsid w:val="00B3599C"/>
    <w:rsid w:val="00B368F7"/>
    <w:rsid w:val="00B43EB1"/>
    <w:rsid w:val="00B44156"/>
    <w:rsid w:val="00B461A3"/>
    <w:rsid w:val="00B46901"/>
    <w:rsid w:val="00B60372"/>
    <w:rsid w:val="00B66F64"/>
    <w:rsid w:val="00B75F72"/>
    <w:rsid w:val="00B763C2"/>
    <w:rsid w:val="00B76572"/>
    <w:rsid w:val="00B8265D"/>
    <w:rsid w:val="00B82769"/>
    <w:rsid w:val="00B83699"/>
    <w:rsid w:val="00B83D54"/>
    <w:rsid w:val="00B92093"/>
    <w:rsid w:val="00B926BC"/>
    <w:rsid w:val="00B92C71"/>
    <w:rsid w:val="00B93538"/>
    <w:rsid w:val="00BA1344"/>
    <w:rsid w:val="00BA20EE"/>
    <w:rsid w:val="00BA23C3"/>
    <w:rsid w:val="00BA3334"/>
    <w:rsid w:val="00BA3907"/>
    <w:rsid w:val="00BA5574"/>
    <w:rsid w:val="00BA5B33"/>
    <w:rsid w:val="00BB42D8"/>
    <w:rsid w:val="00BB537B"/>
    <w:rsid w:val="00BC0A2A"/>
    <w:rsid w:val="00BC0C37"/>
    <w:rsid w:val="00BC25BA"/>
    <w:rsid w:val="00BC69B9"/>
    <w:rsid w:val="00BD1071"/>
    <w:rsid w:val="00BD48DF"/>
    <w:rsid w:val="00BD4A95"/>
    <w:rsid w:val="00BD6DF5"/>
    <w:rsid w:val="00BE1E84"/>
    <w:rsid w:val="00BF12A4"/>
    <w:rsid w:val="00BF7858"/>
    <w:rsid w:val="00C06714"/>
    <w:rsid w:val="00C06A4F"/>
    <w:rsid w:val="00C127D1"/>
    <w:rsid w:val="00C16A0C"/>
    <w:rsid w:val="00C20847"/>
    <w:rsid w:val="00C23F1B"/>
    <w:rsid w:val="00C31136"/>
    <w:rsid w:val="00C32739"/>
    <w:rsid w:val="00C419D0"/>
    <w:rsid w:val="00C43452"/>
    <w:rsid w:val="00C43EC7"/>
    <w:rsid w:val="00C45D87"/>
    <w:rsid w:val="00C55C7A"/>
    <w:rsid w:val="00C57C91"/>
    <w:rsid w:val="00C6071F"/>
    <w:rsid w:val="00C626C9"/>
    <w:rsid w:val="00C71AC5"/>
    <w:rsid w:val="00C7549F"/>
    <w:rsid w:val="00C80011"/>
    <w:rsid w:val="00C8122C"/>
    <w:rsid w:val="00C86AE4"/>
    <w:rsid w:val="00C87810"/>
    <w:rsid w:val="00C91A0B"/>
    <w:rsid w:val="00C92181"/>
    <w:rsid w:val="00CA6274"/>
    <w:rsid w:val="00CA65D5"/>
    <w:rsid w:val="00CA68BB"/>
    <w:rsid w:val="00CA714D"/>
    <w:rsid w:val="00CB0955"/>
    <w:rsid w:val="00CB13B5"/>
    <w:rsid w:val="00CB1FB2"/>
    <w:rsid w:val="00CB430B"/>
    <w:rsid w:val="00CC137F"/>
    <w:rsid w:val="00CC1A0F"/>
    <w:rsid w:val="00CC4BB4"/>
    <w:rsid w:val="00CD13BC"/>
    <w:rsid w:val="00CD43DF"/>
    <w:rsid w:val="00CD5D7C"/>
    <w:rsid w:val="00CD6044"/>
    <w:rsid w:val="00CD7BE2"/>
    <w:rsid w:val="00CE06DE"/>
    <w:rsid w:val="00CE2B63"/>
    <w:rsid w:val="00CE3808"/>
    <w:rsid w:val="00CE42A3"/>
    <w:rsid w:val="00CE67E4"/>
    <w:rsid w:val="00CF0526"/>
    <w:rsid w:val="00CF2E6B"/>
    <w:rsid w:val="00CF323A"/>
    <w:rsid w:val="00CF3679"/>
    <w:rsid w:val="00CF409E"/>
    <w:rsid w:val="00CF64DE"/>
    <w:rsid w:val="00D00C6C"/>
    <w:rsid w:val="00D1097C"/>
    <w:rsid w:val="00D116CB"/>
    <w:rsid w:val="00D14D9B"/>
    <w:rsid w:val="00D150C5"/>
    <w:rsid w:val="00D15194"/>
    <w:rsid w:val="00D15DBD"/>
    <w:rsid w:val="00D15F6A"/>
    <w:rsid w:val="00D24E07"/>
    <w:rsid w:val="00D272EA"/>
    <w:rsid w:val="00D277BD"/>
    <w:rsid w:val="00D27C5E"/>
    <w:rsid w:val="00D27DC0"/>
    <w:rsid w:val="00D32C35"/>
    <w:rsid w:val="00D3358B"/>
    <w:rsid w:val="00D3372B"/>
    <w:rsid w:val="00D358FB"/>
    <w:rsid w:val="00D37236"/>
    <w:rsid w:val="00D37F05"/>
    <w:rsid w:val="00D44ACC"/>
    <w:rsid w:val="00D45C73"/>
    <w:rsid w:val="00D45F06"/>
    <w:rsid w:val="00D505C3"/>
    <w:rsid w:val="00D5473A"/>
    <w:rsid w:val="00D549C3"/>
    <w:rsid w:val="00D60DBD"/>
    <w:rsid w:val="00D63B7F"/>
    <w:rsid w:val="00D6455C"/>
    <w:rsid w:val="00D6559F"/>
    <w:rsid w:val="00D66B50"/>
    <w:rsid w:val="00D70BAD"/>
    <w:rsid w:val="00D722AC"/>
    <w:rsid w:val="00D763FC"/>
    <w:rsid w:val="00D77392"/>
    <w:rsid w:val="00D80A2C"/>
    <w:rsid w:val="00D8672F"/>
    <w:rsid w:val="00D87236"/>
    <w:rsid w:val="00D91A7B"/>
    <w:rsid w:val="00D92F42"/>
    <w:rsid w:val="00D930C1"/>
    <w:rsid w:val="00D934D6"/>
    <w:rsid w:val="00D938F4"/>
    <w:rsid w:val="00D96E37"/>
    <w:rsid w:val="00DA38EB"/>
    <w:rsid w:val="00DA499E"/>
    <w:rsid w:val="00DA4A1E"/>
    <w:rsid w:val="00DA6115"/>
    <w:rsid w:val="00DA66D7"/>
    <w:rsid w:val="00DB0427"/>
    <w:rsid w:val="00DB252D"/>
    <w:rsid w:val="00DB7001"/>
    <w:rsid w:val="00DD03A9"/>
    <w:rsid w:val="00DD08CA"/>
    <w:rsid w:val="00DD2AFA"/>
    <w:rsid w:val="00DD3361"/>
    <w:rsid w:val="00DD6BD6"/>
    <w:rsid w:val="00DD6C5E"/>
    <w:rsid w:val="00DE0018"/>
    <w:rsid w:val="00DE147E"/>
    <w:rsid w:val="00DE276C"/>
    <w:rsid w:val="00DE402D"/>
    <w:rsid w:val="00DF07C2"/>
    <w:rsid w:val="00DF205A"/>
    <w:rsid w:val="00DF3A0D"/>
    <w:rsid w:val="00DF40BC"/>
    <w:rsid w:val="00DF489E"/>
    <w:rsid w:val="00DF5142"/>
    <w:rsid w:val="00E02718"/>
    <w:rsid w:val="00E02BC1"/>
    <w:rsid w:val="00E03F07"/>
    <w:rsid w:val="00E06A5B"/>
    <w:rsid w:val="00E06FA8"/>
    <w:rsid w:val="00E07963"/>
    <w:rsid w:val="00E12310"/>
    <w:rsid w:val="00E17C9D"/>
    <w:rsid w:val="00E2637A"/>
    <w:rsid w:val="00E26AFE"/>
    <w:rsid w:val="00E26F8C"/>
    <w:rsid w:val="00E2720B"/>
    <w:rsid w:val="00E2787B"/>
    <w:rsid w:val="00E30E42"/>
    <w:rsid w:val="00E3206B"/>
    <w:rsid w:val="00E35848"/>
    <w:rsid w:val="00E36D93"/>
    <w:rsid w:val="00E370E0"/>
    <w:rsid w:val="00E43A1D"/>
    <w:rsid w:val="00E43A2A"/>
    <w:rsid w:val="00E477D4"/>
    <w:rsid w:val="00E5038C"/>
    <w:rsid w:val="00E565AC"/>
    <w:rsid w:val="00E65A1A"/>
    <w:rsid w:val="00E66BFD"/>
    <w:rsid w:val="00E702BC"/>
    <w:rsid w:val="00E7371B"/>
    <w:rsid w:val="00E82C07"/>
    <w:rsid w:val="00E9083B"/>
    <w:rsid w:val="00E90BEF"/>
    <w:rsid w:val="00E92EC6"/>
    <w:rsid w:val="00E9327B"/>
    <w:rsid w:val="00E97A1F"/>
    <w:rsid w:val="00EA037E"/>
    <w:rsid w:val="00EA229E"/>
    <w:rsid w:val="00EA2CC6"/>
    <w:rsid w:val="00EA7038"/>
    <w:rsid w:val="00EB3171"/>
    <w:rsid w:val="00EB4463"/>
    <w:rsid w:val="00EB5B33"/>
    <w:rsid w:val="00EC0E91"/>
    <w:rsid w:val="00EC1D1C"/>
    <w:rsid w:val="00EC2506"/>
    <w:rsid w:val="00EC4BF5"/>
    <w:rsid w:val="00EC5481"/>
    <w:rsid w:val="00ED3169"/>
    <w:rsid w:val="00ED52F0"/>
    <w:rsid w:val="00ED5C3B"/>
    <w:rsid w:val="00ED5D79"/>
    <w:rsid w:val="00EE0537"/>
    <w:rsid w:val="00EE2A48"/>
    <w:rsid w:val="00EF24C3"/>
    <w:rsid w:val="00EF33ED"/>
    <w:rsid w:val="00EF4E01"/>
    <w:rsid w:val="00F018F6"/>
    <w:rsid w:val="00F02D14"/>
    <w:rsid w:val="00F04D51"/>
    <w:rsid w:val="00F05A5D"/>
    <w:rsid w:val="00F0780F"/>
    <w:rsid w:val="00F116E5"/>
    <w:rsid w:val="00F12741"/>
    <w:rsid w:val="00F136CE"/>
    <w:rsid w:val="00F15219"/>
    <w:rsid w:val="00F171A7"/>
    <w:rsid w:val="00F175C2"/>
    <w:rsid w:val="00F251E5"/>
    <w:rsid w:val="00F26B94"/>
    <w:rsid w:val="00F2739C"/>
    <w:rsid w:val="00F307EA"/>
    <w:rsid w:val="00F31217"/>
    <w:rsid w:val="00F31415"/>
    <w:rsid w:val="00F40CB5"/>
    <w:rsid w:val="00F47385"/>
    <w:rsid w:val="00F54B3E"/>
    <w:rsid w:val="00F55310"/>
    <w:rsid w:val="00F5586F"/>
    <w:rsid w:val="00F60635"/>
    <w:rsid w:val="00F60CB6"/>
    <w:rsid w:val="00F62803"/>
    <w:rsid w:val="00F64962"/>
    <w:rsid w:val="00F6570F"/>
    <w:rsid w:val="00F664EB"/>
    <w:rsid w:val="00F74051"/>
    <w:rsid w:val="00F742BF"/>
    <w:rsid w:val="00F75E1B"/>
    <w:rsid w:val="00F80014"/>
    <w:rsid w:val="00F8048B"/>
    <w:rsid w:val="00F80F99"/>
    <w:rsid w:val="00F86F09"/>
    <w:rsid w:val="00F9106A"/>
    <w:rsid w:val="00F94DF0"/>
    <w:rsid w:val="00F96C7B"/>
    <w:rsid w:val="00FA1F1C"/>
    <w:rsid w:val="00FB1975"/>
    <w:rsid w:val="00FB3C0F"/>
    <w:rsid w:val="00FB6264"/>
    <w:rsid w:val="00FC0DF7"/>
    <w:rsid w:val="00FC6758"/>
    <w:rsid w:val="00FD12C1"/>
    <w:rsid w:val="00FD21A7"/>
    <w:rsid w:val="00FD567D"/>
    <w:rsid w:val="00FD5B27"/>
    <w:rsid w:val="00FE036D"/>
    <w:rsid w:val="00FE2162"/>
    <w:rsid w:val="00FE23A5"/>
    <w:rsid w:val="00FE35AF"/>
    <w:rsid w:val="00FE795F"/>
    <w:rsid w:val="00FF407E"/>
    <w:rsid w:val="00FF5E63"/>
    <w:rsid w:val="00FF7CA2"/>
    <w:rsid w:val="01151B18"/>
    <w:rsid w:val="012670EA"/>
    <w:rsid w:val="013A75E3"/>
    <w:rsid w:val="01792A4C"/>
    <w:rsid w:val="017966BD"/>
    <w:rsid w:val="018C0E18"/>
    <w:rsid w:val="0199700D"/>
    <w:rsid w:val="01C9286B"/>
    <w:rsid w:val="01D408F4"/>
    <w:rsid w:val="01FD42EF"/>
    <w:rsid w:val="021B2FE5"/>
    <w:rsid w:val="02350109"/>
    <w:rsid w:val="02375CB6"/>
    <w:rsid w:val="02480D0E"/>
    <w:rsid w:val="024E4980"/>
    <w:rsid w:val="02503267"/>
    <w:rsid w:val="02515B60"/>
    <w:rsid w:val="025778F0"/>
    <w:rsid w:val="02933F19"/>
    <w:rsid w:val="02AE3211"/>
    <w:rsid w:val="02AE555A"/>
    <w:rsid w:val="02DD75DD"/>
    <w:rsid w:val="02F23728"/>
    <w:rsid w:val="035655C6"/>
    <w:rsid w:val="037324D4"/>
    <w:rsid w:val="037B50A2"/>
    <w:rsid w:val="038D5330"/>
    <w:rsid w:val="03DF70E9"/>
    <w:rsid w:val="03E00C4C"/>
    <w:rsid w:val="04047316"/>
    <w:rsid w:val="04107868"/>
    <w:rsid w:val="041A2636"/>
    <w:rsid w:val="042639C4"/>
    <w:rsid w:val="050378E0"/>
    <w:rsid w:val="05186D7A"/>
    <w:rsid w:val="05530297"/>
    <w:rsid w:val="056566E4"/>
    <w:rsid w:val="058A40EC"/>
    <w:rsid w:val="05921E89"/>
    <w:rsid w:val="059B7960"/>
    <w:rsid w:val="05EC5CFB"/>
    <w:rsid w:val="06073472"/>
    <w:rsid w:val="06155FB9"/>
    <w:rsid w:val="062C0EFB"/>
    <w:rsid w:val="063A4A7C"/>
    <w:rsid w:val="063F01A6"/>
    <w:rsid w:val="063F4856"/>
    <w:rsid w:val="06463495"/>
    <w:rsid w:val="065D4FEB"/>
    <w:rsid w:val="065D710A"/>
    <w:rsid w:val="06606BFB"/>
    <w:rsid w:val="06806222"/>
    <w:rsid w:val="069A3E96"/>
    <w:rsid w:val="06CA4E70"/>
    <w:rsid w:val="07002843"/>
    <w:rsid w:val="070D5CB2"/>
    <w:rsid w:val="07274707"/>
    <w:rsid w:val="07292075"/>
    <w:rsid w:val="07402809"/>
    <w:rsid w:val="074513B1"/>
    <w:rsid w:val="07530F64"/>
    <w:rsid w:val="079F04A6"/>
    <w:rsid w:val="07B8196E"/>
    <w:rsid w:val="07CF69E3"/>
    <w:rsid w:val="07D91574"/>
    <w:rsid w:val="07DD2110"/>
    <w:rsid w:val="08407E9B"/>
    <w:rsid w:val="085F1AE1"/>
    <w:rsid w:val="086679E5"/>
    <w:rsid w:val="08733E40"/>
    <w:rsid w:val="087B0B27"/>
    <w:rsid w:val="08942A43"/>
    <w:rsid w:val="089B2F1A"/>
    <w:rsid w:val="08A009CC"/>
    <w:rsid w:val="08A66635"/>
    <w:rsid w:val="08AF0BCB"/>
    <w:rsid w:val="08B63E7C"/>
    <w:rsid w:val="08BF04CA"/>
    <w:rsid w:val="08D10BEF"/>
    <w:rsid w:val="08D506D3"/>
    <w:rsid w:val="092F781E"/>
    <w:rsid w:val="094474E0"/>
    <w:rsid w:val="0949141E"/>
    <w:rsid w:val="09552E52"/>
    <w:rsid w:val="095639A6"/>
    <w:rsid w:val="095A626C"/>
    <w:rsid w:val="09D842F7"/>
    <w:rsid w:val="09EC1A68"/>
    <w:rsid w:val="0A016A3B"/>
    <w:rsid w:val="0A5A1C3F"/>
    <w:rsid w:val="0A621094"/>
    <w:rsid w:val="0A6D18E6"/>
    <w:rsid w:val="0A84444E"/>
    <w:rsid w:val="0A9E6814"/>
    <w:rsid w:val="0AA04E6E"/>
    <w:rsid w:val="0AB84F29"/>
    <w:rsid w:val="0ABB3A8F"/>
    <w:rsid w:val="0AC6684F"/>
    <w:rsid w:val="0ACF75C9"/>
    <w:rsid w:val="0AF721E9"/>
    <w:rsid w:val="0AFA33F2"/>
    <w:rsid w:val="0B0342E2"/>
    <w:rsid w:val="0B091E63"/>
    <w:rsid w:val="0B0C64AC"/>
    <w:rsid w:val="0B164A29"/>
    <w:rsid w:val="0B1B034D"/>
    <w:rsid w:val="0B475A5A"/>
    <w:rsid w:val="0B5D3C5D"/>
    <w:rsid w:val="0B9D7C1B"/>
    <w:rsid w:val="0BB34A54"/>
    <w:rsid w:val="0BE07CB5"/>
    <w:rsid w:val="0BE128F6"/>
    <w:rsid w:val="0BF6534F"/>
    <w:rsid w:val="0C065496"/>
    <w:rsid w:val="0C0C5636"/>
    <w:rsid w:val="0C0F2633"/>
    <w:rsid w:val="0C201187"/>
    <w:rsid w:val="0C303B01"/>
    <w:rsid w:val="0C510B2F"/>
    <w:rsid w:val="0C5E11F6"/>
    <w:rsid w:val="0C6B3C42"/>
    <w:rsid w:val="0C766EB2"/>
    <w:rsid w:val="0C86077A"/>
    <w:rsid w:val="0C881272"/>
    <w:rsid w:val="0C965B7D"/>
    <w:rsid w:val="0CB10F8C"/>
    <w:rsid w:val="0CC35546"/>
    <w:rsid w:val="0CC67799"/>
    <w:rsid w:val="0CCF00FE"/>
    <w:rsid w:val="0CEA24D2"/>
    <w:rsid w:val="0D091EB5"/>
    <w:rsid w:val="0D0E5602"/>
    <w:rsid w:val="0D110C4F"/>
    <w:rsid w:val="0D453026"/>
    <w:rsid w:val="0D593ED1"/>
    <w:rsid w:val="0D7E01E7"/>
    <w:rsid w:val="0D83196C"/>
    <w:rsid w:val="0D857B7F"/>
    <w:rsid w:val="0DD04469"/>
    <w:rsid w:val="0DE46F59"/>
    <w:rsid w:val="0E141B3D"/>
    <w:rsid w:val="0E196C19"/>
    <w:rsid w:val="0E253E72"/>
    <w:rsid w:val="0E287F77"/>
    <w:rsid w:val="0E792DB6"/>
    <w:rsid w:val="0E856FED"/>
    <w:rsid w:val="0E87741A"/>
    <w:rsid w:val="0E8B3ACA"/>
    <w:rsid w:val="0E8F37B9"/>
    <w:rsid w:val="0E9E29B6"/>
    <w:rsid w:val="0EB53893"/>
    <w:rsid w:val="0ECA7929"/>
    <w:rsid w:val="0ECB6FE5"/>
    <w:rsid w:val="0EE63652"/>
    <w:rsid w:val="0EEC3D3D"/>
    <w:rsid w:val="0EF34BBC"/>
    <w:rsid w:val="0F2F3444"/>
    <w:rsid w:val="0F410792"/>
    <w:rsid w:val="0F4C5F6E"/>
    <w:rsid w:val="0F61359F"/>
    <w:rsid w:val="0F627B1B"/>
    <w:rsid w:val="0F84079F"/>
    <w:rsid w:val="0FC77938"/>
    <w:rsid w:val="0FD53060"/>
    <w:rsid w:val="0FE412F8"/>
    <w:rsid w:val="10210889"/>
    <w:rsid w:val="10356A35"/>
    <w:rsid w:val="10364729"/>
    <w:rsid w:val="103C2486"/>
    <w:rsid w:val="105900A8"/>
    <w:rsid w:val="106120BF"/>
    <w:rsid w:val="10765998"/>
    <w:rsid w:val="107D4488"/>
    <w:rsid w:val="109E3910"/>
    <w:rsid w:val="10AC3582"/>
    <w:rsid w:val="10B206A8"/>
    <w:rsid w:val="10D1632A"/>
    <w:rsid w:val="11070506"/>
    <w:rsid w:val="11275087"/>
    <w:rsid w:val="11467786"/>
    <w:rsid w:val="1148776A"/>
    <w:rsid w:val="114B36EF"/>
    <w:rsid w:val="11777DC4"/>
    <w:rsid w:val="118B24F5"/>
    <w:rsid w:val="11A55747"/>
    <w:rsid w:val="11D54A79"/>
    <w:rsid w:val="120A2A2A"/>
    <w:rsid w:val="120B3EBE"/>
    <w:rsid w:val="123602DD"/>
    <w:rsid w:val="1264785B"/>
    <w:rsid w:val="1272668F"/>
    <w:rsid w:val="12957D69"/>
    <w:rsid w:val="12AB15B0"/>
    <w:rsid w:val="12AC0952"/>
    <w:rsid w:val="12B564BD"/>
    <w:rsid w:val="12CB18A0"/>
    <w:rsid w:val="12EC0C50"/>
    <w:rsid w:val="12F05A2A"/>
    <w:rsid w:val="1300503C"/>
    <w:rsid w:val="130A35D0"/>
    <w:rsid w:val="130F36D3"/>
    <w:rsid w:val="131F199E"/>
    <w:rsid w:val="13247991"/>
    <w:rsid w:val="13295189"/>
    <w:rsid w:val="134A3D79"/>
    <w:rsid w:val="13515A7F"/>
    <w:rsid w:val="135B3AAF"/>
    <w:rsid w:val="1394170F"/>
    <w:rsid w:val="13A76668"/>
    <w:rsid w:val="13B02B2B"/>
    <w:rsid w:val="14087B4A"/>
    <w:rsid w:val="14317930"/>
    <w:rsid w:val="14425C92"/>
    <w:rsid w:val="1443162A"/>
    <w:rsid w:val="14596392"/>
    <w:rsid w:val="145E0D0D"/>
    <w:rsid w:val="146A013D"/>
    <w:rsid w:val="147D6BCA"/>
    <w:rsid w:val="1484023A"/>
    <w:rsid w:val="1488545D"/>
    <w:rsid w:val="148C7CEF"/>
    <w:rsid w:val="14A75DDC"/>
    <w:rsid w:val="14B30EF0"/>
    <w:rsid w:val="14B950F8"/>
    <w:rsid w:val="14E4152A"/>
    <w:rsid w:val="14F36739"/>
    <w:rsid w:val="14F450DE"/>
    <w:rsid w:val="15000184"/>
    <w:rsid w:val="150C105C"/>
    <w:rsid w:val="15335CBD"/>
    <w:rsid w:val="15364C39"/>
    <w:rsid w:val="154B5D0D"/>
    <w:rsid w:val="155E366F"/>
    <w:rsid w:val="15624DC3"/>
    <w:rsid w:val="15671077"/>
    <w:rsid w:val="15756EE5"/>
    <w:rsid w:val="157A2AB5"/>
    <w:rsid w:val="15957336"/>
    <w:rsid w:val="15AC74D8"/>
    <w:rsid w:val="15BE38D2"/>
    <w:rsid w:val="162008E1"/>
    <w:rsid w:val="16423BED"/>
    <w:rsid w:val="165019B8"/>
    <w:rsid w:val="165A3E99"/>
    <w:rsid w:val="166334CF"/>
    <w:rsid w:val="166C4117"/>
    <w:rsid w:val="168E16B6"/>
    <w:rsid w:val="169220C2"/>
    <w:rsid w:val="16B10DCA"/>
    <w:rsid w:val="16B7295A"/>
    <w:rsid w:val="16C9249F"/>
    <w:rsid w:val="16CB56F4"/>
    <w:rsid w:val="16F20125"/>
    <w:rsid w:val="17597D27"/>
    <w:rsid w:val="177033FD"/>
    <w:rsid w:val="17865495"/>
    <w:rsid w:val="17895F4C"/>
    <w:rsid w:val="178C7602"/>
    <w:rsid w:val="178F43F2"/>
    <w:rsid w:val="17946704"/>
    <w:rsid w:val="17C43569"/>
    <w:rsid w:val="18172C34"/>
    <w:rsid w:val="18185598"/>
    <w:rsid w:val="181D16BA"/>
    <w:rsid w:val="1839033E"/>
    <w:rsid w:val="184451C8"/>
    <w:rsid w:val="184C58D3"/>
    <w:rsid w:val="185270BB"/>
    <w:rsid w:val="187175DA"/>
    <w:rsid w:val="18973F29"/>
    <w:rsid w:val="189A68D7"/>
    <w:rsid w:val="18B74DA0"/>
    <w:rsid w:val="18C97D82"/>
    <w:rsid w:val="18F37C5C"/>
    <w:rsid w:val="18FA48A0"/>
    <w:rsid w:val="190D2A36"/>
    <w:rsid w:val="191408D8"/>
    <w:rsid w:val="191C5EFD"/>
    <w:rsid w:val="19295D46"/>
    <w:rsid w:val="19311F7B"/>
    <w:rsid w:val="19335297"/>
    <w:rsid w:val="195041F3"/>
    <w:rsid w:val="19674FC7"/>
    <w:rsid w:val="19682425"/>
    <w:rsid w:val="197842C8"/>
    <w:rsid w:val="198978FC"/>
    <w:rsid w:val="19BE5EE1"/>
    <w:rsid w:val="19C01322"/>
    <w:rsid w:val="19C0498B"/>
    <w:rsid w:val="19D115FD"/>
    <w:rsid w:val="19F84096"/>
    <w:rsid w:val="1A241497"/>
    <w:rsid w:val="1A2D7A9D"/>
    <w:rsid w:val="1A477CEF"/>
    <w:rsid w:val="1AA66BE4"/>
    <w:rsid w:val="1AB23249"/>
    <w:rsid w:val="1AC828CA"/>
    <w:rsid w:val="1AE20BCB"/>
    <w:rsid w:val="1AE2213E"/>
    <w:rsid w:val="1AEF153B"/>
    <w:rsid w:val="1AF00FC1"/>
    <w:rsid w:val="1AF4305C"/>
    <w:rsid w:val="1B1768EA"/>
    <w:rsid w:val="1B2D212A"/>
    <w:rsid w:val="1B8B535C"/>
    <w:rsid w:val="1BA573C0"/>
    <w:rsid w:val="1BBF73DA"/>
    <w:rsid w:val="1BCB0252"/>
    <w:rsid w:val="1BF71F46"/>
    <w:rsid w:val="1C045F3E"/>
    <w:rsid w:val="1C0D34A1"/>
    <w:rsid w:val="1C26507A"/>
    <w:rsid w:val="1C3E597F"/>
    <w:rsid w:val="1C814F53"/>
    <w:rsid w:val="1C843709"/>
    <w:rsid w:val="1C911CFB"/>
    <w:rsid w:val="1C940833"/>
    <w:rsid w:val="1C9814DF"/>
    <w:rsid w:val="1CA8045F"/>
    <w:rsid w:val="1CBD583B"/>
    <w:rsid w:val="1CE04199"/>
    <w:rsid w:val="1CE1027B"/>
    <w:rsid w:val="1D4A6348"/>
    <w:rsid w:val="1D5C4ECD"/>
    <w:rsid w:val="1D5C7CC4"/>
    <w:rsid w:val="1D63527C"/>
    <w:rsid w:val="1D6A3946"/>
    <w:rsid w:val="1D6E48D2"/>
    <w:rsid w:val="1D920ECB"/>
    <w:rsid w:val="1DD259C3"/>
    <w:rsid w:val="1DDD0826"/>
    <w:rsid w:val="1E3561AD"/>
    <w:rsid w:val="1E654A1D"/>
    <w:rsid w:val="1E6A19B1"/>
    <w:rsid w:val="1E7F799F"/>
    <w:rsid w:val="1E8A0861"/>
    <w:rsid w:val="1ECF46BC"/>
    <w:rsid w:val="1EDE6AE8"/>
    <w:rsid w:val="1F21633C"/>
    <w:rsid w:val="1F2E38E2"/>
    <w:rsid w:val="1F325004"/>
    <w:rsid w:val="1F4151ED"/>
    <w:rsid w:val="1F695568"/>
    <w:rsid w:val="1F6C0729"/>
    <w:rsid w:val="1F6E1866"/>
    <w:rsid w:val="1F6E3091"/>
    <w:rsid w:val="1F977015"/>
    <w:rsid w:val="1F994C45"/>
    <w:rsid w:val="1FBB4EAA"/>
    <w:rsid w:val="1FED4B35"/>
    <w:rsid w:val="1FEF3F3B"/>
    <w:rsid w:val="201102FC"/>
    <w:rsid w:val="2023198E"/>
    <w:rsid w:val="2033565F"/>
    <w:rsid w:val="204F2951"/>
    <w:rsid w:val="204F5235"/>
    <w:rsid w:val="2050381E"/>
    <w:rsid w:val="205E3D53"/>
    <w:rsid w:val="20621E25"/>
    <w:rsid w:val="20870C14"/>
    <w:rsid w:val="209564D8"/>
    <w:rsid w:val="20A63680"/>
    <w:rsid w:val="20A667BD"/>
    <w:rsid w:val="20CF0226"/>
    <w:rsid w:val="20D21255"/>
    <w:rsid w:val="20EB2ED6"/>
    <w:rsid w:val="20EE3995"/>
    <w:rsid w:val="21104680"/>
    <w:rsid w:val="211047A9"/>
    <w:rsid w:val="21367F3E"/>
    <w:rsid w:val="21460152"/>
    <w:rsid w:val="21537630"/>
    <w:rsid w:val="21873C64"/>
    <w:rsid w:val="21A34113"/>
    <w:rsid w:val="21C72BFA"/>
    <w:rsid w:val="21DF1C1F"/>
    <w:rsid w:val="21E62252"/>
    <w:rsid w:val="21FC7B81"/>
    <w:rsid w:val="22136E98"/>
    <w:rsid w:val="223062BE"/>
    <w:rsid w:val="22493B10"/>
    <w:rsid w:val="226B53D9"/>
    <w:rsid w:val="227233DF"/>
    <w:rsid w:val="227812F9"/>
    <w:rsid w:val="228A18E3"/>
    <w:rsid w:val="23040770"/>
    <w:rsid w:val="230A7593"/>
    <w:rsid w:val="2313066A"/>
    <w:rsid w:val="231959D5"/>
    <w:rsid w:val="2338088B"/>
    <w:rsid w:val="233D1CE6"/>
    <w:rsid w:val="233F605A"/>
    <w:rsid w:val="23581152"/>
    <w:rsid w:val="23634392"/>
    <w:rsid w:val="23680495"/>
    <w:rsid w:val="237C76C6"/>
    <w:rsid w:val="23803567"/>
    <w:rsid w:val="239B159C"/>
    <w:rsid w:val="23AD1BF5"/>
    <w:rsid w:val="23C80CC2"/>
    <w:rsid w:val="23CA2360"/>
    <w:rsid w:val="23FE376C"/>
    <w:rsid w:val="240B7B52"/>
    <w:rsid w:val="24116F34"/>
    <w:rsid w:val="24227489"/>
    <w:rsid w:val="24635A3A"/>
    <w:rsid w:val="249B62E9"/>
    <w:rsid w:val="24AD7057"/>
    <w:rsid w:val="24C5755C"/>
    <w:rsid w:val="24EC117C"/>
    <w:rsid w:val="250C4BB6"/>
    <w:rsid w:val="252549CA"/>
    <w:rsid w:val="255D204D"/>
    <w:rsid w:val="2595460B"/>
    <w:rsid w:val="26035BEC"/>
    <w:rsid w:val="26043654"/>
    <w:rsid w:val="26091EBB"/>
    <w:rsid w:val="2609681D"/>
    <w:rsid w:val="262B40F9"/>
    <w:rsid w:val="26424AF4"/>
    <w:rsid w:val="26547AE8"/>
    <w:rsid w:val="26775500"/>
    <w:rsid w:val="269A2C67"/>
    <w:rsid w:val="26AB3636"/>
    <w:rsid w:val="26E20255"/>
    <w:rsid w:val="26E525E4"/>
    <w:rsid w:val="26E60A65"/>
    <w:rsid w:val="26F92A28"/>
    <w:rsid w:val="27137F69"/>
    <w:rsid w:val="2724134C"/>
    <w:rsid w:val="273E0805"/>
    <w:rsid w:val="274507F1"/>
    <w:rsid w:val="275D6915"/>
    <w:rsid w:val="276C3F26"/>
    <w:rsid w:val="27BC7F5C"/>
    <w:rsid w:val="27C450A3"/>
    <w:rsid w:val="27C918D2"/>
    <w:rsid w:val="27D11F11"/>
    <w:rsid w:val="27D545CC"/>
    <w:rsid w:val="27E9369E"/>
    <w:rsid w:val="284D099E"/>
    <w:rsid w:val="28620164"/>
    <w:rsid w:val="286C0A48"/>
    <w:rsid w:val="28A0628A"/>
    <w:rsid w:val="28ED54B0"/>
    <w:rsid w:val="293209AC"/>
    <w:rsid w:val="2933115D"/>
    <w:rsid w:val="29341AF5"/>
    <w:rsid w:val="293930E6"/>
    <w:rsid w:val="293C2243"/>
    <w:rsid w:val="29532E82"/>
    <w:rsid w:val="29713987"/>
    <w:rsid w:val="29735566"/>
    <w:rsid w:val="299F6EEA"/>
    <w:rsid w:val="29A0317E"/>
    <w:rsid w:val="29A212E5"/>
    <w:rsid w:val="29AC42AB"/>
    <w:rsid w:val="29C327DC"/>
    <w:rsid w:val="29D947EB"/>
    <w:rsid w:val="29E15790"/>
    <w:rsid w:val="29E250EE"/>
    <w:rsid w:val="29E570C1"/>
    <w:rsid w:val="2A2E0E20"/>
    <w:rsid w:val="2A3A52DB"/>
    <w:rsid w:val="2A3A704E"/>
    <w:rsid w:val="2A452B3D"/>
    <w:rsid w:val="2A4F7491"/>
    <w:rsid w:val="2A5F5870"/>
    <w:rsid w:val="2A687F7F"/>
    <w:rsid w:val="2A6E4BCA"/>
    <w:rsid w:val="2A7654F9"/>
    <w:rsid w:val="2A7B2580"/>
    <w:rsid w:val="2A866C7A"/>
    <w:rsid w:val="2AA23BEC"/>
    <w:rsid w:val="2AAD7231"/>
    <w:rsid w:val="2AF451E9"/>
    <w:rsid w:val="2AFA337A"/>
    <w:rsid w:val="2B1C3428"/>
    <w:rsid w:val="2B2B1C33"/>
    <w:rsid w:val="2B2B446B"/>
    <w:rsid w:val="2B3015E4"/>
    <w:rsid w:val="2B4F3D3D"/>
    <w:rsid w:val="2B6516A3"/>
    <w:rsid w:val="2B6676AF"/>
    <w:rsid w:val="2B8175A1"/>
    <w:rsid w:val="2BAE1C66"/>
    <w:rsid w:val="2BFF5D0E"/>
    <w:rsid w:val="2C2376E7"/>
    <w:rsid w:val="2C45590B"/>
    <w:rsid w:val="2C640943"/>
    <w:rsid w:val="2C665C52"/>
    <w:rsid w:val="2C7F3A5D"/>
    <w:rsid w:val="2CC338BC"/>
    <w:rsid w:val="2CDC7E42"/>
    <w:rsid w:val="2CF652E7"/>
    <w:rsid w:val="2D0B10C4"/>
    <w:rsid w:val="2D1153A4"/>
    <w:rsid w:val="2D614DC2"/>
    <w:rsid w:val="2D837739"/>
    <w:rsid w:val="2D860AD6"/>
    <w:rsid w:val="2DA22BE2"/>
    <w:rsid w:val="2DE5633D"/>
    <w:rsid w:val="2DF36AC5"/>
    <w:rsid w:val="2DF43473"/>
    <w:rsid w:val="2E2758AF"/>
    <w:rsid w:val="2E277E7A"/>
    <w:rsid w:val="2E3A18BB"/>
    <w:rsid w:val="2E3C752E"/>
    <w:rsid w:val="2E3F744B"/>
    <w:rsid w:val="2E744255"/>
    <w:rsid w:val="2E7942E2"/>
    <w:rsid w:val="2EB7131C"/>
    <w:rsid w:val="2ECB17AD"/>
    <w:rsid w:val="2ECB4055"/>
    <w:rsid w:val="2EF81307"/>
    <w:rsid w:val="2F0F13BF"/>
    <w:rsid w:val="2F0F2FF0"/>
    <w:rsid w:val="2F0F3ED9"/>
    <w:rsid w:val="2F3552C8"/>
    <w:rsid w:val="2F5D35AA"/>
    <w:rsid w:val="2F713FC3"/>
    <w:rsid w:val="2F726968"/>
    <w:rsid w:val="2FA007D0"/>
    <w:rsid w:val="2FBA4216"/>
    <w:rsid w:val="2FC21EFE"/>
    <w:rsid w:val="2FD12F51"/>
    <w:rsid w:val="30116C8D"/>
    <w:rsid w:val="302B091D"/>
    <w:rsid w:val="302F07D9"/>
    <w:rsid w:val="30376BB9"/>
    <w:rsid w:val="30606780"/>
    <w:rsid w:val="30735E1C"/>
    <w:rsid w:val="307566FE"/>
    <w:rsid w:val="307A41C9"/>
    <w:rsid w:val="307A6BF4"/>
    <w:rsid w:val="3098002B"/>
    <w:rsid w:val="30CD714A"/>
    <w:rsid w:val="30E425BE"/>
    <w:rsid w:val="30EA0FD1"/>
    <w:rsid w:val="30F92657"/>
    <w:rsid w:val="31186EB7"/>
    <w:rsid w:val="311C1CA6"/>
    <w:rsid w:val="3124643F"/>
    <w:rsid w:val="31655260"/>
    <w:rsid w:val="3179376A"/>
    <w:rsid w:val="31A353BC"/>
    <w:rsid w:val="31B10509"/>
    <w:rsid w:val="31BD5198"/>
    <w:rsid w:val="31C169C5"/>
    <w:rsid w:val="31DB0F40"/>
    <w:rsid w:val="321C1DAA"/>
    <w:rsid w:val="3230228C"/>
    <w:rsid w:val="324637C9"/>
    <w:rsid w:val="3253058A"/>
    <w:rsid w:val="327137A1"/>
    <w:rsid w:val="327E6B5A"/>
    <w:rsid w:val="32A97818"/>
    <w:rsid w:val="32B80E90"/>
    <w:rsid w:val="32CC1C4F"/>
    <w:rsid w:val="32D02B38"/>
    <w:rsid w:val="32DD2023"/>
    <w:rsid w:val="32F73AE0"/>
    <w:rsid w:val="33327CC9"/>
    <w:rsid w:val="33332E1D"/>
    <w:rsid w:val="33375399"/>
    <w:rsid w:val="33490A06"/>
    <w:rsid w:val="334A2C5B"/>
    <w:rsid w:val="335A0A56"/>
    <w:rsid w:val="3360187A"/>
    <w:rsid w:val="3365747E"/>
    <w:rsid w:val="339D1E8E"/>
    <w:rsid w:val="33A350EF"/>
    <w:rsid w:val="33F97333"/>
    <w:rsid w:val="341C663B"/>
    <w:rsid w:val="3427155D"/>
    <w:rsid w:val="34381FFF"/>
    <w:rsid w:val="343B144E"/>
    <w:rsid w:val="343D5485"/>
    <w:rsid w:val="34777905"/>
    <w:rsid w:val="34913081"/>
    <w:rsid w:val="349F5896"/>
    <w:rsid w:val="34AB3225"/>
    <w:rsid w:val="34D978D3"/>
    <w:rsid w:val="34E75F40"/>
    <w:rsid w:val="34EF4ACA"/>
    <w:rsid w:val="34FC275D"/>
    <w:rsid w:val="34FD3DC3"/>
    <w:rsid w:val="352744BF"/>
    <w:rsid w:val="35522F0D"/>
    <w:rsid w:val="35727820"/>
    <w:rsid w:val="357E28FB"/>
    <w:rsid w:val="35A501F7"/>
    <w:rsid w:val="35A66274"/>
    <w:rsid w:val="35AF2F94"/>
    <w:rsid w:val="35C64362"/>
    <w:rsid w:val="35D76993"/>
    <w:rsid w:val="35EB4CF7"/>
    <w:rsid w:val="35ED42AB"/>
    <w:rsid w:val="35F425D5"/>
    <w:rsid w:val="35FF42F7"/>
    <w:rsid w:val="36234B78"/>
    <w:rsid w:val="362D73D9"/>
    <w:rsid w:val="36553987"/>
    <w:rsid w:val="366954C3"/>
    <w:rsid w:val="36724074"/>
    <w:rsid w:val="36964948"/>
    <w:rsid w:val="36D74C38"/>
    <w:rsid w:val="36E466D7"/>
    <w:rsid w:val="371840E5"/>
    <w:rsid w:val="37396E03"/>
    <w:rsid w:val="37551903"/>
    <w:rsid w:val="37583B29"/>
    <w:rsid w:val="37A25A49"/>
    <w:rsid w:val="37A76E08"/>
    <w:rsid w:val="37BB45B8"/>
    <w:rsid w:val="37C41E89"/>
    <w:rsid w:val="37E52F1D"/>
    <w:rsid w:val="380C4385"/>
    <w:rsid w:val="380C4895"/>
    <w:rsid w:val="381540AD"/>
    <w:rsid w:val="381D5B4F"/>
    <w:rsid w:val="381E4532"/>
    <w:rsid w:val="383234BE"/>
    <w:rsid w:val="38393179"/>
    <w:rsid w:val="388D2882"/>
    <w:rsid w:val="38981BA0"/>
    <w:rsid w:val="38CB4D93"/>
    <w:rsid w:val="38D9238C"/>
    <w:rsid w:val="39083C99"/>
    <w:rsid w:val="39320533"/>
    <w:rsid w:val="39427F2C"/>
    <w:rsid w:val="39661F6A"/>
    <w:rsid w:val="39773CF9"/>
    <w:rsid w:val="39A64945"/>
    <w:rsid w:val="39AC1200"/>
    <w:rsid w:val="39B648D2"/>
    <w:rsid w:val="39BC414C"/>
    <w:rsid w:val="39CA3049"/>
    <w:rsid w:val="39DB35B8"/>
    <w:rsid w:val="39E0384C"/>
    <w:rsid w:val="39FD506F"/>
    <w:rsid w:val="3A043B52"/>
    <w:rsid w:val="3A133610"/>
    <w:rsid w:val="3A651F91"/>
    <w:rsid w:val="3A81387B"/>
    <w:rsid w:val="3A877B34"/>
    <w:rsid w:val="3A937FC1"/>
    <w:rsid w:val="3A982385"/>
    <w:rsid w:val="3AA8016E"/>
    <w:rsid w:val="3AB86CFD"/>
    <w:rsid w:val="3ABB7B6E"/>
    <w:rsid w:val="3ADC0C19"/>
    <w:rsid w:val="3AFC37EC"/>
    <w:rsid w:val="3B006358"/>
    <w:rsid w:val="3B2E0B34"/>
    <w:rsid w:val="3B387DC7"/>
    <w:rsid w:val="3B5932CD"/>
    <w:rsid w:val="3B94546D"/>
    <w:rsid w:val="3B9868BA"/>
    <w:rsid w:val="3BB63E9D"/>
    <w:rsid w:val="3BC01FF5"/>
    <w:rsid w:val="3BC30B8A"/>
    <w:rsid w:val="3BDB3237"/>
    <w:rsid w:val="3BFB5130"/>
    <w:rsid w:val="3C047D4B"/>
    <w:rsid w:val="3C125C42"/>
    <w:rsid w:val="3C355C3F"/>
    <w:rsid w:val="3C3B50E0"/>
    <w:rsid w:val="3C5677C7"/>
    <w:rsid w:val="3C631E39"/>
    <w:rsid w:val="3C705704"/>
    <w:rsid w:val="3C9219F0"/>
    <w:rsid w:val="3C997B6E"/>
    <w:rsid w:val="3CC137AD"/>
    <w:rsid w:val="3CC21A1C"/>
    <w:rsid w:val="3D4E5423"/>
    <w:rsid w:val="3D985639"/>
    <w:rsid w:val="3DB14219"/>
    <w:rsid w:val="3DE55BC3"/>
    <w:rsid w:val="3DE62B02"/>
    <w:rsid w:val="3DE64EF8"/>
    <w:rsid w:val="3E12397F"/>
    <w:rsid w:val="3E1D6A2E"/>
    <w:rsid w:val="3E1F0EB2"/>
    <w:rsid w:val="3E2E3C7F"/>
    <w:rsid w:val="3E3006DD"/>
    <w:rsid w:val="3E3A43A6"/>
    <w:rsid w:val="3E6C0A8A"/>
    <w:rsid w:val="3E70261D"/>
    <w:rsid w:val="3E7145EF"/>
    <w:rsid w:val="3E766141"/>
    <w:rsid w:val="3E843852"/>
    <w:rsid w:val="3E9632B8"/>
    <w:rsid w:val="3E9926CE"/>
    <w:rsid w:val="3E9F68B5"/>
    <w:rsid w:val="3EB346E9"/>
    <w:rsid w:val="3EBD6A2B"/>
    <w:rsid w:val="3ECE4E0A"/>
    <w:rsid w:val="3EDE7DBE"/>
    <w:rsid w:val="3EE04095"/>
    <w:rsid w:val="3F03729D"/>
    <w:rsid w:val="3F183797"/>
    <w:rsid w:val="3F491508"/>
    <w:rsid w:val="3F5D7FCB"/>
    <w:rsid w:val="3F5E6491"/>
    <w:rsid w:val="3F9900FB"/>
    <w:rsid w:val="3F9B2115"/>
    <w:rsid w:val="3F9F67D4"/>
    <w:rsid w:val="3FCD053B"/>
    <w:rsid w:val="3FEA6AA5"/>
    <w:rsid w:val="3FEE43BA"/>
    <w:rsid w:val="402C4DAE"/>
    <w:rsid w:val="40522DD7"/>
    <w:rsid w:val="40641372"/>
    <w:rsid w:val="408E221F"/>
    <w:rsid w:val="4094290E"/>
    <w:rsid w:val="40BC267D"/>
    <w:rsid w:val="410715B3"/>
    <w:rsid w:val="41124712"/>
    <w:rsid w:val="41144707"/>
    <w:rsid w:val="41224FB8"/>
    <w:rsid w:val="414954A9"/>
    <w:rsid w:val="414D2866"/>
    <w:rsid w:val="417F7AFD"/>
    <w:rsid w:val="4181590E"/>
    <w:rsid w:val="419F315F"/>
    <w:rsid w:val="41B2073E"/>
    <w:rsid w:val="41B31BED"/>
    <w:rsid w:val="41BE677C"/>
    <w:rsid w:val="41E6652F"/>
    <w:rsid w:val="41F55CA8"/>
    <w:rsid w:val="42276C78"/>
    <w:rsid w:val="423A1DC3"/>
    <w:rsid w:val="42663872"/>
    <w:rsid w:val="428C51B1"/>
    <w:rsid w:val="42D262AA"/>
    <w:rsid w:val="42DC38D8"/>
    <w:rsid w:val="43260AE2"/>
    <w:rsid w:val="432953C8"/>
    <w:rsid w:val="434B609F"/>
    <w:rsid w:val="43516F16"/>
    <w:rsid w:val="4361261C"/>
    <w:rsid w:val="437322DC"/>
    <w:rsid w:val="43763861"/>
    <w:rsid w:val="4390073B"/>
    <w:rsid w:val="43976639"/>
    <w:rsid w:val="43984936"/>
    <w:rsid w:val="43A246D5"/>
    <w:rsid w:val="43BC3329"/>
    <w:rsid w:val="43C27A16"/>
    <w:rsid w:val="44064188"/>
    <w:rsid w:val="442B1667"/>
    <w:rsid w:val="442C5D93"/>
    <w:rsid w:val="44507864"/>
    <w:rsid w:val="4463056C"/>
    <w:rsid w:val="446D5132"/>
    <w:rsid w:val="44711592"/>
    <w:rsid w:val="448955E3"/>
    <w:rsid w:val="44AA53F4"/>
    <w:rsid w:val="44B86C03"/>
    <w:rsid w:val="44DB13AA"/>
    <w:rsid w:val="453647EA"/>
    <w:rsid w:val="453B60CF"/>
    <w:rsid w:val="455333C3"/>
    <w:rsid w:val="45540B2A"/>
    <w:rsid w:val="456E52B6"/>
    <w:rsid w:val="45A560D2"/>
    <w:rsid w:val="45C304E1"/>
    <w:rsid w:val="46084EAB"/>
    <w:rsid w:val="46092EE9"/>
    <w:rsid w:val="462C484E"/>
    <w:rsid w:val="462D32F3"/>
    <w:rsid w:val="463E2755"/>
    <w:rsid w:val="466B7373"/>
    <w:rsid w:val="46860526"/>
    <w:rsid w:val="468F5F60"/>
    <w:rsid w:val="46C81ABE"/>
    <w:rsid w:val="46D139FA"/>
    <w:rsid w:val="46D27040"/>
    <w:rsid w:val="46E35C75"/>
    <w:rsid w:val="470B28A7"/>
    <w:rsid w:val="470F280F"/>
    <w:rsid w:val="47205C30"/>
    <w:rsid w:val="473976EE"/>
    <w:rsid w:val="4755652A"/>
    <w:rsid w:val="47646867"/>
    <w:rsid w:val="4765531B"/>
    <w:rsid w:val="476913E2"/>
    <w:rsid w:val="4770795F"/>
    <w:rsid w:val="477418F3"/>
    <w:rsid w:val="4798537B"/>
    <w:rsid w:val="479E69C8"/>
    <w:rsid w:val="47A3367E"/>
    <w:rsid w:val="47D04B77"/>
    <w:rsid w:val="480D617D"/>
    <w:rsid w:val="48310E8E"/>
    <w:rsid w:val="483B232B"/>
    <w:rsid w:val="48403498"/>
    <w:rsid w:val="48655DAA"/>
    <w:rsid w:val="48657449"/>
    <w:rsid w:val="4866403B"/>
    <w:rsid w:val="48695DA4"/>
    <w:rsid w:val="48803C39"/>
    <w:rsid w:val="48887710"/>
    <w:rsid w:val="489127A7"/>
    <w:rsid w:val="48BF6B05"/>
    <w:rsid w:val="48D31753"/>
    <w:rsid w:val="494657B0"/>
    <w:rsid w:val="4947314E"/>
    <w:rsid w:val="4981225E"/>
    <w:rsid w:val="49DD655A"/>
    <w:rsid w:val="4A0E502C"/>
    <w:rsid w:val="4A152D6C"/>
    <w:rsid w:val="4A155F64"/>
    <w:rsid w:val="4A1974C0"/>
    <w:rsid w:val="4A307C3D"/>
    <w:rsid w:val="4A561635"/>
    <w:rsid w:val="4A5D6D36"/>
    <w:rsid w:val="4A685300"/>
    <w:rsid w:val="4A6E0EB3"/>
    <w:rsid w:val="4A855391"/>
    <w:rsid w:val="4A915CC1"/>
    <w:rsid w:val="4A93693A"/>
    <w:rsid w:val="4AA50B47"/>
    <w:rsid w:val="4AA61B68"/>
    <w:rsid w:val="4ADA36F1"/>
    <w:rsid w:val="4ADD16A7"/>
    <w:rsid w:val="4AE1743A"/>
    <w:rsid w:val="4AF06DC5"/>
    <w:rsid w:val="4AF117E4"/>
    <w:rsid w:val="4AF62C56"/>
    <w:rsid w:val="4B0A5C21"/>
    <w:rsid w:val="4B0A6344"/>
    <w:rsid w:val="4B1A6ED1"/>
    <w:rsid w:val="4B1C60E9"/>
    <w:rsid w:val="4B1F3121"/>
    <w:rsid w:val="4B734122"/>
    <w:rsid w:val="4BBA2B01"/>
    <w:rsid w:val="4BC74E6E"/>
    <w:rsid w:val="4BCF10E0"/>
    <w:rsid w:val="4BDB67A7"/>
    <w:rsid w:val="4BE13A23"/>
    <w:rsid w:val="4BE4402F"/>
    <w:rsid w:val="4BF800DC"/>
    <w:rsid w:val="4BF85AA5"/>
    <w:rsid w:val="4C052700"/>
    <w:rsid w:val="4C590C5D"/>
    <w:rsid w:val="4C5D1D5A"/>
    <w:rsid w:val="4CAC181F"/>
    <w:rsid w:val="4CB97E79"/>
    <w:rsid w:val="4CF67A71"/>
    <w:rsid w:val="4D3F1D0A"/>
    <w:rsid w:val="4D4B3976"/>
    <w:rsid w:val="4D562539"/>
    <w:rsid w:val="4D644AE4"/>
    <w:rsid w:val="4D6B732C"/>
    <w:rsid w:val="4D895D66"/>
    <w:rsid w:val="4D9B2A2A"/>
    <w:rsid w:val="4DA16E27"/>
    <w:rsid w:val="4DBE7DFA"/>
    <w:rsid w:val="4DCC7E54"/>
    <w:rsid w:val="4DF5551C"/>
    <w:rsid w:val="4E125F5E"/>
    <w:rsid w:val="4E194AE1"/>
    <w:rsid w:val="4E262F7C"/>
    <w:rsid w:val="4E4023B2"/>
    <w:rsid w:val="4E494B00"/>
    <w:rsid w:val="4E5E5A05"/>
    <w:rsid w:val="4E7A13E6"/>
    <w:rsid w:val="4E805443"/>
    <w:rsid w:val="4E835A83"/>
    <w:rsid w:val="4E87023A"/>
    <w:rsid w:val="4E937B48"/>
    <w:rsid w:val="4E9B5FEF"/>
    <w:rsid w:val="4EA05D76"/>
    <w:rsid w:val="4EAA03B2"/>
    <w:rsid w:val="4EC93248"/>
    <w:rsid w:val="4ECB500C"/>
    <w:rsid w:val="4EDF069F"/>
    <w:rsid w:val="4EF26FBB"/>
    <w:rsid w:val="4EFE5BE2"/>
    <w:rsid w:val="4EFE6728"/>
    <w:rsid w:val="4F05236E"/>
    <w:rsid w:val="4F0B787A"/>
    <w:rsid w:val="4F1203F1"/>
    <w:rsid w:val="4F187DE9"/>
    <w:rsid w:val="4F210F21"/>
    <w:rsid w:val="4F3718E3"/>
    <w:rsid w:val="4F4103F4"/>
    <w:rsid w:val="4F7B269C"/>
    <w:rsid w:val="4F8B0585"/>
    <w:rsid w:val="4FDA0DAB"/>
    <w:rsid w:val="4FEC3BFA"/>
    <w:rsid w:val="4FF053B2"/>
    <w:rsid w:val="500009BE"/>
    <w:rsid w:val="50377F99"/>
    <w:rsid w:val="503B0720"/>
    <w:rsid w:val="507239EE"/>
    <w:rsid w:val="50824944"/>
    <w:rsid w:val="5088341F"/>
    <w:rsid w:val="509F5180"/>
    <w:rsid w:val="50AD2A54"/>
    <w:rsid w:val="50BA7E57"/>
    <w:rsid w:val="50D31B0B"/>
    <w:rsid w:val="50D81BF7"/>
    <w:rsid w:val="50DE6820"/>
    <w:rsid w:val="50E9335E"/>
    <w:rsid w:val="51013988"/>
    <w:rsid w:val="51190415"/>
    <w:rsid w:val="513738A4"/>
    <w:rsid w:val="513E2846"/>
    <w:rsid w:val="5154538B"/>
    <w:rsid w:val="518E2826"/>
    <w:rsid w:val="518F3505"/>
    <w:rsid w:val="519C4558"/>
    <w:rsid w:val="519C7C5B"/>
    <w:rsid w:val="519D7D7A"/>
    <w:rsid w:val="51D42DB3"/>
    <w:rsid w:val="51D67140"/>
    <w:rsid w:val="51E95069"/>
    <w:rsid w:val="51F577C4"/>
    <w:rsid w:val="51F73AE5"/>
    <w:rsid w:val="51F85346"/>
    <w:rsid w:val="52264409"/>
    <w:rsid w:val="52815EB4"/>
    <w:rsid w:val="52A86A4C"/>
    <w:rsid w:val="52BC519A"/>
    <w:rsid w:val="52BF4740"/>
    <w:rsid w:val="52C719B0"/>
    <w:rsid w:val="52DC5B16"/>
    <w:rsid w:val="52EE5E34"/>
    <w:rsid w:val="533941D1"/>
    <w:rsid w:val="534B63AE"/>
    <w:rsid w:val="535E35D9"/>
    <w:rsid w:val="536B1AAE"/>
    <w:rsid w:val="53860027"/>
    <w:rsid w:val="53A9412B"/>
    <w:rsid w:val="53D95743"/>
    <w:rsid w:val="53E075C9"/>
    <w:rsid w:val="53E4448B"/>
    <w:rsid w:val="54964C34"/>
    <w:rsid w:val="54A10EA9"/>
    <w:rsid w:val="54A83322"/>
    <w:rsid w:val="54A9021D"/>
    <w:rsid w:val="54C066C6"/>
    <w:rsid w:val="54C80C1B"/>
    <w:rsid w:val="54E7165D"/>
    <w:rsid w:val="54F23C40"/>
    <w:rsid w:val="55066D76"/>
    <w:rsid w:val="55105FBB"/>
    <w:rsid w:val="55164621"/>
    <w:rsid w:val="551A6E7C"/>
    <w:rsid w:val="552D710B"/>
    <w:rsid w:val="555A26FD"/>
    <w:rsid w:val="556A04AF"/>
    <w:rsid w:val="557766E3"/>
    <w:rsid w:val="557B0739"/>
    <w:rsid w:val="558E66C9"/>
    <w:rsid w:val="55A5332F"/>
    <w:rsid w:val="55CC5ACC"/>
    <w:rsid w:val="55E36449"/>
    <w:rsid w:val="55EF73AC"/>
    <w:rsid w:val="55F05BDD"/>
    <w:rsid w:val="56226A5D"/>
    <w:rsid w:val="5630006B"/>
    <w:rsid w:val="563433B9"/>
    <w:rsid w:val="566136B8"/>
    <w:rsid w:val="569D7FEE"/>
    <w:rsid w:val="56C52FDC"/>
    <w:rsid w:val="56CE0A80"/>
    <w:rsid w:val="56D5788D"/>
    <w:rsid w:val="56E637DC"/>
    <w:rsid w:val="56F13E4B"/>
    <w:rsid w:val="57063CE5"/>
    <w:rsid w:val="57094CF9"/>
    <w:rsid w:val="57131A63"/>
    <w:rsid w:val="57193C7A"/>
    <w:rsid w:val="5753390A"/>
    <w:rsid w:val="57575FE6"/>
    <w:rsid w:val="5793283F"/>
    <w:rsid w:val="581731F5"/>
    <w:rsid w:val="5818649C"/>
    <w:rsid w:val="585D0BD4"/>
    <w:rsid w:val="58607583"/>
    <w:rsid w:val="58736928"/>
    <w:rsid w:val="5875284A"/>
    <w:rsid w:val="587C6933"/>
    <w:rsid w:val="58807792"/>
    <w:rsid w:val="58B23644"/>
    <w:rsid w:val="58B24F2D"/>
    <w:rsid w:val="58B6757E"/>
    <w:rsid w:val="58BC103B"/>
    <w:rsid w:val="59000DC4"/>
    <w:rsid w:val="59427DB3"/>
    <w:rsid w:val="597E6AEA"/>
    <w:rsid w:val="598650A1"/>
    <w:rsid w:val="599E3599"/>
    <w:rsid w:val="59DA4DF8"/>
    <w:rsid w:val="5A10328C"/>
    <w:rsid w:val="5A3F0B8D"/>
    <w:rsid w:val="5A45368C"/>
    <w:rsid w:val="5A482F49"/>
    <w:rsid w:val="5A56778D"/>
    <w:rsid w:val="5A6046DD"/>
    <w:rsid w:val="5A8848BE"/>
    <w:rsid w:val="5AA255CF"/>
    <w:rsid w:val="5AAA4C83"/>
    <w:rsid w:val="5ABB33A6"/>
    <w:rsid w:val="5AC23B1A"/>
    <w:rsid w:val="5ACE76BA"/>
    <w:rsid w:val="5AD003A8"/>
    <w:rsid w:val="5AF4242B"/>
    <w:rsid w:val="5AF637F7"/>
    <w:rsid w:val="5AFD2165"/>
    <w:rsid w:val="5B2F0C90"/>
    <w:rsid w:val="5B336D55"/>
    <w:rsid w:val="5B680C56"/>
    <w:rsid w:val="5B7F07E6"/>
    <w:rsid w:val="5BA65572"/>
    <w:rsid w:val="5BCB1B7A"/>
    <w:rsid w:val="5BF043CA"/>
    <w:rsid w:val="5BF338B6"/>
    <w:rsid w:val="5BF77DAF"/>
    <w:rsid w:val="5C01203D"/>
    <w:rsid w:val="5C080B93"/>
    <w:rsid w:val="5C1D05D0"/>
    <w:rsid w:val="5C1D29FC"/>
    <w:rsid w:val="5C395E90"/>
    <w:rsid w:val="5C4F30B2"/>
    <w:rsid w:val="5C67459F"/>
    <w:rsid w:val="5C753FBD"/>
    <w:rsid w:val="5C876A5B"/>
    <w:rsid w:val="5CAE640D"/>
    <w:rsid w:val="5CB22F64"/>
    <w:rsid w:val="5CB62421"/>
    <w:rsid w:val="5CB95FC7"/>
    <w:rsid w:val="5CF345FA"/>
    <w:rsid w:val="5CF76710"/>
    <w:rsid w:val="5D100813"/>
    <w:rsid w:val="5D1A4495"/>
    <w:rsid w:val="5D214AD4"/>
    <w:rsid w:val="5D2E6143"/>
    <w:rsid w:val="5D3443CF"/>
    <w:rsid w:val="5D4E5810"/>
    <w:rsid w:val="5D5602F4"/>
    <w:rsid w:val="5D6B0ADC"/>
    <w:rsid w:val="5D973102"/>
    <w:rsid w:val="5DB91FED"/>
    <w:rsid w:val="5DDC3049"/>
    <w:rsid w:val="5DE3352B"/>
    <w:rsid w:val="5E2118F1"/>
    <w:rsid w:val="5E2454A6"/>
    <w:rsid w:val="5E315598"/>
    <w:rsid w:val="5E424FF2"/>
    <w:rsid w:val="5E463BD8"/>
    <w:rsid w:val="5E48511F"/>
    <w:rsid w:val="5E58304E"/>
    <w:rsid w:val="5E7A71A2"/>
    <w:rsid w:val="5E805853"/>
    <w:rsid w:val="5E8C73C5"/>
    <w:rsid w:val="5EB96BDC"/>
    <w:rsid w:val="5EE64F13"/>
    <w:rsid w:val="5EF26512"/>
    <w:rsid w:val="5EF364BA"/>
    <w:rsid w:val="5F333DDF"/>
    <w:rsid w:val="5F653280"/>
    <w:rsid w:val="5F886A94"/>
    <w:rsid w:val="5F977AFF"/>
    <w:rsid w:val="60122100"/>
    <w:rsid w:val="605F771E"/>
    <w:rsid w:val="60692C39"/>
    <w:rsid w:val="60706D24"/>
    <w:rsid w:val="607D5317"/>
    <w:rsid w:val="60BF4EDB"/>
    <w:rsid w:val="60E3797D"/>
    <w:rsid w:val="6111579F"/>
    <w:rsid w:val="612742F0"/>
    <w:rsid w:val="61667655"/>
    <w:rsid w:val="61812778"/>
    <w:rsid w:val="61847EEA"/>
    <w:rsid w:val="618A71D9"/>
    <w:rsid w:val="619B1407"/>
    <w:rsid w:val="61F5057D"/>
    <w:rsid w:val="620D493E"/>
    <w:rsid w:val="620E31A7"/>
    <w:rsid w:val="62121550"/>
    <w:rsid w:val="621C251B"/>
    <w:rsid w:val="62227941"/>
    <w:rsid w:val="622E2FB0"/>
    <w:rsid w:val="627243D7"/>
    <w:rsid w:val="6281362B"/>
    <w:rsid w:val="62A72958"/>
    <w:rsid w:val="62BB7314"/>
    <w:rsid w:val="62D073C1"/>
    <w:rsid w:val="630577C9"/>
    <w:rsid w:val="6324797A"/>
    <w:rsid w:val="63284132"/>
    <w:rsid w:val="635527B8"/>
    <w:rsid w:val="63646BCD"/>
    <w:rsid w:val="637E0365"/>
    <w:rsid w:val="638B1146"/>
    <w:rsid w:val="638D1D3D"/>
    <w:rsid w:val="63947D17"/>
    <w:rsid w:val="63CB2FCE"/>
    <w:rsid w:val="63E750B0"/>
    <w:rsid w:val="63F818AF"/>
    <w:rsid w:val="64097F81"/>
    <w:rsid w:val="642928A3"/>
    <w:rsid w:val="643F5712"/>
    <w:rsid w:val="64474946"/>
    <w:rsid w:val="645C02DB"/>
    <w:rsid w:val="6487484E"/>
    <w:rsid w:val="648864C8"/>
    <w:rsid w:val="648C65D0"/>
    <w:rsid w:val="64AC0F65"/>
    <w:rsid w:val="64AC4D21"/>
    <w:rsid w:val="64BC0202"/>
    <w:rsid w:val="64DE6188"/>
    <w:rsid w:val="64EA3740"/>
    <w:rsid w:val="65237F12"/>
    <w:rsid w:val="654062D1"/>
    <w:rsid w:val="6563017D"/>
    <w:rsid w:val="65825866"/>
    <w:rsid w:val="658A7D14"/>
    <w:rsid w:val="658D2E2C"/>
    <w:rsid w:val="65931376"/>
    <w:rsid w:val="65A93B6B"/>
    <w:rsid w:val="65DA51F7"/>
    <w:rsid w:val="65E541E6"/>
    <w:rsid w:val="65EA73D0"/>
    <w:rsid w:val="65F77FAC"/>
    <w:rsid w:val="65FD27F5"/>
    <w:rsid w:val="661B4D50"/>
    <w:rsid w:val="6659611C"/>
    <w:rsid w:val="666D4B17"/>
    <w:rsid w:val="667C4235"/>
    <w:rsid w:val="667D1AD5"/>
    <w:rsid w:val="66973754"/>
    <w:rsid w:val="66C24048"/>
    <w:rsid w:val="66DB1226"/>
    <w:rsid w:val="66E469B2"/>
    <w:rsid w:val="66F71842"/>
    <w:rsid w:val="67205059"/>
    <w:rsid w:val="672370FC"/>
    <w:rsid w:val="674F1686"/>
    <w:rsid w:val="675871CF"/>
    <w:rsid w:val="675E63A8"/>
    <w:rsid w:val="677D5022"/>
    <w:rsid w:val="67A86DEF"/>
    <w:rsid w:val="67BF3F06"/>
    <w:rsid w:val="67C7472A"/>
    <w:rsid w:val="67C77E13"/>
    <w:rsid w:val="67D7611B"/>
    <w:rsid w:val="67DF2B40"/>
    <w:rsid w:val="67E44C51"/>
    <w:rsid w:val="68001822"/>
    <w:rsid w:val="681B213F"/>
    <w:rsid w:val="682D4F2F"/>
    <w:rsid w:val="68547848"/>
    <w:rsid w:val="687F52E8"/>
    <w:rsid w:val="68822D00"/>
    <w:rsid w:val="689E6E93"/>
    <w:rsid w:val="68C04240"/>
    <w:rsid w:val="68F152B8"/>
    <w:rsid w:val="68F2206A"/>
    <w:rsid w:val="68FA2B7B"/>
    <w:rsid w:val="68FA3F01"/>
    <w:rsid w:val="693442D1"/>
    <w:rsid w:val="695A7DFF"/>
    <w:rsid w:val="69AF407E"/>
    <w:rsid w:val="69DD3507"/>
    <w:rsid w:val="69E74048"/>
    <w:rsid w:val="69F134E0"/>
    <w:rsid w:val="6A010AF2"/>
    <w:rsid w:val="6A2B5C7C"/>
    <w:rsid w:val="6A311016"/>
    <w:rsid w:val="6A433BA4"/>
    <w:rsid w:val="6A6A0424"/>
    <w:rsid w:val="6A705A68"/>
    <w:rsid w:val="6A9F40EF"/>
    <w:rsid w:val="6AB662D5"/>
    <w:rsid w:val="6AC5705C"/>
    <w:rsid w:val="6AC87B09"/>
    <w:rsid w:val="6B02331D"/>
    <w:rsid w:val="6B037366"/>
    <w:rsid w:val="6B080012"/>
    <w:rsid w:val="6B6A57BF"/>
    <w:rsid w:val="6B9078C4"/>
    <w:rsid w:val="6BAB28CC"/>
    <w:rsid w:val="6BB94EE7"/>
    <w:rsid w:val="6BC327F3"/>
    <w:rsid w:val="6BE02D0B"/>
    <w:rsid w:val="6C3124B6"/>
    <w:rsid w:val="6C317735"/>
    <w:rsid w:val="6C621AA2"/>
    <w:rsid w:val="6C9D0897"/>
    <w:rsid w:val="6CFC400F"/>
    <w:rsid w:val="6D2A615E"/>
    <w:rsid w:val="6D313AF2"/>
    <w:rsid w:val="6D574E27"/>
    <w:rsid w:val="6D680F11"/>
    <w:rsid w:val="6D8A508E"/>
    <w:rsid w:val="6D94528B"/>
    <w:rsid w:val="6D9B6FED"/>
    <w:rsid w:val="6DAB31AB"/>
    <w:rsid w:val="6DD17321"/>
    <w:rsid w:val="6DD55516"/>
    <w:rsid w:val="6E642ECA"/>
    <w:rsid w:val="6E981498"/>
    <w:rsid w:val="6ED33EBE"/>
    <w:rsid w:val="6EDD44D5"/>
    <w:rsid w:val="6EE53D65"/>
    <w:rsid w:val="6EF151C0"/>
    <w:rsid w:val="6EF94C30"/>
    <w:rsid w:val="6F0462AF"/>
    <w:rsid w:val="6F3C78C1"/>
    <w:rsid w:val="6F5B536E"/>
    <w:rsid w:val="6F5C51F6"/>
    <w:rsid w:val="6F6C5A34"/>
    <w:rsid w:val="6F862021"/>
    <w:rsid w:val="6F887D73"/>
    <w:rsid w:val="6FA80CAD"/>
    <w:rsid w:val="6FDB67F5"/>
    <w:rsid w:val="6FEB7F4E"/>
    <w:rsid w:val="6FF13155"/>
    <w:rsid w:val="701B7A5A"/>
    <w:rsid w:val="70710D73"/>
    <w:rsid w:val="7075449C"/>
    <w:rsid w:val="7093328D"/>
    <w:rsid w:val="709A5ECC"/>
    <w:rsid w:val="70B94757"/>
    <w:rsid w:val="70CF457E"/>
    <w:rsid w:val="70EB10A9"/>
    <w:rsid w:val="711C0A07"/>
    <w:rsid w:val="713153F6"/>
    <w:rsid w:val="71493E4B"/>
    <w:rsid w:val="71714708"/>
    <w:rsid w:val="71B9722D"/>
    <w:rsid w:val="720529C4"/>
    <w:rsid w:val="72243AEB"/>
    <w:rsid w:val="722A7E86"/>
    <w:rsid w:val="723356D8"/>
    <w:rsid w:val="723B1117"/>
    <w:rsid w:val="724F76A0"/>
    <w:rsid w:val="726208DF"/>
    <w:rsid w:val="727B04D4"/>
    <w:rsid w:val="727B4099"/>
    <w:rsid w:val="727F4596"/>
    <w:rsid w:val="72A94047"/>
    <w:rsid w:val="72B574C1"/>
    <w:rsid w:val="72DE3FCB"/>
    <w:rsid w:val="7301059D"/>
    <w:rsid w:val="730B3575"/>
    <w:rsid w:val="734071D4"/>
    <w:rsid w:val="735E369C"/>
    <w:rsid w:val="73734FD6"/>
    <w:rsid w:val="738257B4"/>
    <w:rsid w:val="73A83D47"/>
    <w:rsid w:val="73AF252F"/>
    <w:rsid w:val="73B211D9"/>
    <w:rsid w:val="73BF1841"/>
    <w:rsid w:val="73C31078"/>
    <w:rsid w:val="73EE04C5"/>
    <w:rsid w:val="740E4978"/>
    <w:rsid w:val="74420289"/>
    <w:rsid w:val="745844E5"/>
    <w:rsid w:val="74694643"/>
    <w:rsid w:val="74CE1CE7"/>
    <w:rsid w:val="74F07844"/>
    <w:rsid w:val="74F07908"/>
    <w:rsid w:val="750D3F7B"/>
    <w:rsid w:val="75420951"/>
    <w:rsid w:val="754F755D"/>
    <w:rsid w:val="75626BEA"/>
    <w:rsid w:val="756A2C5F"/>
    <w:rsid w:val="7597752C"/>
    <w:rsid w:val="75A603BA"/>
    <w:rsid w:val="75B71B9E"/>
    <w:rsid w:val="75D0035C"/>
    <w:rsid w:val="75EB1E45"/>
    <w:rsid w:val="75FC1264"/>
    <w:rsid w:val="75FD6D00"/>
    <w:rsid w:val="75FF3BC5"/>
    <w:rsid w:val="7605606F"/>
    <w:rsid w:val="761722E7"/>
    <w:rsid w:val="762557EB"/>
    <w:rsid w:val="764175EF"/>
    <w:rsid w:val="765D4A66"/>
    <w:rsid w:val="7666128B"/>
    <w:rsid w:val="766A38A7"/>
    <w:rsid w:val="766B234E"/>
    <w:rsid w:val="76784A7A"/>
    <w:rsid w:val="767A5291"/>
    <w:rsid w:val="76A30D0B"/>
    <w:rsid w:val="76BE27F8"/>
    <w:rsid w:val="76BF2164"/>
    <w:rsid w:val="76C020B2"/>
    <w:rsid w:val="76EF302D"/>
    <w:rsid w:val="76FE5C18"/>
    <w:rsid w:val="7703408C"/>
    <w:rsid w:val="77090983"/>
    <w:rsid w:val="77094214"/>
    <w:rsid w:val="7715289A"/>
    <w:rsid w:val="7715423E"/>
    <w:rsid w:val="7727409D"/>
    <w:rsid w:val="77275E5B"/>
    <w:rsid w:val="77397399"/>
    <w:rsid w:val="77426719"/>
    <w:rsid w:val="775341E3"/>
    <w:rsid w:val="775B20A7"/>
    <w:rsid w:val="777032C5"/>
    <w:rsid w:val="77786484"/>
    <w:rsid w:val="7789074F"/>
    <w:rsid w:val="77AB5374"/>
    <w:rsid w:val="77B72B1A"/>
    <w:rsid w:val="77E75600"/>
    <w:rsid w:val="780B47A1"/>
    <w:rsid w:val="783953F6"/>
    <w:rsid w:val="7856695F"/>
    <w:rsid w:val="78855B94"/>
    <w:rsid w:val="788C2A25"/>
    <w:rsid w:val="78A55C9A"/>
    <w:rsid w:val="78CB1A27"/>
    <w:rsid w:val="78F146F6"/>
    <w:rsid w:val="78FF42BE"/>
    <w:rsid w:val="791D3EC5"/>
    <w:rsid w:val="793C1D1A"/>
    <w:rsid w:val="797A57B3"/>
    <w:rsid w:val="79904108"/>
    <w:rsid w:val="79B96D27"/>
    <w:rsid w:val="79D6560E"/>
    <w:rsid w:val="79DD780C"/>
    <w:rsid w:val="79F345E9"/>
    <w:rsid w:val="79F56A7E"/>
    <w:rsid w:val="7A2F051E"/>
    <w:rsid w:val="7A331A23"/>
    <w:rsid w:val="7A4E22EF"/>
    <w:rsid w:val="7A8E68BB"/>
    <w:rsid w:val="7A8F2EC6"/>
    <w:rsid w:val="7A962995"/>
    <w:rsid w:val="7AA84B5D"/>
    <w:rsid w:val="7AD03545"/>
    <w:rsid w:val="7AD91DD2"/>
    <w:rsid w:val="7ADD7AFB"/>
    <w:rsid w:val="7ADF56A9"/>
    <w:rsid w:val="7B117C35"/>
    <w:rsid w:val="7B3967A5"/>
    <w:rsid w:val="7B3F2806"/>
    <w:rsid w:val="7B4B38BB"/>
    <w:rsid w:val="7B7A5DE8"/>
    <w:rsid w:val="7B8D1DF0"/>
    <w:rsid w:val="7B903319"/>
    <w:rsid w:val="7B930120"/>
    <w:rsid w:val="7BA60E4C"/>
    <w:rsid w:val="7BAB6FC2"/>
    <w:rsid w:val="7C070032"/>
    <w:rsid w:val="7C10135A"/>
    <w:rsid w:val="7C750E75"/>
    <w:rsid w:val="7C8576A4"/>
    <w:rsid w:val="7CA41621"/>
    <w:rsid w:val="7CCD57C5"/>
    <w:rsid w:val="7CD64B89"/>
    <w:rsid w:val="7CFD1F85"/>
    <w:rsid w:val="7D0723C7"/>
    <w:rsid w:val="7D10766F"/>
    <w:rsid w:val="7D1136F7"/>
    <w:rsid w:val="7D223FE1"/>
    <w:rsid w:val="7D851B58"/>
    <w:rsid w:val="7DCD0FCE"/>
    <w:rsid w:val="7E1C3145"/>
    <w:rsid w:val="7E2010C6"/>
    <w:rsid w:val="7E4234E1"/>
    <w:rsid w:val="7E4F352C"/>
    <w:rsid w:val="7E8C467E"/>
    <w:rsid w:val="7E8F6A6B"/>
    <w:rsid w:val="7EC54DBD"/>
    <w:rsid w:val="7EC93871"/>
    <w:rsid w:val="7EFC1450"/>
    <w:rsid w:val="7F097EC6"/>
    <w:rsid w:val="7F25157A"/>
    <w:rsid w:val="7F2C2FB4"/>
    <w:rsid w:val="7F4935EE"/>
    <w:rsid w:val="7F551A8E"/>
    <w:rsid w:val="7F67411D"/>
    <w:rsid w:val="7F6D458E"/>
    <w:rsid w:val="7F6F60AC"/>
    <w:rsid w:val="7F8D2BB6"/>
    <w:rsid w:val="7F92418F"/>
    <w:rsid w:val="7FB35AB2"/>
    <w:rsid w:val="7FBE237B"/>
    <w:rsid w:val="7FCD12DD"/>
    <w:rsid w:val="7FE474C5"/>
    <w:rsid w:val="DFFF3833"/>
    <w:rsid w:val="FDFBA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uiPriority="0" w:name="toc 4"/>
    <w:lsdException w:uiPriority="0" w:name="toc 5"/>
    <w:lsdException w:qFormat="1" w:uiPriority="39" w:semiHidden="0" w:name="toc 6"/>
    <w:lsdException w:uiPriority="0" w:name="toc 7"/>
    <w:lsdException w:uiPriority="0" w:name="toc 8"/>
    <w:lsdException w:uiPriority="0" w:name="toc 9"/>
    <w:lsdException w:qFormat="1"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iPriority="0" w:name="Note Heading"/>
    <w:lsdException w:uiPriority="0" w:name="Body Text 2"/>
    <w:lsdException w:qFormat="1" w:unhideWhenUsed="0" w:uiPriority="99" w:semiHidden="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0" w:semiHidden="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4"/>
      <w:szCs w:val="24"/>
      <w:lang w:val="en-US" w:eastAsia="zh-CN" w:bidi="ar-SA"/>
    </w:rPr>
  </w:style>
  <w:style w:type="paragraph" w:styleId="2">
    <w:name w:val="heading 1"/>
    <w:basedOn w:val="1"/>
    <w:next w:val="1"/>
    <w:qFormat/>
    <w:uiPriority w:val="0"/>
    <w:pPr>
      <w:keepNext/>
      <w:overflowPunct w:val="0"/>
      <w:autoSpaceDE w:val="0"/>
      <w:autoSpaceDN w:val="0"/>
      <w:adjustRightInd w:val="0"/>
      <w:snapToGrid w:val="0"/>
      <w:spacing w:before="240" w:after="240"/>
      <w:ind w:firstLine="402"/>
      <w:textAlignment w:val="baseline"/>
      <w:outlineLvl w:val="0"/>
    </w:pPr>
    <w:rPr>
      <w:rFonts w:ascii="Times New Roman" w:hAnsi="Times New Roman" w:cs="Times New Roman"/>
      <w:b/>
      <w:vanish/>
      <w:color w:val="000000"/>
      <w:kern w:val="28"/>
      <w:sz w:val="36"/>
      <w:szCs w:val="36"/>
    </w:rPr>
  </w:style>
  <w:style w:type="paragraph" w:styleId="3">
    <w:name w:val="heading 2"/>
    <w:basedOn w:val="1"/>
    <w:next w:val="1"/>
    <w:autoRedefine/>
    <w:qFormat/>
    <w:uiPriority w:val="0"/>
    <w:pPr>
      <w:keepNext/>
      <w:keepLines/>
      <w:spacing w:line="360" w:lineRule="auto"/>
      <w:ind w:firstLine="200"/>
      <w:outlineLvl w:val="1"/>
    </w:pPr>
    <w:rPr>
      <w:rFonts w:ascii="Arial" w:hAnsi="Arial" w:eastAsia="Arial" w:cs="Arial"/>
      <w:b/>
      <w:bCs/>
      <w:color w:val="000000"/>
      <w:sz w:val="21"/>
      <w:szCs w:val="21"/>
    </w:rPr>
  </w:style>
  <w:style w:type="paragraph" w:styleId="4">
    <w:name w:val="heading 3"/>
    <w:basedOn w:val="1"/>
    <w:next w:val="1"/>
    <w:autoRedefine/>
    <w:qFormat/>
    <w:uiPriority w:val="9"/>
    <w:pPr>
      <w:keepNext/>
      <w:keepLines/>
      <w:spacing w:line="416" w:lineRule="auto"/>
      <w:outlineLvl w:val="2"/>
    </w:pPr>
    <w:rPr>
      <w:rFonts w:ascii="Calibri" w:hAnsi="Calibri"/>
      <w:b/>
      <w:bCs/>
      <w:sz w:val="32"/>
      <w:szCs w:val="32"/>
    </w:rPr>
  </w:style>
  <w:style w:type="paragraph" w:styleId="5">
    <w:name w:val="heading 4"/>
    <w:basedOn w:val="1"/>
    <w:next w:val="1"/>
    <w:autoRedefine/>
    <w:qFormat/>
    <w:uiPriority w:val="99"/>
    <w:pPr>
      <w:widowControl/>
      <w:spacing w:before="100" w:beforeAutospacing="1" w:after="100" w:afterAutospacing="1"/>
      <w:jc w:val="left"/>
      <w:outlineLvl w:val="3"/>
    </w:pPr>
    <w:rPr>
      <w:kern w:val="0"/>
      <w:szCs w:val="20"/>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unhideWhenUsed/>
    <w:qFormat/>
    <w:uiPriority w:val="0"/>
    <w:pPr>
      <w:ind w:firstLine="420" w:firstLineChars="200"/>
    </w:pPr>
    <w:rPr>
      <w:rFonts w:ascii="Times New Roman" w:hAnsi="Times New Roman" w:cs="Times New Roman"/>
      <w:sz w:val="21"/>
      <w:szCs w:val="21"/>
    </w:rPr>
  </w:style>
  <w:style w:type="paragraph" w:styleId="7">
    <w:name w:val="Body Text Indent"/>
    <w:basedOn w:val="1"/>
    <w:next w:val="1"/>
    <w:link w:val="34"/>
    <w:qFormat/>
    <w:uiPriority w:val="0"/>
    <w:pPr>
      <w:spacing w:line="200" w:lineRule="atLeast"/>
      <w:ind w:firstLine="301"/>
    </w:pPr>
    <w:rPr>
      <w:rFonts w:hAnsi="Courier New" w:cs="Times New Roman"/>
      <w:spacing w:val="-4"/>
      <w:sz w:val="18"/>
      <w:szCs w:val="20"/>
    </w:rPr>
  </w:style>
  <w:style w:type="paragraph" w:styleId="8">
    <w:name w:val="annotation text"/>
    <w:basedOn w:val="1"/>
    <w:link w:val="35"/>
    <w:autoRedefine/>
    <w:unhideWhenUsed/>
    <w:qFormat/>
    <w:uiPriority w:val="99"/>
    <w:pPr>
      <w:jc w:val="left"/>
    </w:pPr>
    <w:rPr>
      <w:rFonts w:ascii="Times New Roman" w:hAnsi="Times New Roman" w:cs="Times New Roman"/>
      <w:sz w:val="28"/>
    </w:rPr>
  </w:style>
  <w:style w:type="paragraph" w:styleId="9">
    <w:name w:val="Body Text 3"/>
    <w:basedOn w:val="1"/>
    <w:autoRedefine/>
    <w:qFormat/>
    <w:uiPriority w:val="99"/>
    <w:pPr>
      <w:spacing w:line="440" w:lineRule="atLeast"/>
      <w:jc w:val="center"/>
    </w:pPr>
    <w:rPr>
      <w:rFonts w:ascii="楷体_GB2312" w:eastAsia="楷体_GB2312"/>
      <w:b/>
      <w:color w:val="000000"/>
      <w:sz w:val="30"/>
    </w:rPr>
  </w:style>
  <w:style w:type="paragraph" w:styleId="10">
    <w:name w:val="Body Text"/>
    <w:basedOn w:val="1"/>
    <w:next w:val="1"/>
    <w:autoRedefine/>
    <w:unhideWhenUsed/>
    <w:qFormat/>
    <w:uiPriority w:val="0"/>
    <w:pPr>
      <w:spacing w:after="120"/>
    </w:pPr>
  </w:style>
  <w:style w:type="paragraph" w:styleId="11">
    <w:name w:val="toc 3"/>
    <w:basedOn w:val="1"/>
    <w:next w:val="1"/>
    <w:autoRedefine/>
    <w:unhideWhenUsed/>
    <w:qFormat/>
    <w:uiPriority w:val="0"/>
    <w:pPr>
      <w:ind w:left="840" w:leftChars="400"/>
    </w:pPr>
  </w:style>
  <w:style w:type="paragraph" w:styleId="12">
    <w:name w:val="Plain Text"/>
    <w:basedOn w:val="1"/>
    <w:next w:val="10"/>
    <w:link w:val="33"/>
    <w:autoRedefine/>
    <w:qFormat/>
    <w:uiPriority w:val="99"/>
    <w:pPr>
      <w:spacing w:beforeLines="50" w:afterLines="50" w:line="400" w:lineRule="atLeast"/>
    </w:pPr>
    <w:rPr>
      <w:rFonts w:hAnsi="Courier New" w:cs="Times New Roman"/>
    </w:rPr>
  </w:style>
  <w:style w:type="paragraph" w:styleId="13">
    <w:name w:val="Balloon Text"/>
    <w:basedOn w:val="1"/>
    <w:link w:val="36"/>
    <w:autoRedefine/>
    <w:qFormat/>
    <w:uiPriority w:val="0"/>
    <w:rPr>
      <w:rFonts w:cs="Times New Roman"/>
      <w:sz w:val="18"/>
      <w:szCs w:val="18"/>
    </w:rPr>
  </w:style>
  <w:style w:type="paragraph" w:styleId="14">
    <w:name w:val="footer"/>
    <w:basedOn w:val="1"/>
    <w:link w:val="37"/>
    <w:autoRedefine/>
    <w:qFormat/>
    <w:uiPriority w:val="99"/>
    <w:pPr>
      <w:tabs>
        <w:tab w:val="center" w:pos="4153"/>
        <w:tab w:val="right" w:pos="8306"/>
      </w:tabs>
      <w:snapToGrid w:val="0"/>
      <w:jc w:val="left"/>
    </w:pPr>
    <w:rPr>
      <w:rFonts w:cs="Times New Roman"/>
      <w:sz w:val="18"/>
    </w:rPr>
  </w:style>
  <w:style w:type="paragraph" w:styleId="15">
    <w:name w:val="envelope return"/>
    <w:basedOn w:val="1"/>
    <w:autoRedefine/>
    <w:unhideWhenUsed/>
    <w:qFormat/>
    <w:uiPriority w:val="99"/>
    <w:pPr>
      <w:snapToGrid w:val="0"/>
    </w:pPr>
    <w:rPr>
      <w:rFonts w:ascii="Cambria" w:hAnsi="Cambria" w:cs="Times New Roman"/>
    </w:rPr>
  </w:style>
  <w:style w:type="paragraph" w:styleId="16">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unhideWhenUsed/>
    <w:qFormat/>
    <w:uiPriority w:val="0"/>
  </w:style>
  <w:style w:type="paragraph" w:styleId="18">
    <w:name w:val="toc 6"/>
    <w:basedOn w:val="1"/>
    <w:next w:val="1"/>
    <w:autoRedefine/>
    <w:unhideWhenUsed/>
    <w:qFormat/>
    <w:uiPriority w:val="39"/>
    <w:rPr>
      <w:rFonts w:ascii="Calibri" w:hAnsi="Calibri"/>
      <w:sz w:val="22"/>
      <w:szCs w:val="22"/>
    </w:rPr>
  </w:style>
  <w:style w:type="paragraph" w:styleId="19">
    <w:name w:val="toc 2"/>
    <w:basedOn w:val="1"/>
    <w:next w:val="1"/>
    <w:unhideWhenUsed/>
    <w:qFormat/>
    <w:uiPriority w:val="0"/>
    <w:pPr>
      <w:ind w:left="420" w:leftChars="200"/>
    </w:pPr>
  </w:style>
  <w:style w:type="paragraph" w:styleId="20">
    <w:name w:val="Normal (Web)"/>
    <w:basedOn w:val="1"/>
    <w:autoRedefine/>
    <w:unhideWhenUsed/>
    <w:qFormat/>
    <w:uiPriority w:val="99"/>
    <w:pPr>
      <w:widowControl/>
      <w:spacing w:before="100" w:beforeAutospacing="1" w:after="100" w:afterAutospacing="1"/>
      <w:jc w:val="left"/>
    </w:pPr>
    <w:rPr>
      <w:kern w:val="0"/>
    </w:rPr>
  </w:style>
  <w:style w:type="paragraph" w:styleId="21">
    <w:name w:val="Title"/>
    <w:basedOn w:val="1"/>
    <w:next w:val="1"/>
    <w:autoRedefine/>
    <w:qFormat/>
    <w:uiPriority w:val="0"/>
    <w:pPr>
      <w:tabs>
        <w:tab w:val="left" w:pos="1200"/>
      </w:tabs>
      <w:spacing w:after="624" w:afterLines="200"/>
      <w:ind w:left="1440" w:hanging="720"/>
      <w:jc w:val="center"/>
    </w:pPr>
    <w:rPr>
      <w:b/>
      <w:bCs/>
      <w:spacing w:val="60"/>
      <w:sz w:val="32"/>
    </w:rPr>
  </w:style>
  <w:style w:type="paragraph" w:styleId="22">
    <w:name w:val="annotation subject"/>
    <w:basedOn w:val="8"/>
    <w:next w:val="8"/>
    <w:link w:val="38"/>
    <w:autoRedefine/>
    <w:unhideWhenUsed/>
    <w:qFormat/>
    <w:uiPriority w:val="0"/>
    <w:rPr>
      <w:rFonts w:ascii="宋体" w:hAnsi="宋体"/>
      <w:b/>
      <w:bCs/>
      <w:sz w:val="24"/>
    </w:rPr>
  </w:style>
  <w:style w:type="paragraph" w:styleId="23">
    <w:name w:val="Body Text First Indent"/>
    <w:basedOn w:val="10"/>
    <w:autoRedefine/>
    <w:unhideWhenUsed/>
    <w:qFormat/>
    <w:uiPriority w:val="99"/>
    <w:pPr>
      <w:widowControl/>
      <w:ind w:firstLine="420" w:firstLineChars="100"/>
      <w:jc w:val="left"/>
    </w:pPr>
  </w:style>
  <w:style w:type="paragraph" w:styleId="24">
    <w:name w:val="Body Text First Indent 2"/>
    <w:basedOn w:val="7"/>
    <w:autoRedefine/>
    <w:unhideWhenUsed/>
    <w:qFormat/>
    <w:uiPriority w:val="99"/>
    <w:pPr>
      <w:ind w:firstLine="420"/>
    </w:p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autoRedefine/>
    <w:qFormat/>
    <w:uiPriority w:val="0"/>
    <w:rPr>
      <w:rFonts w:ascii="Arial" w:hAnsi="Arial" w:eastAsia="黑体" w:cs="Arial"/>
      <w:snapToGrid w:val="0"/>
      <w:kern w:val="0"/>
      <w:szCs w:val="21"/>
    </w:rPr>
  </w:style>
  <w:style w:type="character" w:styleId="29">
    <w:name w:val="Emphasis"/>
    <w:basedOn w:val="27"/>
    <w:autoRedefine/>
    <w:qFormat/>
    <w:uiPriority w:val="0"/>
    <w:rPr>
      <w:i/>
    </w:rPr>
  </w:style>
  <w:style w:type="character" w:styleId="30">
    <w:name w:val="Hyperlink"/>
    <w:autoRedefine/>
    <w:unhideWhenUsed/>
    <w:qFormat/>
    <w:uiPriority w:val="99"/>
    <w:rPr>
      <w:color w:val="0000FF"/>
      <w:u w:val="single"/>
    </w:rPr>
  </w:style>
  <w:style w:type="character" w:styleId="31">
    <w:name w:val="annotation reference"/>
    <w:autoRedefine/>
    <w:unhideWhenUsed/>
    <w:qFormat/>
    <w:uiPriority w:val="99"/>
    <w:rPr>
      <w:sz w:val="21"/>
      <w:szCs w:val="21"/>
    </w:rPr>
  </w:style>
  <w:style w:type="character" w:styleId="32">
    <w:name w:val="HTML Sample"/>
    <w:basedOn w:val="27"/>
    <w:autoRedefine/>
    <w:unhideWhenUsed/>
    <w:qFormat/>
    <w:uiPriority w:val="0"/>
    <w:rPr>
      <w:rFonts w:ascii="Courier New" w:hAnsi="Courier New"/>
    </w:rPr>
  </w:style>
  <w:style w:type="character" w:customStyle="1" w:styleId="33">
    <w:name w:val="纯文本 Char"/>
    <w:link w:val="12"/>
    <w:autoRedefine/>
    <w:qFormat/>
    <w:uiPriority w:val="99"/>
    <w:rPr>
      <w:rFonts w:ascii="宋体" w:hAnsi="Courier New" w:eastAsia="宋体" w:cs="Times New Roman"/>
      <w:kern w:val="2"/>
      <w:sz w:val="24"/>
      <w:szCs w:val="24"/>
    </w:rPr>
  </w:style>
  <w:style w:type="character" w:customStyle="1" w:styleId="34">
    <w:name w:val="正文文本缩进 Char"/>
    <w:link w:val="7"/>
    <w:autoRedefine/>
    <w:qFormat/>
    <w:uiPriority w:val="0"/>
    <w:rPr>
      <w:rFonts w:ascii="宋体" w:hAnsi="Courier New"/>
      <w:spacing w:val="-4"/>
      <w:kern w:val="2"/>
      <w:sz w:val="18"/>
    </w:rPr>
  </w:style>
  <w:style w:type="character" w:customStyle="1" w:styleId="35">
    <w:name w:val="批注文字 Char"/>
    <w:link w:val="8"/>
    <w:autoRedefine/>
    <w:qFormat/>
    <w:uiPriority w:val="99"/>
    <w:rPr>
      <w:kern w:val="2"/>
      <w:sz w:val="28"/>
      <w:szCs w:val="24"/>
    </w:rPr>
  </w:style>
  <w:style w:type="character" w:customStyle="1" w:styleId="36">
    <w:name w:val="批注框文本 Char"/>
    <w:link w:val="13"/>
    <w:autoRedefine/>
    <w:qFormat/>
    <w:uiPriority w:val="0"/>
    <w:rPr>
      <w:rFonts w:ascii="宋体" w:hAnsi="宋体" w:cs="宋体"/>
      <w:kern w:val="2"/>
      <w:sz w:val="18"/>
      <w:szCs w:val="18"/>
    </w:rPr>
  </w:style>
  <w:style w:type="character" w:customStyle="1" w:styleId="37">
    <w:name w:val="页脚 Char"/>
    <w:link w:val="14"/>
    <w:autoRedefine/>
    <w:qFormat/>
    <w:uiPriority w:val="99"/>
    <w:rPr>
      <w:rFonts w:ascii="宋体" w:hAnsi="宋体" w:cs="宋体"/>
      <w:kern w:val="2"/>
      <w:sz w:val="18"/>
      <w:szCs w:val="24"/>
    </w:rPr>
  </w:style>
  <w:style w:type="character" w:customStyle="1" w:styleId="38">
    <w:name w:val="批注主题 Char"/>
    <w:link w:val="22"/>
    <w:autoRedefine/>
    <w:semiHidden/>
    <w:qFormat/>
    <w:uiPriority w:val="0"/>
    <w:rPr>
      <w:rFonts w:ascii="宋体" w:hAnsi="宋体" w:cs="宋体"/>
      <w:b/>
      <w:bCs/>
      <w:kern w:val="2"/>
      <w:sz w:val="24"/>
      <w:szCs w:val="24"/>
    </w:rPr>
  </w:style>
  <w:style w:type="character" w:customStyle="1" w:styleId="39">
    <w:name w:val="未处理的提及1"/>
    <w:autoRedefine/>
    <w:unhideWhenUsed/>
    <w:qFormat/>
    <w:uiPriority w:val="99"/>
    <w:rPr>
      <w:color w:val="605E5C"/>
      <w:shd w:val="clear" w:color="auto" w:fill="E1DFDD"/>
    </w:rPr>
  </w:style>
  <w:style w:type="character" w:customStyle="1" w:styleId="40">
    <w:name w:val="正文文本缩进 字符2"/>
    <w:autoRedefine/>
    <w:qFormat/>
    <w:uiPriority w:val="0"/>
    <w:rPr>
      <w:rFonts w:ascii="宋体" w:hAnsi="Courier New"/>
      <w:spacing w:val="-4"/>
      <w:kern w:val="2"/>
      <w:sz w:val="18"/>
    </w:rPr>
  </w:style>
  <w:style w:type="character" w:customStyle="1" w:styleId="41">
    <w:name w:val="纯文本 字符"/>
    <w:autoRedefine/>
    <w:qFormat/>
    <w:uiPriority w:val="0"/>
    <w:rPr>
      <w:rFonts w:ascii="宋体" w:hAnsi="Courier New" w:eastAsia="宋体" w:cs="Courier New"/>
      <w:kern w:val="2"/>
      <w:sz w:val="24"/>
      <w:szCs w:val="24"/>
    </w:rPr>
  </w:style>
  <w:style w:type="character" w:customStyle="1" w:styleId="42">
    <w:name w:val="font41"/>
    <w:autoRedefine/>
    <w:qFormat/>
    <w:uiPriority w:val="0"/>
    <w:rPr>
      <w:rFonts w:hint="eastAsia" w:ascii="宋体" w:hAnsi="宋体" w:eastAsia="宋体" w:cs="宋体"/>
      <w:color w:val="000000"/>
      <w:sz w:val="24"/>
      <w:szCs w:val="24"/>
      <w:u w:val="none"/>
    </w:rPr>
  </w:style>
  <w:style w:type="character" w:customStyle="1" w:styleId="43">
    <w:name w:val="15"/>
    <w:autoRedefine/>
    <w:qFormat/>
    <w:uiPriority w:val="0"/>
    <w:rPr>
      <w:rFonts w:hint="default" w:ascii="Times New Roman" w:hAnsi="Times New Roman" w:cs="Times New Roman"/>
    </w:rPr>
  </w:style>
  <w:style w:type="character" w:customStyle="1" w:styleId="44">
    <w:name w:val="font31"/>
    <w:autoRedefine/>
    <w:qFormat/>
    <w:uiPriority w:val="0"/>
    <w:rPr>
      <w:rFonts w:hint="default" w:ascii="Arial" w:hAnsi="Arial" w:cs="Arial"/>
      <w:color w:val="000000"/>
      <w:sz w:val="20"/>
      <w:szCs w:val="20"/>
      <w:u w:val="none"/>
    </w:rPr>
  </w:style>
  <w:style w:type="character" w:customStyle="1" w:styleId="45">
    <w:name w:val="正文文本缩进 字符"/>
    <w:autoRedefine/>
    <w:qFormat/>
    <w:uiPriority w:val="0"/>
    <w:rPr>
      <w:rFonts w:ascii="宋体" w:hAnsi="宋体" w:cs="宋体"/>
      <w:kern w:val="2"/>
      <w:sz w:val="24"/>
      <w:szCs w:val="24"/>
    </w:rPr>
  </w:style>
  <w:style w:type="character" w:customStyle="1" w:styleId="46">
    <w:name w:val="16"/>
    <w:autoRedefine/>
    <w:qFormat/>
    <w:uiPriority w:val="0"/>
    <w:rPr>
      <w:rFonts w:hint="default" w:ascii="Times New Roman" w:hAnsi="Times New Roman" w:cs="Times New Roman"/>
    </w:rPr>
  </w:style>
  <w:style w:type="paragraph" w:customStyle="1" w:styleId="47">
    <w:name w:val="列表段落1"/>
    <w:basedOn w:val="1"/>
    <w:autoRedefine/>
    <w:qFormat/>
    <w:uiPriority w:val="0"/>
    <w:pPr>
      <w:ind w:firstLine="420" w:firstLineChars="200"/>
    </w:pPr>
    <w:rPr>
      <w:rFonts w:ascii="Calibri" w:hAnsi="Calibri" w:cs="Times New Roman"/>
      <w:sz w:val="21"/>
      <w:szCs w:val="21"/>
    </w:rPr>
  </w:style>
  <w:style w:type="paragraph" w:customStyle="1" w:styleId="48">
    <w:name w:val="_Style 47"/>
    <w:autoRedefine/>
    <w:unhideWhenUsed/>
    <w:qFormat/>
    <w:uiPriority w:val="99"/>
    <w:rPr>
      <w:rFonts w:ascii="宋体" w:hAnsi="宋体" w:eastAsia="宋体" w:cs="宋体"/>
      <w:kern w:val="2"/>
      <w:sz w:val="24"/>
      <w:szCs w:val="24"/>
      <w:lang w:val="en-US" w:eastAsia="zh-CN" w:bidi="ar-SA"/>
    </w:rPr>
  </w:style>
  <w:style w:type="paragraph" w:customStyle="1" w:styleId="49">
    <w:name w:val="_Style 1"/>
    <w:autoRedefine/>
    <w:qFormat/>
    <w:uiPriority w:val="0"/>
    <w:rPr>
      <w:rFonts w:ascii="Calibri" w:hAnsi="Calibri" w:eastAsia="宋体" w:cs="Times New Roman"/>
      <w:kern w:val="2"/>
      <w:sz w:val="28"/>
      <w:szCs w:val="22"/>
      <w:lang w:val="en-US" w:eastAsia="zh-CN" w:bidi="ar-SA"/>
    </w:rPr>
  </w:style>
  <w:style w:type="paragraph" w:customStyle="1" w:styleId="50">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1">
    <w:name w:val="表格文字"/>
    <w:basedOn w:val="1"/>
    <w:next w:val="10"/>
    <w:autoRedefine/>
    <w:qFormat/>
    <w:uiPriority w:val="99"/>
    <w:pPr>
      <w:spacing w:line="420" w:lineRule="atLeast"/>
      <w:textAlignment w:val="baseline"/>
    </w:pPr>
    <w:rPr>
      <w:rFonts w:ascii="Calibri" w:hAnsi="Calibri"/>
    </w:rPr>
  </w:style>
  <w:style w:type="paragraph" w:customStyle="1" w:styleId="52">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3">
    <w:name w:val="正文2"/>
    <w:basedOn w:val="1"/>
    <w:autoRedefine/>
    <w:qFormat/>
    <w:uiPriority w:val="0"/>
    <w:pPr>
      <w:spacing w:before="156" w:line="360" w:lineRule="auto"/>
      <w:ind w:firstLine="200" w:firstLineChars="200"/>
    </w:pPr>
    <w:rPr>
      <w:rFonts w:eastAsia="??"/>
      <w:szCs w:val="28"/>
    </w:rPr>
  </w:style>
  <w:style w:type="paragraph" w:customStyle="1" w:styleId="54">
    <w:name w:val="Default"/>
    <w:next w:val="50"/>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5">
    <w:name w:val="自定义正文"/>
    <w:basedOn w:val="1"/>
    <w:autoRedefine/>
    <w:qFormat/>
    <w:uiPriority w:val="0"/>
    <w:pPr>
      <w:spacing w:after="156" w:afterLines="50" w:line="360" w:lineRule="auto"/>
      <w:ind w:firstLine="200" w:firstLineChars="200"/>
      <w:jc w:val="left"/>
    </w:pPr>
    <w:rPr>
      <w:rFonts w:ascii="Times New Roman" w:hAnsi="Times New Roman" w:cs="Times New Roman"/>
    </w:rPr>
  </w:style>
  <w:style w:type="paragraph" w:customStyle="1" w:styleId="5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7">
    <w:name w:val="修订1"/>
    <w:autoRedefine/>
    <w:semiHidden/>
    <w:qFormat/>
    <w:uiPriority w:val="99"/>
    <w:rPr>
      <w:rFonts w:ascii="宋体" w:hAnsi="宋体" w:eastAsia="宋体" w:cs="宋体"/>
      <w:kern w:val="2"/>
      <w:sz w:val="24"/>
      <w:szCs w:val="24"/>
      <w:lang w:val="en-US" w:eastAsia="zh-CN" w:bidi="ar-SA"/>
    </w:rPr>
  </w:style>
  <w:style w:type="paragraph" w:customStyle="1" w:styleId="58">
    <w:name w:val="首行缩进"/>
    <w:basedOn w:val="1"/>
    <w:autoRedefine/>
    <w:qFormat/>
    <w:uiPriority w:val="0"/>
    <w:pPr>
      <w:spacing w:line="360" w:lineRule="auto"/>
      <w:ind w:firstLine="480" w:firstLineChars="200"/>
    </w:pPr>
  </w:style>
  <w:style w:type="paragraph" w:customStyle="1" w:styleId="59">
    <w:name w:val="样式 正文缩进 + 首行缩进: 2 字符"/>
    <w:autoRedefine/>
    <w:qFormat/>
    <w:uiPriority w:val="0"/>
    <w:pPr>
      <w:spacing w:line="360" w:lineRule="auto"/>
      <w:ind w:firstLine="200"/>
    </w:pPr>
    <w:rPr>
      <w:rFonts w:ascii="Times New Roman" w:hAnsi="Times New Roman" w:eastAsia="仿宋" w:cs="Times New Roman"/>
      <w:sz w:val="24"/>
      <w:szCs w:val="24"/>
      <w:lang w:val="en-US" w:eastAsia="zh-CN" w:bidi="ar-SA"/>
    </w:rPr>
  </w:style>
  <w:style w:type="paragraph" w:customStyle="1" w:styleId="60">
    <w:name w:val="纯文本_0_0"/>
    <w:basedOn w:val="61"/>
    <w:autoRedefine/>
    <w:qFormat/>
    <w:uiPriority w:val="0"/>
    <w:rPr>
      <w:rFonts w:ascii="宋体" w:hAnsi="Courier New"/>
      <w:szCs w:val="21"/>
    </w:rPr>
  </w:style>
  <w:style w:type="paragraph" w:customStyle="1" w:styleId="6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样式 小四 行距: 1.5 倍行距 首行缩进: 2 字符"/>
    <w:basedOn w:val="1"/>
    <w:qFormat/>
    <w:uiPriority w:val="0"/>
    <w:pPr>
      <w:spacing w:line="360" w:lineRule="auto"/>
      <w:ind w:firstLine="480" w:firstLineChars="200"/>
    </w:pPr>
    <w:rPr>
      <w:rFonts w:ascii="Times New Roman" w:hAnsi="Times New Roman" w:cs="Times New Roman"/>
    </w:rPr>
  </w:style>
  <w:style w:type="paragraph" w:customStyle="1" w:styleId="63">
    <w:name w:val="正文空2字"/>
    <w:basedOn w:val="6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
    <w:name w:val="左对齐正文"/>
    <w:qFormat/>
    <w:uiPriority w:val="99"/>
    <w:rPr>
      <w:rFonts w:ascii="Calibri" w:hAnsi="Calibri" w:eastAsia="仿宋_GB2312" w:cs="Calibri"/>
      <w:kern w:val="2"/>
      <w:sz w:val="32"/>
      <w:szCs w:val="32"/>
      <w:lang w:val="en-US" w:eastAsia="zh-CN" w:bidi="ar-SA"/>
    </w:rPr>
  </w:style>
  <w:style w:type="paragraph" w:customStyle="1" w:styleId="65">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66">
    <w:name w:val="样式1"/>
    <w:basedOn w:val="1"/>
    <w:qFormat/>
    <w:uiPriority w:val="0"/>
    <w:pPr>
      <w:spacing w:line="360" w:lineRule="exact"/>
      <w:ind w:firstLine="200" w:firstLineChars="200"/>
    </w:pPr>
    <w:rPr>
      <w:rFonts w:ascii="Arial" w:hAnsi="Arial"/>
      <w:szCs w:val="20"/>
    </w:rPr>
  </w:style>
  <w:style w:type="paragraph" w:customStyle="1" w:styleId="67">
    <w:name w:val="WPSOffice手动目录 1"/>
    <w:qFormat/>
    <w:uiPriority w:val="0"/>
    <w:rPr>
      <w:rFonts w:ascii="Times New Roman" w:hAnsi="Times New Roman" w:eastAsia="宋体" w:cs="Times New Roman"/>
      <w:lang w:val="en-US" w:eastAsia="zh-CN" w:bidi="ar-SA"/>
    </w:rPr>
  </w:style>
  <w:style w:type="paragraph" w:customStyle="1" w:styleId="68">
    <w:name w:val="列出段落1"/>
    <w:basedOn w:val="1"/>
    <w:qFormat/>
    <w:uiPriority w:val="99"/>
    <w:pPr>
      <w:ind w:firstLine="420" w:firstLineChars="200"/>
    </w:pPr>
  </w:style>
  <w:style w:type="paragraph" w:customStyle="1" w:styleId="69">
    <w:name w:val="无间隔1"/>
    <w:qFormat/>
    <w:uiPriority w:val="0"/>
    <w:rPr>
      <w:rFonts w:ascii="Times New Roman" w:hAnsi="Times New Roman" w:eastAsia="宋体" w:cs="Times New Roman"/>
      <w:sz w:val="22"/>
      <w:szCs w:val="22"/>
      <w:lang w:val="en-US" w:eastAsia="en-US" w:bidi="ar-SA"/>
    </w:rPr>
  </w:style>
  <w:style w:type="character" w:customStyle="1" w:styleId="70">
    <w:name w:val="10"/>
    <w:basedOn w:val="27"/>
    <w:qFormat/>
    <w:uiPriority w:val="0"/>
    <w:rPr>
      <w:rFonts w:hint="default" w:ascii="Times New Roman" w:hAnsi="Times New Roman" w:cs="Times New Roman"/>
    </w:rPr>
  </w:style>
  <w:style w:type="character" w:styleId="71">
    <w:name w:val="Placeholder Text"/>
    <w:basedOn w:val="27"/>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76</Pages>
  <Words>3739</Words>
  <Characters>4219</Characters>
  <Lines>1</Lines>
  <Paragraphs>1</Paragraphs>
  <TotalTime>16</TotalTime>
  <ScaleCrop>false</ScaleCrop>
  <LinksUpToDate>false</LinksUpToDate>
  <CharactersWithSpaces>4256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2023-05-17T02:40:00Z</dcterms:created>
  <dc:creator>Administrator</dc:creator>
  <cp:lastModifiedBy>yubin</cp:lastModifiedBy>
  <cp:lastPrinted>2022-02-28T13:42:00Z</cp:lastPrinted>
  <dcterms:modified xsi:type="dcterms:W3CDTF">2025-07-16T08:09:47Z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986FDFA7152446DEA7AE8A35EB736AD4_13</vt:lpwstr>
  </property>
  <property fmtid="{D5CDD505-2E9C-101B-9397-08002B2CF9AE}" pid="4" name="KSOTemplateDocerSaveRecord">
    <vt:lpwstr>eyJoZGlkIjoiNDA1NjJhY2YzNGY0NzY5M2ZmM2Y0ZjcwMmY2ODQ2YTYiLCJ1c2VySWQiOiIxNjEzNTQ4OTc4In0=</vt:lpwstr>
  </property>
</Properties>
</file>