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161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7FFF8B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pacing w:val="-6"/>
          <w:sz w:val="84"/>
          <w:szCs w:val="84"/>
          <w:highlight w:val="none"/>
        </w:rPr>
      </w:pPr>
    </w:p>
    <w:p w14:paraId="50C6C6D3">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84"/>
          <w:szCs w:val="84"/>
          <w:highlight w:val="none"/>
          <w:lang w:eastAsia="zh-CN"/>
        </w:rPr>
      </w:pPr>
      <w:r>
        <w:rPr>
          <w:rFonts w:hint="eastAsia" w:ascii="仿宋" w:hAnsi="仿宋" w:eastAsia="仿宋" w:cs="仿宋"/>
          <w:b/>
          <w:color w:val="auto"/>
          <w:spacing w:val="-6"/>
          <w:sz w:val="84"/>
          <w:szCs w:val="84"/>
          <w:highlight w:val="none"/>
          <w:lang w:eastAsia="zh-CN"/>
        </w:rPr>
        <w:t>浙江理工大学</w:t>
      </w:r>
    </w:p>
    <w:p w14:paraId="7135D7CC">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52"/>
          <w:szCs w:val="52"/>
          <w:highlight w:val="none"/>
          <w:lang w:eastAsia="zh-CN"/>
        </w:rPr>
      </w:pPr>
      <w:r>
        <w:rPr>
          <w:rFonts w:hint="eastAsia" w:ascii="仿宋" w:hAnsi="仿宋" w:eastAsia="仿宋" w:cs="仿宋"/>
          <w:b/>
          <w:color w:val="auto"/>
          <w:spacing w:val="-6"/>
          <w:sz w:val="52"/>
          <w:szCs w:val="52"/>
          <w:highlight w:val="none"/>
          <w:lang w:eastAsia="zh-CN"/>
        </w:rPr>
        <w:t>工业互联网工程技术人员培训、</w:t>
      </w:r>
    </w:p>
    <w:p w14:paraId="56C5EEB3">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52"/>
          <w:szCs w:val="52"/>
          <w:highlight w:val="none"/>
          <w:lang w:eastAsia="zh-CN"/>
        </w:rPr>
      </w:pPr>
      <w:r>
        <w:rPr>
          <w:rFonts w:hint="eastAsia" w:ascii="仿宋" w:hAnsi="仿宋" w:eastAsia="仿宋" w:cs="仿宋"/>
          <w:b/>
          <w:color w:val="auto"/>
          <w:spacing w:val="-6"/>
          <w:sz w:val="52"/>
          <w:szCs w:val="52"/>
          <w:highlight w:val="none"/>
          <w:lang w:eastAsia="zh-CN"/>
        </w:rPr>
        <w:t>实训平台建设</w:t>
      </w:r>
    </w:p>
    <w:p w14:paraId="3266DAD9">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eastAsia="zh-CN"/>
        </w:rPr>
      </w:pPr>
    </w:p>
    <w:p w14:paraId="3C5406E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招 标 文 件</w:t>
      </w:r>
    </w:p>
    <w:p w14:paraId="108B3E0C">
      <w:pPr>
        <w:widowControl/>
        <w:adjustRightInd w:val="0"/>
        <w:snapToGrid w:val="0"/>
        <w:spacing w:line="288" w:lineRule="auto"/>
        <w:ind w:right="-2"/>
        <w:jc w:val="center"/>
        <w:rPr>
          <w:rFonts w:ascii="仿宋" w:hAnsi="仿宋" w:eastAsia="仿宋" w:cs="仿宋"/>
          <w:b/>
          <w:color w:val="auto"/>
          <w:sz w:val="36"/>
          <w:szCs w:val="24"/>
          <w:highlight w:val="none"/>
        </w:rPr>
      </w:pPr>
      <w:r>
        <w:rPr>
          <w:rFonts w:hint="eastAsia" w:ascii="仿宋" w:hAnsi="仿宋" w:eastAsia="仿宋" w:cs="仿宋"/>
          <w:b/>
          <w:color w:val="auto"/>
          <w:sz w:val="36"/>
          <w:szCs w:val="24"/>
          <w:highlight w:val="none"/>
        </w:rPr>
        <w:t>（线上电子招投标）</w:t>
      </w:r>
    </w:p>
    <w:p w14:paraId="52757BA5">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eastAsia="zh-CN"/>
        </w:rPr>
      </w:pPr>
    </w:p>
    <w:p w14:paraId="037E842C">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pacing w:val="-6"/>
          <w:sz w:val="72"/>
          <w:szCs w:val="72"/>
          <w:highlight w:val="none"/>
          <w:lang w:eastAsia="zh-CN"/>
        </w:rPr>
      </w:pPr>
    </w:p>
    <w:p w14:paraId="7299BA05">
      <w:pPr>
        <w:keepNext w:val="0"/>
        <w:keepLines w:val="0"/>
        <w:pageBreakBefore w:val="0"/>
        <w:widowControl w:val="0"/>
        <w:kinsoku/>
        <w:wordWrap/>
        <w:overflowPunct/>
        <w:topLinePunct w:val="0"/>
        <w:autoSpaceDE/>
        <w:autoSpaceDN/>
        <w:bidi w:val="0"/>
        <w:adjustRightInd w:val="0"/>
        <w:snapToGrid w:val="0"/>
        <w:spacing w:line="360" w:lineRule="auto"/>
        <w:ind w:firstLine="868" w:firstLineChars="3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项目名称：</w:t>
      </w:r>
      <w:r>
        <w:rPr>
          <w:rFonts w:hint="eastAsia" w:ascii="仿宋" w:hAnsi="仿宋" w:eastAsia="仿宋" w:cs="仿宋"/>
          <w:b/>
          <w:color w:val="auto"/>
          <w:spacing w:val="-6"/>
          <w:sz w:val="30"/>
          <w:szCs w:val="30"/>
          <w:highlight w:val="none"/>
          <w:lang w:eastAsia="zh-CN"/>
        </w:rPr>
        <w:t>工业互联网工程技术人员培训、实训平台建设</w:t>
      </w:r>
    </w:p>
    <w:p w14:paraId="5B6C58BB">
      <w:pPr>
        <w:keepNext w:val="0"/>
        <w:keepLines w:val="0"/>
        <w:pageBreakBefore w:val="0"/>
        <w:widowControl w:val="0"/>
        <w:kinsoku/>
        <w:wordWrap/>
        <w:overflowPunct/>
        <w:topLinePunct w:val="0"/>
        <w:autoSpaceDE/>
        <w:autoSpaceDN/>
        <w:bidi w:val="0"/>
        <w:adjustRightInd w:val="0"/>
        <w:snapToGrid w:val="0"/>
        <w:spacing w:line="360" w:lineRule="auto"/>
        <w:ind w:firstLine="868" w:firstLineChars="3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QSZBH250028ZHGK</w:t>
      </w:r>
    </w:p>
    <w:p w14:paraId="19C7127B">
      <w:pPr>
        <w:keepNext w:val="0"/>
        <w:keepLines w:val="0"/>
        <w:pageBreakBefore w:val="0"/>
        <w:widowControl w:val="0"/>
        <w:kinsoku/>
        <w:wordWrap/>
        <w:overflowPunct/>
        <w:topLinePunct w:val="0"/>
        <w:autoSpaceDE/>
        <w:autoSpaceDN/>
        <w:bidi w:val="0"/>
        <w:adjustRightInd w:val="0"/>
        <w:snapToGrid w:val="0"/>
        <w:spacing w:line="360" w:lineRule="auto"/>
        <w:ind w:firstLine="868" w:firstLineChars="3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采 购 人：</w:t>
      </w:r>
      <w:r>
        <w:rPr>
          <w:rFonts w:hint="eastAsia" w:ascii="仿宋" w:hAnsi="仿宋" w:eastAsia="仿宋" w:cs="仿宋"/>
          <w:b/>
          <w:color w:val="auto"/>
          <w:spacing w:val="-6"/>
          <w:sz w:val="30"/>
          <w:szCs w:val="30"/>
          <w:highlight w:val="none"/>
          <w:lang w:eastAsia="zh-CN"/>
        </w:rPr>
        <w:t>浙江理工大学</w:t>
      </w:r>
    </w:p>
    <w:p w14:paraId="3F68BFB2">
      <w:pPr>
        <w:keepNext w:val="0"/>
        <w:keepLines w:val="0"/>
        <w:pageBreakBefore w:val="0"/>
        <w:widowControl w:val="0"/>
        <w:kinsoku/>
        <w:wordWrap/>
        <w:overflowPunct/>
        <w:topLinePunct w:val="0"/>
        <w:autoSpaceDE/>
        <w:autoSpaceDN/>
        <w:bidi w:val="0"/>
        <w:adjustRightInd w:val="0"/>
        <w:snapToGrid w:val="0"/>
        <w:spacing w:line="360" w:lineRule="auto"/>
        <w:ind w:firstLine="868" w:firstLineChars="3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采购代理机构：浙江求是招标代理有限公司</w:t>
      </w:r>
    </w:p>
    <w:p w14:paraId="12F04A0D">
      <w:pPr>
        <w:keepNext w:val="0"/>
        <w:keepLines w:val="0"/>
        <w:pageBreakBefore w:val="0"/>
        <w:widowControl w:val="0"/>
        <w:kinsoku/>
        <w:wordWrap/>
        <w:overflowPunct/>
        <w:topLinePunct w:val="0"/>
        <w:autoSpaceDE/>
        <w:autoSpaceDN/>
        <w:bidi w:val="0"/>
        <w:adjustRightInd w:val="0"/>
        <w:snapToGrid w:val="0"/>
        <w:spacing w:line="360" w:lineRule="auto"/>
        <w:ind w:firstLine="868" w:firstLineChars="3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采购计划文号：</w:t>
      </w:r>
      <w:r>
        <w:rPr>
          <w:rFonts w:hint="eastAsia" w:ascii="仿宋" w:hAnsi="仿宋" w:eastAsia="仿宋" w:cs="仿宋"/>
          <w:b/>
          <w:color w:val="auto"/>
          <w:spacing w:val="-6"/>
          <w:sz w:val="30"/>
          <w:szCs w:val="30"/>
          <w:highlight w:val="none"/>
          <w:lang w:eastAsia="zh-CN"/>
        </w:rPr>
        <w:t>浙财采备[2025]40963、40964、40965号</w:t>
      </w:r>
    </w:p>
    <w:p w14:paraId="604D5BE2">
      <w:pPr>
        <w:adjustRightInd w:val="0"/>
        <w:snapToGrid w:val="0"/>
        <w:jc w:val="center"/>
        <w:rPr>
          <w:rFonts w:ascii="仿宋" w:hAnsi="仿宋" w:eastAsia="仿宋" w:cs="仿宋"/>
          <w:b/>
          <w:color w:val="auto"/>
          <w:sz w:val="32"/>
          <w:szCs w:val="32"/>
          <w:highlight w:val="none"/>
        </w:rPr>
        <w:sectPr>
          <w:headerReference r:id="rId3" w:type="default"/>
          <w:footerReference r:id="rId4" w:type="default"/>
          <w:pgSz w:w="11906" w:h="16838"/>
          <w:pgMar w:top="1440" w:right="1247" w:bottom="1440" w:left="1247" w:header="340" w:footer="850" w:gutter="0"/>
          <w:pgNumType w:start="1"/>
          <w:cols w:space="0" w:num="1"/>
          <w:rtlGutter w:val="0"/>
          <w:docGrid w:linePitch="381" w:charSpace="0"/>
        </w:sectPr>
      </w:pPr>
    </w:p>
    <w:p w14:paraId="48C46A64">
      <w:pPr>
        <w:adjustRightInd w:val="0"/>
        <w:snapToGrid w:val="0"/>
        <w:ind w:left="0" w:leftChars="0" w:right="0" w:rightChars="0" w:firstLine="0" w:firstLineChars="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14:paraId="30B61840">
      <w:pPr>
        <w:adjustRightInd w:val="0"/>
        <w:snapToGrid w:val="0"/>
        <w:jc w:val="center"/>
        <w:rPr>
          <w:rFonts w:ascii="仿宋" w:hAnsi="仿宋" w:eastAsia="仿宋" w:cs="仿宋"/>
          <w:b/>
          <w:color w:val="auto"/>
          <w:spacing w:val="-6"/>
          <w:sz w:val="30"/>
          <w:szCs w:val="30"/>
          <w:highlight w:val="none"/>
        </w:rPr>
      </w:pPr>
    </w:p>
    <w:p w14:paraId="3AD1F85C">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投标邀请</w:t>
      </w:r>
    </w:p>
    <w:p w14:paraId="2944EAB4">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14:paraId="661508EF">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投标人须知</w:t>
      </w:r>
    </w:p>
    <w:p w14:paraId="321C9347">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 xml:space="preserve">第四章  </w:t>
      </w:r>
      <w:r>
        <w:rPr>
          <w:rFonts w:hint="eastAsia" w:ascii="仿宋" w:hAnsi="仿宋" w:eastAsia="仿宋" w:cs="仿宋"/>
          <w:b/>
          <w:color w:val="auto"/>
          <w:spacing w:val="-6"/>
          <w:sz w:val="30"/>
          <w:szCs w:val="30"/>
          <w:highlight w:val="none"/>
          <w:lang w:eastAsia="zh-CN"/>
        </w:rPr>
        <w:t>评标方法和评标标准</w:t>
      </w:r>
    </w:p>
    <w:p w14:paraId="4C8FD8D8">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14:paraId="11A4D23A">
      <w:pPr>
        <w:keepNext w:val="0"/>
        <w:keepLines w:val="0"/>
        <w:pageBreakBefore w:val="0"/>
        <w:widowControl w:val="0"/>
        <w:kinsoku/>
        <w:wordWrap/>
        <w:overflowPunct/>
        <w:topLinePunct w:val="0"/>
        <w:autoSpaceDE/>
        <w:autoSpaceDN/>
        <w:bidi w:val="0"/>
        <w:adjustRightInd w:val="0"/>
        <w:snapToGrid w:val="0"/>
        <w:spacing w:line="360" w:lineRule="auto"/>
        <w:ind w:firstLine="578" w:firstLineChars="200"/>
        <w:textAlignment w:val="auto"/>
        <w:rPr>
          <w:rFonts w:hint="eastAsia"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投标文件格式</w:t>
      </w:r>
    </w:p>
    <w:p w14:paraId="4381345B">
      <w:pPr>
        <w:adjustRightInd w:val="0"/>
        <w:snapToGrid w:val="0"/>
        <w:spacing w:line="360" w:lineRule="auto"/>
        <w:ind w:left="0" w:leftChars="0" w:right="0" w:rightChars="0" w:firstLine="0" w:firstLineChars="0"/>
        <w:jc w:val="center"/>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14:paraId="31FCFE5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投标邀请</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53C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628" w:type="dxa"/>
          </w:tcPr>
          <w:p w14:paraId="06F53247">
            <w:pPr>
              <w:adjustRightInd w:val="0"/>
              <w:snapToGrid w:val="0"/>
              <w:ind w:firstLine="422" w:firstLineChars="200"/>
              <w:rPr>
                <w:rFonts w:ascii="仿宋" w:hAnsi="仿宋" w:eastAsia="仿宋" w:cs="仿宋"/>
                <w:b/>
                <w:color w:val="auto"/>
                <w:szCs w:val="21"/>
                <w:highlight w:val="none"/>
              </w:rPr>
            </w:pPr>
            <w:bookmarkStart w:id="0" w:name="_Toc28359079"/>
            <w:bookmarkStart w:id="1" w:name="_Toc35393621"/>
            <w:bookmarkStart w:id="2" w:name="_Toc35393790"/>
            <w:bookmarkStart w:id="3" w:name="_Toc28359002"/>
            <w:bookmarkStart w:id="4" w:name="_Hlk24379207"/>
            <w:r>
              <w:rPr>
                <w:rFonts w:hint="eastAsia" w:ascii="仿宋" w:hAnsi="仿宋" w:eastAsia="仿宋" w:cs="仿宋"/>
                <w:b/>
                <w:color w:val="auto"/>
                <w:szCs w:val="21"/>
                <w:highlight w:val="none"/>
              </w:rPr>
              <w:t>项目概况</w:t>
            </w:r>
          </w:p>
          <w:p w14:paraId="02CFB3E8">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工业互联网工程技术人员培训、实训平台建设</w:t>
            </w:r>
            <w:r>
              <w:rPr>
                <w:rFonts w:hint="eastAsia" w:ascii="仿宋" w:hAnsi="仿宋" w:eastAsia="仿宋" w:cs="仿宋"/>
                <w:b/>
                <w:color w:val="auto"/>
                <w:szCs w:val="21"/>
                <w:highlight w:val="none"/>
              </w:rPr>
              <w:t>招标项目的潜在投标人应在政府采购云平台（https://www.zcygov.cn）获取（下载）招标文件，并于</w:t>
            </w:r>
            <w:r>
              <w:rPr>
                <w:rFonts w:hint="eastAsia" w:ascii="仿宋" w:hAnsi="仿宋" w:eastAsia="仿宋" w:cs="仿宋"/>
                <w:b/>
                <w:color w:val="auto"/>
                <w:szCs w:val="21"/>
                <w:highlight w:val="none"/>
                <w:lang w:eastAsia="zh-CN"/>
              </w:rPr>
              <w:t>2025年07月25日上午09:30:00（北京时间）</w:t>
            </w:r>
            <w:r>
              <w:rPr>
                <w:rFonts w:hint="eastAsia" w:ascii="仿宋" w:hAnsi="仿宋" w:eastAsia="仿宋" w:cs="仿宋"/>
                <w:b/>
                <w:color w:val="auto"/>
                <w:szCs w:val="21"/>
                <w:highlight w:val="none"/>
              </w:rPr>
              <w:t>前递交（上传）投标文件。</w:t>
            </w:r>
          </w:p>
        </w:tc>
      </w:tr>
    </w:tbl>
    <w:p w14:paraId="273BF6E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6F4CFEC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14:paraId="1CF6A50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QSZBH250028ZHGK</w:t>
      </w:r>
    </w:p>
    <w:p w14:paraId="3E2A7E1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工业互联网工程技术人员培训、实训平台建设</w:t>
      </w:r>
    </w:p>
    <w:bookmarkEnd w:id="4"/>
    <w:p w14:paraId="595B340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color w:val="auto"/>
          <w:szCs w:val="21"/>
          <w:highlight w:val="none"/>
          <w:lang w:val="en-US" w:eastAsia="zh-CN"/>
        </w:rPr>
      </w:pPr>
      <w:r>
        <w:rPr>
          <w:rFonts w:hint="default" w:ascii="仿宋" w:hAnsi="仿宋" w:eastAsia="仿宋" w:cs="仿宋"/>
          <w:color w:val="auto"/>
          <w:szCs w:val="21"/>
          <w:highlight w:val="none"/>
          <w:lang w:val="en-US" w:eastAsia="zh-CN"/>
        </w:rPr>
        <w:t>预算金额（元）：</w:t>
      </w:r>
      <w:r>
        <w:rPr>
          <w:rFonts w:hint="eastAsia" w:ascii="仿宋" w:hAnsi="仿宋" w:eastAsia="仿宋" w:cs="仿宋"/>
          <w:color w:val="auto"/>
          <w:szCs w:val="21"/>
          <w:highlight w:val="none"/>
          <w:lang w:val="en-US" w:eastAsia="zh-CN"/>
        </w:rPr>
        <w:t>3200000</w:t>
      </w:r>
    </w:p>
    <w:p w14:paraId="01839D7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最高限价（元）：</w:t>
      </w:r>
      <w:r>
        <w:rPr>
          <w:rFonts w:hint="eastAsia" w:ascii="仿宋" w:hAnsi="仿宋" w:eastAsia="仿宋" w:cs="仿宋"/>
          <w:color w:val="auto"/>
          <w:szCs w:val="21"/>
          <w:highlight w:val="none"/>
          <w:lang w:val="en-US" w:eastAsia="zh-CN"/>
        </w:rPr>
        <w:t>3100000</w:t>
      </w:r>
    </w:p>
    <w:p w14:paraId="5A0B993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6"/>
        <w:tblW w:w="96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58"/>
        <w:gridCol w:w="745"/>
        <w:gridCol w:w="745"/>
        <w:gridCol w:w="3277"/>
        <w:gridCol w:w="1591"/>
      </w:tblGrid>
      <w:tr w14:paraId="39722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58" w:type="dxa"/>
            <w:tcBorders>
              <w:left w:val="single" w:color="auto" w:sz="4" w:space="0"/>
              <w:right w:val="single" w:color="auto" w:sz="4" w:space="0"/>
              <w:tl2br w:val="nil"/>
              <w:tr2bl w:val="nil"/>
            </w:tcBorders>
            <w:vAlign w:val="center"/>
          </w:tcPr>
          <w:p w14:paraId="55F3251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745" w:type="dxa"/>
            <w:tcBorders>
              <w:tl2br w:val="nil"/>
              <w:tr2bl w:val="nil"/>
            </w:tcBorders>
            <w:vAlign w:val="center"/>
          </w:tcPr>
          <w:p w14:paraId="4950BF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745" w:type="dxa"/>
            <w:tcBorders>
              <w:tl2br w:val="nil"/>
              <w:tr2bl w:val="nil"/>
            </w:tcBorders>
            <w:vAlign w:val="center"/>
          </w:tcPr>
          <w:p w14:paraId="75E492B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单位</w:t>
            </w:r>
          </w:p>
        </w:tc>
        <w:tc>
          <w:tcPr>
            <w:tcW w:w="3277" w:type="dxa"/>
            <w:tcBorders>
              <w:right w:val="single" w:color="auto" w:sz="4" w:space="0"/>
              <w:tl2br w:val="nil"/>
              <w:tr2bl w:val="nil"/>
            </w:tcBorders>
            <w:vAlign w:val="center"/>
          </w:tcPr>
          <w:p w14:paraId="4087307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简要技术需求</w:t>
            </w:r>
          </w:p>
        </w:tc>
        <w:tc>
          <w:tcPr>
            <w:tcW w:w="1591" w:type="dxa"/>
            <w:tcBorders>
              <w:right w:val="single" w:color="auto" w:sz="4" w:space="0"/>
              <w:tl2br w:val="nil"/>
              <w:tr2bl w:val="nil"/>
            </w:tcBorders>
            <w:vAlign w:val="center"/>
          </w:tcPr>
          <w:p w14:paraId="719E0DC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是否允许采购</w:t>
            </w:r>
          </w:p>
          <w:p w14:paraId="5B894697">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b/>
                <w:bCs/>
                <w:color w:val="auto"/>
                <w:szCs w:val="21"/>
                <w:highlight w:val="none"/>
              </w:rPr>
            </w:pPr>
            <w:r>
              <w:rPr>
                <w:rFonts w:hint="eastAsia" w:ascii="仿宋" w:hAnsi="仿宋" w:eastAsia="仿宋" w:cs="仿宋"/>
                <w:b/>
                <w:color w:val="auto"/>
                <w:szCs w:val="21"/>
                <w:highlight w:val="none"/>
              </w:rPr>
              <w:t>进口产品</w:t>
            </w:r>
          </w:p>
        </w:tc>
      </w:tr>
      <w:tr w14:paraId="7593A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258" w:type="dxa"/>
            <w:tcBorders>
              <w:left w:val="single" w:color="auto" w:sz="4" w:space="0"/>
              <w:right w:val="single" w:color="auto" w:sz="4" w:space="0"/>
              <w:tl2br w:val="nil"/>
              <w:tr2bl w:val="nil"/>
            </w:tcBorders>
            <w:vAlign w:val="center"/>
          </w:tcPr>
          <w:p w14:paraId="19FF59D5">
            <w:pPr>
              <w:ind w:left="0" w:leftChars="0" w:right="0" w:rightChars="0" w:firstLine="0" w:firstLineChars="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工业互联网工程技术人员培训、实训平台建设</w:t>
            </w:r>
          </w:p>
        </w:tc>
        <w:tc>
          <w:tcPr>
            <w:tcW w:w="745" w:type="dxa"/>
            <w:tcBorders>
              <w:tl2br w:val="nil"/>
              <w:tr2bl w:val="nil"/>
            </w:tcBorders>
            <w:vAlign w:val="center"/>
          </w:tcPr>
          <w:p w14:paraId="7E3ACC5A">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745" w:type="dxa"/>
            <w:tcBorders>
              <w:tl2br w:val="nil"/>
              <w:tr2bl w:val="nil"/>
            </w:tcBorders>
            <w:vAlign w:val="center"/>
          </w:tcPr>
          <w:p w14:paraId="7B194670">
            <w:pPr>
              <w:ind w:left="0" w:leftChars="0" w:right="0" w:rightChars="0"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批</w:t>
            </w:r>
          </w:p>
        </w:tc>
        <w:tc>
          <w:tcPr>
            <w:tcW w:w="3277" w:type="dxa"/>
            <w:tcBorders>
              <w:right w:val="single" w:color="auto" w:sz="4" w:space="0"/>
              <w:tl2br w:val="nil"/>
              <w:tr2bl w:val="nil"/>
            </w:tcBorders>
            <w:vAlign w:val="center"/>
          </w:tcPr>
          <w:p w14:paraId="3F11251F">
            <w:pPr>
              <w:ind w:left="0" w:leftChars="0" w:right="0" w:rightChars="0" w:firstLine="0" w:firstLineChars="0"/>
              <w:jc w:val="center"/>
              <w:rPr>
                <w:rFonts w:hint="default" w:eastAsia="仿宋"/>
                <w:color w:val="auto"/>
                <w:highlight w:val="none"/>
                <w:lang w:val="en-US" w:eastAsia="zh-CN"/>
              </w:rPr>
            </w:pPr>
            <w:r>
              <w:rPr>
                <w:rFonts w:hint="default" w:eastAsia="仿宋"/>
                <w:color w:val="auto"/>
                <w:highlight w:val="none"/>
                <w:lang w:val="en-US" w:eastAsia="zh-CN"/>
              </w:rPr>
              <w:t>交钥匙项目</w:t>
            </w:r>
          </w:p>
        </w:tc>
        <w:tc>
          <w:tcPr>
            <w:tcW w:w="1591" w:type="dxa"/>
            <w:tcBorders>
              <w:right w:val="single" w:color="auto" w:sz="4" w:space="0"/>
              <w:tl2br w:val="nil"/>
              <w:tr2bl w:val="nil"/>
            </w:tcBorders>
            <w:vAlign w:val="center"/>
          </w:tcPr>
          <w:p w14:paraId="32FBDC1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否</w:t>
            </w:r>
          </w:p>
        </w:tc>
      </w:tr>
    </w:tbl>
    <w:p w14:paraId="4618DD4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5" w:name="_Toc35393791"/>
      <w:bookmarkStart w:id="6" w:name="_Toc28359080"/>
      <w:bookmarkStart w:id="7" w:name="_Toc35393622"/>
      <w:bookmarkStart w:id="8" w:name="_Toc28359003"/>
    </w:p>
    <w:p w14:paraId="1578A1E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r>
        <w:rPr>
          <w:rFonts w:hint="eastAsia" w:ascii="仿宋" w:hAnsi="仿宋" w:eastAsia="仿宋" w:cs="仿宋"/>
          <w:color w:val="auto"/>
          <w:szCs w:val="21"/>
          <w:highlight w:val="none"/>
          <w:lang w:val="en-US" w:eastAsia="zh-CN"/>
        </w:rPr>
        <w:t>/</w:t>
      </w:r>
    </w:p>
    <w:p w14:paraId="1589E30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合同履约期限：</w:t>
      </w:r>
      <w:r>
        <w:rPr>
          <w:rFonts w:hint="eastAsia" w:ascii="仿宋" w:hAnsi="仿宋" w:eastAsia="仿宋" w:cs="仿宋"/>
          <w:szCs w:val="21"/>
          <w:highlight w:val="none"/>
          <w:lang w:eastAsia="zh-CN"/>
        </w:rPr>
        <w:t>自合同签订生效之日起</w:t>
      </w:r>
      <w:r>
        <w:rPr>
          <w:rFonts w:hint="eastAsia" w:ascii="仿宋" w:hAnsi="仿宋" w:eastAsia="仿宋" w:cs="仿宋"/>
          <w:szCs w:val="21"/>
          <w:highlight w:val="none"/>
          <w:lang w:val="en-US" w:eastAsia="zh-CN"/>
        </w:rPr>
        <w:t>45</w:t>
      </w:r>
      <w:r>
        <w:rPr>
          <w:rFonts w:hint="eastAsia" w:ascii="仿宋" w:hAnsi="仿宋" w:eastAsia="仿宋" w:cs="仿宋"/>
          <w:szCs w:val="21"/>
          <w:highlight w:val="none"/>
          <w:lang w:eastAsia="zh-CN"/>
        </w:rPr>
        <w:t>天内交付</w:t>
      </w:r>
    </w:p>
    <w:p w14:paraId="7710744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w:t>
      </w:r>
      <w:r>
        <w:rPr>
          <w:rFonts w:hint="eastAsia" w:ascii="仿宋" w:hAnsi="仿宋" w:eastAsia="仿宋" w:cs="仿宋"/>
          <w:bCs/>
          <w:color w:val="auto"/>
          <w:szCs w:val="21"/>
          <w:highlight w:val="none"/>
          <w:lang w:val="en-US" w:eastAsia="zh-CN"/>
        </w:rPr>
        <w:t>是</w:t>
      </w:r>
      <w:r>
        <w:rPr>
          <w:rFonts w:hint="eastAsia" w:ascii="仿宋" w:hAnsi="仿宋" w:eastAsia="仿宋" w:cs="仿宋"/>
          <w:bCs/>
          <w:color w:val="auto"/>
          <w:szCs w:val="21"/>
          <w:highlight w:val="none"/>
        </w:rPr>
        <w:t>）接受联合体投标。</w:t>
      </w:r>
    </w:p>
    <w:p w14:paraId="0B06FB6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14:paraId="1313C93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9" w:name="_Toc28359081"/>
      <w:bookmarkStart w:id="10" w:name="_Toc28359004"/>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EA01AD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color w:val="auto"/>
          <w:kern w:val="0"/>
          <w:szCs w:val="21"/>
          <w:highlight w:val="none"/>
        </w:rPr>
        <w:t>专</w:t>
      </w:r>
      <w:r>
        <w:rPr>
          <w:rFonts w:hint="eastAsia" w:ascii="仿宋" w:hAnsi="仿宋" w:eastAsia="仿宋" w:cs="仿宋"/>
          <w:color w:val="auto"/>
          <w:szCs w:val="21"/>
          <w:highlight w:val="none"/>
        </w:rPr>
        <w:t>门面向中小企业，货物全部由符合政策要求的中小企业制造，提供中小企业声明函。</w:t>
      </w:r>
    </w:p>
    <w:p w14:paraId="5171B12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14:paraId="64AD599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1" w:name="_Toc35393792"/>
      <w:bookmarkStart w:id="12" w:name="_Toc35393623"/>
      <w:r>
        <w:rPr>
          <w:rFonts w:hint="eastAsia" w:ascii="仿宋" w:hAnsi="仿宋" w:eastAsia="仿宋" w:cs="仿宋"/>
          <w:b/>
          <w:color w:val="auto"/>
          <w:szCs w:val="21"/>
          <w:highlight w:val="none"/>
        </w:rPr>
        <w:t>三、获取招标文件</w:t>
      </w:r>
      <w:bookmarkEnd w:id="9"/>
      <w:bookmarkEnd w:id="10"/>
      <w:bookmarkEnd w:id="11"/>
      <w:bookmarkEnd w:id="12"/>
    </w:p>
    <w:p w14:paraId="763A3D4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13" w:name="_Toc35393624"/>
      <w:bookmarkStart w:id="14" w:name="_Toc28359082"/>
      <w:bookmarkStart w:id="15" w:name="_Toc35393793"/>
      <w:bookmarkStart w:id="16" w:name="_Toc28359005"/>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2025年</w:t>
      </w:r>
      <w:r>
        <w:rPr>
          <w:rFonts w:hint="eastAsia" w:ascii="仿宋" w:hAnsi="仿宋" w:eastAsia="仿宋" w:cs="仿宋"/>
          <w:color w:val="auto"/>
          <w:szCs w:val="21"/>
          <w:highlight w:val="none"/>
          <w:lang w:val="en-US" w:eastAsia="zh-CN"/>
        </w:rPr>
        <w:t>07</w:t>
      </w:r>
      <w:r>
        <w:rPr>
          <w:rFonts w:hint="eastAsia" w:ascii="仿宋" w:hAnsi="仿宋" w:eastAsia="仿宋" w:cs="仿宋"/>
          <w:color w:val="auto"/>
          <w:szCs w:val="21"/>
          <w:highlight w:val="none"/>
          <w:lang w:eastAsia="zh-CN"/>
        </w:rPr>
        <w:t>月</w:t>
      </w:r>
      <w:r>
        <w:rPr>
          <w:rFonts w:hint="eastAsia" w:ascii="仿宋" w:hAnsi="仿宋" w:eastAsia="仿宋" w:cs="仿宋"/>
          <w:color w:val="auto"/>
          <w:szCs w:val="21"/>
          <w:highlight w:val="none"/>
          <w:lang w:val="en-US" w:eastAsia="zh-CN"/>
        </w:rPr>
        <w:t>04</w:t>
      </w:r>
      <w:r>
        <w:rPr>
          <w:rFonts w:hint="eastAsia" w:ascii="仿宋" w:hAnsi="仿宋" w:eastAsia="仿宋" w:cs="仿宋"/>
          <w:color w:val="auto"/>
          <w:szCs w:val="21"/>
          <w:highlight w:val="none"/>
          <w:lang w:eastAsia="zh-CN"/>
        </w:rPr>
        <w:t>日至2025年07月25日</w:t>
      </w: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上午00:00至12:00，下午12:00至23:59（北京时间，线上获取法定节假日均可，线下获取文件法定节假日除外）</w:t>
      </w:r>
    </w:p>
    <w:p w14:paraId="73B2BB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地点（网址）：政府采购云平台（https://www.zcygov.cn）</w:t>
      </w:r>
    </w:p>
    <w:p w14:paraId="255416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方式：供应商登录政采云平台（https://www.zcygov.cn）在线申请获取采购文件（进入“项目采购”应用，在获取采购文件菜单中选择项目，申请获取采购文件）。</w:t>
      </w:r>
    </w:p>
    <w:p w14:paraId="0CF17FC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售价（元）：0</w:t>
      </w:r>
    </w:p>
    <w:p w14:paraId="0944482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提交投标文件截止时间、开标时间和地点</w:t>
      </w:r>
    </w:p>
    <w:p w14:paraId="0FFED28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提交投标文件截止时间：</w:t>
      </w:r>
      <w:r>
        <w:rPr>
          <w:rFonts w:hint="eastAsia" w:ascii="仿宋" w:hAnsi="仿宋" w:eastAsia="仿宋" w:cs="仿宋"/>
          <w:bCs/>
          <w:color w:val="auto"/>
          <w:szCs w:val="21"/>
          <w:highlight w:val="none"/>
          <w:lang w:eastAsia="zh-CN"/>
        </w:rPr>
        <w:t>2025年07月25日上午09:30:00（北京时间）</w:t>
      </w:r>
    </w:p>
    <w:p w14:paraId="56CB8BD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投标地点（网址）：</w:t>
      </w:r>
      <w:r>
        <w:rPr>
          <w:rFonts w:hint="eastAsia" w:ascii="仿宋" w:hAnsi="仿宋" w:eastAsia="仿宋" w:cs="仿宋"/>
          <w:color w:val="auto"/>
          <w:szCs w:val="21"/>
          <w:highlight w:val="none"/>
        </w:rPr>
        <w:t>政府采购云平台（https://www.zcygov.cn）</w:t>
      </w:r>
    </w:p>
    <w:p w14:paraId="67AE886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bCs/>
          <w:color w:val="auto"/>
          <w:szCs w:val="21"/>
          <w:highlight w:val="none"/>
        </w:rPr>
      </w:pPr>
      <w:r>
        <w:rPr>
          <w:rFonts w:hint="eastAsia" w:ascii="仿宋" w:hAnsi="仿宋" w:eastAsia="仿宋" w:cs="仿宋"/>
          <w:bCs/>
          <w:color w:val="auto"/>
          <w:szCs w:val="21"/>
          <w:highlight w:val="none"/>
        </w:rPr>
        <w:t>开标时间：</w:t>
      </w:r>
      <w:r>
        <w:rPr>
          <w:rFonts w:hint="eastAsia" w:ascii="仿宋" w:hAnsi="仿宋" w:eastAsia="仿宋" w:cs="仿宋"/>
          <w:bCs/>
          <w:color w:val="auto"/>
          <w:szCs w:val="21"/>
          <w:highlight w:val="none"/>
          <w:lang w:eastAsia="zh-CN"/>
        </w:rPr>
        <w:t>2025年07月25日上午09:30:00（北京时间）</w:t>
      </w:r>
    </w:p>
    <w:p w14:paraId="3B6906C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开标地点（网址）：</w:t>
      </w:r>
      <w:r>
        <w:rPr>
          <w:rFonts w:hint="eastAsia" w:ascii="仿宋" w:hAnsi="仿宋" w:eastAsia="仿宋" w:cs="仿宋"/>
          <w:color w:val="auto"/>
          <w:szCs w:val="21"/>
          <w:highlight w:val="none"/>
          <w:lang w:eastAsia="zh-CN"/>
        </w:rPr>
        <w:t>政府采购云平台（https://www.zcygov.cn）/杭州市西湖区玉古路173号中田大厦</w:t>
      </w: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lang w:eastAsia="zh-CN"/>
        </w:rPr>
        <w:t>楼求是招标会议室</w:t>
      </w:r>
      <w:r>
        <w:rPr>
          <w:rFonts w:hint="eastAsia" w:ascii="仿宋" w:hAnsi="仿宋" w:eastAsia="仿宋" w:cs="仿宋"/>
          <w:color w:val="auto"/>
          <w:szCs w:val="21"/>
          <w:highlight w:val="none"/>
          <w:lang w:val="en-US" w:eastAsia="zh-CN"/>
        </w:rPr>
        <w:t>8</w:t>
      </w:r>
      <w:bookmarkStart w:id="50" w:name="_GoBack"/>
      <w:bookmarkEnd w:id="50"/>
    </w:p>
    <w:bookmarkEnd w:id="17"/>
    <w:p w14:paraId="127C4E1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18" w:name="_Toc28359084"/>
      <w:bookmarkStart w:id="19" w:name="_Toc28359007"/>
      <w:bookmarkStart w:id="20" w:name="_Toc35393794"/>
      <w:bookmarkStart w:id="21" w:name="_Toc35393625"/>
      <w:r>
        <w:rPr>
          <w:rFonts w:hint="eastAsia" w:ascii="仿宋" w:hAnsi="仿宋" w:eastAsia="仿宋" w:cs="仿宋"/>
          <w:b/>
          <w:color w:val="auto"/>
          <w:szCs w:val="21"/>
          <w:highlight w:val="none"/>
        </w:rPr>
        <w:t>五、公告期限</w:t>
      </w:r>
      <w:bookmarkEnd w:id="18"/>
      <w:bookmarkEnd w:id="19"/>
      <w:bookmarkEnd w:id="20"/>
      <w:bookmarkEnd w:id="21"/>
    </w:p>
    <w:p w14:paraId="244182A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41C64C7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2" w:name="_Toc35393626"/>
      <w:bookmarkStart w:id="23" w:name="_Toc35393795"/>
      <w:r>
        <w:rPr>
          <w:rFonts w:hint="eastAsia" w:ascii="仿宋" w:hAnsi="仿宋" w:eastAsia="仿宋" w:cs="仿宋"/>
          <w:b/>
          <w:color w:val="auto"/>
          <w:szCs w:val="21"/>
          <w:highlight w:val="none"/>
        </w:rPr>
        <w:t>六、其他补充事宜</w:t>
      </w:r>
      <w:bookmarkEnd w:id="22"/>
      <w:bookmarkEnd w:id="23"/>
    </w:p>
    <w:p w14:paraId="7A5C7AD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bookmarkStart w:id="24" w:name="_Hlk92271231"/>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w:t>
      </w:r>
      <w:r>
        <w:rPr>
          <w:rFonts w:hint="eastAsia" w:ascii="仿宋" w:hAnsi="仿宋" w:eastAsia="仿宋" w:cs="仿宋"/>
          <w:color w:val="auto"/>
          <w:szCs w:val="21"/>
          <w:highlight w:val="none"/>
        </w:rPr>
        <w:t>，此前有关规定与上述文件内容不一致的，按上述文件要求执行。</w:t>
      </w:r>
    </w:p>
    <w:p w14:paraId="5FF1A79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9DC27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仿宋" w:hAnsi="仿宋" w:eastAsia="仿宋" w:cs="仿宋"/>
          <w:color w:val="auto"/>
          <w:szCs w:val="21"/>
          <w:highlight w:val="none"/>
          <w:lang w:eastAsia="zh-CN"/>
        </w:rPr>
        <w:t>同级政府采购监督管理部门</w:t>
      </w:r>
      <w:r>
        <w:rPr>
          <w:rFonts w:hint="eastAsia" w:ascii="仿宋" w:hAnsi="仿宋" w:eastAsia="仿宋" w:cs="仿宋"/>
          <w:color w:val="auto"/>
          <w:szCs w:val="21"/>
          <w:highlight w:val="none"/>
        </w:rPr>
        <w:t>投诉。质疑函范本、投诉书范本请到浙江政府采购网下载专区下载。</w:t>
      </w:r>
    </w:p>
    <w:p w14:paraId="127D5FC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4.其他事项：</w:t>
      </w:r>
      <w:bookmarkStart w:id="25" w:name="_Hlk92271331"/>
      <w:r>
        <w:rPr>
          <w:rFonts w:hint="eastAsia" w:ascii="仿宋" w:hAnsi="仿宋" w:eastAsia="仿宋" w:cs="仿宋"/>
          <w:color w:val="auto"/>
          <w:szCs w:val="21"/>
          <w:highlight w:val="none"/>
        </w:rPr>
        <w:t>（1）需要落实的政府采购政策：包括节约资源、保护环境、支持科技创新、促进中小企业发展等，具体详见招标文件第三章“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九</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采购项目需要落实的政府采购政策”；▲</w:t>
      </w:r>
      <w:bookmarkStart w:id="26" w:name="_Hlk92271072"/>
      <w:r>
        <w:rPr>
          <w:rFonts w:hint="eastAsia" w:ascii="仿宋" w:hAnsi="仿宋" w:eastAsia="仿宋" w:cs="仿宋"/>
          <w:color w:val="auto"/>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6"/>
    </w:p>
    <w:bookmarkEnd w:id="24"/>
    <w:bookmarkEnd w:id="25"/>
    <w:p w14:paraId="1182EB5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bookmarkStart w:id="27" w:name="_Toc28359008"/>
      <w:bookmarkStart w:id="28" w:name="_Toc35393627"/>
      <w:bookmarkStart w:id="29" w:name="_Toc28359085"/>
      <w:bookmarkStart w:id="30" w:name="_Toc35393796"/>
      <w:r>
        <w:rPr>
          <w:rFonts w:hint="eastAsia" w:ascii="仿宋" w:hAnsi="仿宋" w:eastAsia="仿宋" w:cs="仿宋"/>
          <w:b/>
          <w:color w:val="auto"/>
          <w:szCs w:val="21"/>
          <w:highlight w:val="none"/>
        </w:rPr>
        <w:t>七、对本次采购提出询问、质疑、投诉，请按以下方式联系</w:t>
      </w:r>
      <w:bookmarkEnd w:id="27"/>
      <w:bookmarkEnd w:id="28"/>
      <w:bookmarkEnd w:id="29"/>
      <w:bookmarkEnd w:id="30"/>
      <w:r>
        <w:rPr>
          <w:rFonts w:hint="eastAsia" w:ascii="仿宋" w:hAnsi="仿宋" w:eastAsia="仿宋" w:cs="仿宋"/>
          <w:b/>
          <w:color w:val="auto"/>
          <w:szCs w:val="21"/>
          <w:highlight w:val="none"/>
        </w:rPr>
        <w:t>：</w:t>
      </w:r>
    </w:p>
    <w:p w14:paraId="6CB473D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7013FC0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浙江理工大学</w:t>
      </w:r>
    </w:p>
    <w:p w14:paraId="43A3B24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杭州市钱塘区2号大街928号</w:t>
      </w:r>
    </w:p>
    <w:p w14:paraId="34749E6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28A41290">
      <w:pPr>
        <w:adjustRightInd w:val="0"/>
        <w:snapToGrid w:val="0"/>
        <w:spacing w:line="288" w:lineRule="auto"/>
        <w:ind w:firstLine="630" w:firstLineChars="3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金老师</w:t>
      </w:r>
    </w:p>
    <w:p w14:paraId="6DF45817">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项目联系方式（询问）：15951664486</w:t>
      </w:r>
    </w:p>
    <w:p w14:paraId="0600EF9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肖</w:t>
      </w:r>
      <w:r>
        <w:rPr>
          <w:rFonts w:hint="eastAsia" w:ascii="仿宋" w:hAnsi="仿宋" w:eastAsia="仿宋" w:cs="仿宋"/>
          <w:color w:val="auto"/>
          <w:szCs w:val="21"/>
          <w:highlight w:val="none"/>
        </w:rPr>
        <w:t>老师</w:t>
      </w:r>
    </w:p>
    <w:p w14:paraId="7067BB37">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质疑联系方式：0571-86843950</w:t>
      </w:r>
    </w:p>
    <w:p w14:paraId="4BCB697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07F6FB0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14:paraId="1E12AFE1">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14:paraId="4E435A3B">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地址：杭州市西湖区玉古路173号</w:t>
      </w:r>
      <w:r>
        <w:rPr>
          <w:rFonts w:hint="eastAsia" w:ascii="仿宋" w:hAnsi="仿宋" w:eastAsia="仿宋" w:cs="仿宋"/>
          <w:color w:val="auto"/>
          <w:szCs w:val="21"/>
          <w:highlight w:val="none"/>
          <w:lang w:eastAsia="zh-CN"/>
        </w:rPr>
        <w:t>中田大厦21楼</w:t>
      </w:r>
    </w:p>
    <w:p w14:paraId="2F1E9A3C">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14:paraId="2ADFB9FA">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叶鲁茂、冯增伟</w:t>
      </w:r>
    </w:p>
    <w:p w14:paraId="1443E2D7">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14:paraId="6299793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周安琪</w:t>
      </w:r>
    </w:p>
    <w:p w14:paraId="37BB2234">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14:paraId="02157448">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14:paraId="154E29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p>
    <w:p w14:paraId="0768D6F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同级政府采购监督管理部门</w:t>
      </w:r>
    </w:p>
    <w:p w14:paraId="11137A6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名称：浙江省财政厅政府采购监管处、浙江省政府采购行政裁决服务中心（杭州）</w:t>
      </w:r>
    </w:p>
    <w:p w14:paraId="69D88327">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地址：杭州市上城区清泰街549号城建综合大楼11楼（快递仅限ems或顺丰）</w:t>
      </w:r>
    </w:p>
    <w:p w14:paraId="0861193E">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p w14:paraId="12CF5794">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联系人：朱老师、王老师、匡老师</w:t>
      </w:r>
    </w:p>
    <w:p w14:paraId="42494C69">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监督投诉电话：0571-87800218，0571-87227671</w:t>
      </w:r>
    </w:p>
    <w:p w14:paraId="579B70DF">
      <w:pPr>
        <w:keepNext w:val="0"/>
        <w:keepLines w:val="0"/>
        <w:pageBreakBefore w:val="0"/>
        <w:widowControl w:val="0"/>
        <w:kinsoku/>
        <w:wordWrap/>
        <w:overflowPunct/>
        <w:topLinePunct w:val="0"/>
        <w:autoSpaceDE/>
        <w:autoSpaceDN/>
        <w:bidi w:val="0"/>
        <w:adjustRightInd w:val="0"/>
        <w:snapToGrid w:val="0"/>
        <w:spacing w:line="288" w:lineRule="auto"/>
        <w:ind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政策咨询：何一平、冯华，0571-87058424、87055741</w:t>
      </w:r>
    </w:p>
    <w:p w14:paraId="19F0A99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p>
    <w:p w14:paraId="15BC90A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5445A1E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CA问题联系电话（人工）：汇信CA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400-888-4636；天谷CA</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400-087-8198。</w:t>
      </w:r>
    </w:p>
    <w:p w14:paraId="3F726B34">
      <w:pPr>
        <w:ind w:left="0" w:leftChars="0" w:right="0" w:rightChars="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16EBE16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0"/>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14:paraId="6C3DDC9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3042"/>
        <w:gridCol w:w="5927"/>
      </w:tblGrid>
      <w:tr w14:paraId="764E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421EAF7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bookmarkStart w:id="31" w:name="_Hlk45005599"/>
            <w:r>
              <w:rPr>
                <w:rFonts w:hint="eastAsia" w:ascii="仿宋" w:hAnsi="仿宋" w:eastAsia="仿宋" w:cs="仿宋"/>
                <w:b/>
                <w:bCs/>
                <w:color w:val="auto"/>
                <w:szCs w:val="21"/>
                <w:highlight w:val="none"/>
              </w:rPr>
              <w:t>序号</w:t>
            </w:r>
          </w:p>
        </w:tc>
        <w:tc>
          <w:tcPr>
            <w:tcW w:w="1580" w:type="pct"/>
            <w:vAlign w:val="center"/>
          </w:tcPr>
          <w:p w14:paraId="7C179E5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3078" w:type="pct"/>
            <w:vAlign w:val="center"/>
          </w:tcPr>
          <w:p w14:paraId="527C22A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14:paraId="4DA0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3E3166D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1580" w:type="pct"/>
            <w:vAlign w:val="center"/>
          </w:tcPr>
          <w:p w14:paraId="537C86A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3078" w:type="pct"/>
            <w:vAlign w:val="center"/>
          </w:tcPr>
          <w:p w14:paraId="050F5C8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不允许采购进口产品</w:t>
            </w:r>
          </w:p>
        </w:tc>
      </w:tr>
      <w:tr w14:paraId="1F25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0EB967E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1580" w:type="pct"/>
            <w:vAlign w:val="center"/>
          </w:tcPr>
          <w:p w14:paraId="4916A03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3078" w:type="pct"/>
            <w:vAlign w:val="center"/>
          </w:tcPr>
          <w:p w14:paraId="5FB0F574">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不适用</w:t>
            </w:r>
          </w:p>
        </w:tc>
      </w:tr>
      <w:tr w14:paraId="5ACA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79B5596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1580" w:type="pct"/>
            <w:vAlign w:val="center"/>
          </w:tcPr>
          <w:p w14:paraId="0FE72C8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3078" w:type="pct"/>
            <w:vAlign w:val="center"/>
          </w:tcPr>
          <w:p w14:paraId="5825ADF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2288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7CBEF0C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1580" w:type="pct"/>
            <w:vAlign w:val="center"/>
          </w:tcPr>
          <w:p w14:paraId="03A14AE7">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政府采购</w:t>
            </w:r>
            <w:r>
              <w:rPr>
                <w:rFonts w:hint="eastAsia" w:ascii="仿宋" w:hAnsi="仿宋" w:eastAsia="仿宋" w:cs="仿宋"/>
                <w:b/>
                <w:bCs/>
                <w:color w:val="auto"/>
                <w:szCs w:val="21"/>
                <w:highlight w:val="none"/>
                <w:lang w:eastAsia="zh-CN"/>
              </w:rPr>
              <w:t>支持科技创新</w:t>
            </w:r>
          </w:p>
        </w:tc>
        <w:tc>
          <w:tcPr>
            <w:tcW w:w="3078" w:type="pct"/>
            <w:vAlign w:val="center"/>
          </w:tcPr>
          <w:p w14:paraId="30A7D61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商务和技术</w:t>
            </w:r>
            <w:r>
              <w:rPr>
                <w:rFonts w:hint="eastAsia" w:ascii="仿宋" w:hAnsi="仿宋" w:eastAsia="仿宋" w:cs="仿宋"/>
                <w:color w:val="auto"/>
                <w:szCs w:val="21"/>
                <w:highlight w:val="none"/>
              </w:rPr>
              <w:t>文件”</w:t>
            </w:r>
          </w:p>
        </w:tc>
      </w:tr>
      <w:tr w14:paraId="7165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7DF9A03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1580" w:type="pct"/>
            <w:vAlign w:val="center"/>
          </w:tcPr>
          <w:p w14:paraId="076985F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3078" w:type="pct"/>
            <w:vAlign w:val="center"/>
          </w:tcPr>
          <w:p w14:paraId="6E7A923F">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资格文件</w:t>
            </w:r>
            <w:r>
              <w:rPr>
                <w:rFonts w:hint="eastAsia" w:ascii="仿宋" w:hAnsi="仿宋" w:eastAsia="仿宋" w:cs="仿宋"/>
                <w:color w:val="auto"/>
                <w:szCs w:val="21"/>
                <w:highlight w:val="none"/>
              </w:rPr>
              <w:t>”</w:t>
            </w:r>
          </w:p>
          <w:p w14:paraId="4454F52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w:t>
            </w:r>
            <w:r>
              <w:rPr>
                <w:rFonts w:hint="eastAsia" w:ascii="仿宋" w:hAnsi="仿宋" w:eastAsia="仿宋" w:cs="仿宋"/>
                <w:b/>
                <w:bCs/>
                <w:color w:val="auto"/>
                <w:szCs w:val="21"/>
                <w:highlight w:val="none"/>
                <w:lang w:val="en-US" w:eastAsia="zh-CN"/>
              </w:rPr>
              <w:t>属性：</w:t>
            </w:r>
            <w:r>
              <w:rPr>
                <w:rFonts w:hint="eastAsia" w:ascii="仿宋" w:hAnsi="仿宋" w:eastAsia="仿宋" w:cs="仿宋"/>
                <w:b/>
                <w:bCs/>
                <w:color w:val="auto"/>
                <w:szCs w:val="21"/>
                <w:highlight w:val="none"/>
              </w:rPr>
              <w:t>货物</w:t>
            </w:r>
          </w:p>
          <w:p w14:paraId="4DF715C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采购标的</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工业互联网开发平台</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对应的中小企业划分标准所属行业</w:t>
            </w:r>
            <w:r>
              <w:rPr>
                <w:rFonts w:hint="eastAsia" w:ascii="仿宋" w:hAnsi="仿宋" w:eastAsia="仿宋" w:cs="仿宋"/>
                <w:b/>
                <w:bCs/>
                <w:color w:val="auto"/>
                <w:szCs w:val="21"/>
                <w:highlight w:val="none"/>
                <w:lang w:eastAsia="zh-CN"/>
              </w:rPr>
              <w:t>：软件和信息技术服务业</w:t>
            </w:r>
          </w:p>
          <w:p w14:paraId="027A79F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40B88D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(2)</w:t>
            </w:r>
            <w:r>
              <w:rPr>
                <w:rFonts w:hint="eastAsia" w:ascii="仿宋" w:hAnsi="仿宋" w:eastAsia="仿宋" w:cs="仿宋"/>
                <w:b/>
                <w:bCs/>
                <w:color w:val="auto"/>
                <w:szCs w:val="21"/>
                <w:highlight w:val="none"/>
              </w:rPr>
              <w:t>采购标的</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工业互联网工程技术人员考核实训台</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纺织工程沙盘</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对应的中小企业划分标准所属行业</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工业</w:t>
            </w:r>
          </w:p>
          <w:p w14:paraId="3BCAF30E">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31C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6D9AC34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1580" w:type="pct"/>
            <w:vAlign w:val="center"/>
          </w:tcPr>
          <w:p w14:paraId="710A4828">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3078" w:type="pct"/>
            <w:vAlign w:val="center"/>
          </w:tcPr>
          <w:p w14:paraId="68EBAF8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tr w14:paraId="73F5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1" w:type="pct"/>
            <w:vAlign w:val="center"/>
          </w:tcPr>
          <w:p w14:paraId="68224114">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1580" w:type="pct"/>
            <w:vAlign w:val="center"/>
          </w:tcPr>
          <w:p w14:paraId="2BA0245B">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3078" w:type="pct"/>
            <w:vAlign w:val="center"/>
          </w:tcPr>
          <w:p w14:paraId="54BAF185">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视同小微企业，</w:t>
            </w:r>
            <w:r>
              <w:rPr>
                <w:rFonts w:hint="eastAsia" w:ascii="仿宋" w:hAnsi="仿宋" w:eastAsia="仿宋" w:cs="仿宋"/>
                <w:color w:val="auto"/>
                <w:szCs w:val="21"/>
                <w:highlight w:val="none"/>
              </w:rPr>
              <w:t>提供材料详见招标文件第六章“</w:t>
            </w:r>
            <w:r>
              <w:rPr>
                <w:rFonts w:hint="eastAsia" w:ascii="仿宋" w:hAnsi="仿宋" w:eastAsia="仿宋" w:cs="仿宋"/>
                <w:color w:val="auto"/>
                <w:szCs w:val="21"/>
                <w:highlight w:val="none"/>
                <w:lang w:val="en-US" w:eastAsia="zh-CN"/>
              </w:rPr>
              <w:t>资格文件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tc>
      </w:tr>
      <w:bookmarkEnd w:id="31"/>
    </w:tbl>
    <w:p w14:paraId="7843FBC2">
      <w:pPr>
        <w:adjustRightInd w:val="0"/>
        <w:snapToGrid w:val="0"/>
        <w:spacing w:line="288" w:lineRule="auto"/>
        <w:rPr>
          <w:rFonts w:ascii="仿宋" w:hAnsi="仿宋" w:eastAsia="仿宋" w:cs="仿宋"/>
          <w:b/>
          <w:color w:val="auto"/>
          <w:spacing w:val="-4"/>
          <w:szCs w:val="21"/>
          <w:highlight w:val="none"/>
        </w:rPr>
      </w:pPr>
    </w:p>
    <w:p w14:paraId="26E09167">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8"/>
        <w:gridCol w:w="7280"/>
      </w:tblGrid>
      <w:tr w14:paraId="5BA79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192FC81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3780" w:type="pct"/>
            <w:tcBorders>
              <w:top w:val="single" w:color="auto" w:sz="4" w:space="0"/>
              <w:left w:val="single" w:color="auto" w:sz="4" w:space="0"/>
              <w:bottom w:val="single" w:color="auto" w:sz="4" w:space="0"/>
              <w:right w:val="single" w:color="auto" w:sz="4" w:space="0"/>
            </w:tcBorders>
            <w:vAlign w:val="center"/>
          </w:tcPr>
          <w:p w14:paraId="43FDD6CF">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14:paraId="413B1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05CDC48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支付时间及条件</w:t>
            </w:r>
          </w:p>
        </w:tc>
        <w:tc>
          <w:tcPr>
            <w:tcW w:w="3780" w:type="pct"/>
            <w:tcBorders>
              <w:top w:val="single" w:color="auto" w:sz="4" w:space="0"/>
              <w:left w:val="single" w:color="auto" w:sz="4" w:space="0"/>
              <w:bottom w:val="single" w:color="auto" w:sz="4" w:space="0"/>
              <w:right w:val="single" w:color="auto" w:sz="4" w:space="0"/>
            </w:tcBorders>
            <w:vAlign w:val="center"/>
          </w:tcPr>
          <w:p w14:paraId="040BB7A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highlight w:val="none"/>
                <w:lang w:val="en-US" w:eastAsia="zh-CN"/>
              </w:rPr>
            </w:pPr>
            <w:r>
              <w:rPr>
                <w:rFonts w:hint="eastAsia" w:ascii="仿宋" w:hAnsi="仿宋" w:eastAsia="仿宋" w:cs="仿宋"/>
                <w:b w:val="0"/>
                <w:bCs w:val="0"/>
                <w:highlight w:val="none"/>
                <w:lang w:val="en-US" w:eastAsia="zh-CN"/>
              </w:rPr>
              <w:t>合同生效以及具备实施条件后7个工作日内且中标人已向采购人提交银行、保险公司等金融机构出具的预付款保函（额度与预付款金额一致），采购人向中标人支付合同总价的40%作为预付款</w:t>
            </w:r>
            <w:r>
              <w:rPr>
                <w:rFonts w:hint="eastAsia" w:ascii="仿宋" w:hAnsi="仿宋" w:eastAsia="仿宋" w:cs="仿宋"/>
                <w:b w:val="0"/>
                <w:bCs w:val="0"/>
                <w:color w:val="auto"/>
                <w:highlight w:val="none"/>
                <w:lang w:val="en-US" w:eastAsia="zh-CN"/>
              </w:rPr>
              <w:t>（预付款在后续货款中作相应抵扣）；货物自中标人交付采购人，经安装调试并经采购人验收合格且正常运行15个工作日，采购人在收到中标人开具的对应金额的专业发票后7个工作日内支付至合同总价的100%。</w:t>
            </w:r>
          </w:p>
          <w:p w14:paraId="168AB64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宋体" w:cs="仿宋"/>
                <w:color w:val="auto"/>
                <w:highlight w:val="none"/>
                <w:lang w:eastAsia="zh-CN"/>
              </w:rPr>
            </w:pPr>
            <w:r>
              <w:rPr>
                <w:rFonts w:hint="eastAsia" w:ascii="仿宋" w:hAnsi="仿宋" w:eastAsia="仿宋" w:cs="仿宋"/>
                <w:b/>
                <w:bCs/>
                <w:sz w:val="18"/>
                <w:szCs w:val="18"/>
                <w:highlight w:val="none"/>
              </w:rPr>
              <w:t>备注：在签订合同时，中标人明确表示无需预付款或主动要求降低预付款比例的，</w:t>
            </w:r>
            <w:r>
              <w:rPr>
                <w:rFonts w:hint="eastAsia" w:ascii="仿宋" w:hAnsi="仿宋" w:eastAsia="仿宋" w:cs="仿宋"/>
                <w:b/>
                <w:bCs/>
                <w:sz w:val="18"/>
                <w:szCs w:val="18"/>
                <w:highlight w:val="none"/>
                <w:lang w:eastAsia="zh-CN"/>
              </w:rPr>
              <w:t>可降低预付款比例；</w:t>
            </w:r>
            <w:r>
              <w:rPr>
                <w:rFonts w:hint="eastAsia" w:ascii="仿宋" w:hAnsi="仿宋" w:eastAsia="仿宋" w:cs="仿宋"/>
                <w:b/>
                <w:bCs/>
                <w:sz w:val="18"/>
                <w:szCs w:val="18"/>
                <w:highlight w:val="none"/>
              </w:rPr>
              <w:t>联合体</w:t>
            </w:r>
            <w:r>
              <w:rPr>
                <w:rFonts w:hint="eastAsia" w:ascii="仿宋" w:hAnsi="仿宋" w:eastAsia="仿宋" w:cs="仿宋"/>
                <w:b/>
                <w:bCs/>
                <w:sz w:val="18"/>
                <w:szCs w:val="18"/>
                <w:highlight w:val="none"/>
                <w:lang w:val="en-US" w:eastAsia="zh-CN"/>
              </w:rPr>
              <w:t>投标</w:t>
            </w:r>
            <w:r>
              <w:rPr>
                <w:rFonts w:hint="eastAsia" w:ascii="仿宋" w:hAnsi="仿宋" w:eastAsia="仿宋" w:cs="仿宋"/>
                <w:b/>
                <w:bCs/>
                <w:sz w:val="18"/>
                <w:szCs w:val="18"/>
                <w:highlight w:val="none"/>
              </w:rPr>
              <w:t>的预付款、</w:t>
            </w:r>
            <w:r>
              <w:rPr>
                <w:rFonts w:hint="eastAsia" w:ascii="仿宋" w:hAnsi="仿宋" w:eastAsia="仿宋" w:cs="仿宋"/>
                <w:b/>
                <w:bCs/>
                <w:sz w:val="18"/>
                <w:szCs w:val="18"/>
                <w:highlight w:val="none"/>
                <w:lang w:val="en-US" w:eastAsia="zh-CN"/>
              </w:rPr>
              <w:t>货款</w:t>
            </w:r>
            <w:r>
              <w:rPr>
                <w:rFonts w:hint="eastAsia" w:ascii="仿宋" w:hAnsi="仿宋" w:eastAsia="仿宋" w:cs="仿宋"/>
                <w:b/>
                <w:bCs/>
                <w:sz w:val="18"/>
                <w:szCs w:val="18"/>
                <w:highlight w:val="none"/>
              </w:rPr>
              <w:t>均由采购人支付给联合体牵头人，联合体成员与联合体牵头人的付款方式以双方约定的为准，与采购人无涉。</w:t>
            </w:r>
          </w:p>
        </w:tc>
      </w:tr>
      <w:tr w14:paraId="167F4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694BC1D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履约保证金</w:t>
            </w:r>
          </w:p>
        </w:tc>
        <w:tc>
          <w:tcPr>
            <w:tcW w:w="3780" w:type="pct"/>
            <w:tcBorders>
              <w:top w:val="single" w:color="auto" w:sz="4" w:space="0"/>
              <w:left w:val="single" w:color="auto" w:sz="4" w:space="0"/>
              <w:bottom w:val="single" w:color="auto" w:sz="4" w:space="0"/>
              <w:right w:val="single" w:color="auto" w:sz="4" w:space="0"/>
            </w:tcBorders>
            <w:vAlign w:val="center"/>
          </w:tcPr>
          <w:p w14:paraId="109143F8">
            <w:pPr>
              <w:rPr>
                <w:rFonts w:hint="eastAsia" w:ascii="仿宋" w:hAnsi="仿宋" w:eastAsia="仿宋" w:cs="仿宋"/>
                <w:sz w:val="21"/>
                <w:szCs w:val="21"/>
                <w:highlight w:val="none"/>
              </w:rPr>
            </w:pPr>
            <w:r>
              <w:rPr>
                <w:rFonts w:hint="eastAsia" w:ascii="仿宋" w:hAnsi="仿宋" w:eastAsia="仿宋" w:cs="仿宋"/>
                <w:sz w:val="21"/>
                <w:szCs w:val="21"/>
                <w:highlight w:val="none"/>
              </w:rPr>
              <w:t>1.比例：</w:t>
            </w:r>
            <w:r>
              <w:rPr>
                <w:rFonts w:hint="eastAsia" w:ascii="仿宋" w:hAnsi="仿宋" w:eastAsia="仿宋" w:cs="仿宋"/>
                <w:sz w:val="21"/>
                <w:szCs w:val="21"/>
                <w:highlight w:val="none"/>
                <w:lang w:eastAsia="zh-CN"/>
              </w:rPr>
              <w:t>合同金额的</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p>
          <w:p w14:paraId="68A61D59">
            <w:pPr>
              <w:rPr>
                <w:rFonts w:hint="eastAsia" w:ascii="仿宋" w:hAnsi="仿宋" w:eastAsia="仿宋" w:cs="仿宋"/>
                <w:sz w:val="21"/>
                <w:szCs w:val="21"/>
                <w:highlight w:val="none"/>
              </w:rPr>
            </w:pPr>
            <w:r>
              <w:rPr>
                <w:rFonts w:hint="eastAsia" w:ascii="仿宋" w:hAnsi="仿宋" w:eastAsia="仿宋" w:cs="仿宋"/>
                <w:sz w:val="21"/>
                <w:szCs w:val="21"/>
                <w:highlight w:val="none"/>
              </w:rPr>
              <w:t>2.提交方式：支票、汇票、本票或者金融机构、担保机构出具的保函等非现金形式</w:t>
            </w:r>
            <w:r>
              <w:rPr>
                <w:rFonts w:hint="eastAsia" w:ascii="仿宋" w:hAnsi="仿宋" w:eastAsia="仿宋" w:cs="仿宋"/>
                <w:sz w:val="21"/>
                <w:szCs w:val="21"/>
                <w:highlight w:val="none"/>
                <w:lang w:eastAsia="zh-CN"/>
              </w:rPr>
              <w:t>；</w:t>
            </w:r>
          </w:p>
          <w:p w14:paraId="7D486C25">
            <w:pPr>
              <w:rPr>
                <w:rFonts w:hint="eastAsia" w:ascii="仿宋" w:hAnsi="仿宋" w:eastAsia="仿宋" w:cs="仿宋"/>
                <w:sz w:val="21"/>
                <w:szCs w:val="21"/>
                <w:highlight w:val="none"/>
              </w:rPr>
            </w:pPr>
            <w:r>
              <w:rPr>
                <w:rFonts w:hint="eastAsia" w:ascii="仿宋" w:hAnsi="仿宋" w:eastAsia="仿宋" w:cs="仿宋"/>
                <w:sz w:val="21"/>
                <w:szCs w:val="21"/>
                <w:highlight w:val="none"/>
              </w:rPr>
              <w:t>3.提交时间：合同生效后</w:t>
            </w:r>
            <w:r>
              <w:rPr>
                <w:rFonts w:hint="eastAsia" w:ascii="仿宋" w:hAnsi="仿宋" w:eastAsia="仿宋" w:cs="仿宋"/>
                <w:sz w:val="21"/>
                <w:szCs w:val="21"/>
                <w:highlight w:val="none"/>
                <w:lang w:eastAsia="zh-CN"/>
              </w:rPr>
              <w:t>；</w:t>
            </w:r>
          </w:p>
          <w:p w14:paraId="08FF5690">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rPr>
            </w:pPr>
            <w:r>
              <w:rPr>
                <w:rFonts w:hint="eastAsia" w:ascii="仿宋" w:hAnsi="仿宋" w:eastAsia="仿宋" w:cs="仿宋"/>
                <w:sz w:val="21"/>
                <w:szCs w:val="21"/>
                <w:highlight w:val="none"/>
              </w:rPr>
              <w:t>4.退还时间及条件：合同履约期间无违约情形的，项目验收结束后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tc>
      </w:tr>
    </w:tbl>
    <w:p w14:paraId="6BD48257">
      <w:pPr>
        <w:adjustRightInd w:val="0"/>
        <w:snapToGrid w:val="0"/>
        <w:spacing w:line="288" w:lineRule="auto"/>
        <w:rPr>
          <w:rFonts w:ascii="仿宋" w:hAnsi="仿宋" w:eastAsia="仿宋" w:cs="仿宋"/>
          <w:color w:val="auto"/>
          <w:spacing w:val="-4"/>
          <w:szCs w:val="21"/>
          <w:highlight w:val="none"/>
        </w:rPr>
      </w:pPr>
    </w:p>
    <w:p w14:paraId="4779CB3B">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8"/>
        <w:gridCol w:w="7280"/>
      </w:tblGrid>
      <w:tr w14:paraId="2F679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4576AF5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3780" w:type="pct"/>
            <w:tcBorders>
              <w:top w:val="single" w:color="auto" w:sz="4" w:space="0"/>
              <w:left w:val="single" w:color="auto" w:sz="4" w:space="0"/>
              <w:bottom w:val="single" w:color="auto" w:sz="4" w:space="0"/>
              <w:right w:val="single" w:color="auto" w:sz="4" w:space="0"/>
            </w:tcBorders>
            <w:vAlign w:val="center"/>
          </w:tcPr>
          <w:p w14:paraId="794C1A22">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自合同签订生效之日起</w:t>
            </w:r>
            <w:r>
              <w:rPr>
                <w:rFonts w:hint="eastAsia" w:ascii="仿宋" w:hAnsi="仿宋" w:eastAsia="仿宋" w:cs="仿宋"/>
                <w:color w:val="auto"/>
                <w:szCs w:val="21"/>
                <w:highlight w:val="none"/>
                <w:lang w:val="en-US" w:eastAsia="zh-CN"/>
              </w:rPr>
              <w:t>45</w:t>
            </w:r>
            <w:r>
              <w:rPr>
                <w:rFonts w:hint="eastAsia" w:ascii="仿宋" w:hAnsi="仿宋" w:eastAsia="仿宋" w:cs="仿宋"/>
                <w:color w:val="auto"/>
                <w:szCs w:val="21"/>
                <w:highlight w:val="none"/>
                <w:lang w:eastAsia="zh-CN"/>
              </w:rPr>
              <w:t>天内交付</w:t>
            </w:r>
          </w:p>
        </w:tc>
      </w:tr>
      <w:tr w14:paraId="6C968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765C8CA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3780" w:type="pct"/>
            <w:tcBorders>
              <w:top w:val="single" w:color="auto" w:sz="4" w:space="0"/>
              <w:left w:val="single" w:color="auto" w:sz="4" w:space="0"/>
              <w:bottom w:val="single" w:color="auto" w:sz="4" w:space="0"/>
              <w:right w:val="single" w:color="auto" w:sz="4" w:space="0"/>
            </w:tcBorders>
            <w:vAlign w:val="center"/>
          </w:tcPr>
          <w:p w14:paraId="24B1E0D7">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采购人指定地点</w:t>
            </w:r>
          </w:p>
        </w:tc>
      </w:tr>
      <w:tr w14:paraId="013E6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3350D12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质保期</w:t>
            </w:r>
          </w:p>
        </w:tc>
        <w:tc>
          <w:tcPr>
            <w:tcW w:w="3780" w:type="pct"/>
            <w:tcBorders>
              <w:top w:val="single" w:color="auto" w:sz="4" w:space="0"/>
              <w:left w:val="single" w:color="auto" w:sz="4" w:space="0"/>
              <w:bottom w:val="single" w:color="auto" w:sz="4" w:space="0"/>
              <w:right w:val="single" w:color="auto" w:sz="4" w:space="0"/>
            </w:tcBorders>
            <w:vAlign w:val="center"/>
          </w:tcPr>
          <w:p w14:paraId="4D0029A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eastAsia="zh-CN"/>
              </w:rPr>
              <w:t>项目经验收合格后</w:t>
            </w:r>
            <w:r>
              <w:rPr>
                <w:rFonts w:hint="eastAsia" w:ascii="仿宋" w:hAnsi="仿宋" w:eastAsia="仿宋" w:cs="仿宋"/>
                <w:color w:val="auto"/>
                <w:szCs w:val="21"/>
                <w:highlight w:val="none"/>
              </w:rPr>
              <w:t>开始计算）</w:t>
            </w:r>
          </w:p>
        </w:tc>
      </w:tr>
      <w:tr w14:paraId="22C8B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9" w:type="pct"/>
            <w:tcBorders>
              <w:top w:val="single" w:color="auto" w:sz="4" w:space="0"/>
              <w:left w:val="single" w:color="auto" w:sz="4" w:space="0"/>
              <w:bottom w:val="single" w:color="auto" w:sz="4" w:space="0"/>
              <w:right w:val="single" w:color="auto" w:sz="4" w:space="0"/>
            </w:tcBorders>
            <w:vAlign w:val="center"/>
          </w:tcPr>
          <w:p w14:paraId="4C8364F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3780" w:type="pct"/>
            <w:tcBorders>
              <w:top w:val="single" w:color="auto" w:sz="4" w:space="0"/>
              <w:left w:val="single" w:color="auto" w:sz="4" w:space="0"/>
              <w:bottom w:val="single" w:color="auto" w:sz="4" w:space="0"/>
              <w:right w:val="single" w:color="auto" w:sz="4" w:space="0"/>
            </w:tcBorders>
            <w:vAlign w:val="center"/>
          </w:tcPr>
          <w:p w14:paraId="14FBA20A">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1.质量保证</w:t>
            </w:r>
          </w:p>
          <w:p w14:paraId="045803D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1.1 最新生产的符合国家相关技术标准和质量要求的出厂原装合格产品；</w:t>
            </w:r>
          </w:p>
          <w:p w14:paraId="6DBB43E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1.2 中标人所投产品需符合完整性、成熟性、全新性的要求。</w:t>
            </w:r>
          </w:p>
          <w:p w14:paraId="4AD0D37E">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r>
              <w:rPr>
                <w:rFonts w:hint="eastAsia" w:ascii="仿宋" w:hAnsi="仿宋" w:eastAsia="仿宋" w:cs="仿宋"/>
                <w:highlight w:val="none"/>
              </w:rPr>
              <w:t>保证采购人产品需求</w:t>
            </w:r>
            <w:r>
              <w:rPr>
                <w:rFonts w:hint="eastAsia" w:ascii="仿宋" w:hAnsi="仿宋" w:eastAsia="仿宋" w:cs="仿宋"/>
                <w:highlight w:val="none"/>
                <w:lang w:val="en-US" w:eastAsia="zh-CN"/>
              </w:rPr>
              <w:t>的</w:t>
            </w:r>
            <w:r>
              <w:rPr>
                <w:rFonts w:hint="eastAsia" w:ascii="仿宋" w:hAnsi="仿宋" w:eastAsia="仿宋" w:cs="仿宋"/>
                <w:highlight w:val="none"/>
              </w:rPr>
              <w:t>完整性，如项目实施过程中因缺少必备的设备、配件或服务导致产品无法正常运行的</w:t>
            </w:r>
            <w:r>
              <w:rPr>
                <w:rFonts w:hint="eastAsia" w:ascii="仿宋" w:hAnsi="仿宋" w:eastAsia="仿宋" w:cs="仿宋"/>
                <w:highlight w:val="none"/>
                <w:lang w:val="en-US" w:eastAsia="zh-CN"/>
              </w:rPr>
              <w:t>则</w:t>
            </w:r>
            <w:r>
              <w:rPr>
                <w:rFonts w:hint="eastAsia" w:ascii="仿宋" w:hAnsi="仿宋" w:eastAsia="仿宋" w:cs="仿宋"/>
                <w:highlight w:val="none"/>
                <w:lang w:eastAsia="zh-CN"/>
              </w:rPr>
              <w:t>需</w:t>
            </w:r>
            <w:r>
              <w:rPr>
                <w:rFonts w:hint="eastAsia" w:ascii="仿宋" w:hAnsi="仿宋" w:eastAsia="仿宋" w:cs="仿宋"/>
                <w:highlight w:val="none"/>
              </w:rPr>
              <w:t>补足</w:t>
            </w:r>
            <w:r>
              <w:rPr>
                <w:rFonts w:hint="eastAsia" w:ascii="仿宋" w:hAnsi="仿宋" w:eastAsia="仿宋" w:cs="仿宋"/>
                <w:highlight w:val="none"/>
                <w:lang w:eastAsia="zh-CN"/>
              </w:rPr>
              <w:t>（</w:t>
            </w:r>
            <w:r>
              <w:rPr>
                <w:rFonts w:hint="eastAsia" w:ascii="仿宋" w:hAnsi="仿宋" w:eastAsia="仿宋" w:cs="仿宋"/>
                <w:highlight w:val="none"/>
              </w:rPr>
              <w:t>费用包含在投标总价中</w:t>
            </w:r>
            <w:r>
              <w:rPr>
                <w:rFonts w:hint="eastAsia" w:ascii="仿宋" w:hAnsi="仿宋" w:eastAsia="仿宋" w:cs="仿宋"/>
                <w:highlight w:val="none"/>
                <w:lang w:eastAsia="zh-CN"/>
              </w:rPr>
              <w:t>）；</w:t>
            </w:r>
          </w:p>
          <w:p w14:paraId="125ABDBA">
            <w:pPr>
              <w:rPr>
                <w:rFonts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.安装调试</w:t>
            </w:r>
          </w:p>
          <w:p w14:paraId="1AD77FE3">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.1 安装地点：采购人指定地点；</w:t>
            </w:r>
          </w:p>
          <w:p w14:paraId="62323006">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.2 完成时间：接到采购人通知后在规定时间内完成安装调试，如在规定时间内由于中标人原因不能完成安装调试，中标人承担由此给采购人造成的损失；</w:t>
            </w:r>
          </w:p>
          <w:p w14:paraId="21ABFCB0">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.3 如中标人委托国内代理（或其他机构）负责安装或配合安装</w:t>
            </w:r>
            <w:r>
              <w:rPr>
                <w:rFonts w:hint="eastAsia" w:ascii="仿宋" w:hAnsi="仿宋" w:eastAsia="仿宋" w:cs="仿宋"/>
                <w:color w:val="auto"/>
                <w:szCs w:val="21"/>
                <w:highlight w:val="none"/>
                <w:lang w:val="en-US" w:eastAsia="zh-CN"/>
              </w:rPr>
              <w:t>需</w:t>
            </w:r>
            <w:r>
              <w:rPr>
                <w:rFonts w:hint="eastAsia" w:ascii="仿宋" w:hAnsi="仿宋" w:eastAsia="仿宋" w:cs="仿宋"/>
                <w:color w:val="auto"/>
                <w:szCs w:val="21"/>
                <w:highlight w:val="none"/>
              </w:rPr>
              <w:t>在签约时指明，但中标人仍要对合同货物及其安装质量负全部责任；</w:t>
            </w:r>
          </w:p>
          <w:p w14:paraId="554F2F1D">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.4 安装标准：符合我国国家有关技术规范要求和技术标准，所有软件和硬件保证同时安装到位；</w:t>
            </w:r>
          </w:p>
          <w:p w14:paraId="588160AF">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.5 </w:t>
            </w:r>
            <w:r>
              <w:rPr>
                <w:rFonts w:hint="eastAsia" w:ascii="仿宋" w:hAnsi="仿宋" w:eastAsia="仿宋" w:cs="仿宋"/>
                <w:highlight w:val="none"/>
              </w:rPr>
              <w:t>费用</w:t>
            </w:r>
            <w:r>
              <w:rPr>
                <w:rFonts w:hint="eastAsia" w:ascii="仿宋" w:hAnsi="仿宋" w:eastAsia="仿宋" w:cs="仿宋"/>
                <w:highlight w:val="none"/>
                <w:lang w:eastAsia="zh-CN"/>
              </w:rPr>
              <w:t>：</w:t>
            </w:r>
            <w:r>
              <w:rPr>
                <w:rFonts w:hint="eastAsia" w:ascii="仿宋" w:hAnsi="仿宋" w:eastAsia="仿宋" w:cs="仿宋"/>
                <w:highlight w:val="none"/>
              </w:rPr>
              <w:t>包含在投标总价中</w:t>
            </w:r>
            <w:r>
              <w:rPr>
                <w:rFonts w:hint="eastAsia" w:ascii="仿宋" w:hAnsi="仿宋" w:eastAsia="仿宋" w:cs="仿宋"/>
                <w:color w:val="auto"/>
                <w:szCs w:val="21"/>
                <w:highlight w:val="none"/>
              </w:rPr>
              <w:t>；</w:t>
            </w:r>
          </w:p>
          <w:p w14:paraId="106862B3">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.6 </w:t>
            </w:r>
            <w:r>
              <w:rPr>
                <w:rFonts w:hint="eastAsia" w:ascii="仿宋" w:hAnsi="仿宋" w:eastAsia="仿宋" w:cs="仿宋"/>
                <w:color w:val="auto"/>
                <w:szCs w:val="21"/>
                <w:highlight w:val="none"/>
                <w:lang w:eastAsia="zh-CN"/>
              </w:rPr>
              <w:t>安装调试方法或方案专业</w:t>
            </w:r>
            <w:r>
              <w:rPr>
                <w:rFonts w:hint="eastAsia" w:ascii="仿宋" w:hAnsi="仿宋" w:eastAsia="仿宋" w:cs="仿宋"/>
                <w:color w:val="auto"/>
                <w:szCs w:val="21"/>
                <w:highlight w:val="none"/>
              </w:rPr>
              <w:t>，包括安装前准备阶段[</w:t>
            </w:r>
            <w:r>
              <w:rPr>
                <w:rFonts w:hint="eastAsia" w:ascii="仿宋" w:hAnsi="仿宋" w:eastAsia="仿宋" w:cs="仿宋"/>
                <w:color w:val="auto"/>
                <w:szCs w:val="21"/>
                <w:highlight w:val="none"/>
                <w:lang w:val="en-US" w:eastAsia="zh-CN"/>
              </w:rPr>
              <w:t>安装调试计划</w:t>
            </w:r>
            <w:r>
              <w:rPr>
                <w:rFonts w:hint="eastAsia" w:ascii="仿宋" w:hAnsi="仿宋" w:eastAsia="仿宋" w:cs="仿宋"/>
                <w:color w:val="auto"/>
                <w:szCs w:val="21"/>
                <w:highlight w:val="none"/>
              </w:rPr>
              <w:t>（技术资料准备、安装流程、人员分工、时间节点等）、采购人现有环境（基础条件、环境参数、配套设施等）检查及改造方案等]、安装调试阶段（流程、标准、性能验证、文档移交等）</w:t>
            </w:r>
            <w:r>
              <w:rPr>
                <w:rFonts w:hint="eastAsia" w:ascii="仿宋" w:hAnsi="仿宋" w:eastAsia="仿宋" w:cs="仿宋"/>
                <w:color w:val="auto"/>
                <w:szCs w:val="21"/>
                <w:highlight w:val="none"/>
                <w:lang w:eastAsia="zh-CN"/>
              </w:rPr>
              <w:t>；</w:t>
            </w:r>
          </w:p>
          <w:p w14:paraId="03287581">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3.7 </w:t>
            </w:r>
            <w:r>
              <w:rPr>
                <w:rFonts w:hint="eastAsia" w:ascii="仿宋" w:hAnsi="仿宋" w:eastAsia="仿宋" w:cs="仿宋"/>
                <w:color w:val="auto"/>
                <w:szCs w:val="21"/>
                <w:highlight w:val="none"/>
                <w:lang w:eastAsia="zh-CN"/>
              </w:rPr>
              <w:t>日常运行及保养方案专业</w:t>
            </w:r>
            <w:r>
              <w:rPr>
                <w:rFonts w:hint="eastAsia" w:ascii="仿宋" w:hAnsi="仿宋" w:eastAsia="仿宋" w:cs="仿宋"/>
                <w:color w:val="auto"/>
                <w:szCs w:val="21"/>
                <w:highlight w:val="none"/>
                <w:lang w:val="en-US" w:eastAsia="zh-CN"/>
              </w:rPr>
              <w:t>，包括操作使用说明、日常维修保养说明、关键部件&amp;易损件&amp;耗材检查和更换周期等。</w:t>
            </w:r>
          </w:p>
          <w:p w14:paraId="23B02A86">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.培训</w:t>
            </w:r>
          </w:p>
          <w:p w14:paraId="5658DFA3">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 对采购人的操作人员、维修人员进行培训，直至能熟练操作为止；</w:t>
            </w:r>
          </w:p>
          <w:p w14:paraId="34543FB8">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 xml:space="preserve">.2 </w:t>
            </w:r>
            <w:r>
              <w:rPr>
                <w:rFonts w:hint="eastAsia" w:ascii="仿宋" w:hAnsi="仿宋" w:eastAsia="仿宋" w:cs="仿宋"/>
                <w:highlight w:val="none"/>
              </w:rPr>
              <w:t>费用</w:t>
            </w:r>
            <w:r>
              <w:rPr>
                <w:rFonts w:hint="eastAsia" w:ascii="仿宋" w:hAnsi="仿宋" w:eastAsia="仿宋" w:cs="仿宋"/>
                <w:highlight w:val="none"/>
                <w:lang w:eastAsia="zh-CN"/>
              </w:rPr>
              <w:t>：</w:t>
            </w:r>
            <w:r>
              <w:rPr>
                <w:rFonts w:hint="eastAsia" w:ascii="仿宋" w:hAnsi="仿宋" w:eastAsia="仿宋" w:cs="仿宋"/>
                <w:highlight w:val="none"/>
              </w:rPr>
              <w:t>包含在投标总价中</w:t>
            </w:r>
            <w:r>
              <w:rPr>
                <w:rFonts w:hint="eastAsia" w:ascii="仿宋" w:hAnsi="仿宋" w:eastAsia="仿宋" w:cs="仿宋"/>
                <w:highlight w:val="none"/>
                <w:lang w:eastAsia="zh-CN"/>
              </w:rPr>
              <w:t>；</w:t>
            </w:r>
          </w:p>
          <w:p w14:paraId="1B617E8F">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培训计划科学</w:t>
            </w:r>
            <w:r>
              <w:rPr>
                <w:rFonts w:hint="eastAsia" w:ascii="仿宋" w:hAnsi="仿宋" w:eastAsia="仿宋" w:cs="仿宋"/>
                <w:color w:val="auto"/>
                <w:szCs w:val="21"/>
                <w:highlight w:val="none"/>
              </w:rPr>
              <w:t>，包括培训目标、培训对象、培训内容（理论知识、实操、维修保养等）、培训时间与地点、培训方式、培训师资、培训后跟进（效果跟踪、复训计划、技术支持等）等</w:t>
            </w:r>
            <w:r>
              <w:rPr>
                <w:rFonts w:hint="eastAsia" w:ascii="仿宋" w:hAnsi="仿宋" w:eastAsia="仿宋" w:cs="仿宋"/>
                <w:color w:val="auto"/>
                <w:sz w:val="21"/>
                <w:szCs w:val="21"/>
                <w:highlight w:val="none"/>
                <w:lang w:eastAsia="zh-CN"/>
              </w:rPr>
              <w:t>。</w:t>
            </w:r>
          </w:p>
          <w:p w14:paraId="32F81E43">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.售后服务</w:t>
            </w:r>
          </w:p>
          <w:p w14:paraId="3CFCBE5E">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.1 质保期内：因不能排除的故障而影响工作的情况每发生一次，其质保期相应延长</w:t>
            </w:r>
            <w:r>
              <w:rPr>
                <w:rFonts w:hint="eastAsia" w:ascii="仿宋" w:hAnsi="仿宋" w:eastAsia="仿宋" w:cs="仿宋"/>
                <w:color w:val="auto"/>
                <w:szCs w:val="21"/>
                <w:highlight w:val="none"/>
                <w:lang w:val="en-US" w:eastAsia="zh-CN"/>
              </w:rPr>
              <w:t>90</w:t>
            </w:r>
            <w:r>
              <w:rPr>
                <w:rFonts w:hint="eastAsia" w:ascii="仿宋" w:hAnsi="仿宋" w:eastAsia="仿宋" w:cs="仿宋"/>
                <w:color w:val="auto"/>
                <w:szCs w:val="21"/>
                <w:highlight w:val="none"/>
              </w:rPr>
              <w:t>天，因货物本身缺陷造成各种故障</w:t>
            </w:r>
            <w:r>
              <w:rPr>
                <w:rFonts w:hint="eastAsia" w:ascii="仿宋" w:hAnsi="仿宋" w:eastAsia="仿宋" w:cs="仿宋"/>
                <w:color w:val="auto"/>
                <w:szCs w:val="21"/>
                <w:highlight w:val="none"/>
                <w:lang w:val="en-US" w:eastAsia="zh-CN"/>
              </w:rPr>
              <w:t>需</w:t>
            </w:r>
            <w:r>
              <w:rPr>
                <w:rFonts w:hint="eastAsia" w:ascii="仿宋" w:hAnsi="仿宋" w:eastAsia="仿宋" w:cs="仿宋"/>
                <w:color w:val="auto"/>
                <w:szCs w:val="21"/>
                <w:highlight w:val="none"/>
              </w:rPr>
              <w:t>由中标人免费予以更换，否则采购人有权按照“违约责任”条款的约定要求中标人承担相应违约责任；</w:t>
            </w:r>
          </w:p>
          <w:p w14:paraId="2006E15D">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.2 质保期外：实行有偿服务，仅收取成本费（按一定折扣的优惠价格），免人工费、差旅费</w:t>
            </w:r>
            <w:r>
              <w:rPr>
                <w:rFonts w:hint="eastAsia" w:ascii="仿宋" w:hAnsi="仿宋" w:eastAsia="仿宋" w:cs="仿宋"/>
                <w:color w:val="auto"/>
                <w:szCs w:val="21"/>
                <w:highlight w:val="none"/>
                <w:lang w:eastAsia="zh-CN"/>
              </w:rPr>
              <w:t>；</w:t>
            </w:r>
          </w:p>
          <w:p w14:paraId="7B176EC3">
            <w:pP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.3 响应时间</w:t>
            </w:r>
          </w:p>
          <w:p w14:paraId="2567504E">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(1)维修响应时间：7</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24小时电话/邮件技术支持</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接到采购人通知</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小时内响应、</w:t>
            </w:r>
            <w:r>
              <w:rPr>
                <w:rFonts w:hint="eastAsia" w:ascii="仿宋" w:hAnsi="仿宋" w:eastAsia="仿宋" w:cs="仿宋"/>
                <w:color w:val="auto"/>
                <w:szCs w:val="21"/>
                <w:highlight w:val="none"/>
                <w:lang w:val="en-US" w:eastAsia="zh-CN"/>
              </w:rPr>
              <w:t>24</w:t>
            </w:r>
            <w:r>
              <w:rPr>
                <w:rFonts w:hint="eastAsia" w:ascii="仿宋" w:hAnsi="仿宋" w:eastAsia="仿宋" w:cs="仿宋"/>
                <w:color w:val="auto"/>
                <w:szCs w:val="21"/>
                <w:highlight w:val="none"/>
              </w:rPr>
              <w:t>小时内到达采购人现场；</w:t>
            </w:r>
          </w:p>
          <w:p w14:paraId="673B5B5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(2)解决问题时间：一般问题在</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小时内解决、重大问题或其它无法迅速解决的问题在一周内解决或提出明确的解决方案；</w:t>
            </w:r>
          </w:p>
          <w:p w14:paraId="67879D56">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24</w:t>
            </w:r>
            <w:r>
              <w:rPr>
                <w:rFonts w:hint="eastAsia" w:ascii="仿宋" w:hAnsi="仿宋" w:eastAsia="仿宋" w:cs="仿宋"/>
                <w:color w:val="auto"/>
                <w:szCs w:val="21"/>
                <w:highlight w:val="none"/>
              </w:rPr>
              <w:t>小时内无法修复的提供解决方案（如提供备机等）。</w:t>
            </w:r>
          </w:p>
          <w:p w14:paraId="0ED924FF">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Cs w:val="21"/>
                <w:highlight w:val="none"/>
                <w:lang w:val="en-US" w:eastAsia="zh-CN"/>
              </w:rPr>
              <w:t xml:space="preserve">5.4 </w:t>
            </w:r>
            <w:r>
              <w:rPr>
                <w:rFonts w:hint="eastAsia" w:ascii="仿宋" w:hAnsi="仿宋" w:eastAsia="仿宋" w:cs="仿宋"/>
                <w:color w:val="auto"/>
                <w:szCs w:val="21"/>
                <w:highlight w:val="none"/>
                <w:lang w:eastAsia="zh-CN"/>
              </w:rPr>
              <w:t>售后服务方案完善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包括</w:t>
            </w:r>
            <w:r>
              <w:rPr>
                <w:rFonts w:hint="eastAsia" w:ascii="仿宋" w:hAnsi="仿宋" w:eastAsia="仿宋" w:cs="仿宋"/>
                <w:color w:val="auto"/>
                <w:sz w:val="21"/>
                <w:szCs w:val="21"/>
                <w:highlight w:val="none"/>
                <w:lang w:eastAsia="zh-CN"/>
              </w:rPr>
              <w:t>售后服务体系</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售后服务团队（原厂及自有售后人员售后服务经验、技术能力等）、原厂及自有备品备件仓库、退换货时效保障机制</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售后服务内容</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时效（响应时间、到达采购人现场时间、一般问题解决时间、重大问题或其它无法迅速解决的问题解决或提出明确的解决方案时间、备机提供到位时间等）、质保期内免费的定期巡检及必要的维护保养指导等（频次、方式等）、质保期外有偿的维护保养（检查、故障排查、部件更换等）和个性化维护保养方案等及相应收费标准</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售后服务流程</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售后接收处理和反馈（方式、具体步骤等）、故障诊断及现场维修服务（具体步骤、服务标准等）、反馈意见收集及定期回访（频次、方式、目的等）</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日常反馈机制</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采购人满意度调查（方式、内容等）、投诉处理（时效、处理团队、改进措施等）</w:t>
            </w:r>
            <w:r>
              <w:rPr>
                <w:rFonts w:hint="eastAsia" w:ascii="仿宋" w:hAnsi="仿宋" w:eastAsia="仿宋" w:cs="仿宋"/>
                <w:color w:val="auto"/>
                <w:sz w:val="21"/>
                <w:szCs w:val="21"/>
                <w:highlight w:val="none"/>
                <w:lang w:val="en-US" w:eastAsia="zh-CN"/>
              </w:rPr>
              <w:t>]及</w:t>
            </w:r>
            <w:r>
              <w:rPr>
                <w:rFonts w:hint="eastAsia" w:ascii="仿宋" w:hAnsi="仿宋" w:eastAsia="仿宋" w:cs="仿宋"/>
                <w:color w:val="auto"/>
                <w:sz w:val="21"/>
                <w:szCs w:val="21"/>
                <w:highlight w:val="none"/>
                <w:lang w:eastAsia="zh-CN"/>
              </w:rPr>
              <w:t>随机标准附件、备品备件、易损件、零配件、专用工具等准备和保障措施。</w:t>
            </w:r>
          </w:p>
          <w:p w14:paraId="13CFD2BC">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6.项目团队要求</w:t>
            </w:r>
          </w:p>
          <w:p w14:paraId="49D25BE6">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6.1 </w:t>
            </w:r>
            <w:r>
              <w:rPr>
                <w:rFonts w:hint="default" w:ascii="仿宋" w:hAnsi="仿宋" w:eastAsia="仿宋" w:cs="仿宋"/>
                <w:color w:val="auto"/>
                <w:highlight w:val="none"/>
                <w:lang w:val="en-US" w:eastAsia="zh-CN"/>
              </w:rPr>
              <w:t>项目负责人</w:t>
            </w:r>
          </w:p>
          <w:p w14:paraId="58F9E0AD">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(1)具有</w:t>
            </w:r>
            <w:r>
              <w:rPr>
                <w:rFonts w:hint="default" w:ascii="仿宋" w:hAnsi="仿宋" w:eastAsia="仿宋" w:cs="仿宋"/>
                <w:color w:val="auto"/>
                <w:highlight w:val="none"/>
                <w:lang w:val="en-US" w:eastAsia="zh-CN"/>
              </w:rPr>
              <w:t>副高级及以上职称</w:t>
            </w:r>
            <w:r>
              <w:rPr>
                <w:rFonts w:hint="eastAsia" w:ascii="仿宋" w:hAnsi="仿宋" w:eastAsia="仿宋" w:cs="仿宋"/>
                <w:color w:val="auto"/>
                <w:highlight w:val="none"/>
                <w:lang w:val="en-US" w:eastAsia="zh-CN"/>
              </w:rPr>
              <w:t>证书</w:t>
            </w:r>
            <w:r>
              <w:rPr>
                <w:rFonts w:hint="default" w:ascii="仿宋" w:hAnsi="仿宋" w:eastAsia="仿宋" w:cs="仿宋"/>
                <w:color w:val="auto"/>
                <w:highlight w:val="none"/>
                <w:lang w:val="en-US" w:eastAsia="zh-CN"/>
              </w:rPr>
              <w:t>（人社部门颁发）</w:t>
            </w:r>
            <w:r>
              <w:rPr>
                <w:rFonts w:hint="eastAsia" w:ascii="仿宋" w:hAnsi="仿宋" w:eastAsia="仿宋" w:cs="仿宋"/>
                <w:color w:val="auto"/>
                <w:highlight w:val="none"/>
                <w:lang w:val="en-US" w:eastAsia="zh-CN"/>
              </w:rPr>
              <w:t>；</w:t>
            </w:r>
          </w:p>
          <w:p w14:paraId="1662B7B2">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(2)具有</w:t>
            </w:r>
            <w:r>
              <w:rPr>
                <w:rFonts w:hint="default" w:ascii="仿宋" w:hAnsi="仿宋" w:eastAsia="仿宋" w:cs="仿宋"/>
                <w:color w:val="auto"/>
                <w:highlight w:val="none"/>
                <w:lang w:val="en-US" w:eastAsia="zh-CN"/>
              </w:rPr>
              <w:t>信息系统项目管理师、系统集成项目管理工程师证书（工信或人社部门颁发）</w:t>
            </w:r>
            <w:r>
              <w:rPr>
                <w:rFonts w:hint="eastAsia" w:ascii="仿宋" w:hAnsi="仿宋" w:eastAsia="仿宋" w:cs="仿宋"/>
                <w:color w:val="auto"/>
                <w:highlight w:val="none"/>
                <w:lang w:val="en-US" w:eastAsia="zh-CN"/>
              </w:rPr>
              <w:t>。</w:t>
            </w:r>
          </w:p>
          <w:p w14:paraId="64D4F740">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6.2 </w:t>
            </w:r>
            <w:r>
              <w:rPr>
                <w:rFonts w:hint="default" w:ascii="仿宋" w:hAnsi="仿宋" w:eastAsia="仿宋" w:cs="仿宋"/>
                <w:color w:val="auto"/>
                <w:highlight w:val="none"/>
                <w:lang w:val="en-US" w:eastAsia="zh-CN"/>
              </w:rPr>
              <w:t>技术负责人</w:t>
            </w:r>
          </w:p>
          <w:p w14:paraId="22995E50">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(1)具有</w:t>
            </w:r>
            <w:r>
              <w:rPr>
                <w:rFonts w:hint="default" w:ascii="仿宋" w:hAnsi="仿宋" w:eastAsia="仿宋" w:cs="仿宋"/>
                <w:color w:val="auto"/>
                <w:highlight w:val="none"/>
                <w:lang w:val="en-US" w:eastAsia="zh-CN"/>
              </w:rPr>
              <w:t>中级及以上职称</w:t>
            </w:r>
            <w:r>
              <w:rPr>
                <w:rFonts w:hint="eastAsia" w:ascii="仿宋" w:hAnsi="仿宋" w:eastAsia="仿宋" w:cs="仿宋"/>
                <w:color w:val="auto"/>
                <w:highlight w:val="none"/>
                <w:lang w:val="en-US" w:eastAsia="zh-CN"/>
              </w:rPr>
              <w:t>证书</w:t>
            </w:r>
            <w:r>
              <w:rPr>
                <w:rFonts w:hint="default" w:ascii="仿宋" w:hAnsi="仿宋" w:eastAsia="仿宋" w:cs="仿宋"/>
                <w:color w:val="auto"/>
                <w:highlight w:val="none"/>
                <w:lang w:val="en-US" w:eastAsia="zh-CN"/>
              </w:rPr>
              <w:t>（人社部门颁发）</w:t>
            </w:r>
            <w:r>
              <w:rPr>
                <w:rFonts w:hint="eastAsia" w:ascii="仿宋" w:hAnsi="仿宋" w:eastAsia="仿宋" w:cs="仿宋"/>
                <w:color w:val="auto"/>
                <w:highlight w:val="none"/>
                <w:lang w:val="en-US" w:eastAsia="zh-CN"/>
              </w:rPr>
              <w:t>；</w:t>
            </w:r>
          </w:p>
          <w:p w14:paraId="2FC15E59">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r>
              <w:rPr>
                <w:rFonts w:hint="default" w:ascii="仿宋" w:hAnsi="仿宋" w:eastAsia="仿宋" w:cs="仿宋"/>
                <w:color w:val="auto"/>
                <w:highlight w:val="none"/>
                <w:lang w:val="en-US" w:eastAsia="zh-CN"/>
              </w:rPr>
              <w:t>具有软件测评师证书（工信或人社部门颁发）</w:t>
            </w:r>
            <w:r>
              <w:rPr>
                <w:rFonts w:hint="eastAsia" w:ascii="仿宋" w:hAnsi="仿宋" w:eastAsia="仿宋" w:cs="仿宋"/>
                <w:color w:val="auto"/>
                <w:highlight w:val="none"/>
                <w:lang w:val="en-US" w:eastAsia="zh-CN"/>
              </w:rPr>
              <w:t>。</w:t>
            </w:r>
          </w:p>
        </w:tc>
      </w:tr>
      <w:tr w14:paraId="2B9EE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0FB44D66">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7280" w:type="dxa"/>
            <w:tcBorders>
              <w:top w:val="single" w:color="auto" w:sz="4" w:space="0"/>
              <w:left w:val="single" w:color="auto" w:sz="4" w:space="0"/>
              <w:bottom w:val="single" w:color="auto" w:sz="4" w:space="0"/>
              <w:right w:val="single" w:color="auto" w:sz="4" w:space="0"/>
            </w:tcBorders>
            <w:vAlign w:val="center"/>
          </w:tcPr>
          <w:p w14:paraId="02CAB1CF">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1.技术支持：</w:t>
            </w:r>
            <w:r>
              <w:rPr>
                <w:rFonts w:hint="eastAsia" w:ascii="仿宋" w:hAnsi="仿宋" w:eastAsia="仿宋" w:cs="仿宋"/>
                <w:color w:val="auto"/>
                <w:szCs w:val="21"/>
                <w:highlight w:val="none"/>
                <w:lang w:val="en-US" w:eastAsia="zh-CN"/>
              </w:rPr>
              <w:t>质保期内外</w:t>
            </w:r>
            <w:r>
              <w:rPr>
                <w:rFonts w:hint="eastAsia" w:ascii="仿宋" w:hAnsi="仿宋" w:eastAsia="仿宋" w:cs="仿宋"/>
                <w:color w:val="auto"/>
                <w:szCs w:val="21"/>
                <w:highlight w:val="none"/>
              </w:rPr>
              <w:t>中标人</w:t>
            </w:r>
            <w:r>
              <w:rPr>
                <w:rFonts w:hint="eastAsia" w:ascii="仿宋" w:hAnsi="仿宋" w:eastAsia="仿宋" w:cs="仿宋"/>
                <w:color w:val="auto"/>
                <w:szCs w:val="21"/>
                <w:highlight w:val="none"/>
                <w:lang w:val="en-US" w:eastAsia="zh-CN"/>
              </w:rPr>
              <w:t>均需</w:t>
            </w:r>
            <w:r>
              <w:rPr>
                <w:rFonts w:hint="eastAsia" w:ascii="仿宋" w:hAnsi="仿宋" w:eastAsia="仿宋" w:cs="仿宋"/>
                <w:color w:val="auto"/>
                <w:szCs w:val="21"/>
                <w:highlight w:val="none"/>
              </w:rPr>
              <w:t>及时提供合同货物软件</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升级</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硬件支持情况下）及</w:t>
            </w:r>
            <w:r>
              <w:rPr>
                <w:rFonts w:hint="eastAsia" w:ascii="仿宋" w:hAnsi="仿宋" w:eastAsia="仿宋" w:cs="仿宋"/>
                <w:color w:val="auto"/>
                <w:szCs w:val="21"/>
                <w:highlight w:val="none"/>
              </w:rPr>
              <w:t>新功能和应用的资料</w:t>
            </w:r>
            <w:r>
              <w:rPr>
                <w:rFonts w:hint="eastAsia" w:ascii="仿宋" w:hAnsi="仿宋" w:eastAsia="仿宋" w:cs="仿宋"/>
                <w:color w:val="auto"/>
                <w:szCs w:val="21"/>
                <w:highlight w:val="none"/>
                <w:lang w:eastAsia="zh-CN"/>
              </w:rPr>
              <w:t>，费用包含在投标总价中</w:t>
            </w:r>
            <w:r>
              <w:rPr>
                <w:rFonts w:hint="eastAsia" w:ascii="仿宋" w:hAnsi="仿宋" w:eastAsia="仿宋" w:cs="仿宋"/>
                <w:color w:val="auto"/>
                <w:szCs w:val="21"/>
                <w:highlight w:val="none"/>
              </w:rPr>
              <w:t>；</w:t>
            </w:r>
          </w:p>
          <w:p w14:paraId="21DAE39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2.供货时提供有关的全套技术文件（如产品说明书、参数标准、质量保证书、保修证明、操作维修保养说明、相关配套使用手册等）；</w:t>
            </w:r>
          </w:p>
          <w:p w14:paraId="68680C84">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.保证所提供的货物或与该货物有关的一切权利均不会侵犯任何第三方的知识产权</w:t>
            </w:r>
            <w:r>
              <w:rPr>
                <w:rFonts w:hint="eastAsia" w:ascii="仿宋" w:hAnsi="仿宋" w:eastAsia="仿宋" w:cs="仿宋"/>
                <w:color w:val="auto"/>
                <w:szCs w:val="21"/>
                <w:highlight w:val="none"/>
                <w:lang w:eastAsia="zh-CN"/>
              </w:rPr>
              <w:t>；</w:t>
            </w:r>
          </w:p>
          <w:p w14:paraId="3FA7A1F0">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.对中标产品使用的安全性、有效性及可靠性承担全部责任，保证在合同验收阶段的性能检验与投标文件明确的技术指标一致；</w:t>
            </w:r>
          </w:p>
          <w:p w14:paraId="3AFD664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.工作条件：投标产品能在采购人所处的条件下正常工作，可通过现场踏勘进行了解；</w:t>
            </w:r>
          </w:p>
          <w:p w14:paraId="19F390A1">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.环境要求：投标产品安装运行对环境的要求能满足采购人的现有条件，如对环境有特别要求，则在投标文件中进行明确，否则，未适应产品安装运行所要具备的环境条件的营造费用由投标人承担，</w:t>
            </w:r>
            <w:r>
              <w:rPr>
                <w:rFonts w:hint="eastAsia" w:ascii="仿宋" w:hAnsi="仿宋" w:eastAsia="仿宋" w:cs="仿宋"/>
                <w:color w:val="auto"/>
                <w:szCs w:val="21"/>
                <w:highlight w:val="none"/>
                <w:lang w:val="en-US" w:eastAsia="zh-CN"/>
              </w:rPr>
              <w:t>可</w:t>
            </w:r>
            <w:r>
              <w:rPr>
                <w:rFonts w:hint="eastAsia" w:ascii="仿宋" w:hAnsi="仿宋" w:eastAsia="仿宋" w:cs="仿宋"/>
                <w:color w:val="auto"/>
                <w:szCs w:val="21"/>
                <w:highlight w:val="none"/>
              </w:rPr>
              <w:t>通过现场踏勘了解采购人能够提供的现有条件；</w:t>
            </w:r>
          </w:p>
          <w:p w14:paraId="0CC2491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.产品本体：产品在工作条件和环境条件具备的前提下正常运行即能达到投标文件承诺的技术指标及性能，不需要另外配置其他物品；</w:t>
            </w:r>
          </w:p>
          <w:p w14:paraId="5699E7E9">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随机配送的备品备件、易损件、零配件、专用工具：与产品相关的辅助性物品，为方便采购人使用而提供的、不会影响产品本身正常运行，包括采购人要求随机配送或产品自身随机配送的物品，在投标文件中列出各种随机配送的备品备件、易损件、零配件、专用工具的规格、用途、数量、单价和总价，费用包含在投标总价中；</w:t>
            </w:r>
          </w:p>
          <w:p w14:paraId="748223A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选配件及其他：为保证产品长期工作，在投标文件中列举与产品配套的选配件及其他设备的清单，具体包括选配件及其他设备的规格、用途、数量供采购人按需选购，并在今后一段时间内保持供应、价格不上涨，该项费用不包括在本次投标报价内；</w:t>
            </w:r>
          </w:p>
          <w:p w14:paraId="2C81533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.工作范围：按国家有关标准及规范完成招标文件规定的所有工作内容，包括完成所有产品供货、履行所有规定服务、产品及服务达到招标文件规定的质量标准及使用要求等</w:t>
            </w:r>
            <w:r>
              <w:rPr>
                <w:rFonts w:hint="eastAsia" w:ascii="仿宋" w:hAnsi="仿宋" w:eastAsia="仿宋" w:cs="仿宋"/>
                <w:color w:val="auto"/>
                <w:szCs w:val="21"/>
                <w:highlight w:val="none"/>
                <w:lang w:eastAsia="zh-CN"/>
              </w:rPr>
              <w:t>；</w:t>
            </w:r>
          </w:p>
          <w:p w14:paraId="3CF7C7D5">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11.</w:t>
            </w:r>
            <w:r>
              <w:rPr>
                <w:rFonts w:hint="eastAsia" w:ascii="仿宋" w:hAnsi="仿宋" w:eastAsia="仿宋" w:cs="仿宋"/>
                <w:color w:val="000000"/>
                <w:sz w:val="21"/>
                <w:szCs w:val="21"/>
                <w:highlight w:val="none"/>
              </w:rPr>
              <w:t>安装过程中安装服务提供方或其聘请的雇员遭受人身损害或安装服务提供方或其聘请的雇员令采购人或第三方遭受人身损害或财产损失，由此引起的一切法律责任由中标人全部承担，若采购人因此为中标人垫付任何款项，采购人有权要求中标人据实立即支付，且有权从应付中标人的价款中将上述款项自行扣除</w:t>
            </w:r>
            <w:r>
              <w:rPr>
                <w:rFonts w:hint="eastAsia" w:ascii="仿宋" w:hAnsi="仿宋" w:eastAsia="仿宋" w:cs="仿宋"/>
                <w:color w:val="000000"/>
                <w:sz w:val="21"/>
                <w:szCs w:val="21"/>
                <w:highlight w:val="none"/>
                <w:lang w:eastAsia="zh-CN"/>
              </w:rPr>
              <w:t>；</w:t>
            </w:r>
          </w:p>
          <w:p w14:paraId="7CC2B4B6">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r>
              <w:rPr>
                <w:rFonts w:hint="eastAsia" w:ascii="仿宋" w:hAnsi="仿宋" w:eastAsia="仿宋" w:cs="仿宋"/>
                <w:szCs w:val="21"/>
                <w:highlight w:val="none"/>
                <w:lang w:val="en-US" w:eastAsia="zh-CN"/>
              </w:rPr>
              <w:t>产品</w:t>
            </w:r>
            <w:r>
              <w:rPr>
                <w:rFonts w:hint="eastAsia" w:ascii="仿宋" w:hAnsi="仿宋" w:eastAsia="仿宋" w:cs="仿宋"/>
                <w:color w:val="auto"/>
                <w:szCs w:val="21"/>
                <w:highlight w:val="none"/>
                <w:lang w:val="en-US" w:eastAsia="zh-CN"/>
              </w:rPr>
              <w:t>在配置、结构设计（</w:t>
            </w:r>
            <w:r>
              <w:rPr>
                <w:rFonts w:hint="eastAsia" w:ascii="仿宋" w:hAnsi="仿宋" w:eastAsia="仿宋" w:cs="仿宋"/>
                <w:b w:val="0"/>
                <w:bCs w:val="0"/>
                <w:color w:val="auto"/>
                <w:szCs w:val="21"/>
                <w:highlight w:val="none"/>
                <w:lang w:val="en-US" w:eastAsia="zh-CN"/>
              </w:rPr>
              <w:t>材料与工艺选择、创新结构、模块、可维护性、用户体验等</w:t>
            </w:r>
            <w:r>
              <w:rPr>
                <w:rFonts w:hint="eastAsia" w:ascii="仿宋" w:hAnsi="仿宋" w:eastAsia="仿宋" w:cs="仿宋"/>
                <w:color w:val="auto"/>
                <w:szCs w:val="21"/>
                <w:highlight w:val="none"/>
                <w:lang w:val="en-US" w:eastAsia="zh-CN"/>
              </w:rPr>
              <w:t>）、功能（基础、扩展升级、联用、配套软件等）、技术路线（工作原理、核心技术等）等方面</w:t>
            </w:r>
            <w:r>
              <w:rPr>
                <w:rFonts w:hint="eastAsia" w:ascii="仿宋" w:hAnsi="仿宋" w:eastAsia="仿宋" w:cs="仿宋"/>
                <w:b w:val="0"/>
                <w:bCs w:val="0"/>
                <w:color w:val="auto"/>
                <w:sz w:val="21"/>
                <w:szCs w:val="21"/>
                <w:highlight w:val="none"/>
                <w:lang w:val="en-US" w:eastAsia="zh-CN"/>
              </w:rPr>
              <w:t>对工业互联网安全有实质性辅助提升；</w:t>
            </w:r>
          </w:p>
          <w:p w14:paraId="4D5AA1E2">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本项目实训平台为数字技术工程师培育项目-工业互联网工程技术人员培训及考核使用专用设备，中标人需配合采购人完成工业互联网工程技术人员考点申报、基础建设及培训服务等相关工作，由此产生的费用由中标人自行承担。</w:t>
            </w:r>
            <w:r>
              <w:rPr>
                <w:rFonts w:hint="eastAsia" w:ascii="仿宋" w:hAnsi="仿宋" w:eastAsia="仿宋" w:cs="仿宋"/>
                <w:b/>
                <w:bCs/>
                <w:color w:val="auto"/>
                <w:szCs w:val="21"/>
                <w:highlight w:val="none"/>
                <w:lang w:val="en-US" w:eastAsia="zh-CN"/>
              </w:rPr>
              <w:t>[提供承诺函（格式自拟），未提供承诺函或承诺函内容有缺漏均视为本项负偏离]</w:t>
            </w:r>
          </w:p>
        </w:tc>
      </w:tr>
      <w:tr w14:paraId="68433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14:paraId="3970DBE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7280" w:type="dxa"/>
            <w:tcBorders>
              <w:top w:val="single" w:color="auto" w:sz="4" w:space="0"/>
              <w:left w:val="single" w:color="auto" w:sz="4" w:space="0"/>
              <w:bottom w:val="single" w:color="auto" w:sz="4" w:space="0"/>
              <w:right w:val="single" w:color="auto" w:sz="4" w:space="0"/>
            </w:tcBorders>
            <w:vAlign w:val="center"/>
          </w:tcPr>
          <w:p w14:paraId="071E40E4">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1.验收由采购人负责实施；</w:t>
            </w:r>
          </w:p>
          <w:p w14:paraId="6549DA06">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2.验收依据</w:t>
            </w:r>
          </w:p>
          <w:p w14:paraId="374C0CDB">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2.1 合同、招标文件、投标文件；</w:t>
            </w:r>
          </w:p>
          <w:p w14:paraId="48511EFA">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2.2 中标人提供的技术规格、经采购人认可的合同货物的有效检验文件；</w:t>
            </w:r>
          </w:p>
          <w:p w14:paraId="7C13D465">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2.3 中标人投标文件中提供的经采购人认可的合同货物的验收标准（符合中国有关的国家、地方、行业标准）和检测办法及相应检测手段。</w:t>
            </w:r>
          </w:p>
          <w:p w14:paraId="03ECC981">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3.中标人</w:t>
            </w:r>
            <w:r>
              <w:rPr>
                <w:rFonts w:hint="eastAsia" w:ascii="仿宋" w:hAnsi="仿宋" w:eastAsia="仿宋" w:cs="仿宋"/>
                <w:color w:val="auto"/>
                <w:szCs w:val="21"/>
                <w:highlight w:val="none"/>
                <w:lang w:val="en-US" w:eastAsia="zh-CN"/>
              </w:rPr>
              <w:t>需</w:t>
            </w:r>
            <w:r>
              <w:rPr>
                <w:rFonts w:hint="eastAsia" w:ascii="仿宋" w:hAnsi="仿宋" w:eastAsia="仿宋" w:cs="仿宋"/>
                <w:color w:val="auto"/>
                <w:szCs w:val="21"/>
                <w:highlight w:val="none"/>
              </w:rPr>
              <w:t>派员在所供货物到采购人指定地点时进行到货验收，有需要时能联系产品制造商到场共同验收，若发现任何损坏及质量问题，中标人负责妥善处理直至采购人满意，由此产生的费用由中标人承担；</w:t>
            </w:r>
          </w:p>
          <w:p w14:paraId="4D49F769">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4.验收合格的条件</w:t>
            </w:r>
          </w:p>
          <w:p w14:paraId="4610C61C">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4.1 所供货物符合产品标准和招标文件及合同的要求；</w:t>
            </w:r>
          </w:p>
          <w:p w14:paraId="2ABAAB97">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4.2 在进行测试和验收过程中发现的问题已被解决并得到采购人的认可；</w:t>
            </w:r>
          </w:p>
          <w:p w14:paraId="741D16BD">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4.3 合同中规定的所有货物和材料均已交付；</w:t>
            </w:r>
          </w:p>
          <w:p w14:paraId="0051DA63">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4.4 所供货物已通过使用单位组织的验收；</w:t>
            </w:r>
          </w:p>
          <w:p w14:paraId="55EC152D">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4.5 所有相关的技术文件及资料均已提交并得到接受。</w:t>
            </w:r>
          </w:p>
        </w:tc>
      </w:tr>
    </w:tbl>
    <w:p w14:paraId="18BF076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cs="仿宋"/>
          <w:b/>
          <w:color w:val="auto"/>
          <w:szCs w:val="21"/>
          <w:highlight w:val="none"/>
        </w:rPr>
      </w:pPr>
    </w:p>
    <w:p w14:paraId="2B13176E">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32" w:name="_Hlk45005556"/>
    </w:p>
    <w:bookmarkEnd w:id="32"/>
    <w:p w14:paraId="22E41FC7">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b/>
          <w:bCs/>
          <w:color w:val="auto"/>
          <w:szCs w:val="21"/>
          <w:highlight w:val="none"/>
        </w:rPr>
      </w:pPr>
      <w:bookmarkStart w:id="33" w:name="_Hlk92271413"/>
      <w:r>
        <w:rPr>
          <w:rFonts w:hint="eastAsia" w:ascii="仿宋" w:hAnsi="仿宋" w:eastAsia="仿宋" w:cs="仿宋"/>
          <w:b/>
          <w:bCs/>
          <w:color w:val="auto"/>
          <w:szCs w:val="21"/>
          <w:highlight w:val="none"/>
        </w:rPr>
        <w:t>1.需执行的国家相关标准、行业标准、地方标准或者其他标准、规范</w:t>
      </w:r>
    </w:p>
    <w:p w14:paraId="39BF568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如涉及国家标准及规范、行业标准及规范、</w:t>
      </w:r>
      <w:r>
        <w:rPr>
          <w:rFonts w:hint="eastAsia" w:ascii="仿宋" w:hAnsi="仿宋" w:eastAsia="仿宋" w:cs="仿宋"/>
          <w:color w:val="auto"/>
          <w:szCs w:val="21"/>
          <w:highlight w:val="none"/>
          <w:lang w:val="en-US" w:eastAsia="zh-CN"/>
        </w:rPr>
        <w:t>地方</w:t>
      </w:r>
      <w:r>
        <w:rPr>
          <w:rFonts w:hint="eastAsia" w:ascii="仿宋" w:hAnsi="仿宋" w:eastAsia="仿宋" w:cs="仿宋"/>
          <w:color w:val="auto"/>
          <w:szCs w:val="21"/>
          <w:highlight w:val="none"/>
        </w:rPr>
        <w:t>标准及规范</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其它标准及规范，则按最新相关标准及规范执行，上述标准及规范如有不一致，则以更严格者为准；</w:t>
      </w:r>
    </w:p>
    <w:p w14:paraId="3BE2C31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color w:val="auto"/>
          <w:szCs w:val="21"/>
          <w:highlight w:val="none"/>
        </w:rPr>
        <w:t>1.2 产品本体、零部件、配件产品质量符合中华人民共和国有关质量标准，上述标准如有不一致，则以更严格者为准</w:t>
      </w:r>
      <w:r>
        <w:rPr>
          <w:rFonts w:hint="eastAsia" w:ascii="仿宋" w:hAnsi="仿宋" w:eastAsia="仿宋" w:cs="仿宋"/>
          <w:color w:val="auto"/>
          <w:szCs w:val="21"/>
          <w:highlight w:val="none"/>
          <w:lang w:val="en-US" w:eastAsia="zh-CN"/>
        </w:rPr>
        <w:t>。</w:t>
      </w:r>
    </w:p>
    <w:bookmarkEnd w:id="33"/>
    <w:p w14:paraId="64335FAF">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szCs w:val="21"/>
          <w:highlight w:val="none"/>
        </w:rPr>
      </w:pPr>
      <w:r>
        <w:rPr>
          <w:rFonts w:hint="eastAsia" w:ascii="仿宋" w:hAnsi="仿宋" w:eastAsia="仿宋" w:cs="仿宋"/>
          <w:b/>
          <w:bCs/>
          <w:color w:val="auto"/>
          <w:szCs w:val="21"/>
          <w:highlight w:val="none"/>
        </w:rPr>
        <w:t>2.需实现的功能或者目标</w:t>
      </w:r>
      <w:r>
        <w:rPr>
          <w:rFonts w:hint="eastAsia" w:ascii="仿宋" w:hAnsi="仿宋" w:eastAsia="仿宋" w:cs="仿宋"/>
          <w:b/>
          <w:bCs/>
          <w:color w:val="auto"/>
          <w:szCs w:val="21"/>
          <w:highlight w:val="none"/>
          <w:lang w:eastAsia="zh-CN"/>
        </w:rPr>
        <w:t>：</w:t>
      </w:r>
      <w:r>
        <w:rPr>
          <w:rFonts w:hint="eastAsia" w:ascii="仿宋" w:hAnsi="仿宋" w:eastAsia="仿宋" w:cs="仿宋"/>
          <w:szCs w:val="21"/>
          <w:highlight w:val="none"/>
        </w:rPr>
        <w:t>交钥匙项目</w:t>
      </w:r>
      <w:r>
        <w:rPr>
          <w:rFonts w:hint="eastAsia" w:ascii="仿宋" w:hAnsi="仿宋" w:eastAsia="仿宋" w:cs="仿宋"/>
          <w:szCs w:val="21"/>
          <w:highlight w:val="none"/>
          <w:lang w:eastAsia="zh-CN"/>
        </w:rPr>
        <w:t>，</w:t>
      </w:r>
      <w:r>
        <w:rPr>
          <w:rFonts w:hint="eastAsia" w:ascii="仿宋" w:hAnsi="仿宋" w:eastAsia="仿宋" w:cs="仿宋"/>
          <w:szCs w:val="21"/>
          <w:highlight w:val="none"/>
        </w:rPr>
        <w:t>采购人在招标文件中未列明的所需辅材、附件、配件、线缆等后续将不再单独支付费用，招标文件未提及但完备</w:t>
      </w:r>
      <w:r>
        <w:rPr>
          <w:rFonts w:hint="eastAsia" w:ascii="仿宋" w:hAnsi="仿宋" w:eastAsia="仿宋" w:cs="仿宋"/>
          <w:szCs w:val="21"/>
          <w:highlight w:val="none"/>
          <w:lang w:val="en-US" w:eastAsia="zh-CN"/>
        </w:rPr>
        <w:t>产品</w:t>
      </w:r>
      <w:r>
        <w:rPr>
          <w:rFonts w:hint="eastAsia" w:ascii="仿宋" w:hAnsi="仿宋" w:eastAsia="仿宋" w:cs="仿宋"/>
          <w:szCs w:val="21"/>
          <w:highlight w:val="none"/>
        </w:rPr>
        <w:t>运行所需的其它软硬件和改造内容均由中标人提供</w:t>
      </w:r>
      <w:r>
        <w:rPr>
          <w:rFonts w:hint="eastAsia" w:ascii="仿宋" w:hAnsi="仿宋" w:eastAsia="仿宋" w:cs="仿宋"/>
          <w:szCs w:val="21"/>
          <w:highlight w:val="none"/>
          <w:lang w:eastAsia="zh-CN"/>
        </w:rPr>
        <w:t>（</w:t>
      </w:r>
      <w:r>
        <w:rPr>
          <w:rFonts w:hint="eastAsia" w:ascii="仿宋" w:hAnsi="仿宋" w:eastAsia="仿宋" w:cs="仿宋"/>
          <w:color w:val="auto"/>
          <w:szCs w:val="21"/>
          <w:highlight w:val="none"/>
          <w:lang w:eastAsia="zh-CN"/>
        </w:rPr>
        <w:t>费用包含在投标总价中）</w:t>
      </w:r>
      <w:r>
        <w:rPr>
          <w:rFonts w:hint="eastAsia" w:ascii="仿宋" w:hAnsi="仿宋" w:eastAsia="仿宋" w:cs="仿宋"/>
          <w:szCs w:val="21"/>
          <w:highlight w:val="none"/>
        </w:rPr>
        <w:t>并提供同等维保服务；</w:t>
      </w:r>
    </w:p>
    <w:p w14:paraId="30A1A312">
      <w:pPr>
        <w:keepNext w:val="0"/>
        <w:keepLines w:val="0"/>
        <w:pageBreakBefore w:val="0"/>
        <w:widowControl w:val="0"/>
        <w:kinsoku/>
        <w:wordWrap/>
        <w:overflowPunct/>
        <w:topLinePunct w:val="0"/>
        <w:autoSpaceDE/>
        <w:autoSpaceDN/>
        <w:bidi w:val="0"/>
        <w:adjustRightInd w:val="0"/>
        <w:snapToGrid w:val="0"/>
        <w:spacing w:line="288" w:lineRule="auto"/>
        <w:ind w:firstLine="406" w:firstLineChars="200"/>
        <w:textAlignment w:val="auto"/>
        <w:rPr>
          <w:rFonts w:hint="eastAsia" w:ascii="仿宋" w:hAnsi="仿宋" w:eastAsia="仿宋" w:cs="仿宋"/>
          <w:b/>
          <w:bCs/>
          <w:color w:val="auto"/>
          <w:spacing w:val="-4"/>
          <w:szCs w:val="21"/>
          <w:highlight w:val="none"/>
        </w:rPr>
      </w:pPr>
      <w:r>
        <w:rPr>
          <w:rFonts w:hint="eastAsia" w:ascii="仿宋" w:hAnsi="仿宋" w:eastAsia="仿宋" w:cs="仿宋"/>
          <w:b/>
          <w:bCs/>
          <w:color w:val="auto"/>
          <w:spacing w:val="-4"/>
          <w:szCs w:val="21"/>
          <w:highlight w:val="none"/>
        </w:rPr>
        <w:t>3.需满足的质量、安全、技术规格、物理特性等要求</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756"/>
        <w:gridCol w:w="639"/>
        <w:gridCol w:w="639"/>
        <w:gridCol w:w="5868"/>
      </w:tblGrid>
      <w:tr w14:paraId="0386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vAlign w:val="center"/>
          </w:tcPr>
          <w:p w14:paraId="1A4D55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912" w:type="pct"/>
            <w:vAlign w:val="center"/>
          </w:tcPr>
          <w:p w14:paraId="1DE8073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标的</w:t>
            </w:r>
            <w:r>
              <w:rPr>
                <w:rFonts w:hint="eastAsia" w:ascii="仿宋" w:hAnsi="仿宋" w:eastAsia="仿宋" w:cs="仿宋"/>
                <w:b/>
                <w:bCs/>
                <w:color w:val="auto"/>
                <w:szCs w:val="21"/>
                <w:highlight w:val="none"/>
              </w:rPr>
              <w:t>名称</w:t>
            </w:r>
          </w:p>
        </w:tc>
        <w:tc>
          <w:tcPr>
            <w:tcW w:w="332" w:type="pct"/>
            <w:vAlign w:val="center"/>
          </w:tcPr>
          <w:p w14:paraId="5B3F5E7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332" w:type="pct"/>
            <w:vAlign w:val="center"/>
          </w:tcPr>
          <w:p w14:paraId="470E07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3045" w:type="pct"/>
            <w:vAlign w:val="center"/>
          </w:tcPr>
          <w:p w14:paraId="483553B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要求</w:t>
            </w:r>
          </w:p>
        </w:tc>
      </w:tr>
      <w:tr w14:paraId="503F7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vAlign w:val="center"/>
          </w:tcPr>
          <w:p w14:paraId="0215C5D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Cs w:val="21"/>
                <w:lang w:val="en-US" w:eastAsia="zh-CN"/>
              </w:rPr>
            </w:pPr>
            <w:r>
              <w:rPr>
                <w:rFonts w:hint="eastAsia" w:ascii="仿宋" w:hAnsi="仿宋" w:eastAsia="仿宋" w:cs="仿宋"/>
                <w:b w:val="0"/>
                <w:bCs w:val="0"/>
                <w:color w:val="auto"/>
                <w:szCs w:val="21"/>
                <w:highlight w:val="none"/>
                <w:lang w:val="en-US" w:eastAsia="zh-CN"/>
              </w:rPr>
              <w:t>1</w:t>
            </w:r>
          </w:p>
        </w:tc>
        <w:tc>
          <w:tcPr>
            <w:tcW w:w="912" w:type="pct"/>
            <w:vAlign w:val="center"/>
          </w:tcPr>
          <w:p w14:paraId="6EFADF4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Cs w:val="21"/>
              </w:rPr>
            </w:pPr>
            <w:r>
              <w:rPr>
                <w:rFonts w:hint="eastAsia" w:ascii="仿宋" w:hAnsi="仿宋" w:eastAsia="仿宋" w:cs="仿宋"/>
                <w:b w:val="0"/>
                <w:bCs w:val="0"/>
                <w:color w:val="auto"/>
                <w:szCs w:val="21"/>
                <w:highlight w:val="none"/>
                <w:lang w:val="en-US" w:eastAsia="zh-CN"/>
              </w:rPr>
              <w:t>工业互联网开发平台</w:t>
            </w:r>
          </w:p>
        </w:tc>
        <w:tc>
          <w:tcPr>
            <w:tcW w:w="332" w:type="pct"/>
            <w:vAlign w:val="center"/>
          </w:tcPr>
          <w:p w14:paraId="0EF7DC2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Cs w:val="21"/>
              </w:rPr>
            </w:pPr>
            <w:r>
              <w:rPr>
                <w:rFonts w:hint="eastAsia" w:ascii="仿宋" w:hAnsi="仿宋" w:eastAsia="仿宋" w:cs="仿宋"/>
                <w:b w:val="0"/>
                <w:bCs w:val="0"/>
                <w:color w:val="auto"/>
                <w:szCs w:val="21"/>
                <w:highlight w:val="none"/>
                <w:lang w:val="en-US" w:eastAsia="zh-CN"/>
              </w:rPr>
              <w:t>1</w:t>
            </w:r>
          </w:p>
        </w:tc>
        <w:tc>
          <w:tcPr>
            <w:tcW w:w="332" w:type="pct"/>
            <w:vAlign w:val="center"/>
          </w:tcPr>
          <w:p w14:paraId="0DD1953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Cs w:val="21"/>
              </w:rPr>
            </w:pPr>
            <w:r>
              <w:rPr>
                <w:rFonts w:hint="eastAsia" w:ascii="仿宋" w:hAnsi="仿宋" w:eastAsia="仿宋" w:cs="仿宋"/>
                <w:b w:val="0"/>
                <w:bCs w:val="0"/>
                <w:color w:val="auto"/>
                <w:szCs w:val="21"/>
                <w:highlight w:val="none"/>
                <w:lang w:val="en-US" w:eastAsia="zh-CN"/>
              </w:rPr>
              <w:t>套</w:t>
            </w:r>
          </w:p>
        </w:tc>
        <w:tc>
          <w:tcPr>
            <w:tcW w:w="3045" w:type="pct"/>
            <w:vAlign w:val="center"/>
          </w:tcPr>
          <w:p w14:paraId="54260B4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1.提供IDE（集成开发环境），支持以可视化拖拽的方式生成SDK（软件开发工具包），配合脚本语言，支持快速二次开发；</w:t>
            </w:r>
          </w:p>
          <w:p w14:paraId="7677595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2.支持可视化低代码开发：支持以拖拽方式配置业务流程，结合查询语句、查询结果自动生成表格页面，可通过流程图进行运行调试、监控数据流；</w:t>
            </w:r>
          </w:p>
          <w:p w14:paraId="7FE924D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3.支持云端集成开发与调试：采用VisualStudioOnline</w:t>
            </w:r>
          </w:p>
          <w:p w14:paraId="77A0FC8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(CloudIDE)，实现多开发者同时在线开发；</w:t>
            </w:r>
          </w:p>
          <w:p w14:paraId="2FBB494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4.支持编程语法检查：支持对Java和Groovy编程语言的语法检查；</w:t>
            </w:r>
          </w:p>
          <w:p w14:paraId="21815AE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5.支持面向对象化：包括对功能模块、数据源、模型、用户、脚本、方法、属性等进行对象化；</w:t>
            </w:r>
          </w:p>
          <w:p w14:paraId="77992B8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6.支持前、后端开发分离：降低前后端系统耦合度、提高开发效率；</w:t>
            </w:r>
          </w:p>
          <w:p w14:paraId="7E2031E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7.支持多种类型数据库：提供统一数据库引擎，支持MySQL、MongoDB、SQLSERVER、Oracle等数据库；</w:t>
            </w:r>
          </w:p>
          <w:p w14:paraId="09D048A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8.支持多态数据源切换：可根据不同条件、场景改变数据源；</w:t>
            </w:r>
          </w:p>
          <w:p w14:paraId="391AA21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9.支持面向对象的大数据查询语言：RQL（兼容SQL），支持语义查询并支持RDBMS与NoSQL；</w:t>
            </w:r>
          </w:p>
          <w:p w14:paraId="09313C0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10.支持Hot-fix（热修改）：实现不停机/不停产更新，无需重启即时生效，采用模型驱动的开发模式[领域建模（数据库表）、工艺路线（业务逻辑）建模]；</w:t>
            </w:r>
          </w:p>
          <w:p w14:paraId="0A6BCB3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11.支持分布式高性能日志及数据追溯与恢复：提供默认日志系统并适配第三方日志系统，实现统一的日志收集与管理；</w:t>
            </w:r>
          </w:p>
          <w:p w14:paraId="66EB077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12.支持服务器运维监控：提供可视化的服务器监控，可实时监控服务器当前的CPU负载、内存消耗、网络带宽占、用户并发访问量等信息，支持对数据库服务器采用慢SQL执行监控，支持对异常服务器、负载过重等自动报警；</w:t>
            </w:r>
          </w:p>
          <w:p w14:paraId="6DC5161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13.支持远程监控生产现场：基于HTML5及部分原生开发，支持在Android版本的智能手机或平板上实现远程监控生产现场；</w:t>
            </w:r>
          </w:p>
          <w:p w14:paraId="0986494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14.支持在线实时监控设备：可视化设备运行状态及参数；</w:t>
            </w:r>
          </w:p>
          <w:p w14:paraId="1D85964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15.支持可视化展示：采用可视化的表单构造器、领域模型建模工具、流程建模工具，可通过图表、仪表盘实现监控数据与分析结果可视化；</w:t>
            </w:r>
          </w:p>
          <w:p w14:paraId="57A361A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16.支持云计算平台部署：采用微服务架构，同时适应企业内网服务器及云部署，支持部署到国内主流云计算平台并支持SaaS多租户；</w:t>
            </w:r>
          </w:p>
          <w:p w14:paraId="3DD8F43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17.工业互联网课程包(≥32课时)：包含但不限于网络安全等级保护基本要求、工业控制系统安全扩展要求、工业互联网安全政策框架、工业互联网架构组成与关键技术、工业互联网平台与边缘计算、工业互联网安全挑战与震网病毒案例、工业控制系统ICS基本概念、PLC及PLC编程基本概念介绍、DCS基本概念介绍、SCADA基本概念介绍、工业控制系统安全需求与脆弱性分析(工业组态软件、MES、应用开发)、石油石化行业案例、电力行业案例、PLC编程与系统集成实践、Modbus协议与S7协议、OPC协议与数据安全、IEC104协议分析、工业互联网标识解析体系、工业互联网安全探测、工控系统风险评估流程（业务、资产、威胁、脆弱性识别）、电力监控系统安全评估、应急响应服务与灾难恢复、边界防护设备与部署策略、工业互联网安全架构与标准、平台安全防护与微服务隔离、PLC/SCADA漏洞挖掘、工控恶意代码与漏洞分析技术、工业互联网边缘层渗透案例（认证机制突破与绕过）专项工业互联网课程。</w:t>
            </w:r>
          </w:p>
        </w:tc>
      </w:tr>
      <w:tr w14:paraId="185D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77" w:type="pct"/>
            <w:vAlign w:val="center"/>
          </w:tcPr>
          <w:p w14:paraId="1CBC2E3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Cs w:val="21"/>
                <w:lang w:val="en-US" w:eastAsia="zh-CN"/>
              </w:rPr>
            </w:pPr>
            <w:r>
              <w:rPr>
                <w:rFonts w:hint="eastAsia" w:ascii="仿宋" w:hAnsi="仿宋" w:eastAsia="仿宋" w:cs="仿宋"/>
                <w:b w:val="0"/>
                <w:bCs w:val="0"/>
                <w:color w:val="auto"/>
                <w:szCs w:val="21"/>
                <w:highlight w:val="none"/>
                <w:lang w:val="en-US" w:eastAsia="zh-CN"/>
              </w:rPr>
              <w:t>2</w:t>
            </w:r>
          </w:p>
        </w:tc>
        <w:tc>
          <w:tcPr>
            <w:tcW w:w="912" w:type="pct"/>
            <w:vAlign w:val="center"/>
          </w:tcPr>
          <w:p w14:paraId="708DF62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工业互联网工程技术人员考核实训台</w:t>
            </w:r>
          </w:p>
          <w:p w14:paraId="6BA269D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Cs w:val="21"/>
              </w:rPr>
            </w:pPr>
            <w:r>
              <w:rPr>
                <w:rFonts w:hint="eastAsia" w:ascii="仿宋" w:hAnsi="仿宋" w:eastAsia="仿宋" w:cs="仿宋"/>
                <w:b/>
                <w:bCs/>
                <w:color w:val="auto"/>
                <w:szCs w:val="21"/>
                <w:highlight w:val="none"/>
                <w:lang w:val="en-US" w:eastAsia="zh-CN"/>
              </w:rPr>
              <w:t>（核心产品）</w:t>
            </w:r>
          </w:p>
        </w:tc>
        <w:tc>
          <w:tcPr>
            <w:tcW w:w="332" w:type="pct"/>
            <w:vAlign w:val="center"/>
          </w:tcPr>
          <w:p w14:paraId="32B0253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Cs w:val="21"/>
              </w:rPr>
            </w:pPr>
            <w:r>
              <w:rPr>
                <w:rFonts w:hint="eastAsia" w:ascii="仿宋" w:hAnsi="仿宋" w:eastAsia="仿宋" w:cs="仿宋"/>
                <w:b w:val="0"/>
                <w:bCs w:val="0"/>
                <w:color w:val="auto"/>
                <w:szCs w:val="21"/>
                <w:highlight w:val="none"/>
                <w:lang w:val="en-US" w:eastAsia="zh-CN"/>
              </w:rPr>
              <w:t>8</w:t>
            </w:r>
          </w:p>
        </w:tc>
        <w:tc>
          <w:tcPr>
            <w:tcW w:w="332" w:type="pct"/>
            <w:vAlign w:val="center"/>
          </w:tcPr>
          <w:p w14:paraId="7CD7B4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Cs w:val="21"/>
              </w:rPr>
            </w:pPr>
            <w:r>
              <w:rPr>
                <w:rFonts w:hint="eastAsia" w:ascii="仿宋" w:hAnsi="仿宋" w:eastAsia="仿宋" w:cs="仿宋"/>
                <w:b w:val="0"/>
                <w:bCs w:val="0"/>
                <w:color w:val="auto"/>
                <w:szCs w:val="21"/>
                <w:highlight w:val="none"/>
                <w:lang w:val="en-US" w:eastAsia="zh-CN"/>
              </w:rPr>
              <w:t>套</w:t>
            </w:r>
          </w:p>
        </w:tc>
        <w:tc>
          <w:tcPr>
            <w:tcW w:w="3045" w:type="pct"/>
            <w:vAlign w:val="center"/>
          </w:tcPr>
          <w:p w14:paraId="3DE13C6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1.电气控制挂板</w:t>
            </w:r>
          </w:p>
          <w:p w14:paraId="1CEEB8A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1.1 电气挂板材质：Q235；</w:t>
            </w:r>
          </w:p>
          <w:p w14:paraId="03C9932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1.2 可编程控制器</w:t>
            </w:r>
          </w:p>
          <w:p w14:paraId="1620A8B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(1)程序数据容量：≥128K步用户程序；</w:t>
            </w:r>
          </w:p>
          <w:p w14:paraId="1D8DBCE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(2)以太网：支持ModbusTCP、Socket、EtherCAT；</w:t>
            </w:r>
          </w:p>
          <w:p w14:paraId="3294FAC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(3)串行通信：≥1路RS485；</w:t>
            </w:r>
          </w:p>
          <w:p w14:paraId="00D0D48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(4)CAN通信：支持CANlink、CANopen；</w:t>
            </w:r>
          </w:p>
          <w:p w14:paraId="39E3C75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(5)高速输入：≥4路200K；</w:t>
            </w:r>
          </w:p>
          <w:p w14:paraId="713787C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(6)高速输出：≥4轴200K；</w:t>
            </w:r>
          </w:p>
          <w:p w14:paraId="485C4D3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(7)可扩展模块：≥16个；</w:t>
            </w:r>
          </w:p>
          <w:p w14:paraId="6E4D8FE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(8)以太网端口数：≥2个。</w:t>
            </w:r>
          </w:p>
          <w:p w14:paraId="79C0D7C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1.3 变频器</w:t>
            </w:r>
          </w:p>
          <w:p w14:paraId="556E18E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(1)电源输入类型：单相200V电源；</w:t>
            </w:r>
          </w:p>
          <w:p w14:paraId="557A126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(2)适用电机容量：≥0.4kW；</w:t>
            </w:r>
          </w:p>
          <w:p w14:paraId="41ABFED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(3)额定容量：≥1.0kVA；</w:t>
            </w:r>
          </w:p>
          <w:p w14:paraId="1372A9A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(4)额定电流：≤2.5A；</w:t>
            </w:r>
          </w:p>
          <w:p w14:paraId="4A03C17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(5)过载额定电流(最低要求)：150% 60s，180% 2s(反限时特性)；</w:t>
            </w:r>
          </w:p>
          <w:p w14:paraId="3E6F214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(6)输出电压：3相200~240V；</w:t>
            </w:r>
          </w:p>
          <w:p w14:paraId="47DAAED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(7)交流电压容许波动范围：170~270V 50Hz/60Hz；</w:t>
            </w:r>
          </w:p>
          <w:p w14:paraId="175E057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(8)频率容许波动范围：-5%~+5%；</w:t>
            </w:r>
          </w:p>
          <w:p w14:paraId="7B40A49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(9)通讯协议：MODBUS通信协议。</w:t>
            </w:r>
          </w:p>
          <w:p w14:paraId="20209A3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2.操作控制板</w:t>
            </w:r>
          </w:p>
          <w:p w14:paraId="233A689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2.1 操作面板具有“启动”、“停止”、“复位”、“上电/断电”按钮和指示灯、“单/联机”转换开关和指示灯并带急停按钮；</w:t>
            </w:r>
          </w:p>
          <w:p w14:paraId="3AA51FE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2.2 操作面板</w:t>
            </w:r>
          </w:p>
          <w:p w14:paraId="5F7FE07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(1)不锈钢带灯按钮：灯DC 24V，数量≥4；</w:t>
            </w:r>
          </w:p>
          <w:p w14:paraId="5AAC0AB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(2)不锈钢两位钥匙开关，数量≥1；</w:t>
            </w:r>
          </w:p>
          <w:p w14:paraId="3BCDF77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(3)金属指示灯：DC 24V，数量≥4；</w:t>
            </w:r>
          </w:p>
          <w:p w14:paraId="5D11A4A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(4)急停按钮：常闭、红色，数量≥1。</w:t>
            </w:r>
          </w:p>
          <w:p w14:paraId="6CC03BB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3.触摸屏</w:t>
            </w:r>
          </w:p>
          <w:p w14:paraId="73CAE09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3.1 屏幕：≥7"电容触摸屏、分辨率≥800*480；</w:t>
            </w:r>
          </w:p>
          <w:p w14:paraId="1191240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3.2 CPU主板：主频≥4核、≥800MHz；</w:t>
            </w:r>
          </w:p>
          <w:p w14:paraId="71093B5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3.3 内存：≥256M；</w:t>
            </w:r>
          </w:p>
          <w:p w14:paraId="06E00E5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3.4 接口：LAN≥1。</w:t>
            </w:r>
          </w:p>
          <w:p w14:paraId="0C46D56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4.智能阀岛</w:t>
            </w:r>
          </w:p>
          <w:p w14:paraId="1AC44BF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4.1 集成≥16路输入通道、≥32路输出通道；≥16路气阀控制、支持单电控与双电控并存；</w:t>
            </w:r>
          </w:p>
          <w:p w14:paraId="7BC05DB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 通信协议：EtherCAT网络协议；</w:t>
            </w:r>
          </w:p>
          <w:p w14:paraId="616A3B8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 以太网端口数：≥2个；</w:t>
            </w:r>
          </w:p>
          <w:p w14:paraId="7A4D958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 DC 24V供电。</w:t>
            </w:r>
          </w:p>
          <w:p w14:paraId="7D650A6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5.智能IO</w:t>
            </w:r>
          </w:p>
          <w:p w14:paraId="1201632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5.1 一体式集成≥32路输入通道；</w:t>
            </w:r>
          </w:p>
          <w:p w14:paraId="122C39E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5.2 通信协议：EtherCAT网络协议；</w:t>
            </w:r>
          </w:p>
          <w:p w14:paraId="6D1787D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5.3 以太网端口数：≥2个；</w:t>
            </w:r>
          </w:p>
          <w:p w14:paraId="35E2D4A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5.4 DC 24V供电；</w:t>
            </w:r>
          </w:p>
          <w:p w14:paraId="1AE3B41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5.5 IO响应时间：≤500μs；</w:t>
            </w:r>
          </w:p>
          <w:p w14:paraId="32AE4F7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5.6 防护等级IP20(或优于)。</w:t>
            </w:r>
          </w:p>
          <w:p w14:paraId="12A92D3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6.无线通信网关</w:t>
            </w:r>
          </w:p>
          <w:p w14:paraId="0FCD739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6.1 无线端支持ZigBee通信协议；</w:t>
            </w:r>
          </w:p>
          <w:p w14:paraId="64741DC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6.2 无线速率：250Kbps、500Kbps和1Mbps；</w:t>
            </w:r>
          </w:p>
          <w:p w14:paraId="537E21C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6.3 无线发送功率：≥22dBm；</w:t>
            </w:r>
          </w:p>
          <w:p w14:paraId="09F8B5A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6.4 实际数据吞吐量：≥10KB/S；</w:t>
            </w:r>
          </w:p>
          <w:p w14:paraId="0714916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6.5 以太网端接口：RJ45，自适应，支持ETHERNET、UDP、TCP协议；</w:t>
            </w:r>
          </w:p>
          <w:p w14:paraId="07B2744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6.6 DC 24V供电。</w:t>
            </w:r>
          </w:p>
          <w:p w14:paraId="4A53AFC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7.无线传感器</w:t>
            </w:r>
          </w:p>
          <w:p w14:paraId="658FEF3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7.1 无线射频功率：≤100mW；</w:t>
            </w:r>
          </w:p>
          <w:p w14:paraId="1158556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7.2 供电DC 24V；</w:t>
            </w:r>
          </w:p>
          <w:p w14:paraId="3CCB474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7.3 视距传输距离：≥1000m；</w:t>
            </w:r>
          </w:p>
          <w:p w14:paraId="08BAF20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7.4 接收灵敏度：-97dBm(或优于)；</w:t>
            </w:r>
          </w:p>
          <w:p w14:paraId="4001EAB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7.5 采样周期：≥5次/秒；</w:t>
            </w:r>
          </w:p>
          <w:p w14:paraId="55C000D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7.6 传感器集成光照度、温湿度等多种检测功能。</w:t>
            </w:r>
          </w:p>
          <w:p w14:paraId="6D59C33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8.企业级网络安全网关</w:t>
            </w:r>
          </w:p>
          <w:p w14:paraId="0AF1F97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8.1 支持安全区域管理：可基于接口、VLAN划分安全区域；</w:t>
            </w:r>
          </w:p>
          <w:p w14:paraId="68FFE30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8.2 支持包过滤：通过标准或扩展访问控制规则，结合报文中UDP或TCP端口等信息实现对数据包的过滤；</w:t>
            </w:r>
          </w:p>
          <w:p w14:paraId="01ED2F7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8.3 支持应用、用户的访问控制：将应用与用户作为安全策略的基本元素，实现访问控制功能；</w:t>
            </w:r>
          </w:p>
          <w:p w14:paraId="108B099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8.4 支持指定IP访问网络。</w:t>
            </w:r>
          </w:p>
          <w:p w14:paraId="72D14B2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9.多协议工业网关</w:t>
            </w:r>
          </w:p>
          <w:p w14:paraId="674CC8E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9.1 下行支持：PLC及Modbus RTU Master、Modbus TCP Master协议支持；</w:t>
            </w:r>
          </w:p>
          <w:p w14:paraId="311D0D7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9.2 上行支持：支持Modbus RTU、Modbus TCP、OPC UA、MQTT协议、华为云IoT、阿里云IoT等；</w:t>
            </w:r>
          </w:p>
          <w:p w14:paraId="772757A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9.3 提供≥1路电源输入、≥1路RS232/RS485可选串口输入、≥2路以太网口（至少包含WAN口和LAN口）、支持SIM卡、支持WiFi。</w:t>
            </w:r>
          </w:p>
          <w:p w14:paraId="56312C1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10.输送带</w:t>
            </w:r>
          </w:p>
          <w:p w14:paraId="004517B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10.1 用于物料的输送装置，包含驱动电机、皮带、同步带、防护罩、定位装置、铝材框架支架；</w:t>
            </w:r>
          </w:p>
          <w:p w14:paraId="3716AF3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10.2 输送带：具有物料的输送与定位功能；</w:t>
            </w:r>
          </w:p>
          <w:p w14:paraId="50AFB9F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10.3 输送带减速电机：</w:t>
            </w:r>
          </w:p>
          <w:p w14:paraId="59174D4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(1)电压：24V DC；</w:t>
            </w:r>
          </w:p>
          <w:p w14:paraId="286A39D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(2)功率≥10W；</w:t>
            </w:r>
          </w:p>
          <w:p w14:paraId="26F02B0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(3)减速比：50:1。</w:t>
            </w:r>
          </w:p>
          <w:p w14:paraId="2B904CF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10.4 皮带材质：PVC黑色平面、厚度≥2mm；</w:t>
            </w:r>
          </w:p>
          <w:p w14:paraId="56F5B4B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10.5 驱动电机装置：具有程序控制电机正反转及手动控制功能。</w:t>
            </w:r>
          </w:p>
          <w:p w14:paraId="6E7C11D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11.循环选料机构</w:t>
            </w:r>
          </w:p>
          <w:p w14:paraId="7A864EE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11.1 单驱双带异向装置，至少包含三相电机、输送皮带、铝材支架、颜色传感器、振动传感器、光纤传感器、同步带、推料气缸、磁性开关、多种颜色物料颗料工件；</w:t>
            </w:r>
          </w:p>
          <w:p w14:paraId="3F6C13E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11.2 循环选料机构，可实现多种颜色颗料物料上料、选料、循环供料。</w:t>
            </w:r>
          </w:p>
          <w:p w14:paraId="6A31521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12.填装机构</w:t>
            </w:r>
          </w:p>
          <w:p w14:paraId="0606F60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12.1 至少包括升降装置、旋转装置、真空吸盘、真空发生器、安装板、信号集中板；</w:t>
            </w:r>
          </w:p>
          <w:p w14:paraId="79C2A22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12.2 可实现对颗粒物料的吸取、搬运并装入到目标瓶内；</w:t>
            </w:r>
          </w:p>
          <w:p w14:paraId="739EB7C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12.3 旋转角度范围：0~190°可调；</w:t>
            </w:r>
          </w:p>
          <w:p w14:paraId="25B74D1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12.4 可实现重复定位、精度要求≤0.2°；</w:t>
            </w:r>
          </w:p>
          <w:p w14:paraId="328DA79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12.5 颗粒填装机构可实现填装机构吸取目标颗粒并填装到瓶子内。</w:t>
            </w:r>
          </w:p>
          <w:p w14:paraId="628F126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13.加盖机构</w:t>
            </w:r>
          </w:p>
          <w:p w14:paraId="202A979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13.1 至少包括推盖气缸、压盖气缸、光电传感器、磁性开关、圆形透明料筒、落料机构、送料机构、顶料机构、铝材加工框架、瓶盖配件、信号集中板；</w:t>
            </w:r>
          </w:p>
          <w:p w14:paraId="54FD560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13.2 可依次实现对目标瓶子进行精准的加盖。</w:t>
            </w:r>
          </w:p>
          <w:p w14:paraId="59889F0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14.拧盖机构</w:t>
            </w:r>
          </w:p>
          <w:p w14:paraId="5272986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14.1 至少包括拧盖电机、升降机构、拧紧装置、机构支架、双联气缸、磁性开关、信号集中板；</w:t>
            </w:r>
          </w:p>
          <w:p w14:paraId="670A379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14.2 拧盖电机</w:t>
            </w:r>
          </w:p>
          <w:p w14:paraId="41AF63A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(1)额定电压：24V DC；</w:t>
            </w:r>
          </w:p>
          <w:p w14:paraId="2FA9D69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(2)额定功率：≥8W；</w:t>
            </w:r>
          </w:p>
          <w:p w14:paraId="67633F2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(3)额定转速：≥66r/min；</w:t>
            </w:r>
          </w:p>
          <w:p w14:paraId="1490D83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(4)极数：≥2极；</w:t>
            </w:r>
          </w:p>
          <w:p w14:paraId="3C21935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(5)转矩：≥1.3N.m。</w:t>
            </w:r>
          </w:p>
          <w:p w14:paraId="0C0D007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15.物流搬运模块</w:t>
            </w:r>
          </w:p>
          <w:p w14:paraId="4514FE4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15.1 至少包括伺服电机、运动轴、导向杆、双轴气缸、抓手、机构支架、磁性开关、光电传感器、铝材定位板、信号集中板，可实现对输送带来料进行抓取与按系统要求分类存储入仓；</w:t>
            </w:r>
          </w:p>
          <w:p w14:paraId="738BC51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15.2 可展示成品被搬运存储到仓库的过程。</w:t>
            </w:r>
          </w:p>
          <w:p w14:paraId="7B844FD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16.存储仓库：配合物流搬运模块实现对成品的存储，且每个仓位都有编号；</w:t>
            </w:r>
          </w:p>
          <w:p w14:paraId="21F0D55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17.RFID模块</w:t>
            </w:r>
          </w:p>
          <w:p w14:paraId="6282322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17.1 用于物料的识别追踪；</w:t>
            </w:r>
          </w:p>
          <w:p w14:paraId="09E2B30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17.2 通讯接口：TCP/IP。</w:t>
            </w:r>
          </w:p>
          <w:p w14:paraId="63E6B65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17.3 发射功率：10~30dbm可调。</w:t>
            </w:r>
          </w:p>
          <w:p w14:paraId="59B41AE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18.能耗检测模块</w:t>
            </w:r>
          </w:p>
          <w:p w14:paraId="0DB9FDC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18.1 用于设备电能等相关参数数据采集；</w:t>
            </w:r>
          </w:p>
          <w:p w14:paraId="35B2DD2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18.2 实时测量：电能(用电量)、电压、电流、功率、功率因数、频率等；</w:t>
            </w:r>
          </w:p>
          <w:p w14:paraId="4E38FF1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18.3 通讯协议：MODBUS；</w:t>
            </w:r>
          </w:p>
          <w:p w14:paraId="6B4F6E8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19.气源处理装置：调节控制设备用气压力。</w:t>
            </w:r>
          </w:p>
          <w:p w14:paraId="482E8BEA">
            <w:pPr>
              <w:keepNext w:val="0"/>
              <w:keepLines w:val="0"/>
              <w:pageBreakBefore w:val="0"/>
              <w:kinsoku/>
              <w:wordWrap/>
              <w:overflowPunct/>
              <w:topLinePunct w:val="0"/>
              <w:autoSpaceDE/>
              <w:autoSpaceDN/>
              <w:bidi w:val="0"/>
              <w:adjustRightInd w:val="0"/>
              <w:snapToGrid w:val="0"/>
              <w:jc w:val="left"/>
              <w:textAlignment w:val="auto"/>
              <w:rPr>
                <w:rFonts w:hint="default" w:ascii="仿宋" w:hAnsi="仿宋" w:eastAsia="仿宋" w:cs="仿宋"/>
                <w:szCs w:val="21"/>
                <w:lang w:val="en-US" w:eastAsia="zh-CN"/>
              </w:rPr>
            </w:pPr>
            <w:r>
              <w:rPr>
                <w:rFonts w:hint="eastAsia" w:ascii="仿宋" w:hAnsi="仿宋" w:eastAsia="仿宋" w:cs="仿宋"/>
                <w:szCs w:val="21"/>
              </w:rPr>
              <w:t>20.一体化定制考核实训台</w:t>
            </w:r>
            <w:r>
              <w:rPr>
                <w:rFonts w:hint="eastAsia" w:ascii="仿宋" w:hAnsi="仿宋" w:eastAsia="仿宋" w:cs="仿宋"/>
                <w:szCs w:val="21"/>
                <w:lang w:val="en-US" w:eastAsia="zh-CN"/>
              </w:rPr>
              <w:t>(每套设备1台)</w:t>
            </w:r>
          </w:p>
          <w:p w14:paraId="16ACB423">
            <w:pPr>
              <w:keepNext w:val="0"/>
              <w:keepLines w:val="0"/>
              <w:pageBreakBefore w:val="0"/>
              <w:kinsoku/>
              <w:wordWrap/>
              <w:overflowPunct/>
              <w:topLinePunct w:val="0"/>
              <w:autoSpaceDE/>
              <w:autoSpaceDN/>
              <w:bidi w:val="0"/>
              <w:adjustRightInd w:val="0"/>
              <w:snapToGrid w:val="0"/>
              <w:jc w:val="left"/>
              <w:textAlignment w:val="auto"/>
              <w:rPr>
                <w:rFonts w:ascii="仿宋" w:hAnsi="仿宋" w:eastAsia="仿宋" w:cs="仿宋"/>
                <w:szCs w:val="21"/>
              </w:rPr>
            </w:pPr>
            <w:r>
              <w:rPr>
                <w:rFonts w:hint="eastAsia" w:ascii="仿宋" w:hAnsi="仿宋" w:eastAsia="仿宋" w:cs="仿宋"/>
                <w:szCs w:val="21"/>
              </w:rPr>
              <w:t>20.1 尺寸（长*宽*高）：1600mm*910mm*850mm(±50mm)；</w:t>
            </w:r>
          </w:p>
          <w:p w14:paraId="72D54F71">
            <w:pPr>
              <w:keepNext w:val="0"/>
              <w:keepLines w:val="0"/>
              <w:pageBreakBefore w:val="0"/>
              <w:kinsoku/>
              <w:wordWrap/>
              <w:overflowPunct/>
              <w:topLinePunct w:val="0"/>
              <w:autoSpaceDE/>
              <w:autoSpaceDN/>
              <w:bidi w:val="0"/>
              <w:adjustRightInd w:val="0"/>
              <w:snapToGrid w:val="0"/>
              <w:jc w:val="left"/>
              <w:textAlignment w:val="auto"/>
              <w:rPr>
                <w:rFonts w:ascii="仿宋" w:hAnsi="仿宋" w:eastAsia="仿宋" w:cs="仿宋"/>
                <w:szCs w:val="21"/>
              </w:rPr>
            </w:pPr>
            <w:r>
              <w:rPr>
                <w:rFonts w:hint="eastAsia" w:ascii="仿宋" w:hAnsi="仿宋" w:eastAsia="仿宋" w:cs="仿宋"/>
                <w:szCs w:val="21"/>
              </w:rPr>
              <w:t>20.2 台身：采用冷轧钢板折弯焊接而成，表面静电喷塑处理，具有防火、防水、防腐蚀功能；</w:t>
            </w:r>
          </w:p>
          <w:p w14:paraId="4C0E9035">
            <w:pPr>
              <w:keepNext w:val="0"/>
              <w:keepLines w:val="0"/>
              <w:pageBreakBefore w:val="0"/>
              <w:kinsoku/>
              <w:wordWrap/>
              <w:overflowPunct/>
              <w:topLinePunct w:val="0"/>
              <w:autoSpaceDE/>
              <w:autoSpaceDN/>
              <w:bidi w:val="0"/>
              <w:adjustRightInd w:val="0"/>
              <w:snapToGrid w:val="0"/>
              <w:jc w:val="left"/>
              <w:textAlignment w:val="auto"/>
              <w:rPr>
                <w:rFonts w:ascii="仿宋" w:hAnsi="仿宋" w:eastAsia="仿宋" w:cs="仿宋"/>
                <w:szCs w:val="21"/>
              </w:rPr>
            </w:pPr>
            <w:r>
              <w:rPr>
                <w:rFonts w:hint="eastAsia" w:ascii="仿宋" w:hAnsi="仿宋" w:eastAsia="仿宋" w:cs="仿宋"/>
                <w:szCs w:val="21"/>
              </w:rPr>
              <w:t>20.3 台身底部装有万向轮和可调节脚杯。</w:t>
            </w:r>
          </w:p>
          <w:p w14:paraId="7109A42C">
            <w:pPr>
              <w:keepNext w:val="0"/>
              <w:keepLines w:val="0"/>
              <w:pageBreakBefore w:val="0"/>
              <w:kinsoku/>
              <w:wordWrap/>
              <w:overflowPunct/>
              <w:topLinePunct w:val="0"/>
              <w:autoSpaceDE/>
              <w:autoSpaceDN/>
              <w:bidi w:val="0"/>
              <w:adjustRightInd w:val="0"/>
              <w:snapToGrid w:val="0"/>
              <w:jc w:val="left"/>
              <w:textAlignment w:val="auto"/>
              <w:rPr>
                <w:rFonts w:hint="default" w:ascii="仿宋" w:hAnsi="仿宋" w:eastAsia="仿宋" w:cs="仿宋"/>
                <w:szCs w:val="21"/>
                <w:lang w:val="en-US" w:eastAsia="zh-CN"/>
              </w:rPr>
            </w:pPr>
            <w:r>
              <w:rPr>
                <w:rFonts w:hint="eastAsia" w:ascii="仿宋" w:hAnsi="仿宋" w:eastAsia="仿宋" w:cs="仿宋"/>
                <w:szCs w:val="21"/>
              </w:rPr>
              <w:t>21.一体化定制考核实训桌</w:t>
            </w:r>
            <w:r>
              <w:rPr>
                <w:rFonts w:hint="eastAsia" w:ascii="仿宋" w:hAnsi="仿宋" w:eastAsia="仿宋" w:cs="仿宋"/>
                <w:szCs w:val="21"/>
                <w:lang w:val="en-US" w:eastAsia="zh-CN"/>
              </w:rPr>
              <w:t>(每套设备1台)</w:t>
            </w:r>
          </w:p>
          <w:p w14:paraId="2F5ED491">
            <w:pPr>
              <w:keepNext w:val="0"/>
              <w:keepLines w:val="0"/>
              <w:pageBreakBefore w:val="0"/>
              <w:kinsoku/>
              <w:wordWrap/>
              <w:overflowPunct/>
              <w:topLinePunct w:val="0"/>
              <w:autoSpaceDE/>
              <w:autoSpaceDN/>
              <w:bidi w:val="0"/>
              <w:adjustRightInd w:val="0"/>
              <w:snapToGrid w:val="0"/>
              <w:jc w:val="left"/>
              <w:textAlignment w:val="auto"/>
              <w:rPr>
                <w:rFonts w:ascii="仿宋" w:hAnsi="仿宋" w:eastAsia="仿宋" w:cs="仿宋"/>
                <w:szCs w:val="21"/>
              </w:rPr>
            </w:pPr>
            <w:r>
              <w:rPr>
                <w:rFonts w:hint="eastAsia" w:ascii="仿宋" w:hAnsi="仿宋" w:eastAsia="仿宋" w:cs="仿宋"/>
                <w:szCs w:val="21"/>
              </w:rPr>
              <w:t>21.1 尺寸（长*宽*高）：600mm*700mm*720mm(±50mm)；</w:t>
            </w:r>
          </w:p>
          <w:p w14:paraId="0B778679">
            <w:pPr>
              <w:keepNext w:val="0"/>
              <w:keepLines w:val="0"/>
              <w:pageBreakBefore w:val="0"/>
              <w:kinsoku/>
              <w:wordWrap/>
              <w:overflowPunct/>
              <w:topLinePunct w:val="0"/>
              <w:autoSpaceDE/>
              <w:autoSpaceDN/>
              <w:bidi w:val="0"/>
              <w:adjustRightInd w:val="0"/>
              <w:snapToGrid w:val="0"/>
              <w:jc w:val="left"/>
              <w:textAlignment w:val="auto"/>
              <w:rPr>
                <w:rFonts w:ascii="仿宋" w:hAnsi="仿宋" w:eastAsia="仿宋" w:cs="仿宋"/>
                <w:szCs w:val="21"/>
              </w:rPr>
            </w:pPr>
            <w:r>
              <w:rPr>
                <w:rFonts w:hint="eastAsia" w:ascii="仿宋" w:hAnsi="仿宋" w:eastAsia="仿宋" w:cs="仿宋"/>
                <w:szCs w:val="21"/>
              </w:rPr>
              <w:t>21.2 桌体Q235冷轧钢板折弯焊接而成；</w:t>
            </w:r>
          </w:p>
          <w:p w14:paraId="7421F98A">
            <w:pPr>
              <w:adjustRightInd w:val="0"/>
              <w:snapToGrid w:val="0"/>
              <w:jc w:val="left"/>
              <w:rPr>
                <w:rFonts w:ascii="仿宋" w:hAnsi="仿宋" w:eastAsia="仿宋" w:cs="仿宋"/>
                <w:szCs w:val="21"/>
              </w:rPr>
            </w:pPr>
            <w:r>
              <w:rPr>
                <w:rFonts w:hint="eastAsia" w:ascii="仿宋" w:hAnsi="仿宋" w:eastAsia="仿宋" w:cs="仿宋"/>
                <w:szCs w:val="21"/>
              </w:rPr>
              <w:t>21.3 桌面≥25mm厚高密度中纤板外贴防火板、带键盘抽屉、桌腿安装4个万向轮。</w:t>
            </w:r>
          </w:p>
          <w:p w14:paraId="56BFCD4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22.空气压缩机</w:t>
            </w:r>
          </w:p>
          <w:p w14:paraId="1529449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22.1 功率：≥680W；</w:t>
            </w:r>
          </w:p>
          <w:p w14:paraId="0A1D676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22.2 压力：≥7Bar；</w:t>
            </w:r>
          </w:p>
          <w:p w14:paraId="0DE0CF4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22.3 排气量：≥50L/min；</w:t>
            </w:r>
          </w:p>
          <w:p w14:paraId="1B02530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22.4 储气量：≥12L；</w:t>
            </w:r>
          </w:p>
          <w:p w14:paraId="7A20CE5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22.5 电压：220V。</w:t>
            </w:r>
          </w:p>
          <w:p w14:paraId="337B4AA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23.配套资源(8套设备共用)</w:t>
            </w:r>
          </w:p>
          <w:p w14:paraId="2563977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23.1 提供≥10个实训项目的PPT课件，单个课件≥10页；</w:t>
            </w:r>
          </w:p>
          <w:p w14:paraId="10F0699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23.2 提供≥10个实训项目的教学视频。</w:t>
            </w:r>
          </w:p>
          <w:p w14:paraId="3BB995F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24.业务交换系统</w:t>
            </w:r>
          </w:p>
          <w:p w14:paraId="285C442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24.1 性能：交换容量≥758Gbps；转发性能≥222Mpps；</w:t>
            </w:r>
          </w:p>
          <w:p w14:paraId="124F4FB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24.2 性能指标MAC地址表≥32K、路由表容量≥16K、ARP表项≥16K；</w:t>
            </w:r>
          </w:p>
          <w:p w14:paraId="47988F3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24.3 接口类型：≥48千兆电口+≥4万兆SFP光口+≥1业务扩展槽；</w:t>
            </w:r>
          </w:p>
          <w:p w14:paraId="6282AD1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24.4 硬件：支持可热插拔模块电源冗余和可热插拔模块化风扇冗余；</w:t>
            </w:r>
          </w:p>
          <w:p w14:paraId="3BB957E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24.5 支持横向虚拟化（≥9台设备、最大堆叠带宽≥160G）；</w:t>
            </w:r>
          </w:p>
          <w:p w14:paraId="37B21B0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24.6 支持STP/RSTP/MSTP、支持RRPP；</w:t>
            </w:r>
          </w:p>
          <w:p w14:paraId="2277FE13">
            <w:pPr>
              <w:keepNext w:val="0"/>
              <w:keepLines w:val="0"/>
              <w:pageBreakBefore w:val="0"/>
              <w:kinsoku/>
              <w:wordWrap/>
              <w:overflowPunct/>
              <w:topLinePunct w:val="0"/>
              <w:autoSpaceDE/>
              <w:autoSpaceDN/>
              <w:bidi w:val="0"/>
              <w:adjustRightInd w:val="0"/>
              <w:snapToGrid w:val="0"/>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24.7 支持DHCP Server/DHCP Relay/DHCP Snooping。</w:t>
            </w:r>
          </w:p>
          <w:p w14:paraId="4BA3C49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25.终端交换系统</w:t>
            </w:r>
          </w:p>
          <w:p w14:paraId="7EAB9ED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25.</w:t>
            </w:r>
            <w:r>
              <w:rPr>
                <w:rFonts w:hint="eastAsia" w:ascii="仿宋" w:hAnsi="仿宋" w:eastAsia="仿宋" w:cs="仿宋"/>
                <w:b w:val="0"/>
                <w:bCs w:val="0"/>
                <w:color w:val="auto"/>
                <w:szCs w:val="21"/>
                <w:highlight w:val="none"/>
              </w:rPr>
              <w:t>1</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性能：交换容量≥758Gbps；转发性能≥222Mpps</w:t>
            </w:r>
          </w:p>
          <w:p w14:paraId="23EBE81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25.</w:t>
            </w:r>
            <w:r>
              <w:rPr>
                <w:rFonts w:hint="eastAsia" w:ascii="仿宋" w:hAnsi="仿宋" w:eastAsia="仿宋" w:cs="仿宋"/>
                <w:b w:val="0"/>
                <w:bCs w:val="0"/>
                <w:color w:val="auto"/>
                <w:szCs w:val="21"/>
                <w:highlight w:val="none"/>
              </w:rPr>
              <w:t>2</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性能指标MAC地址表≥32K、路由表容量≥16K、ARP表项≥16K</w:t>
            </w:r>
          </w:p>
          <w:p w14:paraId="0584055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25.</w:t>
            </w:r>
            <w:r>
              <w:rPr>
                <w:rFonts w:hint="eastAsia" w:ascii="仿宋" w:hAnsi="仿宋" w:eastAsia="仿宋" w:cs="仿宋"/>
                <w:b w:val="0"/>
                <w:bCs w:val="0"/>
                <w:color w:val="auto"/>
                <w:szCs w:val="21"/>
                <w:highlight w:val="none"/>
              </w:rPr>
              <w:t>3</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接口类型：≥24个千兆电口(其中8个Combo光)</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≥4个万兆SFP光</w:t>
            </w:r>
            <w:r>
              <w:rPr>
                <w:rFonts w:hint="eastAsia" w:ascii="仿宋" w:hAnsi="仿宋" w:eastAsia="仿宋" w:cs="仿宋"/>
                <w:b w:val="0"/>
                <w:bCs w:val="0"/>
                <w:color w:val="auto"/>
                <w:szCs w:val="21"/>
                <w:highlight w:val="none"/>
                <w:lang w:eastAsia="zh-CN"/>
              </w:rPr>
              <w:t>；</w:t>
            </w:r>
          </w:p>
          <w:p w14:paraId="6B02215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25.</w:t>
            </w:r>
            <w:r>
              <w:rPr>
                <w:rFonts w:hint="eastAsia" w:ascii="仿宋" w:hAnsi="仿宋" w:eastAsia="仿宋" w:cs="仿宋"/>
                <w:b w:val="0"/>
                <w:bCs w:val="0"/>
                <w:color w:val="auto"/>
                <w:szCs w:val="21"/>
                <w:highlight w:val="none"/>
              </w:rPr>
              <w:t>4</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硬件：支持可热插拔模块电源冗余和可热插拔模块化风扇冗余</w:t>
            </w:r>
            <w:r>
              <w:rPr>
                <w:rFonts w:hint="eastAsia" w:ascii="仿宋" w:hAnsi="仿宋" w:eastAsia="仿宋" w:cs="仿宋"/>
                <w:b w:val="0"/>
                <w:bCs w:val="0"/>
                <w:color w:val="auto"/>
                <w:szCs w:val="21"/>
                <w:highlight w:val="none"/>
                <w:lang w:eastAsia="zh-CN"/>
              </w:rPr>
              <w:t>；</w:t>
            </w:r>
          </w:p>
          <w:p w14:paraId="5C462A7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25.</w:t>
            </w:r>
            <w:r>
              <w:rPr>
                <w:rFonts w:hint="eastAsia" w:ascii="仿宋" w:hAnsi="仿宋" w:eastAsia="仿宋" w:cs="仿宋"/>
                <w:b w:val="0"/>
                <w:bCs w:val="0"/>
                <w:color w:val="auto"/>
                <w:szCs w:val="21"/>
                <w:highlight w:val="none"/>
              </w:rPr>
              <w:t>5</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支持横向虚拟化（≥9台设备</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最大堆叠带宽≥160G）</w:t>
            </w:r>
            <w:r>
              <w:rPr>
                <w:rFonts w:hint="eastAsia" w:ascii="仿宋" w:hAnsi="仿宋" w:eastAsia="仿宋" w:cs="仿宋"/>
                <w:b w:val="0"/>
                <w:bCs w:val="0"/>
                <w:color w:val="auto"/>
                <w:szCs w:val="21"/>
                <w:highlight w:val="none"/>
                <w:lang w:eastAsia="zh-CN"/>
              </w:rPr>
              <w:t>；</w:t>
            </w:r>
          </w:p>
          <w:p w14:paraId="06722BB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25.</w:t>
            </w:r>
            <w:r>
              <w:rPr>
                <w:rFonts w:hint="eastAsia" w:ascii="仿宋" w:hAnsi="仿宋" w:eastAsia="仿宋" w:cs="仿宋"/>
                <w:b w:val="0"/>
                <w:bCs w:val="0"/>
                <w:color w:val="auto"/>
                <w:szCs w:val="21"/>
                <w:highlight w:val="none"/>
              </w:rPr>
              <w:t>6</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支持STP/RSTP/MSTP、支持RRPP</w:t>
            </w:r>
            <w:r>
              <w:rPr>
                <w:rFonts w:hint="eastAsia" w:ascii="仿宋" w:hAnsi="仿宋" w:eastAsia="仿宋" w:cs="仿宋"/>
                <w:b w:val="0"/>
                <w:bCs w:val="0"/>
                <w:color w:val="auto"/>
                <w:szCs w:val="21"/>
                <w:highlight w:val="none"/>
                <w:lang w:eastAsia="zh-CN"/>
              </w:rPr>
              <w:t>；</w:t>
            </w:r>
          </w:p>
          <w:p w14:paraId="6CDA632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25.</w:t>
            </w:r>
            <w:r>
              <w:rPr>
                <w:rFonts w:hint="eastAsia" w:ascii="仿宋" w:hAnsi="仿宋" w:eastAsia="仿宋" w:cs="仿宋"/>
                <w:b w:val="0"/>
                <w:bCs w:val="0"/>
                <w:color w:val="auto"/>
                <w:szCs w:val="21"/>
                <w:highlight w:val="none"/>
              </w:rPr>
              <w:t>7</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支持DHCP Server/ DHCP Relay/ DHCP Snooping</w:t>
            </w:r>
            <w:r>
              <w:rPr>
                <w:rFonts w:hint="eastAsia" w:ascii="仿宋" w:hAnsi="仿宋" w:eastAsia="仿宋" w:cs="仿宋"/>
                <w:b w:val="0"/>
                <w:bCs w:val="0"/>
                <w:color w:val="auto"/>
                <w:szCs w:val="21"/>
                <w:highlight w:val="none"/>
                <w:lang w:eastAsia="zh-CN"/>
              </w:rPr>
              <w:t>；</w:t>
            </w:r>
          </w:p>
          <w:p w14:paraId="4CCDE21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25.</w:t>
            </w:r>
            <w:r>
              <w:rPr>
                <w:rFonts w:hint="eastAsia" w:ascii="仿宋" w:hAnsi="仿宋" w:eastAsia="仿宋" w:cs="仿宋"/>
                <w:b w:val="0"/>
                <w:bCs w:val="0"/>
                <w:color w:val="auto"/>
                <w:szCs w:val="21"/>
                <w:highlight w:val="none"/>
              </w:rPr>
              <w:t>8</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支持WRR、WFQ、SP+WRR、WDRR、SP+WDRR、SP+WFQ</w:t>
            </w:r>
            <w:r>
              <w:rPr>
                <w:rFonts w:hint="eastAsia" w:ascii="仿宋" w:hAnsi="仿宋" w:eastAsia="仿宋" w:cs="仿宋"/>
                <w:b w:val="0"/>
                <w:bCs w:val="0"/>
                <w:color w:val="auto"/>
                <w:szCs w:val="21"/>
                <w:highlight w:val="none"/>
                <w:lang w:eastAsia="zh-CN"/>
              </w:rPr>
              <w:t>；</w:t>
            </w:r>
          </w:p>
          <w:p w14:paraId="405E5006">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25.</w:t>
            </w:r>
            <w:r>
              <w:rPr>
                <w:rFonts w:hint="eastAsia" w:ascii="仿宋" w:hAnsi="仿宋" w:eastAsia="仿宋" w:cs="仿宋"/>
                <w:b w:val="0"/>
                <w:bCs w:val="0"/>
                <w:color w:val="auto"/>
                <w:szCs w:val="21"/>
                <w:highlight w:val="none"/>
              </w:rPr>
              <w:t>9</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支持本地端口镜像和远程端口镜像RSPAN</w:t>
            </w:r>
            <w:r>
              <w:rPr>
                <w:rFonts w:hint="eastAsia" w:ascii="仿宋" w:hAnsi="仿宋" w:eastAsia="仿宋" w:cs="仿宋"/>
                <w:b w:val="0"/>
                <w:bCs w:val="0"/>
                <w:color w:val="auto"/>
                <w:szCs w:val="21"/>
                <w:highlight w:val="none"/>
                <w:lang w:eastAsia="zh-CN"/>
              </w:rPr>
              <w:t>。</w:t>
            </w:r>
          </w:p>
          <w:p w14:paraId="021FFCB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26.工业互联网虚拟仿真系统(8节点)</w:t>
            </w:r>
          </w:p>
          <w:p w14:paraId="1B59E0D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26.1 系统总体要求</w:t>
            </w:r>
          </w:p>
          <w:p w14:paraId="792C85F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系统能够将常用工业互联网设备进行仿真，包括电源设备、转换接口设备（如RS-232、RS-485、RJ45）、工业网络设备（如交换机、无线网络模块、网关、路由器）、工业安全设备（如网闸、防火墙）、传感器设备（如温度、湿度、压力、接近、位移、振动、视觉）、执行器设备（如电机、风扇、灯、开关）、控制器设备、数据采集设备（如工业智能网关）、标识解析终端设备（如二维码、条码、RFID标签、扫码枪、标识载体打印机）、电脑等，支持对仿真设备的分类管理；</w:t>
            </w:r>
            <w:r>
              <w:rPr>
                <w:rFonts w:hint="eastAsia" w:ascii="仿宋" w:hAnsi="仿宋" w:eastAsia="仿宋" w:cs="仿宋"/>
                <w:b/>
                <w:bCs/>
                <w:color w:val="auto"/>
                <w:szCs w:val="21"/>
                <w:highlight w:val="none"/>
                <w:lang w:val="en-US" w:eastAsia="zh-CN"/>
              </w:rPr>
              <w:t>（演示内容1）</w:t>
            </w:r>
          </w:p>
          <w:p w14:paraId="3F64035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(2)系统能够将多种工业网络协议进行仿真，包括RS-485协议、MODBUS-RTU协议、MODBUS-TCP协议、MQTT协议、OPCUA协议；</w:t>
            </w:r>
          </w:p>
          <w:p w14:paraId="787D1E6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系统提供工业互联网平台（支持工业APP，运行日志，标识解析数据采集等功能）、标识解析系统（支持编码、编码管理、赋码管理、赋码实验、系统管理、提供对外服务接口等功能）以及工业互联网标识解析服务应用（支持编码解析、标识终端设备管理、解析服务配置等功能）。</w:t>
            </w:r>
            <w:r>
              <w:rPr>
                <w:rFonts w:hint="eastAsia" w:ascii="仿宋" w:hAnsi="仿宋" w:eastAsia="仿宋" w:cs="仿宋"/>
                <w:b/>
                <w:bCs/>
                <w:color w:val="auto"/>
                <w:szCs w:val="21"/>
                <w:highlight w:val="none"/>
                <w:lang w:val="en-US" w:eastAsia="zh-CN"/>
              </w:rPr>
              <w:t>（演示内容2）</w:t>
            </w:r>
          </w:p>
          <w:p w14:paraId="38C5D73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26.2 系统功能要求</w:t>
            </w:r>
          </w:p>
          <w:p w14:paraId="36B82D2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(1)系统具有自动创建虚拟串口功能，供需要串口通信方式的设备使用，采购人能够通过串口使用相应设备；</w:t>
            </w:r>
          </w:p>
          <w:p w14:paraId="01CA8DC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(2)系统具有图形拖拽编辑功能，通过拖拽的方式将设备拖拽到相应网络拓扑中；</w:t>
            </w:r>
          </w:p>
          <w:p w14:paraId="4F9B9AE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(3)系统具有工程创建、保存、打开功能，以工程文件的形式保存到相应位置，下次使用时直接打开工程文件即可继续做上次的实验；</w:t>
            </w:r>
          </w:p>
          <w:p w14:paraId="24CCCE1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(4)系统具有工程切换功能，可直接切换到任意一个已经创建好的工程中；</w:t>
            </w:r>
          </w:p>
          <w:p w14:paraId="75D87EA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(5)系统设备导入/导出功能，可将工程文件中的设备进行导入和导出，以设备工程文件的形式存储；</w:t>
            </w:r>
          </w:p>
          <w:p w14:paraId="1EEC3E8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(6)系统具有删除、剪切、复制、粘贴、全选、创建组合、取消组合等编辑功能，用于方便快捷编辑和搭建网络拓扑；</w:t>
            </w:r>
          </w:p>
          <w:p w14:paraId="3D40D4B5">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(7)系统具有新建桌面/删除桌面功能，可在不同桌面下搭建不同网络拓扑且互相不冲突；</w:t>
            </w:r>
          </w:p>
          <w:p w14:paraId="10C7CCB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(8)系统具有桌面属性编辑功能，可对桌面名称、宽度、长度、背景色等内容进行编辑；</w:t>
            </w:r>
          </w:p>
          <w:p w14:paraId="20D4DBA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★(9)系统具有设备属性编辑功能，可对设备名称、字体大小、字体颜色、设备大小、接口位置、接口是否启用进行编辑；</w:t>
            </w:r>
            <w:r>
              <w:rPr>
                <w:rFonts w:hint="eastAsia" w:ascii="仿宋" w:hAnsi="仿宋" w:eastAsia="仿宋" w:cs="仿宋"/>
                <w:b/>
                <w:bCs/>
                <w:color w:val="auto"/>
                <w:szCs w:val="21"/>
                <w:highlight w:val="none"/>
                <w:lang w:val="en-US" w:eastAsia="zh-CN"/>
              </w:rPr>
              <w:t>（演示内容3）</w:t>
            </w:r>
          </w:p>
          <w:p w14:paraId="784330E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w:t>
            </w:r>
            <w:r>
              <w:rPr>
                <w:rFonts w:hint="eastAsia" w:ascii="仿宋" w:hAnsi="仿宋" w:eastAsia="仿宋" w:cs="仿宋"/>
                <w:szCs w:val="21"/>
                <w:highlight w:val="none"/>
              </w:rPr>
              <w:t>系统具有设备插件属性功能，对于具有插件功能的设备显示对应可执行的方法或者显示该设备状态信息</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bCs/>
                <w:color w:val="auto"/>
                <w:szCs w:val="21"/>
                <w:highlight w:val="none"/>
                <w:lang w:val="en-US" w:eastAsia="zh-CN"/>
              </w:rPr>
              <w:t>（演示内容4）</w:t>
            </w:r>
          </w:p>
          <w:p w14:paraId="76A4A55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(11)系统具有左侧对齐、顶部对齐、右侧对齐、底部对齐、横向平均、纵向平均、置于顶层、置于底层等排列设置功能；</w:t>
            </w:r>
          </w:p>
          <w:p w14:paraId="04A385F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(12)系统不限制同一个设备的使用次数，在同一个或者不同工程下，可以无限使用任意一个设备；</w:t>
            </w:r>
          </w:p>
          <w:p w14:paraId="189F543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(13)系统具有设备搜索功能，用户可在搜索框中按照关键字搜索需要用到的仿真设备；</w:t>
            </w:r>
          </w:p>
          <w:p w14:paraId="1D0E68E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(14)系统具有用户登录和自动评分功能。</w:t>
            </w:r>
          </w:p>
          <w:p w14:paraId="32CE6C9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26.3 配套资源要求（仿真资源、系统需支持以下实训内容）</w:t>
            </w:r>
          </w:p>
          <w:p w14:paraId="32103DB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(1)网络互联集成（如工业控制器设备拓扑组网、VLAN配置、ModbusTCP采集拓扑组网等）；</w:t>
            </w:r>
          </w:p>
          <w:p w14:paraId="0DFB4B9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(2)工业设备数据采集（如MQTT功能启用、MQTT数据推送、工业智能网关连通性测试等）；</w:t>
            </w:r>
          </w:p>
          <w:p w14:paraId="502C766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(3)工业标识数据采集（如二维码的生成与识别、条码的生成与识别、RFID标签的使用、RFID标签的识别等）；</w:t>
            </w:r>
          </w:p>
          <w:p w14:paraId="577D43D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(4)安全防护实施（如工业防火墙网络搭建、安全策略配置、VPN的使用等）；</w:t>
            </w:r>
          </w:p>
          <w:p w14:paraId="60A8B22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(5)网络互联运维（如工业网络故障排查、工业网络故障处理等）；</w:t>
            </w:r>
          </w:p>
          <w:p w14:paraId="2AC7E4D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★(6)工业数据采集系统运维（如工业传感器故障排查、工业控制器故障排查、RFID14443故障排查、工业网关故障排查等）；</w:t>
            </w:r>
            <w:r>
              <w:rPr>
                <w:rFonts w:hint="eastAsia" w:ascii="仿宋" w:hAnsi="仿宋" w:eastAsia="仿宋" w:cs="仿宋"/>
                <w:b/>
                <w:bCs/>
                <w:color w:val="auto"/>
                <w:szCs w:val="21"/>
                <w:highlight w:val="none"/>
                <w:lang w:val="en-US" w:eastAsia="zh-CN"/>
              </w:rPr>
              <w:t>（演示内容5）</w:t>
            </w:r>
          </w:p>
          <w:p w14:paraId="5ECEB73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(7)安全防护运维（如安全漏洞检测、工业防火墙维护等）；</w:t>
            </w:r>
          </w:p>
          <w:p w14:paraId="5880964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(8)工业互联网平台运维（如微服务运维、工业互联网平台维护等）；</w:t>
            </w:r>
          </w:p>
          <w:p w14:paraId="4A777CF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(9)标识解析系统运维（如日志导出脚本使用、标识解析系统异常状况排查等）；</w:t>
            </w:r>
          </w:p>
          <w:p w14:paraId="578685AF">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(10)工业互联网标识解析服务应用（如标识编码配置、二维码标识识别、条码标识识别等）。</w:t>
            </w:r>
          </w:p>
          <w:p w14:paraId="6823F56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27.实验台线缆部署：根据采购人现场环境，提供满足实训台所需的电线、标准网线、接口等综合布线服务（≤160㎡），连接设备及终端、布线美观整洁。</w:t>
            </w:r>
          </w:p>
        </w:tc>
      </w:tr>
      <w:tr w14:paraId="071D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77" w:type="pct"/>
            <w:vAlign w:val="center"/>
          </w:tcPr>
          <w:p w14:paraId="016B9EB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Cs w:val="21"/>
                <w:lang w:val="en-US" w:eastAsia="zh-CN"/>
              </w:rPr>
            </w:pPr>
            <w:r>
              <w:rPr>
                <w:rFonts w:hint="eastAsia" w:ascii="仿宋" w:hAnsi="仿宋" w:eastAsia="仿宋" w:cs="仿宋"/>
                <w:b w:val="0"/>
                <w:bCs w:val="0"/>
                <w:color w:val="auto"/>
                <w:szCs w:val="21"/>
                <w:highlight w:val="none"/>
                <w:lang w:val="en-US" w:eastAsia="zh-CN"/>
              </w:rPr>
              <w:t>3</w:t>
            </w:r>
          </w:p>
        </w:tc>
        <w:tc>
          <w:tcPr>
            <w:tcW w:w="912" w:type="pct"/>
            <w:vAlign w:val="center"/>
          </w:tcPr>
          <w:p w14:paraId="62C84A0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szCs w:val="21"/>
              </w:rPr>
            </w:pPr>
            <w:r>
              <w:rPr>
                <w:rFonts w:hint="eastAsia" w:ascii="仿宋" w:hAnsi="仿宋" w:eastAsia="仿宋" w:cs="仿宋"/>
                <w:b w:val="0"/>
                <w:bCs w:val="0"/>
                <w:color w:val="auto"/>
                <w:szCs w:val="21"/>
                <w:highlight w:val="none"/>
                <w:lang w:val="en-US" w:eastAsia="zh-CN"/>
              </w:rPr>
              <w:t>纺织工程沙盘</w:t>
            </w:r>
          </w:p>
        </w:tc>
        <w:tc>
          <w:tcPr>
            <w:tcW w:w="332" w:type="pct"/>
            <w:vAlign w:val="center"/>
          </w:tcPr>
          <w:p w14:paraId="4A78009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Cs w:val="21"/>
              </w:rPr>
            </w:pPr>
            <w:r>
              <w:rPr>
                <w:rFonts w:hint="eastAsia" w:ascii="仿宋" w:hAnsi="仿宋" w:eastAsia="仿宋" w:cs="仿宋"/>
                <w:b w:val="0"/>
                <w:bCs w:val="0"/>
                <w:color w:val="auto"/>
                <w:szCs w:val="21"/>
                <w:highlight w:val="none"/>
                <w:lang w:val="en-US" w:eastAsia="zh-CN"/>
              </w:rPr>
              <w:t>1</w:t>
            </w:r>
          </w:p>
        </w:tc>
        <w:tc>
          <w:tcPr>
            <w:tcW w:w="332" w:type="pct"/>
            <w:vAlign w:val="center"/>
          </w:tcPr>
          <w:p w14:paraId="3AB74A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Cs w:val="21"/>
              </w:rPr>
            </w:pPr>
            <w:r>
              <w:rPr>
                <w:rFonts w:hint="eastAsia" w:ascii="仿宋" w:hAnsi="仿宋" w:eastAsia="仿宋" w:cs="仿宋"/>
                <w:b w:val="0"/>
                <w:bCs w:val="0"/>
                <w:color w:val="auto"/>
                <w:szCs w:val="21"/>
                <w:highlight w:val="none"/>
                <w:lang w:val="en-US" w:eastAsia="zh-CN"/>
              </w:rPr>
              <w:t>套</w:t>
            </w:r>
          </w:p>
        </w:tc>
        <w:tc>
          <w:tcPr>
            <w:tcW w:w="3045" w:type="pct"/>
            <w:vAlign w:val="center"/>
          </w:tcPr>
          <w:p w14:paraId="4594725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1.尺寸（长*宽*高）：</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2m*2.5m*0.8m；</w:t>
            </w:r>
          </w:p>
          <w:p w14:paraId="372FF8A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2.纺织工程沙盘的主要业务流程为清棉→梳棉→并条→粗纱→细纱→络筒</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模型包含制作自动抓包机模型、棉箱除杂机、开棉机设备、刺辊等模型等；模型按照同比例缩小制作，流程采用</w:t>
            </w:r>
            <w:r>
              <w:rPr>
                <w:rFonts w:hint="eastAsia" w:ascii="仿宋" w:hAnsi="仿宋" w:eastAsia="仿宋" w:cs="仿宋"/>
                <w:color w:val="auto"/>
                <w:szCs w:val="21"/>
                <w:highlight w:val="none"/>
                <w:lang w:val="en-US" w:eastAsia="zh-CN"/>
              </w:rPr>
              <w:t>LED</w:t>
            </w:r>
            <w:r>
              <w:rPr>
                <w:rFonts w:hint="eastAsia" w:ascii="仿宋" w:hAnsi="仿宋" w:eastAsia="仿宋" w:cs="仿宋"/>
                <w:color w:val="auto"/>
                <w:szCs w:val="21"/>
                <w:highlight w:val="none"/>
              </w:rPr>
              <w:t>流水灯光模拟演示</w:t>
            </w:r>
            <w:r>
              <w:rPr>
                <w:rFonts w:hint="eastAsia" w:ascii="仿宋" w:hAnsi="仿宋" w:eastAsia="仿宋" w:cs="仿宋"/>
                <w:color w:val="auto"/>
                <w:szCs w:val="21"/>
                <w:highlight w:val="none"/>
                <w:lang w:eastAsia="zh-CN"/>
              </w:rPr>
              <w:t>；</w:t>
            </w:r>
          </w:p>
          <w:p w14:paraId="3F82F9F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3.纺织工程沙盘展示内容</w:t>
            </w:r>
          </w:p>
          <w:p w14:paraId="0CAF2F1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3.1 </w:t>
            </w:r>
            <w:r>
              <w:rPr>
                <w:rFonts w:hint="eastAsia" w:ascii="仿宋" w:hAnsi="仿宋" w:eastAsia="仿宋" w:cs="仿宋"/>
                <w:color w:val="auto"/>
                <w:szCs w:val="21"/>
                <w:highlight w:val="none"/>
              </w:rPr>
              <w:t>纺织工程仿真装置场景，场景开发相关mes联动流程作业，实时与</w:t>
            </w:r>
            <w:r>
              <w:rPr>
                <w:rFonts w:hint="eastAsia" w:ascii="仿宋" w:hAnsi="仿宋" w:eastAsia="仿宋" w:cs="仿宋"/>
                <w:color w:val="auto"/>
                <w:szCs w:val="21"/>
                <w:highlight w:val="none"/>
                <w:lang w:val="en-US" w:eastAsia="zh-CN"/>
              </w:rPr>
              <w:t>PLC</w:t>
            </w:r>
            <w:r>
              <w:rPr>
                <w:rFonts w:hint="eastAsia" w:ascii="仿宋" w:hAnsi="仿宋" w:eastAsia="仿宋" w:cs="仿宋"/>
                <w:color w:val="auto"/>
                <w:szCs w:val="21"/>
                <w:highlight w:val="none"/>
              </w:rPr>
              <w:t>进行控制联动；</w:t>
            </w:r>
          </w:p>
          <w:p w14:paraId="3FECD8E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3.2 </w:t>
            </w:r>
            <w:r>
              <w:rPr>
                <w:rFonts w:hint="eastAsia" w:ascii="仿宋" w:hAnsi="仿宋" w:eastAsia="仿宋" w:cs="仿宋"/>
                <w:color w:val="auto"/>
                <w:szCs w:val="21"/>
                <w:highlight w:val="none"/>
              </w:rPr>
              <w:t>PLC编程控制包含生产线控制、原料库控制、成品库控制、加工设备控制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io点</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20路；</w:t>
            </w:r>
          </w:p>
          <w:p w14:paraId="3DBFD088">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3.3 </w:t>
            </w:r>
            <w:r>
              <w:rPr>
                <w:rFonts w:hint="eastAsia" w:ascii="仿宋" w:hAnsi="仿宋" w:eastAsia="仿宋" w:cs="仿宋"/>
                <w:color w:val="auto"/>
                <w:szCs w:val="21"/>
                <w:highlight w:val="none"/>
              </w:rPr>
              <w:t>开发纺织流程画面组态内容包含清棉→梳棉→并条→粗纱→细纱→络筒等主要业务流程，内容联动包含转速传感器、压力传感器、温湿度传感器、电机模拟量控制作业</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可实时进行传感器回传作业</w:t>
            </w:r>
            <w:r>
              <w:rPr>
                <w:rFonts w:hint="eastAsia" w:ascii="仿宋" w:hAnsi="仿宋" w:eastAsia="仿宋" w:cs="仿宋"/>
                <w:color w:val="auto"/>
                <w:szCs w:val="21"/>
                <w:highlight w:val="none"/>
                <w:lang w:eastAsia="zh-CN"/>
              </w:rPr>
              <w:t>；</w:t>
            </w:r>
          </w:p>
          <w:p w14:paraId="6FB2476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3.4 具备</w:t>
            </w:r>
            <w:r>
              <w:rPr>
                <w:rFonts w:hint="eastAsia" w:ascii="仿宋" w:hAnsi="仿宋" w:eastAsia="仿宋" w:cs="仿宋"/>
                <w:color w:val="auto"/>
                <w:szCs w:val="21"/>
                <w:highlight w:val="none"/>
              </w:rPr>
              <w:t>移动金属展架装置，尺寸（长*宽*高）</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m</w:t>
            </w:r>
            <w:r>
              <w:rPr>
                <w:rFonts w:hint="eastAsia" w:ascii="仿宋" w:hAnsi="仿宋" w:eastAsia="仿宋" w:cs="仿宋"/>
                <w:color w:val="auto"/>
                <w:szCs w:val="21"/>
                <w:highlight w:val="none"/>
              </w:rPr>
              <w:t>*1.2</w:t>
            </w:r>
            <w:r>
              <w:rPr>
                <w:rFonts w:hint="eastAsia" w:ascii="仿宋" w:hAnsi="仿宋" w:eastAsia="仿宋" w:cs="仿宋"/>
                <w:color w:val="auto"/>
                <w:szCs w:val="21"/>
                <w:highlight w:val="none"/>
                <w:lang w:val="en-US" w:eastAsia="zh-CN"/>
              </w:rPr>
              <w:t>m</w:t>
            </w:r>
            <w:r>
              <w:rPr>
                <w:rFonts w:hint="eastAsia" w:ascii="仿宋" w:hAnsi="仿宋" w:eastAsia="仿宋" w:cs="仿宋"/>
                <w:color w:val="auto"/>
                <w:szCs w:val="21"/>
                <w:highlight w:val="none"/>
              </w:rPr>
              <w:t>*0.7</w:t>
            </w:r>
            <w:r>
              <w:rPr>
                <w:rFonts w:hint="eastAsia" w:ascii="仿宋" w:hAnsi="仿宋" w:eastAsia="仿宋" w:cs="仿宋"/>
                <w:color w:val="auto"/>
                <w:szCs w:val="21"/>
                <w:highlight w:val="none"/>
                <w:lang w:val="en-US" w:eastAsia="zh-CN"/>
              </w:rPr>
              <w:t>m</w:t>
            </w:r>
            <w:r>
              <w:rPr>
                <w:rFonts w:hint="eastAsia" w:ascii="仿宋" w:hAnsi="仿宋" w:eastAsia="仿宋" w:cs="仿宋"/>
                <w:color w:val="auto"/>
                <w:szCs w:val="21"/>
                <w:highlight w:val="none"/>
              </w:rPr>
              <w:t>，布置有</w:t>
            </w:r>
            <w:r>
              <w:rPr>
                <w:rFonts w:hint="eastAsia" w:ascii="仿宋" w:hAnsi="仿宋" w:eastAsia="仿宋" w:cs="仿宋"/>
                <w:color w:val="auto"/>
                <w:szCs w:val="21"/>
                <w:highlight w:val="none"/>
                <w:lang w:val="en-US" w:eastAsia="zh-CN"/>
              </w:rPr>
              <w:t>HMI</w:t>
            </w:r>
            <w:r>
              <w:rPr>
                <w:rFonts w:hint="eastAsia" w:ascii="仿宋" w:hAnsi="仿宋" w:eastAsia="仿宋" w:cs="仿宋"/>
                <w:color w:val="auto"/>
                <w:szCs w:val="21"/>
                <w:highlight w:val="none"/>
              </w:rPr>
              <w:t>设备、</w:t>
            </w:r>
            <w:r>
              <w:rPr>
                <w:rFonts w:hint="eastAsia" w:ascii="仿宋" w:hAnsi="仿宋" w:eastAsia="仿宋" w:cs="仿宋"/>
                <w:color w:val="auto"/>
                <w:szCs w:val="21"/>
                <w:highlight w:val="none"/>
                <w:lang w:val="en-US" w:eastAsia="zh-CN"/>
              </w:rPr>
              <w:t>PLC</w:t>
            </w:r>
            <w:r>
              <w:rPr>
                <w:rFonts w:hint="eastAsia" w:ascii="仿宋" w:hAnsi="仿宋" w:eastAsia="仿宋" w:cs="仿宋"/>
                <w:color w:val="auto"/>
                <w:szCs w:val="21"/>
                <w:highlight w:val="none"/>
              </w:rPr>
              <w:t>设备、交换机设备、执行设备、网络攻击拓扑变化灯、监控层大屏、服务器模型、防火墙模型、路由器设备等。</w:t>
            </w:r>
          </w:p>
          <w:p w14:paraId="1849AF1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4.动态设备</w:t>
            </w:r>
          </w:p>
          <w:p w14:paraId="773A270E">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4.1 具备</w:t>
            </w:r>
            <w:r>
              <w:rPr>
                <w:rFonts w:hint="eastAsia" w:ascii="仿宋" w:hAnsi="仿宋" w:eastAsia="仿宋" w:cs="仿宋"/>
                <w:color w:val="auto"/>
                <w:szCs w:val="21"/>
                <w:highlight w:val="none"/>
              </w:rPr>
              <w:t>原材料仓库、生产线设备、纺织加工设备、成品仓库、5Gredcap质检摄像机设备等；</w:t>
            </w:r>
          </w:p>
          <w:p w14:paraId="0FAA700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4.2 </w:t>
            </w:r>
            <w:r>
              <w:rPr>
                <w:rFonts w:hint="eastAsia" w:ascii="仿宋" w:hAnsi="仿宋" w:eastAsia="仿宋" w:cs="仿宋"/>
                <w:color w:val="auto"/>
                <w:szCs w:val="21"/>
                <w:highlight w:val="none"/>
              </w:rPr>
              <w:t>设备包含有步进电机设备、5Gredcap监控设备、流程灯设备等</w:t>
            </w:r>
            <w:r>
              <w:rPr>
                <w:rFonts w:hint="eastAsia" w:ascii="仿宋" w:hAnsi="仿宋" w:eastAsia="仿宋" w:cs="仿宋"/>
                <w:color w:val="auto"/>
                <w:szCs w:val="21"/>
                <w:highlight w:val="none"/>
                <w:lang w:eastAsia="zh-CN"/>
              </w:rPr>
              <w:t>；</w:t>
            </w:r>
          </w:p>
          <w:p w14:paraId="6EDE9F43">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4.3 </w:t>
            </w:r>
            <w:r>
              <w:rPr>
                <w:rFonts w:hint="eastAsia" w:ascii="仿宋" w:hAnsi="仿宋" w:eastAsia="仿宋" w:cs="仿宋"/>
                <w:color w:val="auto"/>
                <w:szCs w:val="21"/>
                <w:highlight w:val="none"/>
              </w:rPr>
              <w:t>设备可通过脚本进行外部攻击作业，并可通过</w:t>
            </w:r>
            <w:r>
              <w:rPr>
                <w:rFonts w:hint="eastAsia" w:ascii="仿宋" w:hAnsi="仿宋" w:eastAsia="仿宋" w:cs="仿宋"/>
                <w:color w:val="auto"/>
                <w:szCs w:val="21"/>
                <w:highlight w:val="none"/>
                <w:lang w:val="en-US" w:eastAsia="zh-CN"/>
              </w:rPr>
              <w:t>HMI</w:t>
            </w:r>
            <w:r>
              <w:rPr>
                <w:rFonts w:hint="eastAsia" w:ascii="仿宋" w:hAnsi="仿宋" w:eastAsia="仿宋" w:cs="仿宋"/>
                <w:color w:val="auto"/>
                <w:szCs w:val="21"/>
                <w:highlight w:val="none"/>
              </w:rPr>
              <w:t>进行作业互动，分设备进行联动演示。</w:t>
            </w:r>
          </w:p>
          <w:p w14:paraId="170355F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5.展台</w:t>
            </w:r>
          </w:p>
          <w:p w14:paraId="12BEC9EA">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5.1 </w:t>
            </w:r>
            <w:r>
              <w:rPr>
                <w:rFonts w:hint="eastAsia" w:ascii="仿宋" w:hAnsi="仿宋" w:eastAsia="仿宋" w:cs="仿宋"/>
                <w:color w:val="auto"/>
                <w:szCs w:val="21"/>
                <w:highlight w:val="none"/>
              </w:rPr>
              <w:t>高度内部为方管钢架结构，尺寸为2</w:t>
            </w:r>
            <w:r>
              <w:rPr>
                <w:rFonts w:hint="eastAsia" w:ascii="仿宋" w:hAnsi="仿宋" w:eastAsia="仿宋" w:cs="仿宋"/>
                <w:color w:val="auto"/>
                <w:szCs w:val="21"/>
                <w:highlight w:val="none"/>
                <w:lang w:val="en-US" w:eastAsia="zh-CN"/>
              </w:rPr>
              <w:t>cm</w:t>
            </w:r>
            <w:r>
              <w:rPr>
                <w:rFonts w:hint="eastAsia" w:ascii="仿宋" w:hAnsi="仿宋" w:eastAsia="仿宋" w:cs="仿宋"/>
                <w:color w:val="auto"/>
                <w:szCs w:val="21"/>
                <w:highlight w:val="none"/>
              </w:rPr>
              <w:t>*2cm结构，外部木质哑光烤漆</w:t>
            </w:r>
            <w:r>
              <w:rPr>
                <w:rFonts w:hint="eastAsia" w:ascii="仿宋" w:hAnsi="仿宋" w:eastAsia="仿宋" w:cs="仿宋"/>
                <w:color w:val="auto"/>
                <w:szCs w:val="21"/>
                <w:highlight w:val="none"/>
                <w:lang w:eastAsia="zh-CN"/>
              </w:rPr>
              <w:t>；</w:t>
            </w:r>
          </w:p>
          <w:p w14:paraId="227E4F9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5.2 </w:t>
            </w:r>
            <w:r>
              <w:rPr>
                <w:rFonts w:hint="eastAsia" w:ascii="仿宋" w:hAnsi="仿宋" w:eastAsia="仿宋" w:cs="仿宋"/>
                <w:color w:val="auto"/>
                <w:szCs w:val="21"/>
                <w:highlight w:val="none"/>
              </w:rPr>
              <w:t>侧面加装氛围灯</w:t>
            </w:r>
            <w:r>
              <w:rPr>
                <w:rFonts w:hint="eastAsia" w:ascii="仿宋" w:hAnsi="仿宋" w:eastAsia="仿宋" w:cs="仿宋"/>
                <w:color w:val="auto"/>
                <w:szCs w:val="21"/>
                <w:highlight w:val="none"/>
                <w:lang w:eastAsia="zh-CN"/>
              </w:rPr>
              <w:t>；</w:t>
            </w:r>
          </w:p>
          <w:p w14:paraId="57ADC91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5.3 </w:t>
            </w:r>
            <w:r>
              <w:rPr>
                <w:rFonts w:hint="eastAsia" w:ascii="仿宋" w:hAnsi="仿宋" w:eastAsia="仿宋" w:cs="仿宋"/>
                <w:color w:val="auto"/>
                <w:szCs w:val="21"/>
                <w:highlight w:val="none"/>
              </w:rPr>
              <w:t>底座侧面预留检修口1个，用于日常维护和检修</w:t>
            </w:r>
            <w:r>
              <w:rPr>
                <w:rFonts w:hint="eastAsia" w:ascii="仿宋" w:hAnsi="仿宋" w:eastAsia="仿宋" w:cs="仿宋"/>
                <w:color w:val="auto"/>
                <w:szCs w:val="21"/>
                <w:highlight w:val="none"/>
                <w:lang w:eastAsia="zh-CN"/>
              </w:rPr>
              <w:t>；</w:t>
            </w:r>
          </w:p>
          <w:p w14:paraId="325F87A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5.4 </w:t>
            </w:r>
            <w:r>
              <w:rPr>
                <w:rFonts w:hint="eastAsia" w:ascii="仿宋" w:hAnsi="仿宋" w:eastAsia="仿宋" w:cs="仿宋"/>
                <w:color w:val="auto"/>
                <w:szCs w:val="21"/>
                <w:highlight w:val="none"/>
              </w:rPr>
              <w:t>模型底座上方加装钢化玻璃围栏，钢化玻璃规格</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高*厚</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250mm*10mm</w:t>
            </w:r>
            <w:r>
              <w:rPr>
                <w:rFonts w:hint="eastAsia" w:ascii="仿宋" w:hAnsi="仿宋" w:eastAsia="仿宋" w:cs="仿宋"/>
                <w:color w:val="auto"/>
                <w:szCs w:val="21"/>
                <w:highlight w:val="none"/>
                <w:lang w:eastAsia="zh-CN"/>
              </w:rPr>
              <w:t>；</w:t>
            </w:r>
          </w:p>
          <w:p w14:paraId="76EEA50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Cs w:val="21"/>
                <w:highlight w:val="none"/>
              </w:rPr>
            </w:pPr>
            <w:r>
              <w:rPr>
                <w:rFonts w:hint="eastAsia" w:ascii="仿宋" w:hAnsi="仿宋" w:eastAsia="仿宋" w:cs="仿宋"/>
                <w:color w:val="auto"/>
                <w:szCs w:val="21"/>
                <w:highlight w:val="none"/>
                <w:lang w:val="en-US" w:eastAsia="zh-CN"/>
              </w:rPr>
              <w:t xml:space="preserve">5.5 </w:t>
            </w:r>
            <w:r>
              <w:rPr>
                <w:rFonts w:hint="eastAsia" w:ascii="仿宋" w:hAnsi="仿宋" w:eastAsia="仿宋" w:cs="仿宋"/>
                <w:color w:val="auto"/>
                <w:szCs w:val="21"/>
                <w:highlight w:val="none"/>
              </w:rPr>
              <w:t>底座侧面可定制设备名称和印制LOGO。</w:t>
            </w:r>
          </w:p>
        </w:tc>
      </w:tr>
      <w:tr w14:paraId="603B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00" w:type="pct"/>
            <w:gridSpan w:val="5"/>
            <w:vAlign w:val="center"/>
          </w:tcPr>
          <w:p w14:paraId="21E9FAC0">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Cs w:val="21"/>
                <w:highlight w:val="none"/>
                <w:lang w:val="en-US" w:eastAsia="zh-CN"/>
              </w:rPr>
            </w:pPr>
            <w:r>
              <w:rPr>
                <w:rFonts w:hint="eastAsia" w:ascii="仿宋" w:hAnsi="仿宋" w:eastAsia="仿宋" w:cs="仿宋"/>
                <w:b/>
                <w:bCs/>
                <w:color w:val="auto"/>
                <w:sz w:val="18"/>
                <w:szCs w:val="18"/>
                <w:highlight w:val="none"/>
                <w:lang w:val="en-US" w:eastAsia="zh-CN"/>
              </w:rPr>
              <w:t>备注：投标人应充分自行勘查现场（采购人不集中组织），对现场和周围环境进行踏勘和了解，以获取有关编制投标文件和签署合同所需的各种资料，并充分考虑影响投标报价的因素、预计实施过程中各种不利因素，由此可能发生的费用均由投标人考虑并包含在投标报价中，因现场勘查不充分导致的投标报价缺失由投标人自行承担，中标后中标人不得再以不完全了解现场情况等为理由而提出额外付款或延长交付时间等要求，若有此类要求采购人将不作任何答复与考虑，现场勘查所产生的一切责任、风险、费用和后果由投标人自行承担。现场踏勘需遵循采购人要求，持法人授权委托书、本人身份证参加，联系人及联系方式同项目联系人。</w:t>
            </w:r>
          </w:p>
        </w:tc>
      </w:tr>
    </w:tbl>
    <w:p w14:paraId="026F2917">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rPr>
          <w:rFonts w:hint="eastAsia" w:ascii="仿宋" w:hAnsi="仿宋" w:eastAsia="仿宋"/>
          <w:b/>
          <w:bCs/>
          <w:color w:val="000000"/>
          <w:szCs w:val="21"/>
          <w:highlight w:val="none"/>
        </w:rPr>
      </w:pPr>
    </w:p>
    <w:p w14:paraId="0CB1AEEF">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default" w:ascii="仿宋" w:hAnsi="仿宋" w:eastAsia="仿宋" w:cs="仿宋"/>
          <w:color w:val="auto"/>
          <w:highlight w:val="none"/>
          <w:lang w:val="en-US" w:eastAsia="zh-CN"/>
        </w:rPr>
      </w:pPr>
      <w:r>
        <w:rPr>
          <w:rFonts w:hint="eastAsia" w:ascii="仿宋" w:hAnsi="仿宋" w:eastAsia="仿宋"/>
          <w:b/>
          <w:bCs/>
          <w:color w:val="auto"/>
          <w:szCs w:val="21"/>
          <w:highlight w:val="none"/>
        </w:rPr>
        <w:t>备注：</w:t>
      </w:r>
      <w:r>
        <w:rPr>
          <w:rFonts w:hint="eastAsia" w:ascii="仿宋" w:hAnsi="仿宋" w:eastAsia="仿宋"/>
          <w:b/>
          <w:bCs/>
          <w:color w:val="auto"/>
          <w:szCs w:val="21"/>
          <w:highlight w:val="none"/>
          <w:lang w:val="en-US" w:eastAsia="zh-CN"/>
        </w:rPr>
        <w:t>标</w:t>
      </w:r>
      <w:r>
        <w:rPr>
          <w:rFonts w:hint="eastAsia" w:ascii="仿宋" w:hAnsi="仿宋" w:eastAsia="仿宋" w:cs="仿宋"/>
          <w:b/>
          <w:bCs/>
          <w:color w:val="auto"/>
          <w:szCs w:val="21"/>
          <w:highlight w:val="none"/>
          <w:lang w:val="en-US" w:eastAsia="zh-CN"/>
        </w:rPr>
        <w:t>★内容</w:t>
      </w:r>
      <w:r>
        <w:rPr>
          <w:rFonts w:hint="eastAsia" w:ascii="仿宋" w:hAnsi="仿宋" w:eastAsia="仿宋"/>
          <w:b/>
          <w:bCs/>
          <w:color w:val="auto"/>
          <w:szCs w:val="21"/>
          <w:highlight w:val="none"/>
        </w:rPr>
        <w:t>要求以视频录制形式（录制的视频采用MP4格式且不得进行后期剪辑，演示时长不超过</w:t>
      </w:r>
      <w:r>
        <w:rPr>
          <w:rFonts w:hint="eastAsia" w:ascii="仿宋" w:hAnsi="仿宋" w:eastAsia="仿宋"/>
          <w:b/>
          <w:bCs/>
          <w:color w:val="auto"/>
          <w:szCs w:val="21"/>
          <w:highlight w:val="none"/>
          <w:lang w:val="en-US" w:eastAsia="zh-CN"/>
        </w:rPr>
        <w:t>10</w:t>
      </w:r>
      <w:r>
        <w:rPr>
          <w:rFonts w:hint="eastAsia" w:ascii="仿宋" w:hAnsi="仿宋" w:eastAsia="仿宋"/>
          <w:b/>
          <w:bCs/>
          <w:color w:val="auto"/>
          <w:szCs w:val="21"/>
          <w:highlight w:val="none"/>
        </w:rPr>
        <w:t>分钟）进行演示（U盘形式存储可随备份</w:t>
      </w:r>
      <w:r>
        <w:rPr>
          <w:rFonts w:hint="eastAsia" w:ascii="仿宋" w:hAnsi="仿宋" w:eastAsia="仿宋"/>
          <w:b/>
          <w:bCs/>
          <w:color w:val="auto"/>
          <w:szCs w:val="21"/>
          <w:highlight w:val="none"/>
          <w:lang w:val="en-US" w:eastAsia="zh-CN"/>
        </w:rPr>
        <w:t>投标文件</w:t>
      </w:r>
      <w:r>
        <w:rPr>
          <w:rFonts w:hint="eastAsia" w:ascii="仿宋" w:hAnsi="仿宋" w:eastAsia="仿宋"/>
          <w:b/>
          <w:bCs/>
          <w:color w:val="auto"/>
          <w:szCs w:val="21"/>
          <w:highlight w:val="none"/>
        </w:rPr>
        <w:t>同时递交，逾期送达视同未提供）</w:t>
      </w:r>
    </w:p>
    <w:p w14:paraId="3E0E1594">
      <w:pPr>
        <w:spacing w:line="288" w:lineRule="auto"/>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59EB6F4">
      <w:pPr>
        <w:adjustRightInd w:val="0"/>
        <w:snapToGrid w:val="0"/>
        <w:spacing w:line="288" w:lineRule="auto"/>
        <w:ind w:left="0" w:leftChars="0" w:right="0" w:rightChars="0" w:firstLine="0" w:firstLineChars="0"/>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投标人须知</w:t>
      </w:r>
    </w:p>
    <w:p w14:paraId="4C310779">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投标人须知前附表</w:t>
      </w:r>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587"/>
        <w:gridCol w:w="7068"/>
      </w:tblGrid>
      <w:tr w14:paraId="6DBD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2FEE1DD9">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825" w:type="pct"/>
            <w:vAlign w:val="center"/>
          </w:tcPr>
          <w:p w14:paraId="5400743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3675" w:type="pct"/>
            <w:vAlign w:val="center"/>
          </w:tcPr>
          <w:p w14:paraId="3A5531A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14:paraId="4CF8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087876A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（一）</w:t>
            </w:r>
          </w:p>
        </w:tc>
        <w:tc>
          <w:tcPr>
            <w:tcW w:w="825" w:type="pct"/>
            <w:vAlign w:val="center"/>
          </w:tcPr>
          <w:p w14:paraId="48A16010">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3675" w:type="pct"/>
            <w:vAlign w:val="center"/>
          </w:tcPr>
          <w:p w14:paraId="5C02111B">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本招标文件适用于</w:t>
            </w:r>
            <w:r>
              <w:rPr>
                <w:rFonts w:hint="eastAsia" w:ascii="仿宋" w:hAnsi="仿宋" w:eastAsia="仿宋" w:cs="仿宋"/>
                <w:color w:val="auto"/>
                <w:sz w:val="18"/>
                <w:szCs w:val="18"/>
                <w:highlight w:val="none"/>
                <w:lang w:eastAsia="zh-CN"/>
              </w:rPr>
              <w:t>浙江理工大学工业互联网工程技术人员培训、实训平台建设</w:t>
            </w:r>
            <w:r>
              <w:rPr>
                <w:rFonts w:hint="eastAsia" w:ascii="仿宋" w:hAnsi="仿宋" w:eastAsia="仿宋" w:cs="仿宋"/>
                <w:color w:val="auto"/>
                <w:sz w:val="18"/>
                <w:szCs w:val="18"/>
                <w:highlight w:val="none"/>
              </w:rPr>
              <w:t>的招标、评标、定标、验收、合同履约、付款等（法律、法规另有规定的，从其规定）</w:t>
            </w:r>
          </w:p>
        </w:tc>
      </w:tr>
      <w:tr w14:paraId="5C7C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56B3072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rPr>
              <w:t>）</w:t>
            </w:r>
          </w:p>
        </w:tc>
        <w:tc>
          <w:tcPr>
            <w:tcW w:w="825" w:type="pct"/>
            <w:vAlign w:val="center"/>
          </w:tcPr>
          <w:p w14:paraId="2D4BA4D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招标方式</w:t>
            </w:r>
          </w:p>
        </w:tc>
        <w:tc>
          <w:tcPr>
            <w:tcW w:w="3675" w:type="pct"/>
            <w:vAlign w:val="center"/>
          </w:tcPr>
          <w:p w14:paraId="3FB72F0F">
            <w:pPr>
              <w:keepNext w:val="0"/>
              <w:keepLines w:val="0"/>
              <w:pageBreakBefore w:val="0"/>
              <w:widowControl w:val="0"/>
              <w:kinsoku/>
              <w:wordWrap/>
              <w:overflowPunct/>
              <w:topLinePunct w:val="0"/>
              <w:autoSpaceDE/>
              <w:autoSpaceDN/>
              <w:bidi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本次招标采用公开招标（线上电子招投标）方式进行</w:t>
            </w:r>
          </w:p>
        </w:tc>
      </w:tr>
      <w:tr w14:paraId="485F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003B5D0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四</w:t>
            </w:r>
            <w:r>
              <w:rPr>
                <w:rFonts w:hint="eastAsia" w:ascii="仿宋" w:hAnsi="仿宋" w:eastAsia="仿宋" w:cs="仿宋"/>
                <w:b/>
                <w:bCs/>
                <w:color w:val="auto"/>
                <w:sz w:val="18"/>
                <w:szCs w:val="18"/>
                <w:highlight w:val="none"/>
              </w:rPr>
              <w:t>）</w:t>
            </w:r>
          </w:p>
        </w:tc>
        <w:tc>
          <w:tcPr>
            <w:tcW w:w="825" w:type="pct"/>
            <w:vAlign w:val="center"/>
          </w:tcPr>
          <w:p w14:paraId="445678C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投标费用</w:t>
            </w:r>
          </w:p>
        </w:tc>
        <w:tc>
          <w:tcPr>
            <w:tcW w:w="3675" w:type="pct"/>
            <w:vAlign w:val="center"/>
          </w:tcPr>
          <w:p w14:paraId="1F5B463B">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不论投标结果如何，投标人均应自行承担所有与投标有关的全部费用；</w:t>
            </w:r>
          </w:p>
          <w:p w14:paraId="39BB72C7">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中标人在中标通知书发出之日起七个工作日内向采购代理机构交纳代理服务费；</w:t>
            </w:r>
          </w:p>
          <w:p w14:paraId="0975050A">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60579A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lang w:val="en-US" w:eastAsia="zh-CN"/>
              </w:rPr>
              <w:t>4.</w:t>
            </w:r>
            <w:r>
              <w:rPr>
                <w:rFonts w:hint="eastAsia" w:ascii="仿宋" w:hAnsi="仿宋" w:eastAsia="仿宋" w:cs="仿宋"/>
                <w:color w:val="auto"/>
                <w:spacing w:val="-6"/>
                <w:sz w:val="18"/>
                <w:szCs w:val="18"/>
                <w:highlight w:val="none"/>
                <w:lang w:eastAsia="zh-CN"/>
              </w:rPr>
              <w:t>收费标准（差额累进）：</w:t>
            </w:r>
          </w:p>
          <w:tbl>
            <w:tblPr>
              <w:tblStyle w:val="26"/>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62"/>
              <w:gridCol w:w="3322"/>
            </w:tblGrid>
            <w:tr w14:paraId="699D74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2DB2A06A">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中标金额（万元）</w:t>
                  </w:r>
                </w:p>
              </w:tc>
              <w:tc>
                <w:tcPr>
                  <w:tcW w:w="3322" w:type="dxa"/>
                  <w:tcMar>
                    <w:top w:w="0" w:type="dxa"/>
                    <w:left w:w="108" w:type="dxa"/>
                    <w:bottom w:w="0" w:type="dxa"/>
                    <w:right w:w="108" w:type="dxa"/>
                  </w:tcMar>
                  <w:vAlign w:val="center"/>
                </w:tcPr>
                <w:p w14:paraId="3AD9B2E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14:paraId="7FDFB5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4BD18BA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3322" w:type="dxa"/>
                  <w:tcMar>
                    <w:top w:w="0" w:type="dxa"/>
                    <w:left w:w="108" w:type="dxa"/>
                    <w:bottom w:w="0" w:type="dxa"/>
                    <w:right w:w="108" w:type="dxa"/>
                  </w:tcMar>
                  <w:vAlign w:val="center"/>
                </w:tcPr>
                <w:p w14:paraId="0C9D707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1.05</w:t>
                  </w:r>
                  <w:r>
                    <w:rPr>
                      <w:rFonts w:hint="eastAsia" w:ascii="仿宋" w:hAnsi="仿宋" w:eastAsia="仿宋" w:cs="仿宋"/>
                      <w:color w:val="auto"/>
                      <w:sz w:val="18"/>
                      <w:szCs w:val="18"/>
                      <w:highlight w:val="none"/>
                      <w:lang w:eastAsia="zh-CN"/>
                    </w:rPr>
                    <w:t>（不足贰仟元按贰仟元收取）</w:t>
                  </w:r>
                </w:p>
              </w:tc>
            </w:tr>
            <w:tr w14:paraId="04ECBD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2" w:type="dxa"/>
                  <w:tcMar>
                    <w:top w:w="0" w:type="dxa"/>
                    <w:left w:w="108" w:type="dxa"/>
                    <w:bottom w:w="0" w:type="dxa"/>
                    <w:right w:w="108" w:type="dxa"/>
                  </w:tcMar>
                  <w:vAlign w:val="center"/>
                </w:tcPr>
                <w:p w14:paraId="27D4B345">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100-500</w:t>
                  </w:r>
                </w:p>
              </w:tc>
              <w:tc>
                <w:tcPr>
                  <w:tcW w:w="3322" w:type="dxa"/>
                  <w:tcMar>
                    <w:top w:w="0" w:type="dxa"/>
                    <w:left w:w="108" w:type="dxa"/>
                    <w:bottom w:w="0" w:type="dxa"/>
                    <w:right w:w="108" w:type="dxa"/>
                  </w:tcMar>
                  <w:vAlign w:val="center"/>
                </w:tcPr>
                <w:p w14:paraId="05B7DBE4">
                  <w:pPr>
                    <w:keepNext w:val="0"/>
                    <w:keepLines w:val="0"/>
                    <w:pageBreakBefore w:val="0"/>
                    <w:widowControl w:val="0"/>
                    <w:kinsoku/>
                    <w:wordWrap/>
                    <w:overflowPunct/>
                    <w:topLinePunct w:val="0"/>
                    <w:autoSpaceDE/>
                    <w:autoSpaceDN/>
                    <w:bidi w:val="0"/>
                    <w:snapToGrid w:val="0"/>
                    <w:jc w:val="center"/>
                    <w:textAlignment w:val="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0.77（超过200万元仅按200万元收取）</w:t>
                  </w:r>
                </w:p>
              </w:tc>
            </w:tr>
          </w:tbl>
          <w:p w14:paraId="4ED2624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lang w:val="en-US" w:eastAsia="zh-CN"/>
              </w:rPr>
              <w:t>5.</w:t>
            </w:r>
            <w:r>
              <w:rPr>
                <w:rFonts w:hint="eastAsia" w:ascii="仿宋" w:hAnsi="仿宋" w:eastAsia="仿宋" w:cs="仿宋"/>
                <w:color w:val="auto"/>
                <w:spacing w:val="-6"/>
                <w:sz w:val="18"/>
                <w:szCs w:val="18"/>
                <w:highlight w:val="none"/>
              </w:rPr>
              <w:t>投标保证金：无</w:t>
            </w:r>
          </w:p>
        </w:tc>
      </w:tr>
      <w:tr w14:paraId="19D6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67A3795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p>
        </w:tc>
        <w:tc>
          <w:tcPr>
            <w:tcW w:w="825" w:type="pct"/>
            <w:vAlign w:val="center"/>
          </w:tcPr>
          <w:p w14:paraId="3C2DBDA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投标委托</w:t>
            </w:r>
          </w:p>
        </w:tc>
        <w:tc>
          <w:tcPr>
            <w:tcW w:w="3675" w:type="pct"/>
            <w:vAlign w:val="center"/>
          </w:tcPr>
          <w:p w14:paraId="0404491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投标人代表是法定代表人（单位负责人、自然人本人）的提供本人身份证明</w:t>
            </w:r>
            <w:r>
              <w:rPr>
                <w:rFonts w:hint="eastAsia" w:ascii="仿宋" w:hAnsi="仿宋" w:eastAsia="仿宋" w:cs="仿宋"/>
                <w:color w:val="auto"/>
                <w:sz w:val="18"/>
                <w:szCs w:val="18"/>
                <w:highlight w:val="none"/>
                <w:lang w:eastAsia="zh-CN"/>
              </w:rPr>
              <w:t>；</w:t>
            </w:r>
          </w:p>
          <w:p w14:paraId="160DBEF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z w:val="18"/>
                <w:szCs w:val="18"/>
                <w:highlight w:val="none"/>
                <w:lang w:eastAsia="zh-CN"/>
              </w:rPr>
              <w:t>[2025年1月（含）至今任意一月]</w:t>
            </w:r>
            <w:r>
              <w:rPr>
                <w:rFonts w:hint="eastAsia" w:ascii="仿宋" w:hAnsi="仿宋" w:eastAsia="仿宋" w:cs="仿宋"/>
                <w:color w:val="auto"/>
                <w:sz w:val="18"/>
                <w:szCs w:val="18"/>
                <w:highlight w:val="none"/>
              </w:rPr>
              <w:t>证明；</w:t>
            </w:r>
          </w:p>
          <w:p w14:paraId="14B9C03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投标人委派不在本单位缴纳社保的人员作为授权代表的，在投标文件中说明具体原因、授权代表缴纳社保单位并附列该授权代表缴纳社保清单。</w:t>
            </w:r>
          </w:p>
        </w:tc>
      </w:tr>
      <w:tr w14:paraId="0B3E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047478D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rPr>
              <w:t>）</w:t>
            </w:r>
          </w:p>
        </w:tc>
        <w:tc>
          <w:tcPr>
            <w:tcW w:w="825" w:type="pct"/>
            <w:vAlign w:val="center"/>
          </w:tcPr>
          <w:p w14:paraId="4D92EF16">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联合体投标</w:t>
            </w:r>
          </w:p>
        </w:tc>
        <w:tc>
          <w:tcPr>
            <w:tcW w:w="3675" w:type="pct"/>
            <w:vAlign w:val="center"/>
          </w:tcPr>
          <w:p w14:paraId="2A64DBD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本项目接受联合体投标。</w:t>
            </w:r>
          </w:p>
          <w:p w14:paraId="1081F58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两个以上的自然人、法人或者其他组织可以组成一个联合体，以一个供应商的身份共同参加政府采购。</w:t>
            </w:r>
          </w:p>
          <w:p w14:paraId="2519F28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2FAD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1CA8DB0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val="en-US" w:eastAsia="zh-CN"/>
              </w:rPr>
              <w:t>七</w:t>
            </w:r>
            <w:r>
              <w:rPr>
                <w:rFonts w:hint="eastAsia" w:ascii="仿宋" w:hAnsi="仿宋" w:eastAsia="仿宋" w:cs="仿宋"/>
                <w:b/>
                <w:bCs/>
                <w:color w:val="auto"/>
                <w:sz w:val="18"/>
                <w:szCs w:val="18"/>
                <w:highlight w:val="none"/>
              </w:rPr>
              <w:t>）</w:t>
            </w:r>
          </w:p>
        </w:tc>
        <w:tc>
          <w:tcPr>
            <w:tcW w:w="825" w:type="pct"/>
            <w:vAlign w:val="center"/>
          </w:tcPr>
          <w:p w14:paraId="156CAB6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3675" w:type="pct"/>
            <w:vAlign w:val="center"/>
          </w:tcPr>
          <w:p w14:paraId="764579C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1.本项目不允许转包；</w:t>
            </w:r>
          </w:p>
          <w:p w14:paraId="1A198A7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pacing w:val="-6"/>
                <w:sz w:val="18"/>
                <w:szCs w:val="18"/>
                <w:highlight w:val="none"/>
                <w:lang w:val="en-US" w:eastAsia="zh-CN"/>
              </w:rPr>
            </w:pPr>
            <w:r>
              <w:rPr>
                <w:rFonts w:hint="eastAsia" w:ascii="仿宋" w:hAnsi="仿宋" w:eastAsia="仿宋" w:cs="仿宋"/>
                <w:color w:val="auto"/>
                <w:spacing w:val="-6"/>
                <w:sz w:val="18"/>
                <w:szCs w:val="18"/>
                <w:highlight w:val="none"/>
                <w:lang w:val="en-US" w:eastAsia="zh-CN"/>
              </w:rPr>
              <w:t>2.本项目允许分包，可以分包履行的（非主体、非关键性的工作）具体内容、金额或者比例：运输。</w:t>
            </w:r>
          </w:p>
          <w:p w14:paraId="331C99A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 w:hAnsi="仿宋" w:eastAsia="仿宋" w:cs="仿宋"/>
                <w:color w:val="auto"/>
                <w:sz w:val="18"/>
                <w:szCs w:val="18"/>
                <w:highlight w:val="none"/>
              </w:rPr>
            </w:pPr>
            <w:r>
              <w:rPr>
                <w:rFonts w:hint="eastAsia" w:ascii="仿宋" w:hAnsi="仿宋" w:eastAsia="仿宋" w:cs="仿宋"/>
                <w:b/>
                <w:bCs/>
                <w:color w:val="auto"/>
                <w:spacing w:val="-6"/>
                <w:sz w:val="18"/>
                <w:szCs w:val="18"/>
                <w:highlight w:val="none"/>
                <w:lang w:val="en-US" w:eastAsia="zh-CN"/>
              </w:rPr>
              <w:t>说明：投标人根据招标文件的规定，拟在中标后将中标项目的非主体、非关键性工作分包的，应当在投标文件中载明分包承担主体，分包承担主体应当具备相应资质条件且不得再次分包。</w:t>
            </w:r>
          </w:p>
        </w:tc>
      </w:tr>
      <w:tr w14:paraId="1B5D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52EBA93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r>
              <w:rPr>
                <w:rFonts w:hint="eastAsia" w:ascii="仿宋" w:hAnsi="仿宋" w:eastAsia="仿宋" w:cs="仿宋"/>
                <w:b/>
                <w:bCs/>
                <w:color w:val="auto"/>
                <w:sz w:val="18"/>
                <w:szCs w:val="18"/>
                <w:highlight w:val="none"/>
                <w:lang w:eastAsia="zh-CN"/>
              </w:rPr>
              <w:t>）</w:t>
            </w:r>
          </w:p>
        </w:tc>
        <w:tc>
          <w:tcPr>
            <w:tcW w:w="825" w:type="pct"/>
            <w:vAlign w:val="center"/>
          </w:tcPr>
          <w:p w14:paraId="6BCDAD92">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投标文件份数</w:t>
            </w:r>
          </w:p>
        </w:tc>
        <w:tc>
          <w:tcPr>
            <w:tcW w:w="3675" w:type="pct"/>
            <w:vAlign w:val="center"/>
          </w:tcPr>
          <w:p w14:paraId="54E0357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 w:val="18"/>
                <w:szCs w:val="18"/>
                <w:highlight w:val="none"/>
              </w:rPr>
              <w:t>杭州市西湖区玉古路173号</w:t>
            </w:r>
            <w:r>
              <w:rPr>
                <w:rFonts w:hint="eastAsia" w:ascii="仿宋" w:hAnsi="仿宋" w:eastAsia="仿宋" w:cs="仿宋"/>
                <w:b/>
                <w:bCs/>
                <w:color w:val="auto"/>
                <w:sz w:val="18"/>
                <w:szCs w:val="18"/>
                <w:highlight w:val="none"/>
                <w:lang w:eastAsia="zh-CN"/>
              </w:rPr>
              <w:t>中田大厦21楼</w:t>
            </w:r>
            <w:r>
              <w:rPr>
                <w:rFonts w:hint="eastAsia" w:ascii="仿宋" w:hAnsi="仿宋" w:eastAsia="仿宋" w:cs="仿宋"/>
                <w:b/>
                <w:bCs/>
                <w:color w:val="auto"/>
                <w:sz w:val="18"/>
                <w:szCs w:val="18"/>
                <w:highlight w:val="none"/>
              </w:rPr>
              <w:t>H室，浙江求是招标代理有限公司</w:t>
            </w:r>
            <w:r>
              <w:rPr>
                <w:rFonts w:hint="eastAsia" w:ascii="仿宋" w:hAnsi="仿宋" w:eastAsia="仿宋" w:cs="仿宋"/>
                <w:b/>
                <w:bCs/>
                <w:color w:val="auto"/>
                <w:sz w:val="18"/>
                <w:szCs w:val="18"/>
                <w:highlight w:val="none"/>
                <w:lang w:eastAsia="zh-CN"/>
              </w:rPr>
              <w:t>招标八部收</w:t>
            </w:r>
            <w:r>
              <w:rPr>
                <w:rFonts w:hint="eastAsia" w:ascii="仿宋" w:hAnsi="仿宋" w:eastAsia="仿宋" w:cs="仿宋"/>
                <w:b/>
                <w:bCs/>
                <w:color w:val="auto"/>
                <w:sz w:val="18"/>
                <w:szCs w:val="18"/>
                <w:highlight w:val="none"/>
              </w:rPr>
              <w:t>，电话：0571-87679349，寄出后将快递单号、项目名称、公司名称、联系方式等相关信息发至zb08@qszb.net以便查收）。</w:t>
            </w:r>
          </w:p>
          <w:p w14:paraId="1A1580C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b/>
                <w:color w:val="auto"/>
                <w:sz w:val="18"/>
                <w:szCs w:val="18"/>
                <w:highlight w:val="none"/>
              </w:rPr>
              <w:t>特别说明：双休日和法定节假日不收件，投标人自行承担邮寄风险。</w:t>
            </w:r>
          </w:p>
        </w:tc>
      </w:tr>
      <w:tr w14:paraId="2BF0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635E7AA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lang w:eastAsia="zh-CN"/>
              </w:rPr>
              <w:t>）</w:t>
            </w:r>
          </w:p>
        </w:tc>
        <w:tc>
          <w:tcPr>
            <w:tcW w:w="825" w:type="pct"/>
            <w:vAlign w:val="center"/>
          </w:tcPr>
          <w:p w14:paraId="53414E4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投标报价</w:t>
            </w:r>
          </w:p>
        </w:tc>
        <w:tc>
          <w:tcPr>
            <w:tcW w:w="3675" w:type="pct"/>
            <w:vAlign w:val="center"/>
          </w:tcPr>
          <w:p w14:paraId="7CCFFC4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报价应按招标文件要求的格式编制、</w:t>
            </w:r>
            <w:r>
              <w:rPr>
                <w:rFonts w:hint="eastAsia" w:ascii="仿宋" w:hAnsi="仿宋" w:eastAsia="仿宋" w:cs="仿宋"/>
                <w:sz w:val="18"/>
                <w:szCs w:val="18"/>
                <w:highlight w:val="none"/>
                <w:lang w:eastAsia="zh-CN"/>
              </w:rPr>
              <w:t>填写报价内容</w:t>
            </w:r>
            <w:r>
              <w:rPr>
                <w:rFonts w:hint="eastAsia" w:ascii="仿宋" w:hAnsi="仿宋" w:eastAsia="仿宋" w:cs="仿宋"/>
                <w:sz w:val="18"/>
                <w:szCs w:val="18"/>
                <w:highlight w:val="none"/>
              </w:rPr>
              <w:t>，未按招标文件要求编制、填写的投标文件可能被拒绝；</w:t>
            </w:r>
          </w:p>
          <w:p w14:paraId="00D9A805">
            <w:pPr>
              <w:keepNext w:val="0"/>
              <w:keepLines w:val="0"/>
              <w:pageBreakBefore w:val="0"/>
              <w:widowControl w:val="0"/>
              <w:kinsoku/>
              <w:wordWrap/>
              <w:overflowPunct/>
              <w:topLinePunct w:val="0"/>
              <w:autoSpaceDE/>
              <w:autoSpaceDN/>
              <w:bidi w:val="0"/>
              <w:snapToGrid w:val="0"/>
              <w:jc w:val="left"/>
              <w:textAlignment w:val="auto"/>
              <w:rPr>
                <w:rFonts w:hint="eastAsia" w:ascii="仿宋" w:hAnsi="仿宋" w:eastAsia="仿宋" w:cs="仿宋"/>
                <w:sz w:val="18"/>
                <w:szCs w:val="18"/>
                <w:highlight w:val="none"/>
              </w:rPr>
            </w:pPr>
            <w:r>
              <w:rPr>
                <w:rFonts w:hint="eastAsia" w:ascii="仿宋" w:hAnsi="仿宋" w:eastAsia="仿宋" w:cs="仿宋"/>
                <w:bCs/>
                <w:color w:val="auto"/>
                <w:sz w:val="18"/>
                <w:szCs w:val="18"/>
                <w:highlight w:val="none"/>
                <w:lang w:val="en-US" w:eastAsia="zh-CN"/>
              </w:rPr>
              <w:t>2.</w:t>
            </w:r>
            <w:r>
              <w:rPr>
                <w:rFonts w:hint="eastAsia" w:ascii="仿宋" w:hAnsi="仿宋" w:eastAsia="仿宋" w:cs="仿宋"/>
                <w:bCs/>
                <w:color w:val="auto"/>
                <w:sz w:val="18"/>
                <w:szCs w:val="18"/>
                <w:highlight w:val="none"/>
              </w:rPr>
              <w:t>投标报价是履行合同的最终价格，应包括货物金额、仓储、包装、运输保险费、装卸费、安装及相关材料费、检验费、税金等为确保合法、正常使用货物及中标人履行合同项下约定的所有义务所需支出的</w:t>
            </w:r>
            <w:r>
              <w:rPr>
                <w:rFonts w:hint="eastAsia" w:ascii="仿宋" w:hAnsi="仿宋" w:eastAsia="仿宋" w:cs="仿宋"/>
                <w:bCs/>
                <w:color w:val="auto"/>
                <w:sz w:val="18"/>
                <w:szCs w:val="18"/>
                <w:highlight w:val="none"/>
                <w:lang w:eastAsia="zh-CN"/>
              </w:rPr>
              <w:t>全部费用；</w:t>
            </w:r>
          </w:p>
          <w:p w14:paraId="7343507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US" w:eastAsia="zh-CN"/>
              </w:rPr>
              <w:t>3.</w:t>
            </w:r>
            <w:r>
              <w:rPr>
                <w:rFonts w:hint="eastAsia" w:ascii="仿宋" w:hAnsi="仿宋" w:eastAsia="仿宋" w:cs="仿宋"/>
                <w:sz w:val="18"/>
                <w:szCs w:val="18"/>
                <w:highlight w:val="none"/>
              </w:rPr>
              <w:t>采购人将以合同形式</w:t>
            </w:r>
            <w:r>
              <w:rPr>
                <w:rFonts w:hint="eastAsia" w:ascii="仿宋" w:hAnsi="仿宋" w:eastAsia="仿宋" w:cs="仿宋"/>
                <w:sz w:val="18"/>
                <w:szCs w:val="18"/>
                <w:highlight w:val="none"/>
                <w:lang w:eastAsia="zh-CN"/>
              </w:rPr>
              <w:t>有偿取得货物、服务</w:t>
            </w:r>
            <w:r>
              <w:rPr>
                <w:rFonts w:hint="eastAsia" w:ascii="仿宋" w:hAnsi="仿宋" w:eastAsia="仿宋" w:cs="仿宋"/>
                <w:sz w:val="18"/>
                <w:szCs w:val="18"/>
                <w:highlight w:val="none"/>
              </w:rPr>
              <w:t>，不接受投标人给予的赠品、回扣或者与采购无关的其他商品、服务</w:t>
            </w:r>
            <w:r>
              <w:rPr>
                <w:rFonts w:hint="eastAsia" w:ascii="仿宋" w:hAnsi="仿宋" w:eastAsia="仿宋" w:cs="仿宋"/>
                <w:sz w:val="18"/>
                <w:szCs w:val="18"/>
                <w:highlight w:val="none"/>
                <w:lang w:eastAsia="zh-CN"/>
              </w:rPr>
              <w:t>；</w:t>
            </w:r>
          </w:p>
          <w:p w14:paraId="7336AA2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jc w:val="left"/>
              <w:textAlignment w:val="auto"/>
              <w:rPr>
                <w:rFonts w:hint="eastAsia" w:ascii="仿宋" w:hAnsi="仿宋" w:eastAsia="仿宋" w:cs="仿宋"/>
                <w:b/>
                <w:color w:val="auto"/>
                <w:sz w:val="18"/>
                <w:szCs w:val="18"/>
                <w:highlight w:val="none"/>
              </w:rPr>
            </w:pPr>
            <w:r>
              <w:rPr>
                <w:rFonts w:hint="eastAsia" w:ascii="仿宋" w:hAnsi="仿宋" w:eastAsia="仿宋" w:cs="仿宋"/>
                <w:sz w:val="18"/>
                <w:szCs w:val="18"/>
                <w:highlight w:val="none"/>
                <w:lang w:val="en-US" w:eastAsia="zh-CN"/>
              </w:rPr>
              <w:t>4.投标</w:t>
            </w:r>
            <w:r>
              <w:rPr>
                <w:rFonts w:hint="eastAsia" w:ascii="仿宋" w:hAnsi="仿宋" w:eastAsia="仿宋" w:cs="仿宋"/>
                <w:sz w:val="18"/>
                <w:szCs w:val="18"/>
                <w:highlight w:val="none"/>
                <w:lang w:eastAsia="zh-CN"/>
              </w:rPr>
              <w:t>总价不为零，分项报价中部分产品、服务单价为零的，视作已包含在</w:t>
            </w:r>
            <w:r>
              <w:rPr>
                <w:rFonts w:hint="eastAsia" w:ascii="仿宋" w:hAnsi="仿宋" w:eastAsia="仿宋" w:cs="仿宋"/>
                <w:sz w:val="18"/>
                <w:szCs w:val="18"/>
                <w:highlight w:val="none"/>
                <w:lang w:val="en-US" w:eastAsia="zh-CN"/>
              </w:rPr>
              <w:t>投标</w:t>
            </w:r>
            <w:r>
              <w:rPr>
                <w:rFonts w:hint="eastAsia" w:ascii="仿宋" w:hAnsi="仿宋" w:eastAsia="仿宋" w:cs="仿宋"/>
                <w:sz w:val="18"/>
                <w:szCs w:val="18"/>
                <w:highlight w:val="none"/>
                <w:lang w:eastAsia="zh-CN"/>
              </w:rPr>
              <w:t>总价中。</w:t>
            </w:r>
          </w:p>
        </w:tc>
      </w:tr>
      <w:tr w14:paraId="323CF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73071EE8">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六</w:t>
            </w:r>
            <w:r>
              <w:rPr>
                <w:rFonts w:hint="eastAsia" w:ascii="仿宋" w:hAnsi="仿宋" w:eastAsia="仿宋" w:cs="仿宋"/>
                <w:b/>
                <w:bCs/>
                <w:color w:val="auto"/>
                <w:sz w:val="18"/>
                <w:szCs w:val="18"/>
                <w:highlight w:val="none"/>
                <w:lang w:eastAsia="zh-CN"/>
              </w:rPr>
              <w:t>）</w:t>
            </w:r>
          </w:p>
        </w:tc>
        <w:tc>
          <w:tcPr>
            <w:tcW w:w="825" w:type="pct"/>
            <w:vAlign w:val="center"/>
          </w:tcPr>
          <w:p w14:paraId="05C0B914">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投标有效期</w:t>
            </w:r>
          </w:p>
        </w:tc>
        <w:tc>
          <w:tcPr>
            <w:tcW w:w="3675" w:type="pct"/>
            <w:vAlign w:val="center"/>
          </w:tcPr>
          <w:p w14:paraId="744C127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color w:val="auto"/>
                <w:sz w:val="18"/>
                <w:szCs w:val="18"/>
                <w:highlight w:val="none"/>
              </w:rPr>
            </w:pPr>
            <w:r>
              <w:rPr>
                <w:rFonts w:hint="eastAsia" w:ascii="仿宋" w:hAnsi="仿宋" w:eastAsia="仿宋" w:cs="仿宋"/>
                <w:color w:val="auto"/>
                <w:spacing w:val="-6"/>
                <w:sz w:val="18"/>
                <w:szCs w:val="18"/>
                <w:highlight w:val="none"/>
              </w:rPr>
              <w:t>▲从提交投标文件的截止之日起90天，在原投标有效期满之前，如果出现特殊情况，采购人或采购代理机构以书面形式通知投标人延长投标有效期。</w:t>
            </w:r>
          </w:p>
        </w:tc>
      </w:tr>
      <w:tr w14:paraId="2A03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405B6197">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25" w:type="pct"/>
            <w:vAlign w:val="center"/>
          </w:tcPr>
          <w:p w14:paraId="1590963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3675" w:type="pct"/>
            <w:vAlign w:val="center"/>
          </w:tcPr>
          <w:p w14:paraId="51BBC30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14:paraId="123376D7">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rPr>
              <w:t>有效的法人或者其他组织的营业执照等证明文件/自然人的身份证明</w:t>
            </w:r>
          </w:p>
          <w:p w14:paraId="659B98A3">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2.</w:t>
            </w:r>
            <w:r>
              <w:rPr>
                <w:rFonts w:hint="eastAsia" w:ascii="仿宋" w:hAnsi="仿宋" w:eastAsia="仿宋" w:cs="仿宋"/>
                <w:b/>
                <w:bCs/>
                <w:color w:val="auto"/>
                <w:sz w:val="18"/>
                <w:szCs w:val="18"/>
                <w:highlight w:val="none"/>
              </w:rPr>
              <w:t>符合参加政府采购活动应当具备的一般条件的承诺函</w:t>
            </w:r>
          </w:p>
          <w:p w14:paraId="66A8B6B2">
            <w:pPr>
              <w:keepNext w:val="0"/>
              <w:keepLines w:val="0"/>
              <w:pageBreakBefore w:val="0"/>
              <w:widowControl w:val="0"/>
              <w:kinsoku/>
              <w:wordWrap/>
              <w:overflowPunct/>
              <w:topLinePunct w:val="0"/>
              <w:autoSpaceDE/>
              <w:autoSpaceDN/>
              <w:bidi w:val="0"/>
              <w:adjustRightInd/>
              <w:snapToGrid w:val="0"/>
              <w:textAlignment w:val="auto"/>
              <w:rPr>
                <w:rFonts w:hint="default" w:ascii="仿宋" w:hAnsi="仿宋" w:eastAsia="仿宋" w:cs="仿宋"/>
                <w:b/>
                <w:bCs/>
                <w:color w:val="auto"/>
                <w:spacing w:val="-6"/>
                <w:sz w:val="18"/>
                <w:szCs w:val="18"/>
                <w:highlight w:val="none"/>
                <w:lang w:val="en-US" w:eastAsia="zh-CN"/>
              </w:rPr>
            </w:pPr>
            <w:r>
              <w:rPr>
                <w:rFonts w:hint="eastAsia" w:ascii="仿宋" w:hAnsi="仿宋" w:eastAsia="仿宋" w:cs="仿宋"/>
                <w:b/>
                <w:bCs/>
                <w:color w:val="auto"/>
                <w:spacing w:val="-6"/>
                <w:sz w:val="18"/>
                <w:szCs w:val="18"/>
                <w:highlight w:val="none"/>
                <w:lang w:val="en-US" w:eastAsia="zh-CN"/>
              </w:rPr>
              <w:t>3.</w:t>
            </w:r>
            <w:r>
              <w:rPr>
                <w:rFonts w:hint="default" w:ascii="仿宋" w:hAnsi="仿宋" w:eastAsia="仿宋" w:cs="仿宋"/>
                <w:b/>
                <w:bCs/>
                <w:color w:val="auto"/>
                <w:spacing w:val="-6"/>
                <w:sz w:val="18"/>
                <w:szCs w:val="18"/>
                <w:highlight w:val="none"/>
                <w:lang w:val="en-US" w:eastAsia="zh-CN"/>
              </w:rPr>
              <w:t>落实政府采购政策需满足的资格要求</w:t>
            </w:r>
          </w:p>
          <w:p w14:paraId="0CC73AED">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pacing w:val="-6"/>
                <w:sz w:val="18"/>
                <w:szCs w:val="18"/>
                <w:highlight w:val="none"/>
              </w:rPr>
            </w:pPr>
            <w:r>
              <w:rPr>
                <w:rFonts w:hint="eastAsia" w:ascii="仿宋" w:hAnsi="仿宋" w:eastAsia="仿宋" w:cs="仿宋"/>
                <w:b/>
                <w:bCs/>
                <w:color w:val="auto"/>
                <w:sz w:val="18"/>
                <w:szCs w:val="18"/>
                <w:highlight w:val="none"/>
                <w:lang w:val="en-US" w:eastAsia="zh-CN"/>
              </w:rPr>
              <w:t>4.</w:t>
            </w:r>
            <w:r>
              <w:rPr>
                <w:rFonts w:hint="eastAsia" w:ascii="仿宋" w:hAnsi="仿宋" w:eastAsia="仿宋" w:cs="仿宋"/>
                <w:b/>
                <w:bCs/>
                <w:color w:val="auto"/>
                <w:sz w:val="18"/>
                <w:szCs w:val="18"/>
                <w:highlight w:val="none"/>
              </w:rPr>
              <w:t>联合协议（若联合体投标）</w:t>
            </w:r>
          </w:p>
        </w:tc>
      </w:tr>
      <w:tr w14:paraId="6E79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40B4A685">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五</w:t>
            </w:r>
            <w:r>
              <w:rPr>
                <w:rFonts w:hint="eastAsia" w:ascii="仿宋" w:hAnsi="仿宋" w:eastAsia="仿宋" w:cs="仿宋"/>
                <w:b/>
                <w:bCs/>
                <w:color w:val="auto"/>
                <w:sz w:val="18"/>
                <w:szCs w:val="18"/>
                <w:highlight w:val="none"/>
              </w:rPr>
              <w:t>、</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三</w:t>
            </w:r>
            <w:r>
              <w:rPr>
                <w:rFonts w:hint="eastAsia" w:ascii="仿宋" w:hAnsi="仿宋" w:eastAsia="仿宋" w:cs="仿宋"/>
                <w:b/>
                <w:bCs/>
                <w:color w:val="auto"/>
                <w:sz w:val="18"/>
                <w:szCs w:val="18"/>
                <w:highlight w:val="none"/>
                <w:lang w:eastAsia="zh-CN"/>
              </w:rPr>
              <w:t>）</w:t>
            </w:r>
          </w:p>
        </w:tc>
        <w:tc>
          <w:tcPr>
            <w:tcW w:w="825" w:type="pct"/>
            <w:vAlign w:val="center"/>
          </w:tcPr>
          <w:p w14:paraId="378B90DE">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信用信息查询</w:t>
            </w:r>
          </w:p>
        </w:tc>
        <w:tc>
          <w:tcPr>
            <w:tcW w:w="3675" w:type="pct"/>
            <w:vAlign w:val="center"/>
          </w:tcPr>
          <w:p w14:paraId="0C2675D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根据财库[2016]125号《关于在政府采购活动中查询及使用信用记录有关问题的通知》要求，采购代理机构会对投标人信用记录进行查询并甄别。</w:t>
            </w:r>
          </w:p>
          <w:p w14:paraId="78CF36C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1.信用信息查询的截止时点：投标截止时间；</w:t>
            </w:r>
          </w:p>
          <w:p w14:paraId="68D9BA9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2.查询渠道：“信用中国”（www.creditchina.gov.cn）、“中国政府采购网”（www.ccgp.gov.cn）；</w:t>
            </w:r>
          </w:p>
          <w:p w14:paraId="64BA5AF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3.信用信息查询记录和证据留存具体方式：采购代理机构经办人和监督人员将查询网页打印、签名与其他采购文件一并保存；</w:t>
            </w:r>
          </w:p>
          <w:p w14:paraId="19628C3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4.信用信息的使用规则：投标人被列入失信被执行人、重大税收违法案件当事人名单、政府采购严重违法失信行为记录名单的，拒绝其参与政府采购活动。</w:t>
            </w:r>
          </w:p>
          <w:p w14:paraId="64AFEB33">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A12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1480CE7D">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825" w:type="pct"/>
            <w:vAlign w:val="center"/>
          </w:tcPr>
          <w:p w14:paraId="4318BF1B">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评标方法和评标标准</w:t>
            </w:r>
          </w:p>
        </w:tc>
        <w:tc>
          <w:tcPr>
            <w:tcW w:w="3675" w:type="pct"/>
            <w:vAlign w:val="center"/>
          </w:tcPr>
          <w:p w14:paraId="3F099A0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 xml:space="preserve">详见“第四章  </w:t>
            </w:r>
            <w:r>
              <w:rPr>
                <w:rFonts w:hint="eastAsia" w:ascii="仿宋" w:hAnsi="仿宋" w:eastAsia="仿宋" w:cs="仿宋"/>
                <w:color w:val="auto"/>
                <w:spacing w:val="-6"/>
                <w:sz w:val="18"/>
                <w:szCs w:val="18"/>
                <w:highlight w:val="none"/>
                <w:lang w:eastAsia="zh-CN"/>
              </w:rPr>
              <w:t>评标方法和评标标准</w:t>
            </w:r>
            <w:r>
              <w:rPr>
                <w:rFonts w:hint="eastAsia" w:ascii="仿宋" w:hAnsi="仿宋" w:eastAsia="仿宋" w:cs="仿宋"/>
                <w:color w:val="auto"/>
                <w:spacing w:val="-6"/>
                <w:sz w:val="18"/>
                <w:szCs w:val="18"/>
                <w:highlight w:val="none"/>
              </w:rPr>
              <w:t>”</w:t>
            </w:r>
          </w:p>
        </w:tc>
      </w:tr>
      <w:tr w14:paraId="7EF7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53D6598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一</w:t>
            </w:r>
            <w:r>
              <w:rPr>
                <w:rFonts w:hint="eastAsia" w:ascii="仿宋" w:hAnsi="仿宋" w:eastAsia="仿宋" w:cs="仿宋"/>
                <w:b/>
                <w:bCs/>
                <w:color w:val="auto"/>
                <w:sz w:val="18"/>
                <w:szCs w:val="18"/>
                <w:highlight w:val="none"/>
                <w:lang w:eastAsia="zh-CN"/>
              </w:rPr>
              <w:t>）</w:t>
            </w:r>
          </w:p>
        </w:tc>
        <w:tc>
          <w:tcPr>
            <w:tcW w:w="825" w:type="pct"/>
            <w:vAlign w:val="center"/>
          </w:tcPr>
          <w:p w14:paraId="7120589F">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3</w:t>
            </w:r>
            <w:r>
              <w:rPr>
                <w:rFonts w:hint="eastAsia" w:ascii="仿宋" w:hAnsi="仿宋" w:eastAsia="仿宋" w:cs="仿宋"/>
                <w:b/>
                <w:bCs/>
                <w:color w:val="auto"/>
                <w:sz w:val="18"/>
                <w:szCs w:val="18"/>
                <w:highlight w:val="none"/>
                <w:lang w:eastAsia="zh-CN"/>
              </w:rPr>
              <w:t>”</w:t>
            </w:r>
          </w:p>
        </w:tc>
        <w:tc>
          <w:tcPr>
            <w:tcW w:w="3675" w:type="pct"/>
            <w:vAlign w:val="center"/>
          </w:tcPr>
          <w:p w14:paraId="1FA6976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评标结果公示媒体：浙江政府采购网（http://zfcg.czt.zj.gov.cn）</w:t>
            </w:r>
          </w:p>
        </w:tc>
      </w:tr>
      <w:tr w14:paraId="1528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9" w:type="pct"/>
            <w:vAlign w:val="center"/>
          </w:tcPr>
          <w:p w14:paraId="10E41A53">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七、</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二）</w:t>
            </w:r>
          </w:p>
        </w:tc>
        <w:tc>
          <w:tcPr>
            <w:tcW w:w="825" w:type="pct"/>
            <w:vAlign w:val="center"/>
          </w:tcPr>
          <w:p w14:paraId="49E50DFC">
            <w:pPr>
              <w:keepNext w:val="0"/>
              <w:keepLines w:val="0"/>
              <w:pageBreakBefore w:val="0"/>
              <w:widowControl w:val="0"/>
              <w:kinsoku/>
              <w:wordWrap/>
              <w:overflowPunct/>
              <w:topLinePunct w:val="0"/>
              <w:autoSpaceDE/>
              <w:autoSpaceDN/>
              <w:bidi w:val="0"/>
              <w:snapToGrid w:val="0"/>
              <w:jc w:val="center"/>
              <w:textAlignment w:val="auto"/>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lang w:eastAsia="zh-CN"/>
              </w:rPr>
              <w:t>”</w:t>
            </w:r>
          </w:p>
        </w:tc>
        <w:tc>
          <w:tcPr>
            <w:tcW w:w="3675" w:type="pct"/>
            <w:vAlign w:val="center"/>
          </w:tcPr>
          <w:p w14:paraId="7A6408E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14:paraId="4B2473B0">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FCE0ECF">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14:paraId="6DA151B1">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326"/>
      <w:r>
        <w:rPr>
          <w:rFonts w:hint="eastAsia" w:ascii="仿宋" w:hAnsi="仿宋" w:eastAsia="仿宋" w:cs="仿宋"/>
          <w:color w:val="auto"/>
          <w:spacing w:val="-6"/>
          <w:szCs w:val="21"/>
          <w:highlight w:val="none"/>
        </w:rPr>
        <w:t>投标人应仔细阅读招标文件的所有内容，按照招标文件的要求提交投标文件，并对所提供的全部资料的真实性承担法律责任。</w:t>
      </w:r>
    </w:p>
    <w:bookmarkEnd w:id="34"/>
    <w:p w14:paraId="46815F7D">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适用范围</w:t>
      </w:r>
    </w:p>
    <w:p w14:paraId="2AD1473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本招标文件适用于</w:t>
      </w:r>
      <w:r>
        <w:rPr>
          <w:rFonts w:hint="eastAsia" w:ascii="仿宋" w:hAnsi="仿宋" w:eastAsia="仿宋" w:cs="仿宋"/>
          <w:color w:val="auto"/>
          <w:spacing w:val="-6"/>
          <w:szCs w:val="21"/>
          <w:highlight w:val="none"/>
          <w:lang w:eastAsia="zh-CN"/>
        </w:rPr>
        <w:t>浙江理工大学工业互联网工程技术人员培训、实训平台建设</w:t>
      </w:r>
      <w:r>
        <w:rPr>
          <w:rFonts w:hint="eastAsia" w:ascii="仿宋" w:hAnsi="仿宋" w:eastAsia="仿宋" w:cs="仿宋"/>
          <w:color w:val="auto"/>
          <w:spacing w:val="-6"/>
          <w:szCs w:val="21"/>
          <w:highlight w:val="none"/>
        </w:rPr>
        <w:t>的招标、评标、定标、验收、合同履约、付款等（法律、法规另有规定的，从其规定）。</w:t>
      </w:r>
    </w:p>
    <w:p w14:paraId="09731FAD">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定义</w:t>
      </w:r>
    </w:p>
    <w:p w14:paraId="636617A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.“采购人”系指</w:t>
      </w:r>
      <w:r>
        <w:rPr>
          <w:rFonts w:hint="eastAsia" w:ascii="仿宋" w:hAnsi="仿宋" w:eastAsia="仿宋" w:cs="仿宋"/>
          <w:color w:val="auto"/>
          <w:spacing w:val="-6"/>
          <w:szCs w:val="21"/>
          <w:highlight w:val="none"/>
          <w:lang w:eastAsia="zh-CN"/>
        </w:rPr>
        <w:t>浙江理工大学</w:t>
      </w:r>
      <w:r>
        <w:rPr>
          <w:rFonts w:hint="eastAsia" w:ascii="仿宋" w:hAnsi="仿宋" w:eastAsia="仿宋" w:cs="仿宋"/>
          <w:color w:val="auto"/>
          <w:spacing w:val="-6"/>
          <w:szCs w:val="21"/>
          <w:highlight w:val="none"/>
        </w:rPr>
        <w:t>；</w:t>
      </w:r>
    </w:p>
    <w:p w14:paraId="40087D4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2.“采购代理机构”系指组织本次招标的浙江求是招标代理有限公司；</w:t>
      </w:r>
    </w:p>
    <w:p w14:paraId="7D11A1C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.“投标人”系指响应招标、参加投标竞争的法人、其他组织或者自然人；</w:t>
      </w:r>
    </w:p>
    <w:p w14:paraId="1D57B71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.“书面形式”包括合同书、信件和数据电文（包括电报、电传、传真、电子数据交换和电子邮件）等可以有形地表现所载内容的形式；</w:t>
      </w:r>
    </w:p>
    <w:p w14:paraId="75942BC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5</w:t>
      </w:r>
      <w:r>
        <w:rPr>
          <w:rFonts w:hint="eastAsia" w:ascii="仿宋" w:hAnsi="仿宋" w:eastAsia="仿宋" w:cs="仿宋"/>
          <w:b/>
          <w:bCs/>
          <w:color w:val="auto"/>
          <w:spacing w:val="-6"/>
          <w:szCs w:val="21"/>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5" w:name="_Hlk96327615"/>
      <w:r>
        <w:rPr>
          <w:rFonts w:hint="eastAsia" w:ascii="仿宋" w:hAnsi="仿宋" w:eastAsia="仿宋" w:cs="仿宋"/>
          <w:b/>
          <w:bCs/>
          <w:color w:val="auto"/>
          <w:spacing w:val="-6"/>
          <w:szCs w:val="21"/>
          <w:highlight w:val="none"/>
        </w:rPr>
        <w:t>，</w:t>
      </w:r>
      <w:r>
        <w:rPr>
          <w:rFonts w:hint="eastAsia" w:ascii="仿宋" w:hAnsi="仿宋" w:eastAsia="仿宋" w:cs="仿宋"/>
          <w:b/>
          <w:bCs/>
          <w:color w:val="auto"/>
          <w:szCs w:val="21"/>
          <w:highlight w:val="none"/>
        </w:rPr>
        <w:t>“电子签名”系指数据电文中以电子形式所含、所附用于识别签名人身份并表明签名人认可其中内容的数据，“公章”系指单位法定名称章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因特殊原因需要使用冠以法定名称的业务专用章的，投标</w:t>
      </w:r>
      <w:r>
        <w:rPr>
          <w:rFonts w:hint="eastAsia" w:ascii="仿宋" w:hAnsi="仿宋" w:eastAsia="仿宋" w:cs="仿宋"/>
          <w:b/>
          <w:bCs/>
          <w:color w:val="auto"/>
          <w:szCs w:val="21"/>
          <w:highlight w:val="none"/>
          <w:lang w:val="en-US" w:eastAsia="zh-CN"/>
        </w:rPr>
        <w:t>时须</w:t>
      </w:r>
      <w:r>
        <w:rPr>
          <w:rFonts w:hint="eastAsia" w:ascii="仿宋" w:hAnsi="仿宋" w:eastAsia="仿宋" w:cs="仿宋"/>
          <w:b/>
          <w:bCs/>
          <w:color w:val="auto"/>
          <w:szCs w:val="21"/>
          <w:highlight w:val="none"/>
        </w:rPr>
        <w:t>提供《业务专用章使用说明函》（附件1）</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w:t>
      </w:r>
      <w:r>
        <w:rPr>
          <w:rFonts w:hint="eastAsia" w:ascii="仿宋" w:hAnsi="仿宋" w:eastAsia="仿宋" w:cs="仿宋"/>
          <w:b/>
          <w:bCs/>
          <w:color w:val="auto"/>
          <w:spacing w:val="-6"/>
          <w:szCs w:val="21"/>
          <w:highlight w:val="none"/>
        </w:rPr>
        <w:t>招标文件对投标文件签署、盖章的要求适用于电子签名；</w:t>
      </w:r>
    </w:p>
    <w:bookmarkEnd w:id="35"/>
    <w:p w14:paraId="7E587A6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“▲”系指实质性要求条款，投标人应当做出实质性响应。</w:t>
      </w:r>
    </w:p>
    <w:p w14:paraId="5004370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招标方式</w:t>
      </w:r>
    </w:p>
    <w:p w14:paraId="4412AC9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本次招标采用公开招标（线上电子招投标）方式进行。</w:t>
      </w:r>
    </w:p>
    <w:p w14:paraId="6952388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投标费用</w:t>
      </w:r>
    </w:p>
    <w:p w14:paraId="1963BDAA">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.不论投标结果如何，投标人均应自行承担所有与投标有关的全部费用；</w:t>
      </w:r>
    </w:p>
    <w:p w14:paraId="60A143A8">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.中标人在中标通知书发出之日起七个工作日内向采购代理机构交纳代理服务费；</w:t>
      </w:r>
    </w:p>
    <w:p w14:paraId="0E8C32D3">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C8D9B17">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pacing w:val="-6"/>
          <w:szCs w:val="21"/>
          <w:highlight w:val="none"/>
          <w:lang w:eastAsia="zh-CN"/>
        </w:rPr>
        <w:t>收费标准（差额累进）：</w:t>
      </w:r>
    </w:p>
    <w:tbl>
      <w:tblPr>
        <w:tblStyle w:val="26"/>
        <w:tblW w:w="55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15"/>
        <w:gridCol w:w="3825"/>
      </w:tblGrid>
      <w:tr w14:paraId="6F73CE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15" w:type="dxa"/>
            <w:tcMar>
              <w:top w:w="0" w:type="dxa"/>
              <w:left w:w="108" w:type="dxa"/>
              <w:bottom w:w="0" w:type="dxa"/>
              <w:right w:w="108" w:type="dxa"/>
            </w:tcMar>
            <w:vAlign w:val="center"/>
          </w:tcPr>
          <w:p w14:paraId="78A4C3D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中标金额（万元）</w:t>
            </w:r>
          </w:p>
        </w:tc>
        <w:tc>
          <w:tcPr>
            <w:tcW w:w="3825" w:type="dxa"/>
            <w:tcMar>
              <w:top w:w="0" w:type="dxa"/>
              <w:left w:w="108" w:type="dxa"/>
              <w:bottom w:w="0" w:type="dxa"/>
              <w:right w:w="108" w:type="dxa"/>
            </w:tcMar>
            <w:vAlign w:val="center"/>
          </w:tcPr>
          <w:p w14:paraId="4344900A">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14:paraId="537B82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15" w:type="dxa"/>
            <w:tcMar>
              <w:top w:w="0" w:type="dxa"/>
              <w:left w:w="108" w:type="dxa"/>
              <w:bottom w:w="0" w:type="dxa"/>
              <w:right w:w="108" w:type="dxa"/>
            </w:tcMar>
            <w:vAlign w:val="center"/>
          </w:tcPr>
          <w:p w14:paraId="7EDAF319">
            <w:pPr>
              <w:jc w:val="center"/>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100以下</w:t>
            </w:r>
          </w:p>
        </w:tc>
        <w:tc>
          <w:tcPr>
            <w:tcW w:w="3825" w:type="dxa"/>
            <w:tcMar>
              <w:top w:w="0" w:type="dxa"/>
              <w:left w:w="108" w:type="dxa"/>
              <w:bottom w:w="0" w:type="dxa"/>
              <w:right w:w="108" w:type="dxa"/>
            </w:tcMar>
            <w:vAlign w:val="center"/>
          </w:tcPr>
          <w:p w14:paraId="661F881F">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1.05</w:t>
            </w:r>
            <w:r>
              <w:rPr>
                <w:rFonts w:hint="eastAsia" w:ascii="仿宋" w:hAnsi="仿宋" w:eastAsia="仿宋" w:cs="仿宋"/>
                <w:color w:val="auto"/>
                <w:szCs w:val="21"/>
                <w:highlight w:val="none"/>
                <w:lang w:eastAsia="zh-CN"/>
              </w:rPr>
              <w:t>（不足贰仟元按贰仟元收取）</w:t>
            </w:r>
          </w:p>
        </w:tc>
      </w:tr>
      <w:tr w14:paraId="69B79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15" w:type="dxa"/>
            <w:tcMar>
              <w:top w:w="0" w:type="dxa"/>
              <w:left w:w="108" w:type="dxa"/>
              <w:bottom w:w="0" w:type="dxa"/>
              <w:right w:w="108" w:type="dxa"/>
            </w:tcMar>
            <w:vAlign w:val="center"/>
          </w:tcPr>
          <w:p w14:paraId="3D053611">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100-500</w:t>
            </w:r>
          </w:p>
        </w:tc>
        <w:tc>
          <w:tcPr>
            <w:tcW w:w="3825" w:type="dxa"/>
            <w:tcMar>
              <w:top w:w="0" w:type="dxa"/>
              <w:left w:w="108" w:type="dxa"/>
              <w:bottom w:w="0" w:type="dxa"/>
              <w:right w:w="108" w:type="dxa"/>
            </w:tcMar>
            <w:vAlign w:val="center"/>
          </w:tcPr>
          <w:p w14:paraId="36D82B12">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0.77（超过200万元仅按200万元收取）</w:t>
            </w:r>
          </w:p>
        </w:tc>
      </w:tr>
    </w:tbl>
    <w:p w14:paraId="23724D0F">
      <w:pPr>
        <w:adjustRightInd w:val="0"/>
        <w:snapToGrid w:val="0"/>
        <w:spacing w:line="288" w:lineRule="auto"/>
        <w:ind w:firstLine="399" w:firstLineChars="202"/>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.投标保证金：无</w:t>
      </w:r>
    </w:p>
    <w:p w14:paraId="42358015">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投标委托</w:t>
      </w:r>
    </w:p>
    <w:p w14:paraId="611E9CE6">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.投标人代表是法定代表人（单位负责人、自然人本人）的提供本人身份证明；</w:t>
      </w:r>
    </w:p>
    <w:p w14:paraId="717ECABA">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.投标人代表不是法定代表人（单位负责人、自然人本人）的提供授权委托书（格式详见招标文件第六章）和授权代表社保缴纳</w:t>
      </w:r>
      <w:r>
        <w:rPr>
          <w:rFonts w:hint="eastAsia" w:ascii="仿宋" w:hAnsi="仿宋" w:eastAsia="仿宋" w:cs="仿宋"/>
          <w:color w:val="auto"/>
          <w:spacing w:val="-6"/>
          <w:szCs w:val="21"/>
          <w:highlight w:val="none"/>
          <w:lang w:eastAsia="zh-CN"/>
        </w:rPr>
        <w:t>[2025年1月（含）至今任意一月]</w:t>
      </w:r>
      <w:r>
        <w:rPr>
          <w:rFonts w:hint="eastAsia" w:ascii="仿宋" w:hAnsi="仿宋" w:eastAsia="仿宋" w:cs="仿宋"/>
          <w:color w:val="auto"/>
          <w:spacing w:val="-6"/>
          <w:szCs w:val="21"/>
          <w:highlight w:val="none"/>
        </w:rPr>
        <w:t>证明；</w:t>
      </w:r>
    </w:p>
    <w:p w14:paraId="56EC3663">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.投标人委派不在本单位缴纳社保的人员作为授权代表的，在投标文件中说明具体原因、授权代表缴纳社保单位并附列该授权代表缴纳社保清单。</w:t>
      </w:r>
    </w:p>
    <w:p w14:paraId="3F34A567">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bCs/>
          <w:color w:val="auto"/>
          <w:szCs w:val="21"/>
          <w:highlight w:val="none"/>
        </w:rPr>
        <w:t>联合体投标</w:t>
      </w:r>
    </w:p>
    <w:p w14:paraId="0994D614">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本项目接受联合体投标。</w:t>
      </w:r>
    </w:p>
    <w:p w14:paraId="2DD3DEC1">
      <w:pPr>
        <w:adjustRightInd w:val="0"/>
        <w:snapToGrid w:val="0"/>
        <w:spacing w:line="288"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两个以上的自然人、法人或者其他组织可以组成一个联合体，以一个供应商的身份共同参加政府采购。</w:t>
      </w:r>
    </w:p>
    <w:p w14:paraId="66CD0DC8">
      <w:pPr>
        <w:adjustRightInd w:val="0"/>
        <w:snapToGrid w:val="0"/>
        <w:spacing w:line="288"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24923563">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七</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转包与分包</w:t>
      </w:r>
    </w:p>
    <w:p w14:paraId="4D7567A4">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1.</w:t>
      </w:r>
      <w:r>
        <w:rPr>
          <w:rFonts w:hint="eastAsia" w:ascii="仿宋" w:hAnsi="仿宋" w:eastAsia="仿宋" w:cs="仿宋"/>
          <w:spacing w:val="-6"/>
          <w:szCs w:val="21"/>
          <w:highlight w:val="none"/>
        </w:rPr>
        <w:t>本项目不允许转包；</w:t>
      </w:r>
    </w:p>
    <w:p w14:paraId="745E856D">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2.本项目允许分包，可以分包履行的（非主体、非关键性的工作）具体内容、金额或者比例：</w:t>
      </w:r>
      <w:r>
        <w:rPr>
          <w:rFonts w:hint="eastAsia" w:ascii="仿宋" w:hAnsi="仿宋" w:eastAsia="仿宋" w:cs="仿宋"/>
          <w:spacing w:val="-6"/>
          <w:szCs w:val="21"/>
          <w:highlight w:val="none"/>
        </w:rPr>
        <w:t>运输。</w:t>
      </w:r>
    </w:p>
    <w:p w14:paraId="3A88B7F4">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rPr>
        <w:t>说明：</w:t>
      </w:r>
      <w:r>
        <w:rPr>
          <w:rFonts w:hint="eastAsia" w:ascii="仿宋" w:hAnsi="仿宋" w:eastAsia="仿宋" w:cs="仿宋"/>
          <w:b/>
          <w:bCs/>
          <w:spacing w:val="-6"/>
          <w:szCs w:val="21"/>
          <w:highlight w:val="none"/>
          <w:lang w:eastAsia="zh-CN"/>
        </w:rPr>
        <w:t>投标人根据招标文件的规定</w:t>
      </w:r>
      <w:r>
        <w:rPr>
          <w:rFonts w:hint="eastAsia" w:ascii="仿宋" w:hAnsi="仿宋" w:eastAsia="仿宋" w:cs="仿宋"/>
          <w:b/>
          <w:bCs/>
          <w:spacing w:val="-6"/>
          <w:szCs w:val="21"/>
          <w:highlight w:val="none"/>
        </w:rPr>
        <w:t>，拟在中标后将中标项目的非主体、非关键性工作分包的，应当在投标文件中载明分包承担主体，分包承担主体应当具备相应资质条件且不得再次分包。</w:t>
      </w:r>
    </w:p>
    <w:p w14:paraId="12F01EF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八</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质疑和投诉</w:t>
      </w:r>
    </w:p>
    <w:p w14:paraId="5E92EBA1">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6" w:name="_Hlk92273406"/>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认为招标文件、招标过程、中标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6"/>
    <w:p w14:paraId="7D9834B0">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2.</w:t>
      </w:r>
      <w:r>
        <w:rPr>
          <w:rFonts w:hint="eastAsia" w:ascii="仿宋" w:hAnsi="仿宋" w:eastAsia="仿宋" w:cs="仿宋"/>
          <w:b/>
          <w:bCs/>
          <w:color w:val="auto"/>
          <w:spacing w:val="-6"/>
          <w:szCs w:val="21"/>
          <w:highlight w:val="none"/>
        </w:rPr>
        <w:t>投标人提出质疑应当提交质疑函和必要的证明材料，质疑函应当包括下列内容：</w:t>
      </w:r>
    </w:p>
    <w:p w14:paraId="6D83320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14:paraId="4446E77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14:paraId="44DCD734">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14:paraId="685A353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14:paraId="35323A2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14:paraId="6DE556D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14:paraId="472182D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投标人为自然人的，应当由本人签名；投标人为法人或者其他组织的，应当由法定代表人、主要负责人，或者其授权代表签名或者盖章，并加盖公章。</w:t>
      </w:r>
    </w:p>
    <w:p w14:paraId="5696157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提出质疑的供应商应当是参与本项目招标活动的投标人。</w:t>
      </w:r>
      <w:r>
        <w:rPr>
          <w:rFonts w:hint="eastAsia" w:ascii="仿宋" w:hAnsi="仿宋" w:eastAsia="仿宋" w:cs="仿宋"/>
          <w:b/>
          <w:color w:val="auto"/>
          <w:spacing w:val="-6"/>
          <w:szCs w:val="21"/>
          <w:highlight w:val="none"/>
        </w:rPr>
        <w:t>投标人在法定质疑期内应一次性提出针对同一采购程序环节的质疑。</w:t>
      </w:r>
    </w:p>
    <w:p w14:paraId="4DD378E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根据《政府采购质疑和投诉办法》第三十七条的规定，投诉人在全国范围12个月内三次以上投诉查无实据的，由财政部门列入不良行为记录名单。</w:t>
      </w:r>
    </w:p>
    <w:p w14:paraId="2AD5D13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投诉人有下列行为之一的，属于虚假、恶意投诉，由财政部门列入不良行为记录名单，禁止其1至3年内参加政府采购活动：</w:t>
      </w:r>
    </w:p>
    <w:p w14:paraId="2BC98CF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（1）捏造事实；</w:t>
      </w:r>
    </w:p>
    <w:p w14:paraId="74B5FFA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（2）提供虚假材料；</w:t>
      </w:r>
    </w:p>
    <w:p w14:paraId="61CB386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（3）以非法手段取得证明材料。证据来源的合法性存在明显疑问，投诉人无法证明其取得方式合法的，视为以非法手段取得证明材料。</w:t>
      </w:r>
    </w:p>
    <w:p w14:paraId="1599E28C">
      <w:pPr>
        <w:adjustRightInd w:val="0"/>
        <w:snapToGrid w:val="0"/>
        <w:spacing w:line="288" w:lineRule="auto"/>
        <w:outlineLvl w:val="2"/>
        <w:rPr>
          <w:rFonts w:ascii="仿宋" w:hAnsi="仿宋" w:eastAsia="仿宋" w:cs="仿宋"/>
          <w:color w:val="auto"/>
          <w:szCs w:val="21"/>
          <w:highlight w:val="none"/>
        </w:rPr>
      </w:pPr>
      <w:bookmarkStart w:id="37" w:name="_Hlk92273111"/>
      <w:bookmarkStart w:id="38" w:name="_Hlk94018492"/>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lang w:val="en-US" w:eastAsia="zh-CN"/>
        </w:rPr>
        <w:t>九</w:t>
      </w:r>
      <w:r>
        <w:rPr>
          <w:rFonts w:hint="eastAsia" w:ascii="仿宋" w:hAnsi="仿宋" w:eastAsia="仿宋" w:cs="仿宋"/>
          <w:b/>
          <w:color w:val="auto"/>
          <w:spacing w:val="-6"/>
          <w:kern w:val="0"/>
          <w:szCs w:val="21"/>
          <w:highlight w:val="none"/>
          <w:lang w:eastAsia="zh-CN"/>
        </w:rPr>
        <w:t>）</w:t>
      </w:r>
      <w:r>
        <w:rPr>
          <w:rFonts w:hint="eastAsia" w:ascii="仿宋" w:hAnsi="仿宋" w:eastAsia="仿宋" w:cs="仿宋"/>
          <w:b/>
          <w:color w:val="auto"/>
          <w:spacing w:val="-6"/>
          <w:kern w:val="0"/>
          <w:szCs w:val="21"/>
          <w:highlight w:val="none"/>
        </w:rPr>
        <w:t>采购项目需要落实的政府采购政策</w:t>
      </w:r>
    </w:p>
    <w:bookmarkEnd w:id="37"/>
    <w:p w14:paraId="2FA5457E">
      <w:pPr>
        <w:adjustRightInd w:val="0"/>
        <w:snapToGrid w:val="0"/>
        <w:spacing w:line="288" w:lineRule="auto"/>
        <w:ind w:firstLine="398" w:firstLineChars="200"/>
        <w:jc w:val="left"/>
        <w:rPr>
          <w:rFonts w:hint="eastAsia" w:ascii="仿宋" w:hAnsi="仿宋" w:eastAsia="仿宋" w:cs="仿宋"/>
          <w:b/>
          <w:bCs/>
          <w:spacing w:val="-6"/>
          <w:szCs w:val="21"/>
          <w:highlight w:val="none"/>
          <w:lang w:val="en-US" w:eastAsia="zh-CN"/>
        </w:rPr>
      </w:pPr>
      <w:r>
        <w:rPr>
          <w:rFonts w:hint="eastAsia" w:ascii="仿宋" w:hAnsi="仿宋" w:eastAsia="仿宋" w:cs="仿宋"/>
          <w:b/>
          <w:bCs/>
          <w:spacing w:val="-6"/>
          <w:szCs w:val="21"/>
          <w:highlight w:val="none"/>
          <w:lang w:val="en-US" w:eastAsia="zh-CN"/>
        </w:rPr>
        <w:t>1.进口产品</w:t>
      </w:r>
    </w:p>
    <w:p w14:paraId="64615623">
      <w:pPr>
        <w:adjustRightInd w:val="0"/>
        <w:snapToGrid w:val="0"/>
        <w:spacing w:line="288" w:lineRule="auto"/>
        <w:ind w:firstLine="396" w:firstLineChars="200"/>
        <w:jc w:val="left"/>
        <w:rPr>
          <w:rFonts w:hint="eastAsia" w:ascii="仿宋" w:hAnsi="仿宋" w:eastAsia="仿宋" w:cs="仿宋"/>
          <w:b w:val="0"/>
          <w:bCs w:val="0"/>
          <w:spacing w:val="-6"/>
          <w:szCs w:val="21"/>
          <w:highlight w:val="none"/>
          <w:lang w:val="en-US" w:eastAsia="zh-CN"/>
        </w:rPr>
      </w:pPr>
      <w:r>
        <w:rPr>
          <w:rFonts w:hint="eastAsia" w:ascii="仿宋" w:hAnsi="仿宋" w:eastAsia="仿宋" w:cs="仿宋"/>
          <w:b w:val="0"/>
          <w:bCs w:val="0"/>
          <w:spacing w:val="-6"/>
          <w:szCs w:val="21"/>
          <w:highlight w:val="none"/>
          <w:lang w:val="en-US" w:eastAsia="zh-CN"/>
        </w:rPr>
        <w:t>本项目原则上采购本国生产的货物、服务，不允许采购进口产品。优先采购向我国企业转让技术、与我国企业签订消化吸收再创新方案的供应商的进口产品。</w:t>
      </w:r>
    </w:p>
    <w:p w14:paraId="10B3EBAD">
      <w:pPr>
        <w:adjustRightInd w:val="0"/>
        <w:snapToGrid w:val="0"/>
        <w:spacing w:line="288" w:lineRule="auto"/>
        <w:ind w:firstLine="396" w:firstLineChars="200"/>
        <w:jc w:val="left"/>
        <w:rPr>
          <w:rFonts w:hint="eastAsia" w:ascii="仿宋" w:hAnsi="仿宋" w:eastAsia="仿宋" w:cs="仿宋"/>
          <w:b w:val="0"/>
          <w:bCs w:val="0"/>
          <w:spacing w:val="-6"/>
          <w:szCs w:val="21"/>
          <w:highlight w:val="none"/>
          <w:lang w:val="en-US" w:eastAsia="zh-CN"/>
        </w:rPr>
      </w:pPr>
      <w:r>
        <w:rPr>
          <w:rFonts w:hint="eastAsia" w:ascii="仿宋" w:hAnsi="仿宋" w:eastAsia="仿宋" w:cs="仿宋"/>
          <w:b w:val="0"/>
          <w:bCs w:val="0"/>
          <w:spacing w:val="-6"/>
          <w:szCs w:val="21"/>
          <w:highlight w:val="none"/>
          <w:lang w:val="en-US" w:eastAsia="zh-CN"/>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4AB663C3">
      <w:pPr>
        <w:adjustRightInd w:val="0"/>
        <w:snapToGrid w:val="0"/>
        <w:spacing w:line="288" w:lineRule="auto"/>
        <w:ind w:firstLine="396" w:firstLineChars="200"/>
        <w:jc w:val="left"/>
        <w:rPr>
          <w:rFonts w:ascii="仿宋" w:hAnsi="仿宋" w:eastAsia="仿宋" w:cs="仿宋"/>
          <w:b w:val="0"/>
          <w:bCs w:val="0"/>
          <w:spacing w:val="-6"/>
          <w:szCs w:val="21"/>
          <w:highlight w:val="none"/>
        </w:rPr>
      </w:pPr>
      <w:r>
        <w:rPr>
          <w:rFonts w:hint="eastAsia" w:ascii="仿宋" w:hAnsi="仿宋" w:eastAsia="仿宋" w:cs="仿宋"/>
          <w:b w:val="0"/>
          <w:bCs w:val="0"/>
          <w:spacing w:val="-6"/>
          <w:szCs w:val="21"/>
          <w:highlight w:val="none"/>
          <w:lang w:val="en-US" w:eastAsia="zh-CN"/>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7BC5FD48">
      <w:pPr>
        <w:adjustRightInd w:val="0"/>
        <w:snapToGrid w:val="0"/>
        <w:spacing w:line="288" w:lineRule="auto"/>
        <w:ind w:firstLine="398"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2.支持绿色发展</w:t>
      </w:r>
    </w:p>
    <w:p w14:paraId="11A1AEF3">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320F2DFF">
      <w:pPr>
        <w:adjustRightInd w:val="0"/>
        <w:snapToGrid w:val="0"/>
        <w:spacing w:line="288" w:lineRule="auto"/>
        <w:ind w:firstLine="396" w:firstLineChars="200"/>
        <w:jc w:val="left"/>
        <w:rPr>
          <w:rFonts w:hint="eastAsia" w:ascii="仿宋" w:hAnsi="仿宋" w:eastAsia="仿宋" w:cs="仿宋"/>
          <w:b w:val="0"/>
          <w:bCs w:val="0"/>
          <w:color w:val="auto"/>
          <w:spacing w:val="-6"/>
          <w:szCs w:val="21"/>
          <w:highlight w:val="none"/>
          <w:lang w:val="en-US" w:eastAsia="zh-CN"/>
        </w:rPr>
      </w:pPr>
      <w:r>
        <w:rPr>
          <w:rFonts w:hint="eastAsia" w:ascii="仿宋" w:hAnsi="仿宋" w:eastAsia="仿宋" w:cs="仿宋"/>
          <w:b w:val="0"/>
          <w:bCs w:val="0"/>
          <w:color w:val="auto"/>
          <w:spacing w:val="-6"/>
          <w:szCs w:val="21"/>
          <w:highlight w:val="none"/>
          <w:lang w:val="en-US" w:eastAsia="zh-CN"/>
        </w:rPr>
        <w:t>▲采购人拟采购产品属于节能产品政府采购清单规定必须强制采购的，将在招标文件中明确载明，供应商相应的投标产品须提供国家确定的认证机构出具的、处于有效期之内的节能产品认证证书。</w:t>
      </w:r>
    </w:p>
    <w:p w14:paraId="6F68DBC7">
      <w:pPr>
        <w:adjustRightInd w:val="0"/>
        <w:snapToGrid w:val="0"/>
        <w:spacing w:line="288"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3.</w:t>
      </w:r>
      <w:r>
        <w:rPr>
          <w:rFonts w:hint="eastAsia" w:ascii="仿宋" w:hAnsi="仿宋" w:eastAsia="仿宋" w:cs="仿宋"/>
          <w:b/>
          <w:bCs/>
          <w:color w:val="auto"/>
          <w:spacing w:val="-6"/>
          <w:szCs w:val="21"/>
          <w:highlight w:val="none"/>
        </w:rPr>
        <w:t>支持科技创新</w:t>
      </w:r>
    </w:p>
    <w:p w14:paraId="60BBE4B7">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首台套、“制造精品”、“专精特新”等创新产品按规定享受政府采购支持政策。</w:t>
      </w:r>
    </w:p>
    <w:p w14:paraId="65CD0F62">
      <w:pPr>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对省级以上主管部门认定的首台套产品，自纳入《省推广应用指导目录》起3年内参加政府采购活动，视同已具备相应销售业绩，业绩分为满分。</w:t>
      </w:r>
    </w:p>
    <w:p w14:paraId="55971BD6">
      <w:pPr>
        <w:adjustRightInd w:val="0"/>
        <w:snapToGrid w:val="0"/>
        <w:spacing w:line="288" w:lineRule="auto"/>
        <w:ind w:firstLine="396" w:firstLineChars="200"/>
        <w:jc w:val="left"/>
        <w:rPr>
          <w:rFonts w:hint="eastAsia" w:ascii="仿宋" w:hAnsi="仿宋" w:eastAsia="仿宋" w:cs="仿宋"/>
          <w:b/>
          <w:bCs/>
          <w:spacing w:val="-6"/>
          <w:szCs w:val="21"/>
          <w:highlight w:val="none"/>
        </w:rPr>
      </w:pPr>
      <w:r>
        <w:rPr>
          <w:rFonts w:hint="eastAsia" w:ascii="仿宋" w:hAnsi="仿宋" w:eastAsia="仿宋" w:cs="仿宋"/>
          <w:color w:val="auto"/>
          <w:spacing w:val="-6"/>
          <w:szCs w:val="21"/>
          <w:highlight w:val="none"/>
        </w:rPr>
        <w:t>产品核心技术高于国内领先水平，并具有明晰自主知识产权的“制造精品”产品，自认定之日起2年内视同已具备相应销售业绩，参加政府采购活动时业绩分值为满分。</w:t>
      </w:r>
    </w:p>
    <w:p w14:paraId="4B63D7A1">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4.</w:t>
      </w:r>
      <w:r>
        <w:rPr>
          <w:rFonts w:hint="eastAsia" w:ascii="仿宋" w:hAnsi="仿宋" w:eastAsia="仿宋" w:cs="仿宋"/>
          <w:b/>
          <w:bCs/>
          <w:spacing w:val="-6"/>
          <w:szCs w:val="21"/>
          <w:highlight w:val="none"/>
        </w:rPr>
        <w:t>支持中小企业发展</w:t>
      </w:r>
    </w:p>
    <w:p w14:paraId="7C06F703">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21D3C07">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.2 在政府采购活动中，供应商提供的货物或者服务符合下列情形的，享受中小企业扶持政策：在货物采购项目中，货物由中小企业制造，即货物由中小企业生产且使用该中小企业商号或者注册商标。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62718C6">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w:t>
      </w:r>
    </w:p>
    <w:p w14:paraId="5ED872A1">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中小企业享受扶持政策获得政府采购合同的，小微企业不得将合同分包给大中型企业，中型企业不得将合同分包给大型企业。</w:t>
      </w:r>
    </w:p>
    <w:p w14:paraId="7BB04AF3">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.4 以联合体形式参加政府采购活动，联合体各方均为中小企业的，联合体视同中小企业。其中，联合体各方均为小微企业的，联合体视同小微企业。</w:t>
      </w:r>
    </w:p>
    <w:p w14:paraId="160B34FE">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66895A05">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组成联合体或者接受分包合同的中小企业与联合体内其他企业、分包企业之间不得存在直接控股、管理关系。</w:t>
      </w:r>
    </w:p>
    <w:p w14:paraId="34BC52FF">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专门面向中小企业采购的项目或者采购包，不再执行价格评审优惠的扶持政策。</w:t>
      </w:r>
    </w:p>
    <w:p w14:paraId="14E1A1C5">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1A97F3E">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.7 中小企业参加政府采购活动，应当出具办法规定的《中小企业声明函》，否则不得享受相关中小企业扶持政策。</w:t>
      </w:r>
    </w:p>
    <w:p w14:paraId="36B7C24A">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4F352B58">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.8 供应商提供《中小企业声明函》内容不实的，属于提供虚假材料谋取中标，依照《中华人民共和国政府采购法》等国家有关规定追究相应责任。</w:t>
      </w:r>
    </w:p>
    <w:p w14:paraId="2DAACFE0">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lang w:val="en-US" w:eastAsia="zh-CN"/>
        </w:rPr>
        <w:t>4</w:t>
      </w:r>
      <w:r>
        <w:rPr>
          <w:rFonts w:hint="eastAsia" w:ascii="仿宋" w:hAnsi="仿宋" w:eastAsia="仿宋" w:cs="仿宋"/>
          <w:spacing w:val="-6"/>
          <w:szCs w:val="21"/>
          <w:highlight w:val="none"/>
        </w:rPr>
        <w:t>.9 供应商提供的《中小企业声明函》中，企业数据（如从业人员</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营业收入</w:t>
      </w:r>
      <w:r>
        <w:rPr>
          <w:rFonts w:hint="eastAsia" w:ascii="仿宋" w:hAnsi="仿宋" w:eastAsia="仿宋" w:cs="仿宋"/>
          <w:spacing w:val="-6"/>
          <w:szCs w:val="21"/>
          <w:highlight w:val="none"/>
          <w:lang w:eastAsia="zh-CN"/>
        </w:rPr>
        <w:t>、</w:t>
      </w:r>
      <w:r>
        <w:rPr>
          <w:rFonts w:hint="eastAsia" w:ascii="仿宋" w:hAnsi="仿宋" w:eastAsia="仿宋" w:cs="仿宋"/>
          <w:spacing w:val="-6"/>
          <w:szCs w:val="21"/>
          <w:highlight w:val="none"/>
        </w:rPr>
        <w:t>资产总额）有误的，采购</w:t>
      </w:r>
      <w:r>
        <w:rPr>
          <w:rFonts w:hint="eastAsia" w:ascii="仿宋" w:hAnsi="仿宋" w:eastAsia="仿宋" w:cs="仿宋"/>
          <w:spacing w:val="-6"/>
          <w:szCs w:val="21"/>
          <w:highlight w:val="none"/>
          <w:lang w:val="en-US" w:eastAsia="zh-CN"/>
        </w:rPr>
        <w:t>代理</w:t>
      </w:r>
      <w:r>
        <w:rPr>
          <w:rFonts w:hint="eastAsia" w:ascii="仿宋" w:hAnsi="仿宋" w:eastAsia="仿宋" w:cs="仿宋"/>
          <w:spacing w:val="-6"/>
          <w:szCs w:val="21"/>
          <w:highlight w:val="none"/>
        </w:rPr>
        <w:t>机构或评标委员会可以要求供应商进行澄清、说明。但《中小企业声明函》出现下列情形的，《中小企业声明函》无效，不享受《政府采购促进中小企业发展管理办法》规定的中小企业扶持政策：</w:t>
      </w:r>
    </w:p>
    <w:p w14:paraId="5C942B1F">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（1）内容未包括全部采购标的；</w:t>
      </w:r>
    </w:p>
    <w:p w14:paraId="259D10A0">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（2）未填写标的所属行业，或者填写的所属行业与</w:t>
      </w:r>
      <w:r>
        <w:rPr>
          <w:rFonts w:hint="eastAsia" w:ascii="仿宋" w:hAnsi="仿宋" w:eastAsia="仿宋" w:cs="仿宋"/>
          <w:spacing w:val="-6"/>
          <w:szCs w:val="21"/>
          <w:highlight w:val="none"/>
          <w:lang w:val="en-US" w:eastAsia="zh-CN"/>
        </w:rPr>
        <w:t>招标</w:t>
      </w:r>
      <w:r>
        <w:rPr>
          <w:rFonts w:hint="eastAsia" w:ascii="仿宋" w:hAnsi="仿宋" w:eastAsia="仿宋" w:cs="仿宋"/>
          <w:spacing w:val="-6"/>
          <w:szCs w:val="21"/>
          <w:highlight w:val="none"/>
        </w:rPr>
        <w:t>文件明确的所属行业不一致；</w:t>
      </w:r>
    </w:p>
    <w:p w14:paraId="55D74A1F">
      <w:pPr>
        <w:adjustRightInd w:val="0"/>
        <w:snapToGrid w:val="0"/>
        <w:spacing w:line="288" w:lineRule="auto"/>
        <w:ind w:firstLine="396" w:firstLineChars="200"/>
        <w:jc w:val="left"/>
        <w:rPr>
          <w:rFonts w:hint="eastAsia" w:ascii="仿宋" w:hAnsi="仿宋" w:eastAsia="仿宋" w:cs="仿宋"/>
          <w:spacing w:val="-6"/>
          <w:szCs w:val="21"/>
          <w:highlight w:val="none"/>
        </w:rPr>
      </w:pPr>
      <w:r>
        <w:rPr>
          <w:rFonts w:hint="eastAsia" w:ascii="仿宋" w:hAnsi="仿宋" w:eastAsia="仿宋" w:cs="仿宋"/>
          <w:spacing w:val="-6"/>
          <w:szCs w:val="21"/>
          <w:highlight w:val="none"/>
        </w:rPr>
        <w:t>（3）未填写企业类型、填写的企业类型不明确或填写的企业类型与实际不符（即：企业类型（中型企业、小型企业或微型企业）填写错误）。</w:t>
      </w:r>
    </w:p>
    <w:p w14:paraId="0ACF6CE6">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供应商声明的类型获得了本不应获得的利益（价格扣除或者资格审查通过），属于提供虚假材料。构成“提供虚假材料谋取中标的”，依法承担法律责任。</w:t>
      </w:r>
    </w:p>
    <w:p w14:paraId="59131A58">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5.</w:t>
      </w:r>
      <w:r>
        <w:rPr>
          <w:rFonts w:hint="eastAsia" w:ascii="仿宋" w:hAnsi="仿宋" w:eastAsia="仿宋" w:cs="仿宋"/>
          <w:b/>
          <w:bCs/>
          <w:spacing w:val="-6"/>
          <w:szCs w:val="21"/>
          <w:highlight w:val="none"/>
        </w:rPr>
        <w:t>政府采购支持监狱企业发展</w:t>
      </w:r>
    </w:p>
    <w:p w14:paraId="00CF307E">
      <w:pPr>
        <w:adjustRightInd w:val="0"/>
        <w:snapToGrid w:val="0"/>
        <w:spacing w:line="288" w:lineRule="auto"/>
        <w:ind w:firstLine="396" w:firstLineChars="200"/>
        <w:jc w:val="left"/>
        <w:rPr>
          <w:rFonts w:ascii="仿宋" w:hAnsi="仿宋" w:eastAsia="仿宋" w:cs="仿宋"/>
          <w:spacing w:val="-6"/>
          <w:szCs w:val="21"/>
          <w:highlight w:val="none"/>
        </w:rPr>
      </w:pPr>
      <w:r>
        <w:rPr>
          <w:rFonts w:hint="eastAsia" w:ascii="仿宋" w:hAnsi="仿宋" w:eastAsia="仿宋" w:cs="仿宋"/>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57C8205">
      <w:pPr>
        <w:adjustRightInd w:val="0"/>
        <w:snapToGrid w:val="0"/>
        <w:spacing w:line="288" w:lineRule="auto"/>
        <w:ind w:firstLine="398" w:firstLineChars="200"/>
        <w:jc w:val="left"/>
        <w:rPr>
          <w:rFonts w:ascii="仿宋" w:hAnsi="仿宋" w:eastAsia="仿宋" w:cs="仿宋"/>
          <w:b/>
          <w:bCs/>
          <w:spacing w:val="-6"/>
          <w:szCs w:val="21"/>
          <w:highlight w:val="none"/>
        </w:rPr>
      </w:pPr>
      <w:r>
        <w:rPr>
          <w:rFonts w:hint="eastAsia" w:ascii="仿宋" w:hAnsi="仿宋" w:eastAsia="仿宋" w:cs="仿宋"/>
          <w:b/>
          <w:bCs/>
          <w:spacing w:val="-6"/>
          <w:szCs w:val="21"/>
          <w:highlight w:val="none"/>
          <w:lang w:val="en-US" w:eastAsia="zh-CN"/>
        </w:rPr>
        <w:t>6.</w:t>
      </w:r>
      <w:r>
        <w:rPr>
          <w:rFonts w:hint="eastAsia" w:ascii="仿宋" w:hAnsi="仿宋" w:eastAsia="仿宋" w:cs="仿宋"/>
          <w:b/>
          <w:bCs/>
          <w:spacing w:val="-6"/>
          <w:szCs w:val="21"/>
          <w:highlight w:val="none"/>
        </w:rPr>
        <w:t>政府采购促进残疾人就业</w:t>
      </w:r>
    </w:p>
    <w:p w14:paraId="6994AC2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spacing w:val="-6"/>
          <w:szCs w:val="21"/>
          <w:highlight w:val="none"/>
        </w:rPr>
        <w:t>符合《关于促进残疾人就业政府采购政策的通知》（财库[2017]141号）规定的条件并提供《残疾人福利性单位声明函》的残疾人福利性单位视同小型、微型企业。</w:t>
      </w:r>
    </w:p>
    <w:p w14:paraId="697B2CC6">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14:paraId="7799DA77">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投标人不享受中小企业扶持政策。</w:t>
      </w:r>
    </w:p>
    <w:bookmarkEnd w:id="38"/>
    <w:p w14:paraId="75934562">
      <w:pPr>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C157929">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二、招标文件</w:t>
      </w:r>
    </w:p>
    <w:p w14:paraId="6E9083D6">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招标文件的构成</w:t>
      </w:r>
    </w:p>
    <w:p w14:paraId="4E0357AA">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本招标文件由以下部分组成：</w:t>
      </w:r>
    </w:p>
    <w:p w14:paraId="18CEA19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投标邀请</w:t>
      </w:r>
    </w:p>
    <w:p w14:paraId="4714E4C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采购需求</w:t>
      </w:r>
    </w:p>
    <w:p w14:paraId="145040A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投标人须知</w:t>
      </w:r>
    </w:p>
    <w:p w14:paraId="0E95C131">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评标方法和评标标准</w:t>
      </w:r>
    </w:p>
    <w:p w14:paraId="7C2F7A1E">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拟签订的合同文本</w:t>
      </w:r>
    </w:p>
    <w:p w14:paraId="27033303">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投标文件格式</w:t>
      </w:r>
    </w:p>
    <w:p w14:paraId="1BD8F37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本项目招标文件的澄清、答复、修改、补充的内容</w:t>
      </w:r>
    </w:p>
    <w:p w14:paraId="679E674B">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招标文件的澄清与修改</w:t>
      </w:r>
    </w:p>
    <w:p w14:paraId="764133C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采购人或者采购代理机构可以对已发出的招标文件进行必要的澄清或者修改，澄清或者修改会在原公告发布媒体上发布澄清公告，澄清或者修改的内容为招标文件的组成部分。</w:t>
      </w:r>
    </w:p>
    <w:p w14:paraId="6DDE46CB">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澄清或者修改的内容可能影响投标文件编制的，采购人或者采购代理机构会在提交投标文件截止时间至少15日前，以书面形式通知所有获取招标文件的潜在投标人；不足15日的，采购人或者采购代理机构会顺延提交投标文件的截止时间。</w:t>
      </w:r>
    </w:p>
    <w:p w14:paraId="4BC31C8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6FA1376C">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28EDDA7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color w:val="auto"/>
          <w:spacing w:val="-6"/>
          <w:sz w:val="24"/>
          <w:szCs w:val="24"/>
          <w:highlight w:val="none"/>
        </w:rPr>
      </w:pPr>
      <w:r>
        <w:rPr>
          <w:rFonts w:hint="eastAsia" w:ascii="仿宋" w:hAnsi="仿宋" w:eastAsia="仿宋" w:cs="仿宋"/>
          <w:b/>
          <w:color w:val="auto"/>
          <w:spacing w:val="-6"/>
          <w:sz w:val="24"/>
          <w:szCs w:val="24"/>
          <w:highlight w:val="none"/>
        </w:rPr>
        <w:t>三、投标文件编制要求</w:t>
      </w:r>
    </w:p>
    <w:p w14:paraId="6436EEE0">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投标文件的组成</w:t>
      </w:r>
    </w:p>
    <w:p w14:paraId="2D18574E">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9" w:name="_Hlk94018532"/>
      <w:r>
        <w:rPr>
          <w:rFonts w:hint="eastAsia" w:ascii="仿宋" w:hAnsi="仿宋" w:eastAsia="仿宋" w:cs="仿宋"/>
          <w:color w:val="auto"/>
          <w:spacing w:val="-6"/>
          <w:szCs w:val="21"/>
          <w:highlight w:val="none"/>
        </w:rPr>
        <w:t>1.投标文件（电子加密投标文件）由</w:t>
      </w:r>
      <w:r>
        <w:rPr>
          <w:rFonts w:hint="eastAsia" w:ascii="仿宋" w:hAnsi="仿宋" w:eastAsia="仿宋" w:cs="仿宋"/>
          <w:b/>
          <w:color w:val="auto"/>
          <w:spacing w:val="-6"/>
          <w:szCs w:val="21"/>
          <w:highlight w:val="none"/>
        </w:rPr>
        <w:t>资格文件、商务和技术文件、报价文件三部分</w:t>
      </w:r>
      <w:r>
        <w:rPr>
          <w:rFonts w:hint="eastAsia" w:ascii="仿宋" w:hAnsi="仿宋" w:eastAsia="仿宋" w:cs="仿宋"/>
          <w:bCs/>
          <w:color w:val="auto"/>
          <w:spacing w:val="-6"/>
          <w:szCs w:val="21"/>
          <w:highlight w:val="none"/>
        </w:rPr>
        <w:t>组成（格式详见招标文件第六章），投标人应将投标文件各部分</w:t>
      </w:r>
      <w:r>
        <w:rPr>
          <w:rFonts w:hint="eastAsia" w:ascii="仿宋" w:hAnsi="仿宋" w:eastAsia="仿宋" w:cs="仿宋"/>
          <w:b/>
          <w:color w:val="auto"/>
          <w:spacing w:val="-6"/>
          <w:szCs w:val="21"/>
          <w:highlight w:val="none"/>
        </w:rPr>
        <w:t>分别上传</w:t>
      </w:r>
      <w:r>
        <w:rPr>
          <w:rFonts w:hint="eastAsia" w:ascii="仿宋" w:hAnsi="仿宋" w:eastAsia="仿宋" w:cs="仿宋"/>
          <w:bCs/>
          <w:color w:val="auto"/>
          <w:spacing w:val="-6"/>
          <w:szCs w:val="21"/>
          <w:highlight w:val="none"/>
        </w:rPr>
        <w:t>至政府采购云平台指定位置；</w:t>
      </w:r>
    </w:p>
    <w:p w14:paraId="13559595">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.投标文件组成：详见“第六章  投标文件格式”目录。</w:t>
      </w:r>
    </w:p>
    <w:bookmarkEnd w:id="39"/>
    <w:p w14:paraId="58942AC9">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投标文件的签署和份数</w:t>
      </w:r>
    </w:p>
    <w:p w14:paraId="21A09047">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仿宋" w:hAnsi="仿宋" w:eastAsia="仿宋" w:cs="仿宋"/>
          <w:b/>
          <w:bCs/>
          <w:color w:val="auto"/>
          <w:spacing w:val="-6"/>
          <w:szCs w:val="21"/>
          <w:highlight w:val="none"/>
        </w:rPr>
        <w:t>其中资格文件、商务技术文件中不得出现投标报价，如因投标人原因提前泄露投标报价，是投标人的责任；</w:t>
      </w:r>
    </w:p>
    <w:p w14:paraId="7F83746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2.投标文件须由投标人在规定位置</w:t>
      </w:r>
      <w:bookmarkStart w:id="40" w:name="_Hlk96329183"/>
      <w:r>
        <w:rPr>
          <w:rFonts w:hint="eastAsia" w:ascii="仿宋" w:hAnsi="仿宋" w:eastAsia="仿宋" w:cs="仿宋"/>
          <w:color w:val="auto"/>
          <w:spacing w:val="-6"/>
          <w:szCs w:val="21"/>
          <w:highlight w:val="none"/>
        </w:rPr>
        <w:t>加盖公章</w:t>
      </w:r>
      <w:bookmarkEnd w:id="40"/>
      <w:r>
        <w:rPr>
          <w:rFonts w:hint="eastAsia" w:ascii="仿宋" w:hAnsi="仿宋" w:eastAsia="仿宋" w:cs="仿宋"/>
          <w:color w:val="auto"/>
          <w:spacing w:val="-6"/>
          <w:szCs w:val="21"/>
          <w:highlight w:val="none"/>
        </w:rPr>
        <w:t>，投标人应写全称；</w:t>
      </w:r>
    </w:p>
    <w:p w14:paraId="529B881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.投标文件不得涂改，若有修改错漏处，须由投标人加盖公章，或者由</w:t>
      </w:r>
      <w:r>
        <w:rPr>
          <w:rFonts w:hint="eastAsia" w:ascii="仿宋" w:hAnsi="仿宋" w:eastAsia="仿宋" w:cs="仿宋"/>
          <w:color w:val="auto"/>
          <w:spacing w:val="-6"/>
          <w:szCs w:val="21"/>
          <w:highlight w:val="none"/>
          <w:lang w:eastAsia="zh-CN"/>
        </w:rPr>
        <w:t>投标人代表</w:t>
      </w:r>
      <w:r>
        <w:rPr>
          <w:rFonts w:hint="eastAsia" w:ascii="仿宋" w:hAnsi="仿宋" w:eastAsia="仿宋" w:cs="仿宋"/>
          <w:color w:val="auto"/>
          <w:spacing w:val="-6"/>
          <w:szCs w:val="21"/>
          <w:highlight w:val="none"/>
        </w:rPr>
        <w:t>签名。投标文件因字迹潦草或表达不清所引起的后果由投标人负责；</w:t>
      </w:r>
    </w:p>
    <w:p w14:paraId="1A5C0D42">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lang w:val="en-US" w:eastAsia="zh-CN"/>
        </w:rPr>
        <w:t>4</w:t>
      </w:r>
      <w:r>
        <w:rPr>
          <w:rFonts w:hint="eastAsia" w:ascii="仿宋" w:hAnsi="仿宋" w:eastAsia="仿宋" w:cs="仿宋"/>
          <w:b/>
          <w:bCs/>
          <w:color w:val="auto"/>
          <w:spacing w:val="-6"/>
          <w:szCs w:val="21"/>
          <w:highlight w:val="none"/>
        </w:rPr>
        <w:t>.投标文件份数：</w:t>
      </w:r>
    </w:p>
    <w:p w14:paraId="2D1C5396">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电子加密投标文件：政府采购云平台在线上传一份，备份投标文件：密封包装后以EMS或顺丰邮寄形式递交一份（邮寄地址：</w:t>
      </w:r>
      <w:r>
        <w:rPr>
          <w:rFonts w:hint="eastAsia" w:ascii="仿宋" w:hAnsi="仿宋" w:eastAsia="仿宋" w:cs="仿宋"/>
          <w:b/>
          <w:bCs/>
          <w:color w:val="auto"/>
          <w:szCs w:val="21"/>
          <w:highlight w:val="none"/>
        </w:rPr>
        <w:t>杭州市西湖区玉古路173号</w:t>
      </w:r>
      <w:r>
        <w:rPr>
          <w:rFonts w:hint="eastAsia" w:ascii="仿宋" w:hAnsi="仿宋" w:eastAsia="仿宋" w:cs="仿宋"/>
          <w:b/>
          <w:bCs/>
          <w:color w:val="auto"/>
          <w:szCs w:val="21"/>
          <w:highlight w:val="none"/>
          <w:lang w:eastAsia="zh-CN"/>
        </w:rPr>
        <w:t>中田大厦21楼</w:t>
      </w:r>
      <w:r>
        <w:rPr>
          <w:rFonts w:hint="eastAsia" w:ascii="仿宋" w:hAnsi="仿宋" w:eastAsia="仿宋" w:cs="仿宋"/>
          <w:b/>
          <w:bCs/>
          <w:color w:val="auto"/>
          <w:szCs w:val="21"/>
          <w:highlight w:val="none"/>
        </w:rPr>
        <w:t>H室，浙江求是招标代理有限公司</w:t>
      </w:r>
      <w:r>
        <w:rPr>
          <w:rFonts w:hint="eastAsia" w:ascii="仿宋" w:hAnsi="仿宋" w:eastAsia="仿宋" w:cs="仿宋"/>
          <w:b/>
          <w:bCs/>
          <w:color w:val="auto"/>
          <w:szCs w:val="21"/>
          <w:highlight w:val="none"/>
          <w:lang w:eastAsia="zh-CN"/>
        </w:rPr>
        <w:t>招标八部收</w:t>
      </w:r>
      <w:r>
        <w:rPr>
          <w:rFonts w:hint="eastAsia" w:ascii="仿宋" w:hAnsi="仿宋" w:eastAsia="仿宋" w:cs="仿宋"/>
          <w:b/>
          <w:bCs/>
          <w:color w:val="auto"/>
          <w:szCs w:val="21"/>
          <w:highlight w:val="none"/>
        </w:rPr>
        <w:t>，电话：0571-87679349，寄出后将快递单号、项目名称、公司名称、联系方式等相关信息发至zb08@qszb.net以便查收）。</w:t>
      </w:r>
    </w:p>
    <w:p w14:paraId="1D73BB93">
      <w:pPr>
        <w:adjustRightInd w:val="0"/>
        <w:snapToGrid w:val="0"/>
        <w:spacing w:line="288" w:lineRule="auto"/>
        <w:ind w:firstLine="422"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zCs w:val="21"/>
          <w:highlight w:val="none"/>
        </w:rPr>
        <w:t>特别说明：双休日和法定节假日不收件，投标人自行承担邮寄风险。</w:t>
      </w:r>
    </w:p>
    <w:p w14:paraId="1A97ADE7">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投标文件的上传、递交、修改和撤回</w:t>
      </w:r>
    </w:p>
    <w:p w14:paraId="5FA306A8">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.投标文件的上传、递交：</w:t>
      </w:r>
    </w:p>
    <w:p w14:paraId="20D75C16">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（1）电子加密投标文件的上传：</w:t>
      </w:r>
    </w:p>
    <w:p w14:paraId="22BE84C1">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投标人应在提交投标文件截止时间前将电子加密投标文件成功上传至政府采购云平台，否则投标无效；</w:t>
      </w:r>
    </w:p>
    <w:p w14:paraId="37443E8F">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电子加密投标文件成功上传后，投标人可自行打印投标文件接收回执。</w:t>
      </w:r>
    </w:p>
    <w:p w14:paraId="09B339C9">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（2）备份投标文件的密封包装、递交：</w:t>
      </w:r>
    </w:p>
    <w:p w14:paraId="521F1E50">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投标人在政府采购云平台完成电子加密投标文件的上传后，可以EMS或顺丰邮寄形式在提交投标文件截止时间前递交以介质（U盘）存储的数据电文形式的备份投标文件；</w:t>
      </w:r>
    </w:p>
    <w:p w14:paraId="3AB44BCA">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备份投标文件应当密封包装并在包装上标注</w:t>
      </w:r>
      <w:r>
        <w:rPr>
          <w:rFonts w:hint="eastAsia" w:ascii="仿宋" w:hAnsi="仿宋" w:eastAsia="仿宋" w:cs="仿宋"/>
          <w:b/>
          <w:bCs/>
          <w:color w:val="auto"/>
          <w:spacing w:val="-6"/>
          <w:szCs w:val="21"/>
          <w:highlight w:val="none"/>
        </w:rPr>
        <w:t>投标项目名称、投标人名称</w:t>
      </w:r>
      <w:r>
        <w:rPr>
          <w:rFonts w:hint="eastAsia" w:ascii="仿宋" w:hAnsi="仿宋" w:eastAsia="仿宋" w:cs="仿宋"/>
          <w:color w:val="auto"/>
          <w:spacing w:val="-6"/>
          <w:szCs w:val="21"/>
          <w:highlight w:val="none"/>
        </w:rPr>
        <w:t>并加盖公章（非电子签章），投标人逾期送达或者未密封包装的备份投标文件采购代理机构将予以拒收；</w:t>
      </w:r>
    </w:p>
    <w:p w14:paraId="38C8EA37">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通过政府采购云平台成功上传的电子加密投标文件已按时解密的，备份投标文件自动失效</w:t>
      </w:r>
      <w:bookmarkStart w:id="41" w:name="_Hlk94018616"/>
      <w:r>
        <w:rPr>
          <w:rFonts w:hint="eastAsia" w:ascii="仿宋" w:hAnsi="仿宋" w:eastAsia="仿宋" w:cs="仿宋"/>
          <w:color w:val="auto"/>
          <w:spacing w:val="-6"/>
          <w:szCs w:val="21"/>
          <w:highlight w:val="none"/>
          <w:lang w:eastAsia="zh-CN"/>
        </w:rPr>
        <w:t>；</w:t>
      </w:r>
    </w:p>
    <w:p w14:paraId="095A5017">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val="en-US" w:eastAsia="zh-CN"/>
        </w:rPr>
        <w:t>4）投标人</w:t>
      </w:r>
      <w:r>
        <w:rPr>
          <w:rFonts w:hint="eastAsia" w:ascii="仿宋" w:hAnsi="仿宋" w:eastAsia="仿宋" w:cs="仿宋"/>
          <w:color w:val="auto"/>
          <w:spacing w:val="-6"/>
          <w:szCs w:val="21"/>
          <w:highlight w:val="none"/>
        </w:rPr>
        <w:t>仅递交备份投标文件而未将电子加密投标文件成功上传至政府采购云平台的，投标无效。</w:t>
      </w:r>
    </w:p>
    <w:bookmarkEnd w:id="41"/>
    <w:p w14:paraId="2599B63C">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人应当在提交投标文件截止时间前完成投标文件的上传、递交，并可以补充、修改或者撤回投标文件。补充或者修改投标文件的，应当先行撤回原文件，补充、修改后重新上传、递交。提交投标文件截止时间前未完成上传、递交的，视为撤回投标文件。提交投标文件截止时间后上传、递交的投标文件，政府采购云平台及采购代理机构将予以拒收。</w:t>
      </w:r>
    </w:p>
    <w:p w14:paraId="1FE54B3B">
      <w:pPr>
        <w:adjustRightInd w:val="0"/>
        <w:snapToGrid w:val="0"/>
        <w:spacing w:line="288" w:lineRule="auto"/>
        <w:ind w:firstLine="396" w:firstLineChars="200"/>
        <w:jc w:val="left"/>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投标人因未在线参加开标而导致电子加密投标文件无法按时解密等一切后果由投标人自行承担</w:t>
      </w:r>
      <w:r>
        <w:rPr>
          <w:rFonts w:hint="eastAsia" w:ascii="仿宋" w:hAnsi="仿宋" w:eastAsia="仿宋" w:cs="仿宋"/>
          <w:color w:val="auto"/>
          <w:spacing w:val="-6"/>
          <w:szCs w:val="21"/>
          <w:highlight w:val="none"/>
          <w:lang w:eastAsia="zh-CN"/>
        </w:rPr>
        <w:t>；</w:t>
      </w:r>
    </w:p>
    <w:p w14:paraId="4D073723">
      <w:pPr>
        <w:adjustRightInd w:val="0"/>
        <w:snapToGrid w:val="0"/>
        <w:spacing w:line="288" w:lineRule="auto"/>
        <w:ind w:firstLine="396" w:firstLineChars="200"/>
        <w:jc w:val="left"/>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3.投标人应按照招标文件和政府采购云平台的要求，根据投标文件的组成规定的内容及顺序通过政采云电子交易客户端（政采云投标客户端）编制加密投标文件。</w:t>
      </w:r>
    </w:p>
    <w:p w14:paraId="3573D3A5">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仿宋" w:hAnsi="仿宋" w:eastAsia="仿宋" w:cs="仿宋"/>
          <w:b/>
          <w:bCs/>
          <w:color w:val="auto"/>
          <w:spacing w:val="-6"/>
          <w:szCs w:val="21"/>
          <w:highlight w:val="none"/>
        </w:rPr>
        <w:t>https://edu.zcygov.cn/luban/e-biding</w:t>
      </w:r>
      <w:r>
        <w:rPr>
          <w:rFonts w:hint="eastAsia" w:ascii="仿宋" w:hAnsi="仿宋" w:eastAsia="仿宋" w:cs="仿宋"/>
          <w:b/>
          <w:bCs/>
          <w:color w:val="auto"/>
          <w:spacing w:val="-6"/>
          <w:szCs w:val="21"/>
          <w:highlight w:val="none"/>
        </w:rPr>
        <w:fldChar w:fldCharType="end"/>
      </w:r>
      <w:r>
        <w:rPr>
          <w:rFonts w:hint="eastAsia" w:ascii="仿宋" w:hAnsi="仿宋" w:eastAsia="仿宋" w:cs="仿宋"/>
          <w:b/>
          <w:bCs/>
          <w:color w:val="auto"/>
          <w:spacing w:val="-6"/>
          <w:szCs w:val="21"/>
          <w:highlight w:val="none"/>
        </w:rPr>
        <w:t>）。</w:t>
      </w:r>
    </w:p>
    <w:p w14:paraId="7F134EAA">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投标文件的语言及计量</w:t>
      </w:r>
    </w:p>
    <w:p w14:paraId="2F065F9D">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416AFDE2">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投标报价</w:t>
      </w:r>
    </w:p>
    <w:p w14:paraId="05376AAC">
      <w:pPr>
        <w:adjustRightInd w:val="0"/>
        <w:snapToGrid w:val="0"/>
        <w:spacing w:line="288" w:lineRule="auto"/>
        <w:ind w:firstLine="420" w:firstLineChars="200"/>
        <w:jc w:val="left"/>
        <w:rPr>
          <w:rFonts w:hint="eastAsia" w:ascii="仿宋" w:hAnsi="仿宋" w:eastAsia="仿宋" w:cs="仿宋"/>
          <w:sz w:val="21"/>
          <w:szCs w:val="21"/>
          <w:highlight w:val="none"/>
          <w:lang w:val="en-US" w:eastAsia="zh-CN"/>
        </w:rPr>
      </w:pPr>
      <w:bookmarkStart w:id="42" w:name="_Hlk94018664"/>
      <w:r>
        <w:rPr>
          <w:rFonts w:hint="eastAsia" w:ascii="仿宋" w:hAnsi="仿宋" w:eastAsia="仿宋" w:cs="仿宋"/>
          <w:sz w:val="21"/>
          <w:szCs w:val="21"/>
          <w:highlight w:val="none"/>
          <w:lang w:val="en-US" w:eastAsia="zh-CN"/>
        </w:rPr>
        <w:t>1.报价应按招标文件要求的格式编制、填写报价内容，未按招标文件要求编制、填写的投标文件可能被拒绝；</w:t>
      </w:r>
    </w:p>
    <w:p w14:paraId="7184B2C6">
      <w:pPr>
        <w:adjustRightInd w:val="0"/>
        <w:snapToGrid w:val="0"/>
        <w:spacing w:line="288"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投标报价是履行合同的最终价格，应包括货物金额、仓储、包装、运输保险费、装卸费、安装及相关材料费、检验费、税金等为确保合法、正常使用货物及中标人履行合同项下约定的所有义务所需支出的全部费用；</w:t>
      </w:r>
    </w:p>
    <w:p w14:paraId="5126DD79">
      <w:pPr>
        <w:adjustRightInd w:val="0"/>
        <w:snapToGrid w:val="0"/>
        <w:spacing w:line="288" w:lineRule="auto"/>
        <w:ind w:firstLine="420" w:firstLineChars="20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▲3.采购人将以合同形式有偿取得货物、服务，不接受投标人给予的赠品、回扣或者与采购无关的其他商品、服务；</w:t>
      </w:r>
    </w:p>
    <w:p w14:paraId="1B7D569C">
      <w:pPr>
        <w:adjustRightInd w:val="0"/>
        <w:snapToGrid w:val="0"/>
        <w:spacing w:line="288" w:lineRule="auto"/>
        <w:ind w:firstLine="420" w:firstLineChars="200"/>
        <w:jc w:val="left"/>
        <w:rPr>
          <w:rFonts w:hint="eastAsia" w:ascii="仿宋" w:hAnsi="仿宋" w:eastAsia="仿宋" w:cs="仿宋"/>
          <w:color w:val="auto"/>
          <w:spacing w:val="-6"/>
          <w:sz w:val="21"/>
          <w:szCs w:val="21"/>
          <w:highlight w:val="none"/>
          <w:lang w:val="en-US" w:eastAsia="zh-CN"/>
        </w:rPr>
      </w:pPr>
      <w:r>
        <w:rPr>
          <w:rFonts w:hint="eastAsia" w:ascii="仿宋" w:hAnsi="仿宋" w:eastAsia="仿宋" w:cs="仿宋"/>
          <w:sz w:val="21"/>
          <w:szCs w:val="21"/>
          <w:highlight w:val="none"/>
          <w:lang w:val="en-US" w:eastAsia="zh-CN"/>
        </w:rPr>
        <w:t>4.投标总价不为零，分项报价中部分产品、服务单价为零的，视作已包含在投标总价中。</w:t>
      </w:r>
    </w:p>
    <w:bookmarkEnd w:id="42"/>
    <w:p w14:paraId="578DF0E2">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六</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投标有效期</w:t>
      </w:r>
    </w:p>
    <w:p w14:paraId="7E282256">
      <w:pPr>
        <w:pStyle w:val="2"/>
        <w:adjustRightInd w:val="0"/>
        <w:snapToGrid w:val="0"/>
        <w:spacing w:before="0" w:beforeLines="0" w:after="0" w:afterLines="0" w:line="288" w:lineRule="auto"/>
        <w:ind w:firstLine="396" w:firstLineChars="200"/>
        <w:jc w:val="left"/>
        <w:rPr>
          <w:rFonts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▲从提交投标文件的截止之日起90天，在原投标有效期满之前，如果出现特殊情况，采购人或采购代理机构以书面形式通知投标人延长投标有效期。</w:t>
      </w:r>
    </w:p>
    <w:p w14:paraId="2C43B67E">
      <w:pPr>
        <w:widowControl/>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F2E73CB">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四、资格审查不通过、投标无效的情形</w:t>
      </w:r>
    </w:p>
    <w:p w14:paraId="01DA68C7">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在资格审查时，如发现下列情形之一的，投标人将被视为资格审查不通过：</w:t>
      </w:r>
    </w:p>
    <w:p w14:paraId="491D96A9">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资格证明材料不全的或者不符合招标文件要求的</w:t>
      </w:r>
    </w:p>
    <w:p w14:paraId="05FF335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投标人不具备招标文件中规定的资格要求的</w:t>
      </w:r>
    </w:p>
    <w:p w14:paraId="6B246F0F">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资格文件未按要求签署、盖章的</w:t>
      </w:r>
    </w:p>
    <w:p w14:paraId="012182DC">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未响应招标文件“▲”标记条款要求的</w:t>
      </w:r>
    </w:p>
    <w:p w14:paraId="3E2FE9C6">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在符合性审查、商务和技术评审时，如发现下列情形之一的，投标文件将被视为无效：</w:t>
      </w:r>
    </w:p>
    <w:p w14:paraId="273CCEAB">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商务和技术文件未按要求签署、盖章的</w:t>
      </w:r>
    </w:p>
    <w:p w14:paraId="15FD921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未提供或未按要求提供投标函、</w:t>
      </w:r>
      <w:r>
        <w:rPr>
          <w:rFonts w:hint="eastAsia" w:ascii="仿宋" w:hAnsi="仿宋" w:eastAsia="仿宋" w:cs="仿宋"/>
          <w:color w:val="auto"/>
          <w:spacing w:val="-6"/>
          <w:szCs w:val="21"/>
          <w:highlight w:val="none"/>
          <w:lang w:eastAsia="zh-CN"/>
        </w:rPr>
        <w:t>授权委托书</w:t>
      </w:r>
      <w:r>
        <w:rPr>
          <w:rFonts w:hint="eastAsia" w:ascii="仿宋" w:hAnsi="仿宋" w:eastAsia="仿宋" w:cs="仿宋"/>
          <w:color w:val="auto"/>
          <w:spacing w:val="-6"/>
          <w:szCs w:val="21"/>
          <w:highlight w:val="none"/>
        </w:rPr>
        <w:t>的</w:t>
      </w:r>
    </w:p>
    <w:p w14:paraId="47E76557">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未响应招标文件“▲”标记条款要求的</w:t>
      </w:r>
    </w:p>
    <w:p w14:paraId="1A858C32">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未提供采购需求偏离表</w:t>
      </w:r>
      <w:r>
        <w:rPr>
          <w:rFonts w:hint="eastAsia" w:ascii="仿宋" w:hAnsi="仿宋" w:eastAsia="仿宋" w:cs="仿宋"/>
          <w:color w:val="auto"/>
          <w:spacing w:val="-6"/>
          <w:szCs w:val="21"/>
          <w:highlight w:val="none"/>
          <w:lang w:val="en-US" w:eastAsia="zh-CN"/>
        </w:rPr>
        <w:t>或</w:t>
      </w:r>
      <w:r>
        <w:rPr>
          <w:rFonts w:hint="eastAsia" w:ascii="仿宋" w:hAnsi="仿宋" w:eastAsia="仿宋" w:cs="仿宋"/>
          <w:color w:val="auto"/>
          <w:spacing w:val="-6"/>
          <w:szCs w:val="21"/>
          <w:highlight w:val="none"/>
        </w:rPr>
        <w:t>采购需求偏离表</w:t>
      </w:r>
      <w:r>
        <w:rPr>
          <w:rFonts w:hint="eastAsia" w:ascii="仿宋" w:hAnsi="仿宋" w:eastAsia="仿宋" w:cs="仿宋"/>
          <w:color w:val="auto"/>
          <w:spacing w:val="-6"/>
          <w:szCs w:val="21"/>
          <w:highlight w:val="none"/>
          <w:lang w:val="en-US" w:eastAsia="zh-CN"/>
        </w:rPr>
        <w:t>中响应规格有缺项、漏项</w:t>
      </w:r>
      <w:r>
        <w:rPr>
          <w:rFonts w:hint="eastAsia" w:ascii="仿宋" w:hAnsi="仿宋" w:eastAsia="仿宋" w:cs="仿宋"/>
          <w:color w:val="auto"/>
          <w:spacing w:val="-6"/>
          <w:szCs w:val="21"/>
          <w:highlight w:val="none"/>
        </w:rPr>
        <w:t>的</w:t>
      </w:r>
    </w:p>
    <w:p w14:paraId="757CE965">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质保期不满足招标文件要求的</w:t>
      </w:r>
    </w:p>
    <w:p w14:paraId="08075AFA">
      <w:pPr>
        <w:adjustRightInd w:val="0"/>
        <w:snapToGrid w:val="0"/>
        <w:spacing w:line="288" w:lineRule="auto"/>
        <w:ind w:firstLine="396" w:firstLineChars="200"/>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6.产品响应负偏离达到评分标准中规定数量</w:t>
      </w:r>
      <w:r>
        <w:rPr>
          <w:rFonts w:hint="eastAsia" w:ascii="仿宋" w:hAnsi="仿宋" w:eastAsia="仿宋" w:cs="仿宋"/>
          <w:b w:val="0"/>
          <w:bCs w:val="0"/>
          <w:sz w:val="21"/>
          <w:szCs w:val="21"/>
          <w:highlight w:val="none"/>
          <w:lang w:val="en-US" w:eastAsia="zh-CN"/>
        </w:rPr>
        <w:t>（</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color w:val="auto"/>
          <w:spacing w:val="-6"/>
          <w:szCs w:val="21"/>
          <w:highlight w:val="none"/>
          <w:lang w:val="en-US" w:eastAsia="zh-CN"/>
        </w:rPr>
        <w:t>的</w:t>
      </w:r>
    </w:p>
    <w:p w14:paraId="5752285F">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rPr>
        <w:t>明显不符合招标文件要求</w:t>
      </w:r>
      <w:r>
        <w:rPr>
          <w:rFonts w:hint="eastAsia" w:ascii="仿宋" w:hAnsi="仿宋" w:eastAsia="仿宋" w:cs="仿宋"/>
          <w:color w:val="auto"/>
          <w:szCs w:val="21"/>
          <w:highlight w:val="none"/>
        </w:rPr>
        <w:t>的</w:t>
      </w:r>
    </w:p>
    <w:p w14:paraId="093F86F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rPr>
        <w:t>投标技术方案不明确（存在一个或一个以上备选/替代投标方案）的</w:t>
      </w:r>
    </w:p>
    <w:p w14:paraId="6EB2624A">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rPr>
        <w:t>投标文件含有采购人不能接受的附加条件的</w:t>
      </w:r>
    </w:p>
    <w:p w14:paraId="019718D1">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10.</w:t>
      </w:r>
      <w:r>
        <w:rPr>
          <w:rFonts w:hint="eastAsia" w:ascii="仿宋" w:hAnsi="仿宋" w:eastAsia="仿宋" w:cs="仿宋"/>
          <w:color w:val="auto"/>
          <w:spacing w:val="-6"/>
          <w:szCs w:val="21"/>
          <w:highlight w:val="none"/>
        </w:rPr>
        <w:t>法律、法规和招标文件规定的其他无效情形</w:t>
      </w:r>
    </w:p>
    <w:p w14:paraId="1585882F">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在报价评审时，如发现下列情形之一的，投标文件将被视为无效：</w:t>
      </w:r>
    </w:p>
    <w:p w14:paraId="15E83F5D">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报价文件未按要求签署、盖章的</w:t>
      </w:r>
    </w:p>
    <w:p w14:paraId="326A587F">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未按照招标文件标明的币种报价的</w:t>
      </w:r>
    </w:p>
    <w:p w14:paraId="55CFA92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报价内容有缺漏项或者与招标文件要求不一致的</w:t>
      </w:r>
    </w:p>
    <w:p w14:paraId="5591944C">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报价超过招标文件中规定的最高限价的</w:t>
      </w:r>
    </w:p>
    <w:p w14:paraId="70CA7CFE">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报价具有选择性的</w:t>
      </w:r>
    </w:p>
    <w:p w14:paraId="430B390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rPr>
        <w:t>未响应招标文件“▲”标记条款要求的</w:t>
      </w:r>
    </w:p>
    <w:p w14:paraId="06F36920">
      <w:pPr>
        <w:widowControl/>
        <w:adjustRightInd w:val="0"/>
        <w:snapToGrid w:val="0"/>
        <w:spacing w:line="288" w:lineRule="auto"/>
        <w:ind w:firstLine="398" w:firstLineChars="200"/>
        <w:jc w:val="left"/>
        <w:rPr>
          <w:rFonts w:ascii="仿宋" w:hAnsi="仿宋" w:eastAsia="仿宋" w:cs="仿宋"/>
          <w:b/>
          <w:bCs/>
          <w:color w:val="auto"/>
          <w:spacing w:val="-6"/>
          <w:szCs w:val="21"/>
          <w:highlight w:val="none"/>
        </w:rPr>
      </w:pPr>
      <w:bookmarkStart w:id="43" w:name="_Hlk94018736"/>
      <w:r>
        <w:rPr>
          <w:rFonts w:hint="eastAsia" w:ascii="仿宋" w:hAnsi="仿宋" w:eastAsia="仿宋" w:cs="仿宋"/>
          <w:b/>
          <w:bCs/>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3"/>
    <w:p w14:paraId="241FD431">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四</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有下列情形之一的，视为投标人串通投标，其投标无效：</w:t>
      </w:r>
    </w:p>
    <w:p w14:paraId="2D29703C">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不同投标人的投标文件由同一单位或者个人编制</w:t>
      </w:r>
    </w:p>
    <w:p w14:paraId="737CAA60">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不同投标人委托同一单位或者个人办理投标事宜</w:t>
      </w:r>
    </w:p>
    <w:p w14:paraId="4DCC42CB">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不同投标人的投标文件载明的项目管理成员或者联系人员为同一人</w:t>
      </w:r>
    </w:p>
    <w:p w14:paraId="1D617FD8">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rPr>
        <w:t>不同投标人的投标文件异常一致或者投标报价呈规律性差异</w:t>
      </w:r>
    </w:p>
    <w:p w14:paraId="27E951C8">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5.</w:t>
      </w:r>
      <w:r>
        <w:rPr>
          <w:rFonts w:hint="eastAsia" w:ascii="仿宋" w:hAnsi="仿宋" w:eastAsia="仿宋" w:cs="仿宋"/>
          <w:color w:val="auto"/>
          <w:spacing w:val="-6"/>
          <w:szCs w:val="21"/>
          <w:highlight w:val="none"/>
        </w:rPr>
        <w:t>不同投标人的投标文件相互混装</w:t>
      </w:r>
    </w:p>
    <w:p w14:paraId="7950542F">
      <w:pPr>
        <w:widowControl/>
        <w:adjustRightInd w:val="0"/>
        <w:snapToGrid w:val="0"/>
        <w:spacing w:line="288" w:lineRule="auto"/>
        <w:ind w:firstLine="398" w:firstLineChars="200"/>
        <w:jc w:val="left"/>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五</w:t>
      </w:r>
      <w:r>
        <w:rPr>
          <w:rFonts w:hint="eastAsia" w:ascii="仿宋" w:hAnsi="仿宋" w:eastAsia="仿宋" w:cs="仿宋"/>
          <w:b/>
          <w:color w:val="auto"/>
          <w:spacing w:val="-6"/>
          <w:szCs w:val="21"/>
          <w:highlight w:val="none"/>
          <w:lang w:eastAsia="zh-CN"/>
        </w:rPr>
        <w:t>）参与同一个采购包（标项）的投标人存在下列情形之一且无法合理解释的，其投标文件无效：</w:t>
      </w:r>
    </w:p>
    <w:p w14:paraId="0AEFFCD3">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1.不同投标人的电子投标文件上传计算机的网卡MAC地址或硬盘序列号等硬件信息相同的</w:t>
      </w:r>
    </w:p>
    <w:p w14:paraId="210B7656">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2.上传的电子投标文件若出现使用本项目其他投标人的数字证书加密的或加盖本项目其他投标人的电子印章的</w:t>
      </w:r>
    </w:p>
    <w:p w14:paraId="47722082">
      <w:pPr>
        <w:widowControl/>
        <w:adjustRightInd w:val="0"/>
        <w:snapToGrid w:val="0"/>
        <w:spacing w:line="288" w:lineRule="auto"/>
        <w:ind w:firstLine="396" w:firstLineChars="200"/>
        <w:jc w:val="left"/>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3.不同投标人的投标文件的内容存在3处（含）以上错误一致的</w:t>
      </w:r>
    </w:p>
    <w:p w14:paraId="4F4CD2B7">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4.不同投标人联系人为同一人或不同联系人的联系电话一致的</w:t>
      </w:r>
    </w:p>
    <w:p w14:paraId="7F7983B7">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5A31040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五、开  标</w:t>
      </w:r>
    </w:p>
    <w:p w14:paraId="7D0A894B">
      <w:pPr>
        <w:pStyle w:val="103"/>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ascii="仿宋" w:hAnsi="仿宋" w:eastAsia="仿宋" w:cs="仿宋"/>
          <w:color w:val="auto"/>
          <w:szCs w:val="21"/>
          <w:highlight w:val="none"/>
        </w:rPr>
      </w:pPr>
      <w:bookmarkStart w:id="44" w:name="_Hlk94018775"/>
      <w:r>
        <w:rPr>
          <w:rFonts w:hint="eastAsia" w:ascii="仿宋" w:hAnsi="仿宋" w:eastAsia="仿宋" w:cs="仿宋"/>
          <w:b/>
          <w:color w:val="auto"/>
          <w:szCs w:val="21"/>
          <w:highlight w:val="none"/>
        </w:rPr>
        <w:t>（一）开标</w:t>
      </w:r>
    </w:p>
    <w:p w14:paraId="370EB06E">
      <w:pPr>
        <w:pStyle w:val="103"/>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采购代理机构按照招标文件规定的时间通过电子交易平台组织开标，所有投标人均应当准时在线参加。投标人不足3家的，不得开标。</w:t>
      </w:r>
    </w:p>
    <w:p w14:paraId="52FA4434">
      <w:pPr>
        <w:pStyle w:val="103"/>
        <w:keepNext w:val="0"/>
        <w:keepLines w:val="0"/>
        <w:pageBreakBefore w:val="0"/>
        <w:widowControl w:val="0"/>
        <w:kinsoku/>
        <w:wordWrap/>
        <w:overflowPunct/>
        <w:topLinePunct w:val="0"/>
        <w:bidi w:val="0"/>
        <w:adjustRightInd w:val="0"/>
        <w:snapToGrid w:val="0"/>
        <w:spacing w:before="0" w:line="288" w:lineRule="auto"/>
        <w:ind w:left="0" w:firstLine="422" w:firstLineChars="201"/>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开标时，电子交易平台按开标时间自动提取所有投标文件。采购</w:t>
      </w:r>
      <w:r>
        <w:rPr>
          <w:rFonts w:hint="eastAsia" w:ascii="仿宋" w:hAnsi="仿宋" w:eastAsia="仿宋" w:cs="仿宋"/>
          <w:color w:val="auto"/>
          <w:szCs w:val="21"/>
          <w:highlight w:val="none"/>
          <w:lang w:val="en-US" w:eastAsia="zh-CN"/>
        </w:rPr>
        <w:t>人或采购</w:t>
      </w:r>
      <w:r>
        <w:rPr>
          <w:rFonts w:hint="eastAsia" w:ascii="仿宋" w:hAnsi="仿宋" w:eastAsia="仿宋" w:cs="仿宋"/>
          <w:color w:val="auto"/>
          <w:szCs w:val="21"/>
          <w:highlight w:val="none"/>
        </w:rPr>
        <w:t>代理机构依托电子交易平台发起开始解密指令，投标人按照平台提示和招标文件的规定在半小时内完成在线解密。</w:t>
      </w:r>
    </w:p>
    <w:p w14:paraId="137F6F81">
      <w:pPr>
        <w:adjustRightInd w:val="0"/>
        <w:snapToGrid w:val="0"/>
        <w:spacing w:line="288"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投标文件未按时解密但投标人提供备份投标文件的，以备份投标文件作为依据，否则视为投标文件撤回。投标文件已按时解密的，备份投标文件自动失效。</w:t>
      </w:r>
    </w:p>
    <w:p w14:paraId="588DECCA">
      <w:pPr>
        <w:pStyle w:val="103"/>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（二）资格审查</w:t>
      </w:r>
    </w:p>
    <w:p w14:paraId="390176DE">
      <w:pPr>
        <w:adjustRightInd w:val="0"/>
        <w:snapToGrid w:val="0"/>
        <w:spacing w:line="288" w:lineRule="auto"/>
        <w:ind w:firstLine="422" w:firstLineChars="201"/>
        <w:rPr>
          <w:rFonts w:ascii="仿宋" w:hAnsi="仿宋" w:eastAsia="仿宋" w:cs="仿宋"/>
          <w:color w:val="auto"/>
          <w:szCs w:val="21"/>
          <w:highlight w:val="none"/>
        </w:rPr>
      </w:pPr>
      <w:r>
        <w:rPr>
          <w:rFonts w:hint="eastAsia" w:ascii="仿宋" w:hAnsi="仿宋" w:eastAsia="仿宋" w:cs="仿宋"/>
          <w:color w:val="auto"/>
          <w:kern w:val="0"/>
          <w:szCs w:val="21"/>
          <w:highlight w:val="none"/>
        </w:rPr>
        <w:t>开标后，</w:t>
      </w:r>
      <w:r>
        <w:rPr>
          <w:rFonts w:hint="eastAsia" w:ascii="仿宋" w:hAnsi="仿宋" w:eastAsia="仿宋" w:cs="仿宋"/>
          <w:color w:val="auto"/>
          <w:szCs w:val="21"/>
          <w:highlight w:val="none"/>
        </w:rPr>
        <w:t>采购人或采购代理机构依据法律法规和招标文件的规定，对投标人的资格条件进行审查。</w:t>
      </w:r>
    </w:p>
    <w:p w14:paraId="09EC8923">
      <w:pPr>
        <w:pStyle w:val="102"/>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对未通过资格审查的投标人，采购人或采购代理机构告知其未通过的原因。</w:t>
      </w:r>
    </w:p>
    <w:p w14:paraId="478B2944">
      <w:pPr>
        <w:pStyle w:val="102"/>
        <w:adjustRightInd w:val="0"/>
        <w:snapToGrid w:val="0"/>
        <w:spacing w:before="0" w:line="288" w:lineRule="auto"/>
        <w:ind w:firstLine="422" w:firstLineChars="201"/>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通过资格审查的投标人不足3家的，不再评标。</w:t>
      </w:r>
    </w:p>
    <w:p w14:paraId="7D233C8A">
      <w:pPr>
        <w:pStyle w:val="103"/>
        <w:keepNext w:val="0"/>
        <w:keepLines w:val="0"/>
        <w:pageBreakBefore w:val="0"/>
        <w:widowControl w:val="0"/>
        <w:kinsoku/>
        <w:wordWrap/>
        <w:overflowPunct/>
        <w:topLinePunct w:val="0"/>
        <w:autoSpaceDE w:val="0"/>
        <w:autoSpaceDN w:val="0"/>
        <w:bidi w:val="0"/>
        <w:adjustRightInd w:val="0"/>
        <w:snapToGrid w:val="0"/>
        <w:spacing w:before="0" w:line="288" w:lineRule="auto"/>
        <w:ind w:left="0" w:firstLine="424" w:firstLineChars="201"/>
        <w:textAlignment w:val="auto"/>
        <w:outlineLvl w:val="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（三）信用信息查询</w:t>
      </w:r>
    </w:p>
    <w:p w14:paraId="6FD7B380">
      <w:pPr>
        <w:pStyle w:val="102"/>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根据财库[2016]125号《关于在政府采购活动中查询及使用信用记录有关问题的通知》要求，采购代理机构会对投标人信用记录进行查询并甄别。</w:t>
      </w:r>
    </w:p>
    <w:p w14:paraId="7BE6D0C0">
      <w:pPr>
        <w:pStyle w:val="102"/>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w:t>
      </w:r>
      <w:r>
        <w:rPr>
          <w:rFonts w:hint="eastAsia" w:ascii="仿宋" w:hAnsi="仿宋" w:eastAsia="仿宋" w:cs="仿宋"/>
          <w:b/>
          <w:color w:val="auto"/>
          <w:sz w:val="21"/>
          <w:szCs w:val="21"/>
          <w:highlight w:val="none"/>
        </w:rPr>
        <w:t>信用信息查询的截止时点：投标截止时间；</w:t>
      </w:r>
    </w:p>
    <w:p w14:paraId="743FF0CA">
      <w:pPr>
        <w:pStyle w:val="102"/>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查询渠道：“信用中国”（www.creditchina.gov.cn）、“中国政府采购网”（www.ccgp.gov.cn）；</w:t>
      </w:r>
    </w:p>
    <w:p w14:paraId="65E9D9CD">
      <w:pPr>
        <w:pStyle w:val="102"/>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信用信息查询记录和证据留存具体方式：采购代理机构经办人和监督人员将查询网页打印、签名与其他采购文件一并保存；</w:t>
      </w:r>
    </w:p>
    <w:p w14:paraId="63386DCA">
      <w:pPr>
        <w:pStyle w:val="102"/>
        <w:adjustRightInd w:val="0"/>
        <w:snapToGrid w:val="0"/>
        <w:spacing w:before="0" w:line="288" w:lineRule="auto"/>
        <w:ind w:firstLine="424" w:firstLineChars="20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4.</w:t>
      </w:r>
      <w:r>
        <w:rPr>
          <w:rFonts w:hint="eastAsia" w:ascii="仿宋" w:hAnsi="仿宋" w:eastAsia="仿宋" w:cs="仿宋"/>
          <w:b/>
          <w:color w:val="auto"/>
          <w:sz w:val="21"/>
          <w:szCs w:val="21"/>
          <w:highlight w:val="none"/>
        </w:rPr>
        <w:t>信用信息的使用规则：投标人被列入失信被执行人、重大税收违法案件当事人名单、政府采购严重违法失信行为记录名单的，拒绝其参与政府采购活动。</w:t>
      </w:r>
    </w:p>
    <w:p w14:paraId="7C5E932C">
      <w:pPr>
        <w:pStyle w:val="102"/>
        <w:adjustRightInd w:val="0"/>
        <w:snapToGrid w:val="0"/>
        <w:spacing w:before="0" w:line="288" w:lineRule="auto"/>
        <w:ind w:firstLine="424" w:firstLineChars="201"/>
        <w:rPr>
          <w:rFonts w:ascii="仿宋" w:hAnsi="仿宋" w:eastAsia="仿宋" w:cs="仿宋"/>
          <w:b/>
          <w:color w:val="auto"/>
          <w:kern w:val="0"/>
          <w:sz w:val="21"/>
          <w:szCs w:val="21"/>
          <w:highlight w:val="none"/>
        </w:rPr>
      </w:pPr>
      <w:r>
        <w:rPr>
          <w:rFonts w:hint="eastAsia" w:ascii="仿宋" w:hAnsi="仿宋" w:eastAsia="仿宋" w:cs="仿宋"/>
          <w:b/>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A89DE2A">
      <w:pPr>
        <w:adjustRightInd w:val="0"/>
        <w:snapToGrid w:val="0"/>
        <w:spacing w:line="288" w:lineRule="auto"/>
        <w:ind w:firstLine="398" w:firstLineChars="200"/>
        <w:rPr>
          <w:rFonts w:ascii="仿宋" w:hAnsi="仿宋" w:eastAsia="仿宋" w:cs="仿宋"/>
          <w:b/>
          <w:bCs/>
          <w:color w:val="auto"/>
          <w:spacing w:val="-6"/>
          <w:szCs w:val="21"/>
          <w:highlight w:val="none"/>
        </w:rPr>
      </w:pPr>
    </w:p>
    <w:p w14:paraId="13834B26">
      <w:pPr>
        <w:adjustRightInd w:val="0"/>
        <w:snapToGrid w:val="0"/>
        <w:spacing w:line="288" w:lineRule="auto"/>
        <w:ind w:firstLine="398" w:firstLineChars="200"/>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特别说明：如遇政府采购云平台电子化开标或评审程序调整的，按调整后程序执行。</w:t>
      </w:r>
    </w:p>
    <w:bookmarkEnd w:id="44"/>
    <w:p w14:paraId="70021D4A">
      <w:pPr>
        <w:ind w:left="0" w:leftChars="0" w:right="0" w:rightChars="0" w:firstLine="0" w:firstLineChars="0"/>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14:paraId="48A442B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六、评  标</w:t>
      </w:r>
    </w:p>
    <w:p w14:paraId="0A3675D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bookmarkStart w:id="45" w:name="_Hlk94018958"/>
      <w:r>
        <w:rPr>
          <w:rFonts w:hint="eastAsia" w:ascii="仿宋" w:hAnsi="仿宋" w:eastAsia="仿宋" w:cs="仿宋"/>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A9C1A0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5"/>
    <w:p w14:paraId="139468A9">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ascii="仿宋" w:hAnsi="仿宋" w:eastAsia="仿宋" w:cs="仿宋"/>
          <w:b/>
          <w:color w:val="auto"/>
          <w:kern w:val="0"/>
          <w:szCs w:val="21"/>
          <w:highlight w:val="none"/>
        </w:rPr>
      </w:pPr>
      <w:bookmarkStart w:id="46" w:name="_Hlk94019000"/>
      <w:r>
        <w:rPr>
          <w:rFonts w:hint="eastAsia" w:ascii="仿宋" w:hAnsi="仿宋" w:eastAsia="仿宋" w:cs="仿宋"/>
          <w:b/>
          <w:color w:val="auto"/>
          <w:kern w:val="0"/>
          <w:szCs w:val="21"/>
          <w:highlight w:val="none"/>
        </w:rPr>
        <w:t>（一）符合性审查</w:t>
      </w:r>
    </w:p>
    <w:p w14:paraId="24BC452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评标委员会对符合资格的投标人的投标文件进行符合性审查，以确定其是否满足招标文件的实质性要求。不满足招标文件的实质性要求的，投标无效。</w:t>
      </w:r>
    </w:p>
    <w:p w14:paraId="5B800392">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（二）比较与评价</w:t>
      </w:r>
    </w:p>
    <w:p w14:paraId="41F48FF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评标委员会按照招标文件中规定的评标方法和标准，对符合性审查合格的投标文件进行商务和技术评估，综合比较与评价。</w:t>
      </w:r>
    </w:p>
    <w:p w14:paraId="398A5536">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54E0DE2B">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（三）汇总商务技术得分</w:t>
      </w:r>
    </w:p>
    <w:p w14:paraId="273FDA53">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评标委员会各成员独立对每个投标人的商务和技术文件进行评价，并汇总商务技术得分情况。</w:t>
      </w:r>
    </w:p>
    <w:p w14:paraId="7DB5467D">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（四）报价评审</w:t>
      </w:r>
    </w:p>
    <w:p w14:paraId="2D75FF6C">
      <w:pPr>
        <w:keepNext w:val="0"/>
        <w:keepLines w:val="0"/>
        <w:pageBreakBefore w:val="0"/>
        <w:widowControl w:val="0"/>
        <w:kinsoku/>
        <w:wordWrap/>
        <w:overflowPunct/>
        <w:topLinePunct w:val="0"/>
        <w:autoSpaceDE/>
        <w:autoSpaceDN/>
        <w:bidi w:val="0"/>
        <w:adjustRightInd w:val="0"/>
        <w:snapToGrid w:val="0"/>
        <w:spacing w:line="288" w:lineRule="auto"/>
        <w:ind w:firstLine="396" w:firstLineChars="200"/>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政府采购云平台上传的电子投标文件报价与政府采购云平台录入报价不一致的，以上传的电子投标文件报价为准。</w:t>
      </w:r>
    </w:p>
    <w:p w14:paraId="13FE3291">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投标文件报价出现前后不一致的，按照下列规定修正：</w:t>
      </w:r>
    </w:p>
    <w:p w14:paraId="01E21979">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投标文件中开标一览表(报价表)内容与投标文件中相应内容不一致的，以开标一览表(报价表)为准；</w:t>
      </w:r>
    </w:p>
    <w:p w14:paraId="0843917E">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大写金额和小写金额不一致的，以大写金额为准；</w:t>
      </w:r>
    </w:p>
    <w:p w14:paraId="3D702F74">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单价金额小数点或者百分比有明显错位的，以开标一览表的总价为准，并修改单价；</w:t>
      </w:r>
    </w:p>
    <w:p w14:paraId="6077AC93">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总价金额与按单价汇总金额不一致的，以单价金额计算结果为准。</w:t>
      </w:r>
    </w:p>
    <w:p w14:paraId="7C1D4DB0">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同时出现两种以上不一致的，按照前款规定的顺序修正。修正后的报价按照财政部第87号令《政府采购货物和服务招标投标管理办法》第五十一条第二款的规定“投标人的澄清、说明或者补正应当采用书面形式，并</w:t>
      </w:r>
      <w:bookmarkStart w:id="47" w:name="_Hlk96329302"/>
      <w:r>
        <w:rPr>
          <w:rFonts w:hint="eastAsia" w:ascii="仿宋" w:hAnsi="仿宋" w:eastAsia="仿宋" w:cs="仿宋"/>
          <w:color w:val="auto"/>
          <w:kern w:val="0"/>
          <w:sz w:val="21"/>
          <w:szCs w:val="21"/>
          <w:highlight w:val="none"/>
        </w:rPr>
        <w:t>加盖公章，或者由</w:t>
      </w:r>
      <w:r>
        <w:rPr>
          <w:rFonts w:hint="eastAsia" w:ascii="仿宋" w:hAnsi="仿宋" w:eastAsia="仿宋" w:cs="仿宋"/>
          <w:color w:val="auto"/>
          <w:kern w:val="0"/>
          <w:sz w:val="21"/>
          <w:szCs w:val="21"/>
          <w:highlight w:val="none"/>
          <w:lang w:eastAsia="zh-CN"/>
        </w:rPr>
        <w:t>投标人代表</w:t>
      </w:r>
      <w:r>
        <w:rPr>
          <w:rFonts w:hint="eastAsia" w:ascii="仿宋" w:hAnsi="仿宋" w:eastAsia="仿宋" w:cs="仿宋"/>
          <w:color w:val="auto"/>
          <w:kern w:val="0"/>
          <w:sz w:val="21"/>
          <w:szCs w:val="21"/>
          <w:highlight w:val="none"/>
        </w:rPr>
        <w:t>签名</w:t>
      </w:r>
      <w:bookmarkEnd w:id="47"/>
      <w:r>
        <w:rPr>
          <w:rFonts w:hint="eastAsia" w:ascii="仿宋" w:hAnsi="仿宋" w:eastAsia="仿宋"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14:paraId="45BA420B">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6" w:firstLineChars="202"/>
        <w:textAlignment w:val="auto"/>
        <w:rPr>
          <w:rFonts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投标人收到修正确认文件后，在规定时间内未做出回复的，视为不确认。</w:t>
      </w:r>
    </w:p>
    <w:p w14:paraId="0E6474D9">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（五）投标人澄清、说明或者补正</w:t>
      </w:r>
    </w:p>
    <w:p w14:paraId="60416B1B">
      <w:pPr>
        <w:pStyle w:val="102"/>
        <w:keepNext w:val="0"/>
        <w:keepLines w:val="0"/>
        <w:pageBreakBefore w:val="0"/>
        <w:widowControl w:val="0"/>
        <w:kinsoku/>
        <w:wordWrap/>
        <w:overflowPunct/>
        <w:topLinePunct w:val="0"/>
        <w:autoSpaceDE/>
        <w:autoSpaceDN/>
        <w:bidi w:val="0"/>
        <w:adjustRightInd w:val="0"/>
        <w:snapToGrid w:val="0"/>
        <w:spacing w:before="0" w:line="288" w:lineRule="auto"/>
        <w:ind w:firstLine="424" w:firstLineChars="202"/>
        <w:textAlignment w:val="auto"/>
        <w:rPr>
          <w:rFonts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CEE0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投标人的书面澄清、说明或者补正无法通过政府采购云平台上传的，可在规定时间内（不少于半小时）通过指定的电子邮箱（zb08@qszb.net）提交。</w:t>
      </w:r>
    </w:p>
    <w:p w14:paraId="7229C1D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（六）排序与推荐</w:t>
      </w:r>
    </w:p>
    <w:p w14:paraId="60E81AB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：本项目</w:t>
      </w:r>
      <w:r>
        <w:rPr>
          <w:rFonts w:hint="eastAsia" w:ascii="仿宋" w:hAnsi="仿宋" w:eastAsia="仿宋" w:cs="仿宋"/>
          <w:color w:val="auto"/>
          <w:kern w:val="0"/>
          <w:szCs w:val="21"/>
          <w:highlight w:val="none"/>
          <w:lang w:eastAsia="zh-CN"/>
        </w:rPr>
        <w:t>评标方法</w:t>
      </w:r>
      <w:r>
        <w:rPr>
          <w:rFonts w:hint="eastAsia" w:ascii="仿宋" w:hAnsi="仿宋" w:eastAsia="仿宋" w:cs="仿宋"/>
          <w:color w:val="auto"/>
          <w:kern w:val="0"/>
          <w:szCs w:val="21"/>
          <w:highlight w:val="none"/>
        </w:rPr>
        <w:t>是综合评分法，具体</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等详见“第四章：</w:t>
      </w:r>
      <w:r>
        <w:rPr>
          <w:rFonts w:hint="eastAsia" w:ascii="仿宋" w:hAnsi="仿宋" w:eastAsia="仿宋" w:cs="仿宋"/>
          <w:color w:val="auto"/>
          <w:kern w:val="0"/>
          <w:szCs w:val="21"/>
          <w:highlight w:val="none"/>
          <w:lang w:eastAsia="zh-CN"/>
        </w:rPr>
        <w:t>评标方法和评标标准</w:t>
      </w:r>
      <w:r>
        <w:rPr>
          <w:rFonts w:hint="eastAsia" w:ascii="仿宋" w:hAnsi="仿宋" w:eastAsia="仿宋" w:cs="仿宋"/>
          <w:color w:val="auto"/>
          <w:kern w:val="0"/>
          <w:szCs w:val="21"/>
          <w:highlight w:val="none"/>
        </w:rPr>
        <w:t>”。</w:t>
      </w:r>
    </w:p>
    <w:p w14:paraId="6273F58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color w:val="auto"/>
          <w:spacing w:val="-6"/>
          <w:szCs w:val="21"/>
          <w:highlight w:val="none"/>
        </w:rPr>
        <w:t>本项目推荐</w:t>
      </w:r>
      <w:r>
        <w:rPr>
          <w:rFonts w:hint="eastAsia" w:ascii="仿宋" w:hAnsi="仿宋" w:eastAsia="仿宋" w:cs="仿宋"/>
          <w:bCs/>
          <w:color w:val="auto"/>
          <w:spacing w:val="-6"/>
          <w:szCs w:val="21"/>
          <w:highlight w:val="none"/>
          <w:lang w:val="en-US" w:eastAsia="zh-CN"/>
        </w:rPr>
        <w:t>一</w:t>
      </w:r>
      <w:r>
        <w:rPr>
          <w:rFonts w:hint="eastAsia" w:ascii="仿宋" w:hAnsi="仿宋" w:eastAsia="仿宋" w:cs="仿宋"/>
          <w:bCs/>
          <w:color w:val="auto"/>
          <w:spacing w:val="-6"/>
          <w:szCs w:val="21"/>
          <w:highlight w:val="none"/>
        </w:rPr>
        <w:t>名中标候选人。</w:t>
      </w:r>
    </w:p>
    <w:p w14:paraId="1CF1BF27">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D8A3864">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非单一产品采购项目，采购人应当根据采购项目技术构成、产品价格比重等合理确定核心产品，并在招标文件中载明。多家投标人提供的核心产品品牌相同的</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设定多个核心产品的</w:t>
      </w:r>
      <w:r>
        <w:rPr>
          <w:rFonts w:hint="eastAsia" w:ascii="仿宋" w:hAnsi="仿宋" w:eastAsia="仿宋" w:cs="仿宋"/>
          <w:kern w:val="0"/>
          <w:szCs w:val="21"/>
          <w:highlight w:val="none"/>
          <w:lang w:eastAsia="zh-CN"/>
        </w:rPr>
        <w:t>，</w:t>
      </w:r>
      <w:r>
        <w:rPr>
          <w:rFonts w:hint="eastAsia" w:ascii="仿宋" w:hAnsi="仿宋" w:eastAsia="仿宋" w:cs="仿宋"/>
          <w:kern w:val="0"/>
          <w:szCs w:val="21"/>
          <w:highlight w:val="none"/>
        </w:rPr>
        <w:t>任意一个核心产品</w:t>
      </w:r>
      <w:r>
        <w:rPr>
          <w:rFonts w:hint="eastAsia" w:ascii="仿宋" w:hAnsi="仿宋" w:eastAsia="仿宋" w:cs="仿宋"/>
          <w:kern w:val="0"/>
          <w:szCs w:val="21"/>
          <w:highlight w:val="none"/>
          <w:lang w:val="en-US" w:eastAsia="zh-CN"/>
        </w:rPr>
        <w:t>的</w:t>
      </w:r>
      <w:r>
        <w:rPr>
          <w:rFonts w:hint="eastAsia" w:ascii="仿宋" w:hAnsi="仿宋" w:eastAsia="仿宋" w:cs="仿宋"/>
          <w:kern w:val="0"/>
          <w:szCs w:val="21"/>
          <w:highlight w:val="none"/>
        </w:rPr>
        <w:t>品牌相同即视为核心产品品牌相同</w:t>
      </w:r>
      <w:r>
        <w:rPr>
          <w:rFonts w:hint="eastAsia" w:ascii="仿宋" w:hAnsi="仿宋" w:eastAsia="仿宋" w:cs="仿宋"/>
          <w:kern w:val="0"/>
          <w:szCs w:val="21"/>
          <w:highlight w:val="none"/>
          <w:lang w:eastAsia="zh-CN"/>
        </w:rPr>
        <w:t>）</w:t>
      </w:r>
      <w:r>
        <w:rPr>
          <w:rFonts w:hint="eastAsia" w:ascii="仿宋" w:hAnsi="仿宋" w:eastAsia="仿宋" w:cs="仿宋"/>
          <w:color w:val="auto"/>
          <w:kern w:val="0"/>
          <w:szCs w:val="21"/>
          <w:highlight w:val="none"/>
        </w:rPr>
        <w:t>，按前款规定处理。</w:t>
      </w:r>
    </w:p>
    <w:p w14:paraId="3FFFBBAE">
      <w:pPr>
        <w:keepNext w:val="0"/>
        <w:keepLines w:val="0"/>
        <w:pageBreakBefore w:val="0"/>
        <w:widowControl w:val="0"/>
        <w:kinsoku/>
        <w:wordWrap/>
        <w:overflowPunct/>
        <w:topLinePunct w:val="0"/>
        <w:autoSpaceDE/>
        <w:autoSpaceDN/>
        <w:bidi w:val="0"/>
        <w:adjustRightInd w:val="0"/>
        <w:snapToGrid w:val="0"/>
        <w:spacing w:line="288" w:lineRule="auto"/>
        <w:ind w:firstLine="426" w:firstLineChars="202"/>
        <w:textAlignment w:val="auto"/>
        <w:outlineLvl w:val="2"/>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（七）编写评标报告</w:t>
      </w:r>
    </w:p>
    <w:p w14:paraId="2D591F3D">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6"/>
    <w:p w14:paraId="4AC23084">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20678248">
      <w:pPr>
        <w:adjustRightInd w:val="0"/>
        <w:snapToGrid w:val="0"/>
        <w:spacing w:line="288" w:lineRule="auto"/>
        <w:ind w:left="0" w:leftChars="0" w:right="0" w:rightChars="0" w:firstLine="0" w:firstLineChars="0"/>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七、中标与合同</w:t>
      </w:r>
    </w:p>
    <w:p w14:paraId="08A7C3B2">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一</w:t>
      </w: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rPr>
        <w:t>中标</w:t>
      </w:r>
    </w:p>
    <w:p w14:paraId="386D4FFD">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r>
        <w:rPr>
          <w:rFonts w:hint="eastAsia" w:ascii="仿宋" w:hAnsi="仿宋" w:eastAsia="仿宋" w:cs="仿宋"/>
          <w:color w:val="auto"/>
          <w:spacing w:val="-6"/>
          <w:szCs w:val="21"/>
          <w:highlight w:val="none"/>
          <w:lang w:eastAsia="zh-CN"/>
        </w:rPr>
        <w:t>；</w:t>
      </w:r>
    </w:p>
    <w:p w14:paraId="55A4F8B7">
      <w:pPr>
        <w:adjustRightInd w:val="0"/>
        <w:snapToGrid w:val="0"/>
        <w:spacing w:line="288"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2.采购代理机构自中标人确定之日起2个工作日内，公告中标结果，并发出中标通知书</w:t>
      </w:r>
      <w:r>
        <w:rPr>
          <w:rFonts w:hint="eastAsia" w:ascii="仿宋" w:hAnsi="仿宋" w:eastAsia="仿宋" w:cs="仿宋"/>
          <w:color w:val="auto"/>
          <w:spacing w:val="-6"/>
          <w:szCs w:val="21"/>
          <w:highlight w:val="none"/>
          <w:lang w:eastAsia="zh-CN"/>
        </w:rPr>
        <w:t>；</w:t>
      </w:r>
    </w:p>
    <w:p w14:paraId="0C30ED63">
      <w:pPr>
        <w:adjustRightInd w:val="0"/>
        <w:snapToGrid w:val="0"/>
        <w:spacing w:line="288"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3.评标结果公示媒体：浙江政府采购网（http://zfcg.czt.zj.gov.cn）。</w:t>
      </w:r>
    </w:p>
    <w:p w14:paraId="33262479">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2"/>
        <w:rPr>
          <w:rFonts w:hint="eastAsia" w:ascii="仿宋" w:hAnsi="仿宋" w:eastAsia="仿宋" w:cs="仿宋"/>
          <w:b/>
          <w:color w:val="auto"/>
          <w:spacing w:val="-6"/>
          <w:szCs w:val="21"/>
          <w:highlight w:val="none"/>
          <w:lang w:eastAsia="zh-CN"/>
        </w:rPr>
      </w:pPr>
      <w:r>
        <w:rPr>
          <w:rFonts w:hint="eastAsia" w:ascii="仿宋" w:hAnsi="仿宋" w:eastAsia="仿宋" w:cs="仿宋"/>
          <w:b/>
          <w:color w:val="auto"/>
          <w:spacing w:val="-6"/>
          <w:szCs w:val="21"/>
          <w:highlight w:val="none"/>
          <w:lang w:eastAsia="zh-CN"/>
        </w:rPr>
        <w:t>（</w:t>
      </w: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lang w:eastAsia="zh-CN"/>
        </w:rPr>
        <w:t>）合同</w:t>
      </w:r>
    </w:p>
    <w:p w14:paraId="531721BC">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14E2897">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5076D2">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BA5ADD9">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14:paraId="6F528112">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184675B1">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采购人可以邀请参加本项目的其他投标人或者第三方机构参与验收。参与验收的投标人或者第三方机构的意见作为验收书的参考资料一并存档。</w:t>
      </w:r>
    </w:p>
    <w:p w14:paraId="710E59FA">
      <w:pPr>
        <w:tabs>
          <w:tab w:val="left" w:pos="0"/>
        </w:tabs>
        <w:adjustRightInd w:val="0"/>
        <w:snapToGrid w:val="0"/>
        <w:spacing w:line="288" w:lineRule="auto"/>
        <w:ind w:firstLine="422" w:firstLineChars="201"/>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36F839">
      <w:pPr>
        <w:tabs>
          <w:tab w:val="left" w:pos="0"/>
        </w:tabs>
        <w:adjustRightInd w:val="0"/>
        <w:snapToGrid w:val="0"/>
        <w:spacing w:line="288" w:lineRule="auto"/>
        <w:ind w:firstLine="422" w:firstLineChars="201"/>
        <w:rPr>
          <w:rFonts w:ascii="仿宋" w:hAnsi="仿宋" w:eastAsia="仿宋" w:cs="仿宋"/>
          <w:b/>
          <w:color w:val="auto"/>
          <w:spacing w:val="-6"/>
          <w:szCs w:val="21"/>
          <w:highlight w:val="none"/>
        </w:rPr>
      </w:pPr>
      <w:r>
        <w:rPr>
          <w:rFonts w:hint="eastAsia" w:ascii="仿宋" w:hAnsi="仿宋" w:eastAsia="仿宋" w:cs="仿宋"/>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542942F">
      <w:pPr>
        <w:adjustRightInd w:val="0"/>
        <w:snapToGrid w:val="0"/>
        <w:spacing w:line="288" w:lineRule="auto"/>
        <w:ind w:firstLine="398" w:firstLineChars="20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71E835C">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九、可中止电子交易活动的情形</w:t>
      </w:r>
    </w:p>
    <w:p w14:paraId="632CF04D">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采购过程中出现以下情形，导致电子交易平台无法正常运行，或者无法保证电子交易的公平、公正和安全时，采购代理机构可中止电子交易活动：</w:t>
      </w:r>
    </w:p>
    <w:p w14:paraId="54560C96">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1.电子交易平台发生故障而无法登录访问的；</w:t>
      </w:r>
    </w:p>
    <w:p w14:paraId="38B6574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2.电子交易平台应用或数据库出现错误，不能进行正常操作的；</w:t>
      </w:r>
    </w:p>
    <w:p w14:paraId="5A208600">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3.电子交易平台发现严重安全漏洞，有潜在泄密危险的；</w:t>
      </w:r>
    </w:p>
    <w:p w14:paraId="2D301938">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4.病毒发作导致不能进行正常操作的；</w:t>
      </w:r>
    </w:p>
    <w:p w14:paraId="55A0F61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5.其他无法保证电子交易的公平、公正和安全的情况。</w:t>
      </w:r>
    </w:p>
    <w:p w14:paraId="5A4BAC90">
      <w:pPr>
        <w:adjustRightInd w:val="0"/>
        <w:snapToGrid w:val="0"/>
        <w:spacing w:line="288"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65E15B2">
      <w:pPr>
        <w:adjustRightInd w:val="0"/>
        <w:snapToGrid w:val="0"/>
        <w:spacing w:line="288" w:lineRule="auto"/>
        <w:ind w:left="0" w:leftChars="0" w:right="0" w:rightChars="0" w:firstLine="0" w:firstLineChars="0"/>
        <w:jc w:val="cente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57FAB620">
      <w:pPr>
        <w:adjustRightInd w:val="0"/>
        <w:snapToGrid w:val="0"/>
        <w:spacing w:line="288" w:lineRule="auto"/>
        <w:ind w:left="0" w:leftChars="0" w:right="0" w:rightChars="0" w:firstLine="0" w:firstLineChars="0"/>
        <w:jc w:val="center"/>
        <w:outlineLvl w:val="0"/>
        <w:rPr>
          <w:rFonts w:hint="eastAsia" w:ascii="仿宋" w:hAnsi="仿宋" w:eastAsia="仿宋" w:cs="仿宋"/>
          <w:b/>
          <w:color w:val="auto"/>
          <w:spacing w:val="-6"/>
          <w:sz w:val="32"/>
          <w:szCs w:val="32"/>
          <w:highlight w:val="none"/>
          <w:lang w:eastAsia="zh-CN"/>
        </w:rPr>
      </w:pPr>
      <w:r>
        <w:rPr>
          <w:rFonts w:hint="eastAsia" w:ascii="仿宋" w:hAnsi="仿宋" w:eastAsia="仿宋" w:cs="仿宋"/>
          <w:b/>
          <w:color w:val="auto"/>
          <w:sz w:val="32"/>
          <w:szCs w:val="32"/>
          <w:highlight w:val="none"/>
        </w:rPr>
        <w:t xml:space="preserve">第四章  </w:t>
      </w:r>
      <w:r>
        <w:rPr>
          <w:rFonts w:hint="eastAsia" w:ascii="仿宋" w:hAnsi="仿宋" w:eastAsia="仿宋" w:cs="仿宋"/>
          <w:b/>
          <w:color w:val="auto"/>
          <w:sz w:val="32"/>
          <w:szCs w:val="32"/>
          <w:highlight w:val="none"/>
          <w:lang w:eastAsia="zh-CN"/>
        </w:rPr>
        <w:t>评标方法和评标标准</w:t>
      </w:r>
    </w:p>
    <w:p w14:paraId="5E929356">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一、评标方法</w:t>
      </w:r>
    </w:p>
    <w:p w14:paraId="60326A52">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本次评标采用综合评分法，总分为100分。评分过程中采用四舍五入法，并保留小数2位。</w:t>
      </w:r>
    </w:p>
    <w:p w14:paraId="1736E3D5">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color w:val="auto"/>
          <w:spacing w:val="-6"/>
          <w:szCs w:val="21"/>
          <w:highlight w:val="none"/>
        </w:rPr>
        <w:t>投标人评标</w:t>
      </w:r>
      <w:r>
        <w:rPr>
          <w:rFonts w:hint="eastAsia" w:ascii="仿宋" w:hAnsi="仿宋" w:eastAsia="仿宋" w:cs="仿宋"/>
          <w:bCs/>
          <w:color w:val="auto"/>
          <w:spacing w:val="-6"/>
          <w:szCs w:val="21"/>
          <w:highlight w:val="none"/>
        </w:rPr>
        <w:t>综合得分=商务分+技术分+价格分</w:t>
      </w:r>
    </w:p>
    <w:p w14:paraId="5B8D4A3B">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bCs/>
          <w:color w:val="auto"/>
          <w:spacing w:val="-6"/>
          <w:szCs w:val="21"/>
          <w:highlight w:val="none"/>
        </w:rPr>
        <w:t>商务和技术分按照评标委员会成员的独立评分结果的算术平均分计算，计算公式为：商务分、技术分=评标委员会所有成员评分合计数/评标委员会组成人员数</w:t>
      </w:r>
    </w:p>
    <w:p w14:paraId="6E78564B">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二、评标标准</w:t>
      </w:r>
    </w:p>
    <w:tbl>
      <w:tblPr>
        <w:tblStyle w:val="26"/>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690"/>
        <w:gridCol w:w="7392"/>
      </w:tblGrid>
      <w:tr w14:paraId="0891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Align w:val="center"/>
          </w:tcPr>
          <w:p w14:paraId="7AE43744">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359" w:type="pct"/>
            <w:vAlign w:val="center"/>
          </w:tcPr>
          <w:p w14:paraId="75D8715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3842" w:type="pct"/>
            <w:vAlign w:val="center"/>
          </w:tcPr>
          <w:p w14:paraId="6B61DA7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评分标准</w:t>
            </w:r>
          </w:p>
        </w:tc>
      </w:tr>
      <w:tr w14:paraId="3C69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62F9B54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价格分</w:t>
            </w:r>
          </w:p>
        </w:tc>
      </w:tr>
      <w:tr w14:paraId="6551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tcBorders>
              <w:top w:val="single" w:color="auto" w:sz="4" w:space="0"/>
              <w:left w:val="single" w:color="auto" w:sz="4" w:space="0"/>
              <w:bottom w:val="single" w:color="auto" w:sz="4" w:space="0"/>
              <w:right w:val="single" w:color="auto" w:sz="4" w:space="0"/>
            </w:tcBorders>
            <w:vAlign w:val="center"/>
          </w:tcPr>
          <w:p w14:paraId="6E8321E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投标报价</w:t>
            </w:r>
          </w:p>
        </w:tc>
        <w:tc>
          <w:tcPr>
            <w:tcW w:w="359" w:type="pct"/>
            <w:tcBorders>
              <w:top w:val="single" w:color="auto" w:sz="4" w:space="0"/>
              <w:left w:val="single" w:color="auto" w:sz="4" w:space="0"/>
              <w:bottom w:val="single" w:color="auto" w:sz="4" w:space="0"/>
              <w:right w:val="single" w:color="auto" w:sz="4" w:space="0"/>
            </w:tcBorders>
            <w:vAlign w:val="center"/>
          </w:tcPr>
          <w:p w14:paraId="6574DDB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30</w:t>
            </w:r>
          </w:p>
        </w:tc>
        <w:tc>
          <w:tcPr>
            <w:tcW w:w="3842" w:type="pct"/>
            <w:tcBorders>
              <w:top w:val="single" w:color="auto" w:sz="4" w:space="0"/>
              <w:left w:val="single" w:color="auto" w:sz="4" w:space="0"/>
              <w:bottom w:val="single" w:color="auto" w:sz="4" w:space="0"/>
              <w:right w:val="single" w:color="auto" w:sz="4" w:space="0"/>
            </w:tcBorders>
            <w:vAlign w:val="center"/>
          </w:tcPr>
          <w:p w14:paraId="3481E8A5">
            <w:pPr>
              <w:keepNext w:val="0"/>
              <w:keepLines w:val="0"/>
              <w:pageBreakBefore w:val="0"/>
              <w:widowControl w:val="0"/>
              <w:kinsoku/>
              <w:wordWrap/>
              <w:overflowPunct/>
              <w:topLinePunct w:val="0"/>
              <w:autoSpaceDE/>
              <w:autoSpaceDN/>
              <w:bidi w:val="0"/>
              <w:adjustRightInd w:val="0"/>
              <w:snapToGrid w:val="0"/>
              <w:textAlignment w:val="auto"/>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价格分采用低价优先法计算，即满足招标文件要求且投标价格最低的投标报价为评标基准价，其价格分为满分。其他投标人的价格分按照下列公式计算：</w:t>
            </w:r>
          </w:p>
          <w:p w14:paraId="587E20F5">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价格分=（评标基准价/投标报价）*</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%*100</w:t>
            </w:r>
          </w:p>
          <w:p w14:paraId="0CA29AA8">
            <w:pPr>
              <w:keepNext w:val="0"/>
              <w:keepLines w:val="0"/>
              <w:pageBreakBefore w:val="0"/>
              <w:widowControl w:val="0"/>
              <w:kinsoku/>
              <w:wordWrap/>
              <w:overflowPunct/>
              <w:topLinePunct w:val="0"/>
              <w:autoSpaceDE/>
              <w:autoSpaceDN/>
              <w:bidi w:val="0"/>
              <w:adjustRightInd w:val="0"/>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18"/>
                <w:szCs w:val="18"/>
                <w:highlight w:val="none"/>
                <w:lang w:val="en-US" w:eastAsia="zh-CN"/>
              </w:rPr>
              <w:t>注：</w:t>
            </w:r>
            <w:r>
              <w:rPr>
                <w:rFonts w:hint="eastAsia" w:ascii="仿宋" w:hAnsi="仿宋" w:eastAsia="仿宋" w:cs="仿宋"/>
                <w:b/>
                <w:bCs/>
                <w:color w:val="auto"/>
                <w:sz w:val="18"/>
                <w:szCs w:val="18"/>
                <w:highlight w:val="none"/>
              </w:rPr>
              <w:t>本</w:t>
            </w:r>
            <w:r>
              <w:rPr>
                <w:rFonts w:hint="eastAsia" w:ascii="仿宋" w:hAnsi="仿宋" w:eastAsia="仿宋" w:cs="仿宋"/>
                <w:b/>
                <w:bCs/>
                <w:color w:val="auto"/>
                <w:sz w:val="18"/>
                <w:szCs w:val="18"/>
                <w:highlight w:val="none"/>
                <w:lang w:val="en-US" w:eastAsia="zh-CN"/>
              </w:rPr>
              <w:t>项目</w:t>
            </w:r>
            <w:r>
              <w:rPr>
                <w:rFonts w:hint="eastAsia" w:ascii="仿宋" w:hAnsi="仿宋" w:eastAsia="仿宋" w:cs="仿宋"/>
                <w:b/>
                <w:bCs/>
                <w:color w:val="auto"/>
                <w:sz w:val="18"/>
                <w:szCs w:val="18"/>
                <w:highlight w:val="none"/>
              </w:rPr>
              <w:t>专门面向中小企业采购，不再执行价格评审优惠的扶持政策</w:t>
            </w:r>
            <w:r>
              <w:rPr>
                <w:rFonts w:hint="eastAsia" w:ascii="仿宋" w:hAnsi="仿宋" w:eastAsia="仿宋" w:cs="仿宋"/>
                <w:b/>
                <w:bCs/>
                <w:color w:val="auto"/>
                <w:sz w:val="18"/>
                <w:szCs w:val="18"/>
                <w:highlight w:val="none"/>
                <w:lang w:eastAsia="zh-CN"/>
              </w:rPr>
              <w:t>。</w:t>
            </w:r>
          </w:p>
        </w:tc>
      </w:tr>
      <w:tr w14:paraId="0447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7D44E532">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商务分</w:t>
            </w:r>
          </w:p>
        </w:tc>
      </w:tr>
      <w:tr w14:paraId="3C21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Align w:val="center"/>
          </w:tcPr>
          <w:p w14:paraId="64D1D9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质保期</w:t>
            </w:r>
          </w:p>
        </w:tc>
        <w:tc>
          <w:tcPr>
            <w:tcW w:w="359" w:type="pct"/>
            <w:vAlign w:val="center"/>
          </w:tcPr>
          <w:p w14:paraId="4920C7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3842" w:type="pct"/>
            <w:vAlign w:val="center"/>
          </w:tcPr>
          <w:p w14:paraId="19AAA9B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客观分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满足招标文件要求基础上每延长1年（所有产品均延长）得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分（最高</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分），延长时间不足1年不计入得分，不满足招标文件要求投标无效。</w:t>
            </w:r>
          </w:p>
        </w:tc>
      </w:tr>
      <w:tr w14:paraId="2C6C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Align w:val="center"/>
          </w:tcPr>
          <w:p w14:paraId="376FC19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 w:val="21"/>
                <w:szCs w:val="21"/>
                <w:highlight w:val="none"/>
              </w:rPr>
              <w:t>业绩</w:t>
            </w:r>
          </w:p>
        </w:tc>
        <w:tc>
          <w:tcPr>
            <w:tcW w:w="359" w:type="pct"/>
            <w:vAlign w:val="center"/>
          </w:tcPr>
          <w:p w14:paraId="1916022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842" w:type="pct"/>
            <w:vAlign w:val="center"/>
          </w:tcPr>
          <w:p w14:paraId="6EC5B46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[客观分]</w:t>
            </w:r>
            <w:r>
              <w:rPr>
                <w:rFonts w:hint="eastAsia" w:ascii="仿宋" w:hAnsi="仿宋" w:eastAsia="仿宋" w:cs="仿宋"/>
                <w:b w:val="0"/>
                <w:bCs w:val="0"/>
                <w:color w:val="auto"/>
                <w:sz w:val="21"/>
                <w:szCs w:val="21"/>
                <w:highlight w:val="none"/>
              </w:rPr>
              <w:t>投标人自</w:t>
            </w:r>
            <w:r>
              <w:rPr>
                <w:rFonts w:hint="eastAsia" w:ascii="仿宋" w:hAnsi="仿宋" w:eastAsia="仿宋" w:cs="仿宋"/>
                <w:b w:val="0"/>
                <w:bCs w:val="0"/>
                <w:color w:val="auto"/>
                <w:sz w:val="21"/>
                <w:szCs w:val="21"/>
                <w:highlight w:val="none"/>
                <w:lang w:val="en-US" w:eastAsia="zh-CN"/>
              </w:rPr>
              <w:t>2022</w:t>
            </w:r>
            <w:r>
              <w:rPr>
                <w:rFonts w:hint="eastAsia" w:ascii="仿宋" w:hAnsi="仿宋" w:eastAsia="仿宋" w:cs="仿宋"/>
                <w:b w:val="0"/>
                <w:bCs w:val="0"/>
                <w:color w:val="auto"/>
                <w:sz w:val="21"/>
                <w:szCs w:val="21"/>
                <w:highlight w:val="none"/>
              </w:rPr>
              <w:t>年1月1日以来（以合同签订时间为准）</w:t>
            </w:r>
            <w:r>
              <w:rPr>
                <w:rFonts w:hint="eastAsia" w:ascii="仿宋" w:hAnsi="仿宋" w:eastAsia="仿宋" w:cs="仿宋"/>
                <w:b w:val="0"/>
                <w:bCs w:val="0"/>
                <w:color w:val="auto"/>
                <w:sz w:val="21"/>
                <w:szCs w:val="21"/>
                <w:highlight w:val="none"/>
                <w:lang w:eastAsia="zh-CN"/>
              </w:rPr>
              <w:t>与采购标的同品类</w:t>
            </w:r>
            <w:r>
              <w:rPr>
                <w:rFonts w:hint="eastAsia" w:ascii="仿宋" w:hAnsi="仿宋" w:eastAsia="仿宋" w:cs="仿宋"/>
                <w:b w:val="0"/>
                <w:bCs w:val="0"/>
                <w:color w:val="auto"/>
                <w:sz w:val="21"/>
                <w:szCs w:val="21"/>
                <w:highlight w:val="none"/>
                <w:lang w:val="en-US" w:eastAsia="zh-CN"/>
              </w:rPr>
              <w:t>产品</w:t>
            </w:r>
            <w:r>
              <w:rPr>
                <w:rFonts w:hint="eastAsia" w:ascii="仿宋" w:hAnsi="仿宋" w:eastAsia="仿宋" w:cs="仿宋"/>
                <w:b w:val="0"/>
                <w:bCs w:val="0"/>
                <w:color w:val="auto"/>
                <w:sz w:val="21"/>
                <w:szCs w:val="21"/>
                <w:highlight w:val="none"/>
              </w:rPr>
              <w:t>业绩（</w:t>
            </w:r>
            <w:r>
              <w:rPr>
                <w:rFonts w:hint="eastAsia" w:ascii="仿宋" w:hAnsi="仿宋" w:eastAsia="仿宋" w:cs="仿宋"/>
                <w:b w:val="0"/>
                <w:bCs w:val="0"/>
                <w:color w:val="auto"/>
                <w:sz w:val="21"/>
                <w:szCs w:val="21"/>
                <w:highlight w:val="none"/>
                <w:lang w:eastAsia="zh-CN"/>
              </w:rPr>
              <w:t>最高</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份</w:t>
            </w:r>
            <w:r>
              <w:rPr>
                <w:rFonts w:hint="eastAsia" w:ascii="仿宋" w:hAnsi="仿宋" w:eastAsia="仿宋" w:cs="仿宋"/>
                <w:b w:val="0"/>
                <w:bCs w:val="0"/>
                <w:color w:val="auto"/>
                <w:sz w:val="21"/>
                <w:szCs w:val="21"/>
                <w:highlight w:val="none"/>
                <w:lang w:val="en-US" w:eastAsia="zh-CN"/>
              </w:rPr>
              <w:t>（以</w:t>
            </w:r>
            <w:r>
              <w:rPr>
                <w:rFonts w:hint="eastAsia" w:ascii="仿宋" w:hAnsi="仿宋" w:eastAsia="仿宋" w:cs="仿宋"/>
                <w:b w:val="0"/>
                <w:bCs w:val="0"/>
                <w:color w:val="auto"/>
                <w:sz w:val="21"/>
                <w:szCs w:val="21"/>
                <w:highlight w:val="none"/>
              </w:rPr>
              <w:t>合同</w:t>
            </w:r>
            <w:r>
              <w:rPr>
                <w:rFonts w:hint="eastAsia" w:ascii="仿宋" w:hAnsi="仿宋" w:eastAsia="仿宋" w:cs="仿宋"/>
                <w:b w:val="0"/>
                <w:bCs w:val="0"/>
                <w:color w:val="auto"/>
                <w:sz w:val="21"/>
                <w:szCs w:val="21"/>
                <w:highlight w:val="none"/>
                <w:lang w:val="en-US" w:eastAsia="zh-CN"/>
              </w:rPr>
              <w:t>及对应验收报告</w:t>
            </w:r>
            <w:r>
              <w:rPr>
                <w:rFonts w:hint="eastAsia" w:ascii="仿宋" w:hAnsi="仿宋" w:eastAsia="仿宋" w:cs="仿宋"/>
                <w:b w:val="0"/>
                <w:bCs w:val="0"/>
                <w:color w:val="auto"/>
                <w:sz w:val="21"/>
                <w:szCs w:val="21"/>
                <w:highlight w:val="none"/>
              </w:rPr>
              <w:t>或省级以上主管部门认定的</w:t>
            </w:r>
            <w:r>
              <w:rPr>
                <w:rFonts w:hint="eastAsia" w:ascii="仿宋" w:hAnsi="仿宋" w:eastAsia="仿宋" w:cs="仿宋"/>
                <w:b w:val="0"/>
                <w:bCs w:val="0"/>
                <w:color w:val="auto"/>
                <w:sz w:val="21"/>
                <w:szCs w:val="21"/>
                <w:highlight w:val="none"/>
                <w:lang w:eastAsia="zh-CN"/>
              </w:rPr>
              <w:t>首台套产品相关证明材料或“制造精品”相关证明材料</w:t>
            </w:r>
            <w:r>
              <w:rPr>
                <w:rFonts w:hint="eastAsia" w:ascii="仿宋" w:hAnsi="仿宋" w:eastAsia="仿宋" w:cs="仿宋"/>
                <w:b w:val="0"/>
                <w:bCs w:val="0"/>
                <w:color w:val="auto"/>
                <w:sz w:val="21"/>
                <w:szCs w:val="21"/>
                <w:highlight w:val="none"/>
                <w:lang w:val="en-US" w:eastAsia="zh-CN"/>
              </w:rPr>
              <w:t>或</w:t>
            </w:r>
            <w:r>
              <w:rPr>
                <w:rFonts w:hint="eastAsia" w:ascii="仿宋" w:hAnsi="仿宋" w:eastAsia="仿宋" w:cs="仿宋"/>
                <w:b w:val="0"/>
                <w:bCs w:val="0"/>
                <w:spacing w:val="-6"/>
                <w:szCs w:val="21"/>
                <w:highlight w:val="none"/>
              </w:rPr>
              <w:t>“专精特新”</w:t>
            </w:r>
            <w:r>
              <w:rPr>
                <w:rFonts w:hint="eastAsia" w:ascii="仿宋" w:hAnsi="仿宋" w:eastAsia="仿宋" w:cs="仿宋"/>
                <w:b w:val="0"/>
                <w:bCs w:val="0"/>
                <w:color w:val="auto"/>
                <w:sz w:val="21"/>
                <w:szCs w:val="21"/>
                <w:highlight w:val="none"/>
                <w:lang w:eastAsia="zh-CN"/>
              </w:rPr>
              <w:t>相关证明材料</w:t>
            </w:r>
            <w:r>
              <w:rPr>
                <w:rFonts w:hint="eastAsia" w:ascii="仿宋" w:hAnsi="仿宋" w:eastAsia="仿宋" w:cs="仿宋"/>
                <w:b w:val="0"/>
                <w:bCs w:val="0"/>
                <w:color w:val="auto"/>
                <w:sz w:val="21"/>
                <w:szCs w:val="21"/>
                <w:highlight w:val="none"/>
                <w:lang w:val="en-US" w:eastAsia="zh-CN"/>
              </w:rPr>
              <w:t>为准）</w:t>
            </w:r>
          </w:p>
          <w:p w14:paraId="62ADD5C7">
            <w:pPr>
              <w:keepNext w:val="0"/>
              <w:keepLines w:val="0"/>
              <w:pageBreakBefore w:val="0"/>
              <w:widowControl w:val="0"/>
              <w:kinsoku/>
              <w:wordWrap/>
              <w:overflowPunct/>
              <w:topLinePunct w:val="0"/>
              <w:autoSpaceDE/>
              <w:autoSpaceDN/>
              <w:bidi w:val="0"/>
              <w:adjustRightInd w:val="0"/>
              <w:snapToGrid w:val="0"/>
              <w:textAlignment w:val="auto"/>
              <w:rPr>
                <w:rFonts w:hint="default" w:ascii="仿宋" w:hAnsi="仿宋" w:eastAsia="仿宋" w:cs="仿宋"/>
                <w:color w:val="auto"/>
                <w:szCs w:val="21"/>
                <w:highlight w:val="none"/>
                <w:lang w:val="en-US" w:eastAsia="zh-CN"/>
              </w:rPr>
            </w:pPr>
            <w:r>
              <w:rPr>
                <w:rFonts w:hint="eastAsia" w:ascii="仿宋" w:hAnsi="仿宋" w:eastAsia="仿宋" w:cs="仿宋"/>
                <w:b/>
                <w:bCs/>
                <w:color w:val="auto"/>
                <w:sz w:val="18"/>
                <w:szCs w:val="18"/>
                <w:highlight w:val="none"/>
                <w:lang w:val="en-US" w:eastAsia="zh-CN"/>
              </w:rPr>
              <w:t>注：如联合体投标则以</w:t>
            </w:r>
            <w:r>
              <w:rPr>
                <w:rFonts w:hint="eastAsia" w:ascii="仿宋" w:hAnsi="仿宋" w:eastAsia="仿宋" w:cs="仿宋"/>
                <w:b/>
                <w:bCs/>
                <w:color w:val="auto"/>
                <w:sz w:val="18"/>
                <w:szCs w:val="18"/>
                <w:highlight w:val="none"/>
                <w:lang w:eastAsia="zh-CN"/>
              </w:rPr>
              <w:t>提供材料较少一方为准</w:t>
            </w:r>
          </w:p>
        </w:tc>
      </w:tr>
      <w:tr w14:paraId="6496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Align w:val="center"/>
          </w:tcPr>
          <w:p w14:paraId="6ACBD1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政策功能</w:t>
            </w:r>
          </w:p>
        </w:tc>
        <w:tc>
          <w:tcPr>
            <w:tcW w:w="359" w:type="pct"/>
            <w:vAlign w:val="center"/>
          </w:tcPr>
          <w:p w14:paraId="52BC30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w:t>
            </w:r>
          </w:p>
        </w:tc>
        <w:tc>
          <w:tcPr>
            <w:tcW w:w="3842" w:type="pct"/>
            <w:vAlign w:val="center"/>
          </w:tcPr>
          <w:p w14:paraId="220BBE4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auto"/>
                <w:szCs w:val="21"/>
                <w:highlight w:val="none"/>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投标产品属于财政部、发展改革委公布的“节能产品政府采购品目清单”范围且具有国家确定的认证机构出具的处于有效期之内的节能产品认证证书（最高0.5分）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0.5分/样</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p w14:paraId="08ED213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客观分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投标产品</w:t>
            </w:r>
            <w:r>
              <w:rPr>
                <w:rFonts w:hint="eastAsia" w:ascii="仿宋" w:hAnsi="仿宋" w:eastAsia="仿宋" w:cs="仿宋"/>
                <w:b w:val="0"/>
                <w:bCs w:val="0"/>
                <w:color w:val="auto"/>
                <w:szCs w:val="21"/>
                <w:highlight w:val="none"/>
              </w:rPr>
              <w:t>属于财政部、生态环境部公布的“环境标志产品政府采购品目清单”范围且具有国家确定的认证机构出具的处于有效期之内的环境标志产品认证书</w:t>
            </w:r>
            <w:r>
              <w:rPr>
                <w:rFonts w:hint="eastAsia" w:ascii="仿宋" w:hAnsi="仿宋" w:eastAsia="仿宋" w:cs="仿宋"/>
                <w:b w:val="0"/>
                <w:bCs w:val="0"/>
                <w:color w:val="auto"/>
                <w:szCs w:val="21"/>
                <w:highlight w:val="none"/>
                <w:lang w:val="en-US" w:eastAsia="zh-CN"/>
              </w:rPr>
              <w:t>（最高0.5分）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0.5分/样</w:t>
            </w:r>
            <w:r>
              <w:rPr>
                <w:rFonts w:hint="eastAsia" w:ascii="仿宋" w:hAnsi="仿宋" w:eastAsia="仿宋" w:cs="仿宋"/>
                <w:b w:val="0"/>
                <w:bCs w:val="0"/>
                <w:color w:val="auto"/>
                <w:szCs w:val="21"/>
                <w:highlight w:val="none"/>
              </w:rPr>
              <w:t>（</w:t>
            </w:r>
            <w:r>
              <w:rPr>
                <w:rFonts w:hint="eastAsia" w:ascii="仿宋" w:hAnsi="仿宋" w:eastAsia="仿宋" w:cs="仿宋"/>
                <w:b w:val="0"/>
                <w:bCs w:val="0"/>
                <w:color w:val="auto"/>
                <w:szCs w:val="21"/>
                <w:highlight w:val="none"/>
                <w:lang w:eastAsia="zh-CN"/>
              </w:rPr>
              <w:t>以认证证书为准</w:t>
            </w:r>
            <w:r>
              <w:rPr>
                <w:rFonts w:hint="eastAsia" w:ascii="仿宋" w:hAnsi="仿宋" w:eastAsia="仿宋" w:cs="仿宋"/>
                <w:b w:val="0"/>
                <w:bCs w:val="0"/>
                <w:color w:val="auto"/>
                <w:szCs w:val="21"/>
                <w:highlight w:val="none"/>
              </w:rPr>
              <w:t>）</w:t>
            </w:r>
          </w:p>
        </w:tc>
      </w:tr>
      <w:tr w14:paraId="552E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3E921C6A">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cs="仿宋"/>
                <w:color w:val="auto"/>
                <w:szCs w:val="21"/>
                <w:highlight w:val="none"/>
              </w:rPr>
            </w:pPr>
            <w:r>
              <w:rPr>
                <w:rFonts w:hint="eastAsia" w:ascii="仿宋" w:hAnsi="仿宋" w:eastAsia="仿宋" w:cs="仿宋"/>
                <w:b/>
                <w:bCs/>
                <w:color w:val="auto"/>
                <w:szCs w:val="21"/>
                <w:highlight w:val="none"/>
              </w:rPr>
              <w:t>技术分</w:t>
            </w:r>
          </w:p>
        </w:tc>
      </w:tr>
      <w:tr w14:paraId="0B3D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Align w:val="center"/>
          </w:tcPr>
          <w:p w14:paraId="3731B26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产品响应</w:t>
            </w:r>
          </w:p>
        </w:tc>
        <w:tc>
          <w:tcPr>
            <w:tcW w:w="359" w:type="pct"/>
            <w:vAlign w:val="center"/>
          </w:tcPr>
          <w:p w14:paraId="5F70A85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10</w:t>
            </w:r>
          </w:p>
        </w:tc>
        <w:tc>
          <w:tcPr>
            <w:tcW w:w="3842" w:type="pct"/>
            <w:vAlign w:val="center"/>
          </w:tcPr>
          <w:p w14:paraId="223155EF">
            <w:pPr>
              <w:keepNext w:val="0"/>
              <w:keepLines w:val="0"/>
              <w:pageBreakBefore w:val="0"/>
              <w:widowControl w:val="0"/>
              <w:kinsoku/>
              <w:wordWrap/>
              <w:overflowPunct/>
              <w:topLinePunct w:val="0"/>
              <w:autoSpaceDE/>
              <w:autoSpaceDN/>
              <w:bidi w:val="0"/>
              <w:adjustRightInd w:val="0"/>
              <w:snapToGrid w:val="0"/>
              <w:textAlignment w:val="auto"/>
              <w:rPr>
                <w:rFonts w:hint="default" w:ascii="仿宋" w:hAnsi="仿宋" w:eastAsia="仿宋" w:cs="仿宋"/>
                <w:b w:val="0"/>
                <w:bCs w:val="0"/>
                <w:color w:val="auto"/>
                <w:szCs w:val="21"/>
                <w:highlight w:val="none"/>
                <w:lang w:val="en-US"/>
              </w:rPr>
            </w:pPr>
            <w:r>
              <w:rPr>
                <w:rFonts w:hint="eastAsia" w:ascii="仿宋" w:hAnsi="仿宋" w:eastAsia="仿宋" w:cs="仿宋"/>
                <w:b/>
                <w:bCs/>
                <w:color w:val="auto"/>
                <w:szCs w:val="21"/>
                <w:highlight w:val="none"/>
                <w:lang w:val="en-US" w:eastAsia="zh-CN"/>
              </w:rPr>
              <w:t>[客观分]</w:t>
            </w:r>
            <w:r>
              <w:rPr>
                <w:rFonts w:hint="eastAsia" w:ascii="仿宋" w:hAnsi="仿宋" w:eastAsia="仿宋" w:cs="仿宋"/>
                <w:b w:val="0"/>
                <w:bCs w:val="0"/>
                <w:color w:val="auto"/>
                <w:szCs w:val="21"/>
                <w:highlight w:val="none"/>
              </w:rPr>
              <w:t>满足</w:t>
            </w:r>
            <w:r>
              <w:rPr>
                <w:rFonts w:hint="eastAsia" w:ascii="仿宋" w:hAnsi="仿宋" w:eastAsia="仿宋" w:cs="仿宋"/>
                <w:b w:val="0"/>
                <w:bCs w:val="0"/>
                <w:color w:val="auto"/>
                <w:szCs w:val="21"/>
                <w:highlight w:val="none"/>
                <w:lang w:val="en-US" w:eastAsia="zh-CN"/>
              </w:rPr>
              <w:t>或优于</w:t>
            </w:r>
            <w:r>
              <w:rPr>
                <w:rFonts w:hint="eastAsia" w:ascii="仿宋" w:hAnsi="仿宋" w:eastAsia="仿宋" w:cs="仿宋"/>
                <w:b w:val="0"/>
                <w:bCs w:val="0"/>
                <w:color w:val="auto"/>
                <w:szCs w:val="21"/>
                <w:highlight w:val="none"/>
              </w:rPr>
              <w:t>招标文件明确的全部技术条款要求</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演示内容除外</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得</w:t>
            </w:r>
            <w:r>
              <w:rPr>
                <w:rFonts w:hint="eastAsia" w:ascii="仿宋" w:hAnsi="仿宋" w:eastAsia="仿宋" w:cs="仿宋"/>
                <w:b w:val="0"/>
                <w:bCs w:val="0"/>
                <w:color w:val="auto"/>
                <w:szCs w:val="21"/>
                <w:highlight w:val="none"/>
                <w:lang w:val="en-US" w:eastAsia="zh-CN"/>
              </w:rPr>
              <w:t>10分</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 w:val="21"/>
                <w:szCs w:val="21"/>
                <w:highlight w:val="none"/>
                <w:lang w:val="en-US" w:eastAsia="zh-CN"/>
              </w:rPr>
              <w:t>技术条款</w:t>
            </w:r>
            <w:r>
              <w:rPr>
                <w:rFonts w:hint="eastAsia" w:ascii="仿宋" w:hAnsi="仿宋" w:eastAsia="仿宋" w:cs="仿宋"/>
                <w:b w:val="0"/>
                <w:bCs w:val="0"/>
                <w:color w:val="auto"/>
                <w:sz w:val="21"/>
                <w:szCs w:val="21"/>
                <w:highlight w:val="none"/>
              </w:rPr>
              <w:t>低于技术要求（负偏离）扣</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Cs w:val="21"/>
                <w:highlight w:val="none"/>
                <w:lang w:val="en-US" w:eastAsia="zh-CN"/>
              </w:rPr>
              <w:t>分</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项（</w:t>
            </w:r>
            <w:r>
              <w:rPr>
                <w:rFonts w:hint="eastAsia" w:ascii="仿宋" w:hAnsi="仿宋" w:eastAsia="仿宋" w:cs="仿宋"/>
                <w:b w:val="0"/>
                <w:bCs w:val="0"/>
                <w:color w:val="auto"/>
                <w:sz w:val="21"/>
                <w:szCs w:val="21"/>
                <w:highlight w:val="none"/>
                <w:lang w:val="en-US" w:eastAsia="zh-CN"/>
              </w:rPr>
              <w:t>10</w:t>
            </w:r>
            <w:r>
              <w:rPr>
                <w:rFonts w:hint="eastAsia" w:ascii="仿宋" w:hAnsi="仿宋" w:eastAsia="仿宋" w:cs="仿宋"/>
                <w:b w:val="0"/>
                <w:bCs w:val="0"/>
                <w:color w:val="auto"/>
                <w:szCs w:val="21"/>
                <w:highlight w:val="none"/>
                <w:lang w:val="en-US" w:eastAsia="zh-CN"/>
              </w:rPr>
              <w:t>分起扣</w:t>
            </w:r>
            <w:r>
              <w:rPr>
                <w:rFonts w:hint="eastAsia" w:ascii="仿宋" w:hAnsi="仿宋" w:eastAsia="仿宋" w:cs="仿宋"/>
                <w:b w:val="0"/>
                <w:bCs w:val="0"/>
                <w:color w:val="auto"/>
                <w:sz w:val="21"/>
                <w:szCs w:val="21"/>
                <w:highlight w:val="none"/>
                <w:lang w:val="en-US" w:eastAsia="zh-CN"/>
              </w:rPr>
              <w:t>），累计负偏离≥10项（</w:t>
            </w:r>
            <w:r>
              <w:rPr>
                <w:rFonts w:hint="eastAsia" w:ascii="仿宋" w:hAnsi="仿宋" w:eastAsia="仿宋" w:cs="仿宋"/>
                <w:color w:val="auto"/>
                <w:szCs w:val="21"/>
                <w:highlight w:val="none"/>
                <w:lang w:val="en-US" w:eastAsia="zh-CN"/>
              </w:rPr>
              <w:t>视为采购人不能接受的附加条件）</w:t>
            </w:r>
            <w:r>
              <w:rPr>
                <w:rFonts w:hint="eastAsia" w:ascii="仿宋" w:hAnsi="仿宋" w:eastAsia="仿宋" w:cs="仿宋"/>
                <w:b w:val="0"/>
                <w:bCs w:val="0"/>
                <w:color w:val="auto"/>
                <w:sz w:val="21"/>
                <w:szCs w:val="21"/>
                <w:highlight w:val="none"/>
                <w:lang w:val="en-US" w:eastAsia="zh-CN"/>
              </w:rPr>
              <w:t>投标无效（最小级序号为1项）。</w:t>
            </w:r>
          </w:p>
          <w:p w14:paraId="273FFA56">
            <w:pPr>
              <w:keepNext w:val="0"/>
              <w:keepLines w:val="0"/>
              <w:pageBreakBefore w:val="0"/>
              <w:widowControl w:val="0"/>
              <w:kinsoku/>
              <w:wordWrap/>
              <w:overflowPunct/>
              <w:topLinePunct w:val="0"/>
              <w:autoSpaceDE/>
              <w:autoSpaceDN/>
              <w:bidi w:val="0"/>
              <w:adjustRightInd w:val="0"/>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18"/>
                <w:szCs w:val="18"/>
                <w:highlight w:val="none"/>
              </w:rPr>
              <w:t>说明：技术方案中多份相关材料存在不一致按就低原则处理</w:t>
            </w:r>
          </w:p>
        </w:tc>
      </w:tr>
      <w:tr w14:paraId="39C0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restart"/>
            <w:vAlign w:val="center"/>
          </w:tcPr>
          <w:p w14:paraId="53E4B82D">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359" w:type="pct"/>
            <w:shd w:val="clear" w:color="auto" w:fill="auto"/>
            <w:vAlign w:val="center"/>
          </w:tcPr>
          <w:p w14:paraId="4BE311C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3</w:t>
            </w:r>
          </w:p>
        </w:tc>
        <w:tc>
          <w:tcPr>
            <w:tcW w:w="3842" w:type="pct"/>
            <w:shd w:val="clear" w:color="auto" w:fill="auto"/>
            <w:vAlign w:val="center"/>
          </w:tcPr>
          <w:p w14:paraId="68D4AE3B">
            <w:pPr>
              <w:keepNext w:val="0"/>
              <w:keepLines w:val="0"/>
              <w:pageBreakBefore w:val="0"/>
              <w:widowControl w:val="0"/>
              <w:kinsoku/>
              <w:wordWrap/>
              <w:overflowPunct/>
              <w:topLinePunct w:val="0"/>
              <w:autoSpaceDE/>
              <w:autoSpaceDN/>
              <w:bidi w:val="0"/>
              <w:adjustRightInd w:val="0"/>
              <w:snapToGrid w:val="0"/>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产品配置</w:t>
            </w:r>
            <w:r>
              <w:rPr>
                <w:rFonts w:hint="eastAsia" w:ascii="仿宋" w:hAnsi="仿宋" w:eastAsia="仿宋" w:cs="仿宋"/>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根据配置清单等相关证明材料评审）：</w:t>
            </w:r>
            <w:r>
              <w:rPr>
                <w:rFonts w:hint="eastAsia" w:ascii="仿宋" w:hAnsi="仿宋" w:eastAsia="仿宋" w:cs="仿宋"/>
                <w:b w:val="0"/>
                <w:bCs w:val="0"/>
                <w:color w:val="auto"/>
                <w:sz w:val="21"/>
                <w:szCs w:val="21"/>
                <w:highlight w:val="none"/>
                <w:lang w:val="en-US" w:eastAsia="zh-CN"/>
              </w:rPr>
              <w:t>专业、全面、</w:t>
            </w:r>
            <w:r>
              <w:rPr>
                <w:rFonts w:hint="eastAsia" w:ascii="仿宋" w:hAnsi="仿宋" w:eastAsia="仿宋" w:cs="仿宋"/>
                <w:b w:val="0"/>
                <w:bCs w:val="0"/>
                <w:color w:val="auto"/>
                <w:sz w:val="21"/>
                <w:szCs w:val="21"/>
                <w:highlight w:val="none"/>
                <w:lang w:eastAsia="zh-CN"/>
              </w:rPr>
              <w:t>针对采购标的及</w:t>
            </w:r>
            <w:r>
              <w:rPr>
                <w:rFonts w:hint="eastAsia" w:ascii="仿宋" w:hAnsi="仿宋" w:eastAsia="仿宋" w:cs="仿宋"/>
                <w:b w:val="0"/>
                <w:bCs w:val="0"/>
                <w:color w:val="auto"/>
                <w:sz w:val="21"/>
                <w:szCs w:val="21"/>
                <w:highlight w:val="none"/>
              </w:rPr>
              <w:t>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对工业互联网安全有实质性辅助提升</w:t>
            </w:r>
            <w:r>
              <w:rPr>
                <w:rFonts w:hint="eastAsia" w:ascii="仿宋" w:hAnsi="仿宋" w:eastAsia="仿宋" w:cs="仿宋"/>
                <w:b/>
                <w:bCs/>
                <w:color w:val="auto"/>
                <w:szCs w:val="21"/>
                <w:highlight w:val="none"/>
                <w:lang w:val="en-US" w:eastAsia="zh-CN"/>
              </w:rPr>
              <w:t>（评分范围:3,2,1,0）</w:t>
            </w:r>
          </w:p>
        </w:tc>
      </w:tr>
      <w:tr w14:paraId="5C2F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continue"/>
            <w:vAlign w:val="center"/>
          </w:tcPr>
          <w:p w14:paraId="22AC944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59" w:type="pct"/>
            <w:shd w:val="clear" w:color="auto" w:fill="auto"/>
            <w:vAlign w:val="center"/>
          </w:tcPr>
          <w:p w14:paraId="5C3BA96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4</w:t>
            </w:r>
          </w:p>
        </w:tc>
        <w:tc>
          <w:tcPr>
            <w:tcW w:w="3842" w:type="pct"/>
            <w:shd w:val="clear" w:color="auto" w:fill="auto"/>
            <w:vAlign w:val="center"/>
          </w:tcPr>
          <w:p w14:paraId="163F73AC">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产品</w:t>
            </w:r>
            <w:r>
              <w:rPr>
                <w:rFonts w:hint="eastAsia" w:ascii="仿宋" w:hAnsi="仿宋" w:eastAsia="仿宋" w:cs="仿宋"/>
                <w:b w:val="0"/>
                <w:bCs w:val="0"/>
                <w:color w:val="auto"/>
                <w:szCs w:val="21"/>
                <w:highlight w:val="none"/>
                <w:lang w:val="en-US" w:eastAsia="zh-CN"/>
              </w:rPr>
              <w:t>结构设计</w:t>
            </w:r>
            <w:r>
              <w:rPr>
                <w:rFonts w:hint="eastAsia" w:ascii="仿宋" w:hAnsi="仿宋" w:eastAsia="仿宋" w:cs="仿宋"/>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材料与工艺选择、创新结构、模块、可维护性、用户体验等</w:t>
            </w:r>
            <w:r>
              <w:rPr>
                <w:rFonts w:hint="eastAsia" w:ascii="仿宋" w:hAnsi="仿宋" w:eastAsia="仿宋" w:cs="仿宋"/>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color w:val="auto"/>
                <w:szCs w:val="21"/>
                <w:highlight w:val="none"/>
                <w:lang w:val="en-US" w:eastAsia="zh-CN"/>
              </w:rPr>
              <w:t>等相关证明材料评审]：</w:t>
            </w:r>
            <w:r>
              <w:rPr>
                <w:rFonts w:hint="eastAsia" w:ascii="仿宋" w:hAnsi="仿宋" w:eastAsia="仿宋" w:cs="仿宋"/>
                <w:b w:val="0"/>
                <w:bCs w:val="0"/>
                <w:color w:val="auto"/>
                <w:sz w:val="21"/>
                <w:szCs w:val="21"/>
                <w:highlight w:val="none"/>
                <w:lang w:val="en-US" w:eastAsia="zh-CN"/>
              </w:rPr>
              <w:t>专业、成熟、</w:t>
            </w:r>
            <w:r>
              <w:rPr>
                <w:rFonts w:hint="eastAsia" w:ascii="仿宋" w:hAnsi="仿宋" w:eastAsia="仿宋" w:cs="仿宋"/>
                <w:b w:val="0"/>
                <w:bCs w:val="0"/>
                <w:color w:val="auto"/>
                <w:sz w:val="21"/>
                <w:szCs w:val="21"/>
                <w:highlight w:val="none"/>
                <w:lang w:eastAsia="zh-CN"/>
              </w:rPr>
              <w:t>针对采购标的及</w:t>
            </w:r>
            <w:r>
              <w:rPr>
                <w:rFonts w:hint="eastAsia" w:ascii="仿宋" w:hAnsi="仿宋" w:eastAsia="仿宋" w:cs="仿宋"/>
                <w:b w:val="0"/>
                <w:bCs w:val="0"/>
                <w:color w:val="auto"/>
                <w:sz w:val="21"/>
                <w:szCs w:val="21"/>
                <w:highlight w:val="none"/>
              </w:rPr>
              <w:t>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对工业互联网安全有实质性辅助提升</w:t>
            </w:r>
            <w:r>
              <w:rPr>
                <w:rFonts w:hint="eastAsia" w:ascii="仿宋" w:hAnsi="仿宋" w:eastAsia="仿宋" w:cs="仿宋"/>
                <w:b/>
                <w:bCs/>
                <w:color w:val="auto"/>
                <w:szCs w:val="21"/>
                <w:highlight w:val="none"/>
                <w:lang w:val="en-US" w:eastAsia="zh-CN"/>
              </w:rPr>
              <w:t>（评分范围:4,3,2,1,0）</w:t>
            </w:r>
          </w:p>
        </w:tc>
      </w:tr>
      <w:tr w14:paraId="38C3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continue"/>
            <w:vAlign w:val="center"/>
          </w:tcPr>
          <w:p w14:paraId="4C0FDE3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59" w:type="pct"/>
            <w:shd w:val="clear" w:color="auto" w:fill="auto"/>
            <w:vAlign w:val="center"/>
          </w:tcPr>
          <w:p w14:paraId="56ABE76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4</w:t>
            </w:r>
          </w:p>
        </w:tc>
        <w:tc>
          <w:tcPr>
            <w:tcW w:w="3842" w:type="pct"/>
            <w:shd w:val="clear" w:color="auto" w:fill="auto"/>
            <w:vAlign w:val="center"/>
          </w:tcPr>
          <w:p w14:paraId="427DA831">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产品硬件</w:t>
            </w:r>
            <w:r>
              <w:rPr>
                <w:rFonts w:hint="eastAsia" w:ascii="仿宋" w:hAnsi="仿宋" w:eastAsia="仿宋" w:cs="仿宋"/>
                <w:b w:val="0"/>
                <w:bCs w:val="0"/>
                <w:color w:val="auto"/>
                <w:szCs w:val="21"/>
                <w:highlight w:val="none"/>
                <w:lang w:val="en-US" w:eastAsia="zh-CN"/>
              </w:rPr>
              <w:t>功能（基础、扩展升级、联用等）[根据产品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color w:val="auto"/>
                <w:szCs w:val="21"/>
                <w:highlight w:val="none"/>
                <w:lang w:val="en-US" w:eastAsia="zh-CN"/>
              </w:rPr>
              <w:t>功能界面截图等相关证明材料评审]：</w:t>
            </w:r>
            <w:r>
              <w:rPr>
                <w:rFonts w:hint="eastAsia" w:ascii="仿宋" w:hAnsi="仿宋" w:eastAsia="仿宋" w:cs="仿宋"/>
                <w:b w:val="0"/>
                <w:bCs w:val="0"/>
                <w:color w:val="auto"/>
                <w:sz w:val="21"/>
                <w:szCs w:val="21"/>
                <w:highlight w:val="none"/>
                <w:lang w:val="en-US" w:eastAsia="zh-CN"/>
              </w:rPr>
              <w:t>专业、全面、成熟、</w:t>
            </w:r>
            <w:r>
              <w:rPr>
                <w:rFonts w:hint="eastAsia" w:ascii="仿宋" w:hAnsi="仿宋" w:eastAsia="仿宋" w:cs="仿宋"/>
                <w:b w:val="0"/>
                <w:bCs w:val="0"/>
                <w:color w:val="auto"/>
                <w:sz w:val="21"/>
                <w:szCs w:val="21"/>
                <w:highlight w:val="none"/>
                <w:lang w:eastAsia="zh-CN"/>
              </w:rPr>
              <w:t>针对采购标的及</w:t>
            </w:r>
            <w:r>
              <w:rPr>
                <w:rFonts w:hint="eastAsia" w:ascii="仿宋" w:hAnsi="仿宋" w:eastAsia="仿宋" w:cs="仿宋"/>
                <w:b w:val="0"/>
                <w:bCs w:val="0"/>
                <w:color w:val="auto"/>
                <w:sz w:val="21"/>
                <w:szCs w:val="21"/>
                <w:highlight w:val="none"/>
              </w:rPr>
              <w:t>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对工业互联网安全有实质性辅助提升</w:t>
            </w:r>
            <w:r>
              <w:rPr>
                <w:rFonts w:hint="eastAsia" w:ascii="仿宋" w:hAnsi="仿宋" w:eastAsia="仿宋" w:cs="仿宋"/>
                <w:b/>
                <w:bCs/>
                <w:color w:val="auto"/>
                <w:szCs w:val="21"/>
                <w:highlight w:val="none"/>
                <w:lang w:val="en-US" w:eastAsia="zh-CN"/>
              </w:rPr>
              <w:t>（评分范围:4,3,2,1,0）</w:t>
            </w:r>
          </w:p>
        </w:tc>
      </w:tr>
      <w:tr w14:paraId="4676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continue"/>
            <w:vAlign w:val="center"/>
          </w:tcPr>
          <w:p w14:paraId="5E7C195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59" w:type="pct"/>
            <w:shd w:val="clear" w:color="auto" w:fill="auto"/>
            <w:vAlign w:val="center"/>
          </w:tcPr>
          <w:p w14:paraId="5D6B59F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3842" w:type="pct"/>
            <w:shd w:val="clear" w:color="auto" w:fill="auto"/>
            <w:vAlign w:val="center"/>
          </w:tcPr>
          <w:p w14:paraId="7EF0DD3E">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配套软件功能（</w:t>
            </w:r>
            <w:r>
              <w:rPr>
                <w:rFonts w:hint="eastAsia" w:ascii="仿宋" w:hAnsi="仿宋" w:eastAsia="仿宋" w:cs="仿宋"/>
                <w:b w:val="0"/>
                <w:bCs w:val="0"/>
                <w:color w:val="auto"/>
                <w:szCs w:val="21"/>
                <w:highlight w:val="none"/>
                <w:lang w:val="en-US" w:eastAsia="zh-CN"/>
              </w:rPr>
              <w:t>根据软件功能界面截图等相关证明材料评审、已作为演示内容的除外）：</w:t>
            </w:r>
            <w:r>
              <w:rPr>
                <w:rFonts w:hint="eastAsia" w:ascii="仿宋" w:hAnsi="仿宋" w:eastAsia="仿宋" w:cs="仿宋"/>
                <w:b w:val="0"/>
                <w:bCs w:val="0"/>
                <w:color w:val="auto"/>
                <w:sz w:val="21"/>
                <w:szCs w:val="21"/>
                <w:highlight w:val="none"/>
                <w:lang w:val="en-US" w:eastAsia="zh-CN"/>
              </w:rPr>
              <w:t>专业、全面、成熟、</w:t>
            </w:r>
            <w:r>
              <w:rPr>
                <w:rFonts w:hint="eastAsia" w:ascii="仿宋" w:hAnsi="仿宋" w:eastAsia="仿宋" w:cs="仿宋"/>
                <w:b w:val="0"/>
                <w:bCs w:val="0"/>
                <w:color w:val="auto"/>
                <w:sz w:val="21"/>
                <w:szCs w:val="21"/>
                <w:highlight w:val="none"/>
                <w:lang w:eastAsia="zh-CN"/>
              </w:rPr>
              <w:t>针对采购标的及</w:t>
            </w:r>
            <w:r>
              <w:rPr>
                <w:rFonts w:hint="eastAsia" w:ascii="仿宋" w:hAnsi="仿宋" w:eastAsia="仿宋" w:cs="仿宋"/>
                <w:b w:val="0"/>
                <w:bCs w:val="0"/>
                <w:color w:val="auto"/>
                <w:sz w:val="21"/>
                <w:szCs w:val="21"/>
                <w:highlight w:val="none"/>
              </w:rPr>
              <w:t>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对工业互联网安全有实质性辅助提升</w:t>
            </w:r>
            <w:r>
              <w:rPr>
                <w:rFonts w:hint="eastAsia" w:ascii="仿宋" w:hAnsi="仿宋" w:eastAsia="仿宋" w:cs="仿宋"/>
                <w:b/>
                <w:bCs/>
                <w:color w:val="auto"/>
                <w:szCs w:val="21"/>
                <w:highlight w:val="none"/>
                <w:lang w:val="en-US" w:eastAsia="zh-CN"/>
              </w:rPr>
              <w:t>（评分范围:4,3,2,1,0）</w:t>
            </w:r>
          </w:p>
        </w:tc>
      </w:tr>
      <w:tr w14:paraId="2517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continue"/>
            <w:vAlign w:val="center"/>
          </w:tcPr>
          <w:p w14:paraId="6DE9808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59" w:type="pct"/>
            <w:vAlign w:val="center"/>
          </w:tcPr>
          <w:p w14:paraId="6ACBC5E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3842" w:type="pct"/>
            <w:vAlign w:val="center"/>
          </w:tcPr>
          <w:p w14:paraId="2EF30B7F">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bCs/>
                <w:szCs w:val="21"/>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color w:val="auto"/>
                <w:szCs w:val="21"/>
                <w:highlight w:val="none"/>
                <w:lang w:val="en-US" w:eastAsia="zh-CN"/>
              </w:rPr>
              <w:t>产品</w:t>
            </w:r>
            <w:r>
              <w:rPr>
                <w:rFonts w:hint="eastAsia" w:ascii="仿宋" w:hAnsi="仿宋" w:eastAsia="仿宋" w:cs="仿宋"/>
                <w:b w:val="0"/>
                <w:bCs w:val="0"/>
                <w:color w:val="auto"/>
                <w:szCs w:val="21"/>
                <w:highlight w:val="none"/>
                <w:lang w:val="en-US" w:eastAsia="zh-CN"/>
              </w:rPr>
              <w:t>技术路线</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工作原理、核心技术等）[根据产品</w:t>
            </w:r>
            <w:r>
              <w:rPr>
                <w:rFonts w:hint="eastAsia" w:ascii="仿宋" w:hAnsi="仿宋" w:eastAsia="仿宋" w:cs="仿宋"/>
                <w:b w:val="0"/>
                <w:bCs w:val="0"/>
                <w:color w:val="auto"/>
                <w:szCs w:val="21"/>
                <w:highlight w:val="none"/>
              </w:rPr>
              <w:t>制造商公开发布的印刷资料（官网材料、彩页、Datasheet）或由有关政府部门或检测机构合法出具的文件或报告</w:t>
            </w:r>
            <w:r>
              <w:rPr>
                <w:rFonts w:hint="eastAsia" w:ascii="仿宋" w:hAnsi="仿宋" w:eastAsia="仿宋" w:cs="仿宋"/>
                <w:b w:val="0"/>
                <w:bCs w:val="0"/>
                <w:color w:val="auto"/>
                <w:szCs w:val="21"/>
                <w:highlight w:val="none"/>
                <w:lang w:val="en-US" w:eastAsia="zh-CN"/>
              </w:rPr>
              <w:t>等相关证明材料评审]：</w:t>
            </w:r>
            <w:r>
              <w:rPr>
                <w:rFonts w:hint="eastAsia" w:ascii="仿宋" w:hAnsi="仿宋" w:eastAsia="仿宋" w:cs="仿宋"/>
                <w:b w:val="0"/>
                <w:bCs w:val="0"/>
                <w:color w:val="auto"/>
                <w:sz w:val="21"/>
                <w:szCs w:val="21"/>
                <w:highlight w:val="none"/>
                <w:lang w:val="en-US" w:eastAsia="zh-CN"/>
              </w:rPr>
              <w:t>专业、全面、成熟、</w:t>
            </w:r>
            <w:r>
              <w:rPr>
                <w:rFonts w:hint="eastAsia" w:ascii="仿宋" w:hAnsi="仿宋" w:eastAsia="仿宋" w:cs="仿宋"/>
                <w:b w:val="0"/>
                <w:bCs w:val="0"/>
                <w:color w:val="auto"/>
                <w:sz w:val="21"/>
                <w:szCs w:val="21"/>
                <w:highlight w:val="none"/>
                <w:lang w:eastAsia="zh-CN"/>
              </w:rPr>
              <w:t>针对采购标的及</w:t>
            </w:r>
            <w:r>
              <w:rPr>
                <w:rFonts w:hint="eastAsia" w:ascii="仿宋" w:hAnsi="仿宋" w:eastAsia="仿宋" w:cs="仿宋"/>
                <w:b w:val="0"/>
                <w:bCs w:val="0"/>
                <w:color w:val="auto"/>
                <w:sz w:val="21"/>
                <w:szCs w:val="21"/>
                <w:highlight w:val="none"/>
              </w:rPr>
              <w:t>实际特点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对工业互联网安全有实质性辅助提升</w:t>
            </w:r>
            <w:r>
              <w:rPr>
                <w:rFonts w:hint="eastAsia" w:ascii="仿宋" w:hAnsi="仿宋" w:eastAsia="仿宋" w:cs="仿宋"/>
                <w:b/>
                <w:bCs/>
                <w:color w:val="auto"/>
                <w:szCs w:val="21"/>
                <w:highlight w:val="none"/>
                <w:lang w:val="en-US" w:eastAsia="zh-CN"/>
              </w:rPr>
              <w:t>（评分范围:3,2,1,0）</w:t>
            </w:r>
          </w:p>
        </w:tc>
      </w:tr>
      <w:tr w14:paraId="7477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continue"/>
            <w:vAlign w:val="center"/>
          </w:tcPr>
          <w:p w14:paraId="0D4AB5E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59" w:type="pct"/>
            <w:shd w:val="clear" w:color="auto" w:fill="auto"/>
            <w:vAlign w:val="center"/>
          </w:tcPr>
          <w:p w14:paraId="131557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4</w:t>
            </w:r>
          </w:p>
        </w:tc>
        <w:tc>
          <w:tcPr>
            <w:tcW w:w="3842" w:type="pct"/>
            <w:shd w:val="clear" w:color="auto" w:fill="auto"/>
            <w:vAlign w:val="center"/>
          </w:tcPr>
          <w:p w14:paraId="6908B1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 w:hAnsi="仿宋" w:eastAsia="仿宋" w:cs="仿宋"/>
                <w:b/>
                <w:bCs/>
                <w:szCs w:val="21"/>
                <w:lang w:val="en-US" w:eastAsia="zh-CN"/>
              </w:rPr>
            </w:pPr>
            <w:r>
              <w:rPr>
                <w:rFonts w:hint="eastAsia" w:ascii="仿宋" w:hAnsi="仿宋" w:eastAsia="仿宋" w:cs="仿宋"/>
                <w:b/>
                <w:bCs/>
                <w:color w:val="auto"/>
                <w:szCs w:val="21"/>
                <w:highlight w:val="none"/>
              </w:rPr>
              <w:t>[主观分]</w:t>
            </w:r>
            <w:r>
              <w:rPr>
                <w:rFonts w:hint="eastAsia" w:ascii="仿宋" w:hAnsi="仿宋" w:eastAsia="仿宋" w:cs="仿宋"/>
                <w:b/>
                <w:bCs/>
                <w:szCs w:val="21"/>
                <w:lang w:eastAsia="zh-CN"/>
              </w:rPr>
              <w:t>安装调试方法或方案：</w:t>
            </w:r>
            <w:r>
              <w:rPr>
                <w:rFonts w:hint="eastAsia" w:ascii="仿宋" w:hAnsi="仿宋" w:eastAsia="仿宋" w:cs="仿宋"/>
                <w:b/>
                <w:bCs/>
                <w:szCs w:val="21"/>
                <w:lang w:val="en-US" w:eastAsia="zh-CN"/>
              </w:rPr>
              <w:t>专业、全面且内容要素齐全、针对采购标的及实际特点、有利于产品验收</w:t>
            </w:r>
          </w:p>
          <w:p w14:paraId="05BD037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Cs w:val="21"/>
                <w:lang w:eastAsia="zh-CN"/>
              </w:rPr>
            </w:pPr>
            <w:r>
              <w:rPr>
                <w:rFonts w:hint="eastAsia" w:ascii="仿宋" w:hAnsi="仿宋" w:eastAsia="仿宋" w:cs="仿宋"/>
                <w:szCs w:val="21"/>
                <w:lang w:val="en-US" w:eastAsia="zh-CN"/>
              </w:rPr>
              <w:t>1.</w:t>
            </w:r>
            <w:r>
              <w:rPr>
                <w:rFonts w:hint="eastAsia" w:ascii="仿宋" w:hAnsi="仿宋" w:eastAsia="仿宋" w:cs="仿宋"/>
                <w:szCs w:val="21"/>
                <w:lang w:eastAsia="zh-CN"/>
              </w:rPr>
              <w:t>安装前准备阶段[安装调试计划（技术资料准备、安装流程、人员分工、时间节点等）、采购人现有环境（基础条件、环境参数、配套设施等）检查及改造方案等]</w:t>
            </w:r>
            <w:r>
              <w:rPr>
                <w:rFonts w:hint="eastAsia" w:ascii="仿宋" w:hAnsi="仿宋" w:eastAsia="仿宋" w:cs="仿宋"/>
                <w:b/>
                <w:bCs/>
                <w:color w:val="auto"/>
                <w:sz w:val="21"/>
                <w:szCs w:val="21"/>
                <w:highlight w:val="none"/>
                <w:lang w:val="en-US" w:eastAsia="zh-CN"/>
              </w:rPr>
              <w:t>（评分范围:2,1,0.5,0）</w:t>
            </w:r>
          </w:p>
          <w:p w14:paraId="6C820AD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szCs w:val="21"/>
                <w:lang w:val="en-US" w:eastAsia="zh-CN"/>
              </w:rPr>
              <w:t>2.</w:t>
            </w:r>
            <w:r>
              <w:rPr>
                <w:rFonts w:hint="eastAsia" w:ascii="仿宋" w:hAnsi="仿宋" w:eastAsia="仿宋" w:cs="仿宋"/>
                <w:szCs w:val="21"/>
                <w:lang w:eastAsia="zh-CN"/>
              </w:rPr>
              <w:t>安装调试阶段（流程、标准、性能验证、文档移交等）</w:t>
            </w:r>
            <w:r>
              <w:rPr>
                <w:rFonts w:hint="eastAsia" w:ascii="仿宋" w:hAnsi="仿宋" w:eastAsia="仿宋" w:cs="仿宋"/>
                <w:b/>
                <w:bCs/>
                <w:color w:val="auto"/>
                <w:sz w:val="21"/>
                <w:szCs w:val="21"/>
                <w:highlight w:val="none"/>
                <w:lang w:val="en-US" w:eastAsia="zh-CN"/>
              </w:rPr>
              <w:t>（评分范围:2,1,0.5,0）</w:t>
            </w:r>
          </w:p>
        </w:tc>
      </w:tr>
      <w:tr w14:paraId="169F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continue"/>
            <w:vAlign w:val="center"/>
          </w:tcPr>
          <w:p w14:paraId="6F44822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rPr>
            </w:pPr>
          </w:p>
        </w:tc>
        <w:tc>
          <w:tcPr>
            <w:tcW w:w="359" w:type="pct"/>
            <w:shd w:val="clear" w:color="auto" w:fill="auto"/>
            <w:vAlign w:val="center"/>
          </w:tcPr>
          <w:p w14:paraId="735D10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3</w:t>
            </w:r>
          </w:p>
        </w:tc>
        <w:tc>
          <w:tcPr>
            <w:tcW w:w="3842" w:type="pct"/>
            <w:shd w:val="clear" w:color="auto" w:fill="auto"/>
            <w:vAlign w:val="center"/>
          </w:tcPr>
          <w:p w14:paraId="5DF93B1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rPr>
              <w:t>[主观分]</w:t>
            </w:r>
            <w:r>
              <w:rPr>
                <w:rFonts w:hint="eastAsia" w:ascii="仿宋" w:hAnsi="仿宋" w:eastAsia="仿宋" w:cs="仿宋"/>
                <w:szCs w:val="21"/>
              </w:rPr>
              <w:t>日常运行及保养方案</w:t>
            </w:r>
            <w:r>
              <w:rPr>
                <w:rFonts w:hint="eastAsia" w:ascii="仿宋" w:hAnsi="仿宋" w:eastAsia="仿宋" w:cs="仿宋"/>
                <w:szCs w:val="21"/>
                <w:lang w:eastAsia="zh-CN"/>
              </w:rPr>
              <w:t>（操作使用说明、日常维修保养说明、关键部件&amp;易损件&amp;耗材检查和更换周期等）</w:t>
            </w:r>
            <w:r>
              <w:rPr>
                <w:rFonts w:hint="eastAsia" w:ascii="仿宋" w:hAnsi="仿宋" w:eastAsia="仿宋" w:cs="仿宋"/>
                <w:szCs w:val="21"/>
              </w:rPr>
              <w:t>：</w:t>
            </w:r>
            <w:r>
              <w:rPr>
                <w:rFonts w:hint="eastAsia" w:ascii="仿宋" w:hAnsi="仿宋" w:eastAsia="仿宋" w:cs="仿宋"/>
                <w:szCs w:val="21"/>
                <w:lang w:val="en-US" w:eastAsia="zh-CN"/>
              </w:rPr>
              <w:t>专业、全面且内容要素齐全、</w:t>
            </w:r>
            <w:r>
              <w:rPr>
                <w:rFonts w:hint="eastAsia" w:ascii="仿宋" w:hAnsi="仿宋" w:eastAsia="仿宋" w:cs="仿宋"/>
                <w:szCs w:val="21"/>
              </w:rPr>
              <w:t>针对采购标的及实际特点、有利于产品</w:t>
            </w:r>
            <w:r>
              <w:rPr>
                <w:rFonts w:hint="eastAsia" w:ascii="仿宋" w:hAnsi="仿宋" w:eastAsia="仿宋" w:cs="仿宋"/>
                <w:color w:val="000000" w:themeColor="text1"/>
                <w:szCs w:val="21"/>
                <w14:textFill>
                  <w14:solidFill>
                    <w14:schemeClr w14:val="tx1"/>
                  </w14:solidFill>
                </w14:textFill>
              </w:rPr>
              <w:t>日常运行</w:t>
            </w:r>
            <w:r>
              <w:rPr>
                <w:rFonts w:hint="eastAsia" w:ascii="仿宋" w:hAnsi="仿宋" w:eastAsia="仿宋" w:cs="仿宋"/>
                <w:b/>
                <w:bCs/>
                <w:color w:val="auto"/>
                <w:szCs w:val="21"/>
                <w:highlight w:val="none"/>
                <w:lang w:val="en-US" w:eastAsia="zh-CN"/>
              </w:rPr>
              <w:t>（评分范围:3,2,1,0）</w:t>
            </w:r>
          </w:p>
        </w:tc>
      </w:tr>
      <w:tr w14:paraId="432D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Align w:val="center"/>
          </w:tcPr>
          <w:p w14:paraId="7C8A59A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技术培训</w:t>
            </w:r>
          </w:p>
        </w:tc>
        <w:tc>
          <w:tcPr>
            <w:tcW w:w="359" w:type="pct"/>
            <w:vAlign w:val="center"/>
          </w:tcPr>
          <w:p w14:paraId="68450CE2">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3</w:t>
            </w:r>
          </w:p>
        </w:tc>
        <w:tc>
          <w:tcPr>
            <w:tcW w:w="3842" w:type="pct"/>
            <w:vAlign w:val="center"/>
          </w:tcPr>
          <w:p w14:paraId="65C1077D">
            <w:pPr>
              <w:keepNext w:val="0"/>
              <w:keepLines w:val="0"/>
              <w:pageBreakBefore w:val="0"/>
              <w:widowControl w:val="0"/>
              <w:kinsoku/>
              <w:wordWrap/>
              <w:overflowPunct/>
              <w:topLinePunct w:val="0"/>
              <w:autoSpaceDE/>
              <w:autoSpaceDN/>
              <w:bidi w:val="0"/>
              <w:adjustRightInd w:val="0"/>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培训计划</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培训目标、培训对象、培训内容（理论知识、实操、维修保养等）、培训时间与地点、培训方式、培训师资、培训后跟进（效果跟踪、复训计划、技术支持等）等</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科学、</w:t>
            </w:r>
            <w:r>
              <w:rPr>
                <w:rFonts w:hint="eastAsia" w:ascii="仿宋" w:hAnsi="仿宋" w:eastAsia="仿宋" w:cs="仿宋"/>
                <w:color w:val="auto"/>
                <w:sz w:val="21"/>
                <w:szCs w:val="21"/>
                <w:highlight w:val="none"/>
                <w:lang w:eastAsia="zh-CN"/>
              </w:rPr>
              <w:t>全面且内容要素齐全</w:t>
            </w:r>
            <w:r>
              <w:rPr>
                <w:rFonts w:hint="eastAsia" w:ascii="仿宋" w:hAnsi="仿宋" w:eastAsia="仿宋" w:cs="仿宋"/>
                <w:color w:val="auto"/>
                <w:sz w:val="21"/>
                <w:szCs w:val="21"/>
                <w:highlight w:val="none"/>
              </w:rPr>
              <w:t>、针对采购标的及实际特点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Cs w:val="21"/>
                <w:highlight w:val="none"/>
                <w:lang w:val="en-US" w:eastAsia="zh-CN"/>
              </w:rPr>
              <w:t>有利于</w:t>
            </w:r>
            <w:r>
              <w:rPr>
                <w:rFonts w:hint="eastAsia" w:ascii="仿宋" w:hAnsi="仿宋" w:eastAsia="仿宋" w:cs="仿宋"/>
                <w:b w:val="0"/>
                <w:bCs w:val="0"/>
                <w:color w:val="auto"/>
                <w:szCs w:val="21"/>
                <w:highlight w:val="none"/>
                <w:lang w:val="en-US" w:eastAsia="zh-CN"/>
              </w:rPr>
              <w:t>产品验收及日常运行</w:t>
            </w:r>
            <w:r>
              <w:rPr>
                <w:rFonts w:hint="eastAsia" w:ascii="仿宋" w:hAnsi="仿宋" w:eastAsia="仿宋" w:cs="仿宋"/>
                <w:b/>
                <w:bCs/>
                <w:color w:val="auto"/>
                <w:sz w:val="21"/>
                <w:szCs w:val="21"/>
                <w:highlight w:val="none"/>
                <w:lang w:val="en-US" w:eastAsia="zh-CN"/>
              </w:rPr>
              <w:t>（评分范围:3,2,1,0）</w:t>
            </w:r>
          </w:p>
        </w:tc>
      </w:tr>
      <w:tr w14:paraId="4476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restart"/>
            <w:vAlign w:val="center"/>
          </w:tcPr>
          <w:p w14:paraId="090F9DF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359" w:type="pct"/>
            <w:vAlign w:val="center"/>
          </w:tcPr>
          <w:p w14:paraId="7CDB631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w:t>
            </w:r>
          </w:p>
        </w:tc>
        <w:tc>
          <w:tcPr>
            <w:tcW w:w="3842" w:type="pct"/>
            <w:vAlign w:val="center"/>
          </w:tcPr>
          <w:p w14:paraId="4D61221A">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售后服务方案</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完善、</w:t>
            </w:r>
            <w:r>
              <w:rPr>
                <w:rFonts w:hint="eastAsia" w:ascii="仿宋" w:hAnsi="仿宋" w:eastAsia="仿宋" w:cs="仿宋"/>
                <w:b/>
                <w:bCs/>
                <w:color w:val="auto"/>
                <w:sz w:val="21"/>
                <w:szCs w:val="21"/>
                <w:highlight w:val="none"/>
                <w:lang w:eastAsia="zh-CN"/>
              </w:rPr>
              <w:t>全面且内容要素齐全</w:t>
            </w:r>
            <w:r>
              <w:rPr>
                <w:rFonts w:hint="eastAsia" w:ascii="仿宋" w:hAnsi="仿宋" w:eastAsia="仿宋" w:cs="仿宋"/>
                <w:b/>
                <w:bCs/>
                <w:color w:val="auto"/>
                <w:sz w:val="21"/>
                <w:szCs w:val="21"/>
                <w:highlight w:val="none"/>
              </w:rPr>
              <w:t>、针对采购标的及实际特点</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Cs w:val="21"/>
                <w:highlight w:val="none"/>
                <w:lang w:val="en-US" w:eastAsia="zh-CN"/>
              </w:rPr>
              <w:t>有利于产品日常运行</w:t>
            </w:r>
          </w:p>
          <w:p w14:paraId="509E1E2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售后服务体系</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售后服务团队（原厂及自有售后人员售后服务经验、技术能力等）、原厂及自有备品备件仓库、退换货时效保障机制</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售后服务内容</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时效（响应时间、到达采购人现场时间、一般问题解决时间、重大问题或其它无法迅速解决的问题解决或提出明确的解决方案时间、备机提供到位时间等）、质保期内免费的定期巡检及必要的维护保养指导等（频次、方式等）、质保期外有偿的维护保养（检查、故障排查、部件更换等）和个性化维护保养方案等及相应收费标准</w:t>
            </w:r>
            <w:r>
              <w:rPr>
                <w:rFonts w:hint="eastAsia" w:ascii="仿宋" w:hAnsi="仿宋" w:eastAsia="仿宋" w:cs="仿宋"/>
                <w:color w:val="auto"/>
                <w:sz w:val="21"/>
                <w:szCs w:val="21"/>
                <w:highlight w:val="none"/>
                <w:lang w:val="en-US" w:eastAsia="zh-CN"/>
              </w:rPr>
              <w:t>]</w:t>
            </w:r>
            <w:r>
              <w:rPr>
                <w:rFonts w:hint="eastAsia" w:ascii="仿宋" w:hAnsi="仿宋" w:eastAsia="仿宋" w:cs="仿宋"/>
                <w:b/>
                <w:bCs/>
                <w:color w:val="auto"/>
                <w:sz w:val="21"/>
                <w:szCs w:val="21"/>
                <w:highlight w:val="none"/>
                <w:lang w:val="en-US" w:eastAsia="zh-CN"/>
              </w:rPr>
              <w:t>（评分范围:2,1,0.5,0）</w:t>
            </w:r>
          </w:p>
          <w:p w14:paraId="75457260">
            <w:pPr>
              <w:keepNext w:val="0"/>
              <w:keepLines w:val="0"/>
              <w:pageBreakBefore w:val="0"/>
              <w:widowControl w:val="0"/>
              <w:kinsoku/>
              <w:wordWrap/>
              <w:overflowPunct/>
              <w:topLinePunct w:val="0"/>
              <w:autoSpaceDE/>
              <w:autoSpaceDN/>
              <w:bidi w:val="0"/>
              <w:adjustRightInd w:val="0"/>
              <w:snapToGrid w:val="0"/>
              <w:textAlignment w:val="auto"/>
              <w:rPr>
                <w:rFonts w:ascii="仿宋" w:hAnsi="仿宋" w:eastAsia="仿宋" w:cs="仿宋"/>
                <w:color w:val="auto"/>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售后服务流程</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售后接收处理和反馈（方式、具体步骤等）、故障诊断及现场维修服务（具体步骤、服务标准等）、反馈意见收集及定期回访（频次、方式、目的等）</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日常反馈机制</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采购人满意度调查（方式、内容等）、投诉处理（时效、处理团队、改进措施等）</w:t>
            </w:r>
            <w:r>
              <w:rPr>
                <w:rFonts w:hint="eastAsia" w:ascii="仿宋" w:hAnsi="仿宋" w:eastAsia="仿宋" w:cs="仿宋"/>
                <w:color w:val="auto"/>
                <w:sz w:val="21"/>
                <w:szCs w:val="21"/>
                <w:highlight w:val="none"/>
                <w:lang w:val="en-US" w:eastAsia="zh-CN"/>
              </w:rPr>
              <w:t>]</w:t>
            </w:r>
            <w:r>
              <w:rPr>
                <w:rFonts w:hint="eastAsia" w:ascii="仿宋" w:hAnsi="仿宋" w:eastAsia="仿宋" w:cs="仿宋"/>
                <w:b/>
                <w:bCs/>
                <w:color w:val="auto"/>
                <w:sz w:val="21"/>
                <w:szCs w:val="21"/>
                <w:highlight w:val="none"/>
                <w:lang w:val="en-US" w:eastAsia="zh-CN"/>
              </w:rPr>
              <w:t>（评分范围:2,1,0.5,0）</w:t>
            </w:r>
          </w:p>
        </w:tc>
      </w:tr>
      <w:tr w14:paraId="5894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continue"/>
            <w:vAlign w:val="center"/>
          </w:tcPr>
          <w:p w14:paraId="2A88053F">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p>
        </w:tc>
        <w:tc>
          <w:tcPr>
            <w:tcW w:w="359" w:type="pct"/>
            <w:vAlign w:val="center"/>
          </w:tcPr>
          <w:p w14:paraId="68CFCE15">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2</w:t>
            </w:r>
          </w:p>
        </w:tc>
        <w:tc>
          <w:tcPr>
            <w:tcW w:w="3842" w:type="pct"/>
            <w:vAlign w:val="center"/>
          </w:tcPr>
          <w:p w14:paraId="1C872A59">
            <w:pPr>
              <w:keepNext w:val="0"/>
              <w:keepLines w:val="0"/>
              <w:pageBreakBefore w:val="0"/>
              <w:widowControl w:val="0"/>
              <w:kinsoku/>
              <w:wordWrap/>
              <w:overflowPunct/>
              <w:topLinePunct w:val="0"/>
              <w:autoSpaceDE/>
              <w:autoSpaceDN/>
              <w:bidi w:val="0"/>
              <w:adjustRightInd w:val="0"/>
              <w:snapToGrid w:val="0"/>
              <w:textAlignment w:val="auto"/>
              <w:rPr>
                <w:rFonts w:ascii="仿宋" w:hAnsi="仿宋" w:eastAsia="仿宋" w:cs="仿宋"/>
                <w:color w:val="auto"/>
                <w:szCs w:val="21"/>
                <w:highlight w:val="none"/>
              </w:rPr>
            </w:pP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主观分</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val="0"/>
                <w:bCs w:val="0"/>
                <w:color w:val="auto"/>
                <w:sz w:val="21"/>
                <w:szCs w:val="21"/>
                <w:highlight w:val="none"/>
                <w:lang w:val="en-US" w:eastAsia="zh-CN"/>
              </w:rPr>
              <w:t>随机标准附件、备品备件、易损件、零配件、专用工具等</w:t>
            </w:r>
            <w:r>
              <w:rPr>
                <w:rFonts w:hint="eastAsia" w:ascii="仿宋" w:hAnsi="仿宋" w:eastAsia="仿宋" w:cs="仿宋"/>
                <w:b w:val="0"/>
                <w:bCs w:val="0"/>
                <w:color w:val="auto"/>
                <w:sz w:val="21"/>
                <w:szCs w:val="21"/>
                <w:highlight w:val="none"/>
              </w:rPr>
              <w:t>准备和保障措施</w:t>
            </w:r>
            <w:r>
              <w:rPr>
                <w:rFonts w:hint="eastAsia" w:ascii="仿宋" w:hAnsi="仿宋" w:eastAsia="仿宋" w:cs="仿宋"/>
                <w:b w:val="0"/>
                <w:bCs w:val="0"/>
                <w:color w:val="auto"/>
                <w:sz w:val="21"/>
                <w:szCs w:val="21"/>
                <w:highlight w:val="none"/>
                <w:lang w:val="en-US" w:eastAsia="zh-CN"/>
              </w:rPr>
              <w:t>及所需选配件、维修配件、易耗件购买折扣：措施充分、折扣力度大且合理</w:t>
            </w:r>
            <w:r>
              <w:rPr>
                <w:rFonts w:hint="eastAsia" w:ascii="仿宋" w:hAnsi="仿宋" w:eastAsia="仿宋" w:cs="仿宋"/>
                <w:b/>
                <w:bCs/>
                <w:color w:val="auto"/>
                <w:sz w:val="21"/>
                <w:szCs w:val="21"/>
                <w:highlight w:val="none"/>
                <w:lang w:val="en-US" w:eastAsia="zh-CN"/>
              </w:rPr>
              <w:t>（评分范围:2,1,0.5,0）</w:t>
            </w:r>
          </w:p>
        </w:tc>
      </w:tr>
      <w:tr w14:paraId="7F06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restart"/>
            <w:shd w:val="clear" w:color="auto" w:fill="auto"/>
            <w:vAlign w:val="center"/>
          </w:tcPr>
          <w:p w14:paraId="5493FD8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项目团队</w:t>
            </w:r>
          </w:p>
        </w:tc>
        <w:tc>
          <w:tcPr>
            <w:tcW w:w="359" w:type="pct"/>
            <w:shd w:val="clear" w:color="auto" w:fill="auto"/>
            <w:vAlign w:val="center"/>
          </w:tcPr>
          <w:p w14:paraId="32D3D34F">
            <w:pPr>
              <w:widowControl/>
              <w:jc w:val="center"/>
              <w:rPr>
                <w:rFonts w:hint="eastAsia" w:ascii="仿宋" w:hAnsi="仿宋" w:eastAsia="仿宋" w:cs="仿宋"/>
                <w:b/>
                <w:bCs/>
                <w:kern w:val="2"/>
                <w:sz w:val="21"/>
                <w:szCs w:val="21"/>
                <w:lang w:val="en-US" w:eastAsia="zh-CN" w:bidi="ar-SA"/>
              </w:rPr>
            </w:pPr>
            <w:r>
              <w:rPr>
                <w:rFonts w:hint="eastAsia" w:ascii="仿宋" w:hAnsi="仿宋" w:eastAsia="仿宋" w:cs="仿宋"/>
                <w:b/>
                <w:bCs/>
                <w:spacing w:val="-6"/>
                <w:szCs w:val="21"/>
              </w:rPr>
              <w:t>4</w:t>
            </w:r>
          </w:p>
        </w:tc>
        <w:tc>
          <w:tcPr>
            <w:tcW w:w="3842" w:type="pct"/>
            <w:shd w:val="clear" w:color="auto" w:fill="auto"/>
            <w:vAlign w:val="center"/>
          </w:tcPr>
          <w:p w14:paraId="3F6D1B55">
            <w:pPr>
              <w:keepNext w:val="0"/>
              <w:keepLines w:val="0"/>
              <w:pageBreakBefore w:val="0"/>
              <w:widowControl w:val="0"/>
              <w:kinsoku/>
              <w:wordWrap/>
              <w:overflowPunct/>
              <w:topLinePunct w:val="0"/>
              <w:autoSpaceDE/>
              <w:autoSpaceDN/>
              <w:bidi w:val="0"/>
              <w:adjustRightInd w:val="0"/>
              <w:snapToGrid w:val="0"/>
              <w:textAlignment w:val="auto"/>
              <w:rPr>
                <w:rFonts w:hint="default" w:ascii="仿宋" w:hAnsi="仿宋" w:eastAsia="仿宋" w:cs="仿宋"/>
                <w:b/>
                <w:bCs/>
                <w:szCs w:val="21"/>
                <w:highlight w:val="none"/>
                <w:lang w:val="en-US"/>
              </w:rPr>
            </w:pPr>
            <w:r>
              <w:rPr>
                <w:rFonts w:hint="eastAsia" w:ascii="仿宋" w:hAnsi="仿宋" w:eastAsia="仿宋" w:cs="仿宋"/>
                <w:b/>
                <w:bCs/>
                <w:szCs w:val="21"/>
                <w:highlight w:val="none"/>
              </w:rPr>
              <w:t>项目</w:t>
            </w:r>
            <w:r>
              <w:rPr>
                <w:rFonts w:hint="eastAsia" w:ascii="仿宋" w:hAnsi="仿宋" w:eastAsia="仿宋" w:cs="仿宋"/>
                <w:b/>
                <w:bCs/>
                <w:szCs w:val="21"/>
                <w:highlight w:val="none"/>
                <w:lang w:val="en-US" w:eastAsia="zh-CN"/>
              </w:rPr>
              <w:t>负责人</w:t>
            </w:r>
            <w:r>
              <w:rPr>
                <w:rFonts w:hint="eastAsia" w:ascii="仿宋" w:hAnsi="仿宋" w:eastAsia="仿宋" w:cs="仿宋"/>
                <w:b/>
                <w:bCs/>
                <w:sz w:val="21"/>
                <w:szCs w:val="21"/>
                <w:highlight w:val="none"/>
                <w:lang w:val="en-US" w:eastAsia="zh-CN"/>
              </w:rPr>
              <w:t>[未提供投标人为其缴纳社保证明（2025年1月至提交投标文件截止时间前任意一月）不得分]</w:t>
            </w:r>
          </w:p>
          <w:p w14:paraId="48F91C0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Cs w:val="21"/>
                <w:highlight w:val="none"/>
                <w:lang w:eastAsia="zh-CN"/>
              </w:rPr>
            </w:pPr>
            <w:r>
              <w:rPr>
                <w:rFonts w:hint="eastAsia" w:ascii="仿宋" w:hAnsi="仿宋" w:eastAsia="仿宋" w:cs="仿宋"/>
                <w:b/>
                <w:bCs/>
                <w:szCs w:val="21"/>
                <w:highlight w:val="none"/>
              </w:rPr>
              <w:t>1.[客观分]</w:t>
            </w:r>
            <w:r>
              <w:rPr>
                <w:rFonts w:hint="eastAsia" w:ascii="仿宋" w:hAnsi="仿宋" w:eastAsia="仿宋" w:cs="仿宋"/>
                <w:b w:val="0"/>
                <w:bCs w:val="0"/>
                <w:szCs w:val="21"/>
                <w:highlight w:val="none"/>
                <w:lang w:val="en-US" w:eastAsia="zh-CN"/>
              </w:rPr>
              <w:t>具有</w:t>
            </w:r>
            <w:r>
              <w:rPr>
                <w:rFonts w:hint="eastAsia" w:ascii="仿宋" w:hAnsi="仿宋" w:eastAsia="仿宋" w:cs="仿宋"/>
                <w:szCs w:val="21"/>
                <w:highlight w:val="none"/>
                <w:lang w:val="en-US" w:eastAsia="zh-CN"/>
              </w:rPr>
              <w:t>副高级及以上职称证书</w:t>
            </w:r>
            <w:r>
              <w:rPr>
                <w:rFonts w:hint="eastAsia" w:ascii="仿宋" w:hAnsi="仿宋" w:eastAsia="仿宋" w:cs="仿宋"/>
                <w:szCs w:val="21"/>
                <w:lang w:val="en-US" w:eastAsia="zh-CN"/>
              </w:rPr>
              <w:t>（人社部门颁发）</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以证书为准</w:t>
            </w:r>
            <w:r>
              <w:rPr>
                <w:rFonts w:hint="eastAsia" w:ascii="仿宋" w:hAnsi="仿宋" w:eastAsia="仿宋" w:cs="仿宋"/>
                <w:szCs w:val="21"/>
                <w:highlight w:val="none"/>
                <w:lang w:eastAsia="zh-CN"/>
              </w:rPr>
              <w:t>）</w:t>
            </w:r>
          </w:p>
          <w:p w14:paraId="00285A7C">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b/>
                <w:bCs/>
                <w:szCs w:val="21"/>
                <w:highlight w:val="none"/>
              </w:rPr>
              <w:t>2.[</w:t>
            </w:r>
            <w:r>
              <w:rPr>
                <w:rFonts w:hint="eastAsia" w:ascii="仿宋" w:hAnsi="仿宋" w:eastAsia="仿宋" w:cs="仿宋"/>
                <w:b/>
                <w:bCs/>
                <w:szCs w:val="21"/>
                <w:highlight w:val="none"/>
                <w:lang w:val="en-US" w:eastAsia="zh-CN"/>
              </w:rPr>
              <w:t>客</w:t>
            </w:r>
            <w:r>
              <w:rPr>
                <w:rFonts w:hint="eastAsia" w:ascii="仿宋" w:hAnsi="仿宋" w:eastAsia="仿宋" w:cs="仿宋"/>
                <w:b/>
                <w:bCs/>
                <w:szCs w:val="21"/>
                <w:highlight w:val="none"/>
              </w:rPr>
              <w:t>观分]</w:t>
            </w:r>
            <w:r>
              <w:rPr>
                <w:rFonts w:hint="eastAsia" w:ascii="仿宋" w:hAnsi="仿宋" w:eastAsia="仿宋" w:cs="仿宋"/>
                <w:szCs w:val="21"/>
                <w:highlight w:val="none"/>
                <w:lang w:val="en-US" w:eastAsia="zh-CN"/>
              </w:rPr>
              <w:t>具有</w:t>
            </w:r>
            <w:r>
              <w:rPr>
                <w:rFonts w:hint="eastAsia" w:ascii="仿宋" w:hAnsi="仿宋" w:eastAsia="仿宋" w:cs="仿宋"/>
                <w:b w:val="0"/>
                <w:bCs w:val="0"/>
                <w:color w:val="auto"/>
                <w:szCs w:val="21"/>
                <w:highlight w:val="none"/>
                <w:lang w:val="en-US" w:eastAsia="zh-CN"/>
              </w:rPr>
              <w:t>信息系统项目管理师、系统集成项目管理工程师证书</w:t>
            </w:r>
            <w:r>
              <w:rPr>
                <w:rFonts w:hint="eastAsia" w:ascii="仿宋" w:hAnsi="仿宋" w:eastAsia="仿宋" w:cs="仿宋"/>
                <w:szCs w:val="21"/>
                <w:lang w:val="en-US" w:eastAsia="zh-CN"/>
              </w:rPr>
              <w:t>（工信或人社部门颁发）</w:t>
            </w:r>
            <w:r>
              <w:rPr>
                <w:rFonts w:hint="eastAsia" w:ascii="仿宋" w:hAnsi="仿宋" w:eastAsia="仿宋" w:cs="仿宋"/>
                <w:b w:val="0"/>
                <w:bCs w:val="0"/>
                <w:color w:val="auto"/>
                <w:szCs w:val="21"/>
                <w:highlight w:val="none"/>
                <w:lang w:val="en-US" w:eastAsia="zh-CN"/>
              </w:rPr>
              <w:t>（最高2分）：1分/证书（以证书为准）</w:t>
            </w:r>
          </w:p>
        </w:tc>
      </w:tr>
      <w:tr w14:paraId="4CE3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continue"/>
            <w:vAlign w:val="center"/>
          </w:tcPr>
          <w:p w14:paraId="04C40AF9">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szCs w:val="21"/>
                <w:highlight w:val="none"/>
              </w:rPr>
            </w:pPr>
          </w:p>
        </w:tc>
        <w:tc>
          <w:tcPr>
            <w:tcW w:w="359" w:type="pct"/>
            <w:shd w:val="clear" w:color="auto" w:fill="auto"/>
            <w:vAlign w:val="center"/>
          </w:tcPr>
          <w:p w14:paraId="0BF9091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2</w:t>
            </w:r>
          </w:p>
        </w:tc>
        <w:tc>
          <w:tcPr>
            <w:tcW w:w="3842" w:type="pct"/>
            <w:shd w:val="clear" w:color="auto" w:fill="auto"/>
            <w:vAlign w:val="center"/>
          </w:tcPr>
          <w:p w14:paraId="2142D1DD">
            <w:pPr>
              <w:keepNext w:val="0"/>
              <w:keepLines w:val="0"/>
              <w:pageBreakBefore w:val="0"/>
              <w:widowControl w:val="0"/>
              <w:kinsoku/>
              <w:wordWrap/>
              <w:overflowPunct/>
              <w:topLinePunct w:val="0"/>
              <w:autoSpaceDE/>
              <w:autoSpaceDN/>
              <w:bidi w:val="0"/>
              <w:adjustRightInd w:val="0"/>
              <w:snapToGrid w:val="0"/>
              <w:textAlignment w:val="auto"/>
              <w:rPr>
                <w:rFonts w:hint="default" w:ascii="仿宋" w:hAnsi="仿宋" w:eastAsia="仿宋" w:cs="仿宋"/>
                <w:b/>
                <w:bCs/>
                <w:szCs w:val="21"/>
                <w:highlight w:val="none"/>
                <w:lang w:val="en-US"/>
              </w:rPr>
            </w:pPr>
            <w:r>
              <w:rPr>
                <w:rFonts w:hint="eastAsia" w:ascii="仿宋" w:hAnsi="仿宋" w:eastAsia="仿宋" w:cs="仿宋"/>
                <w:b/>
                <w:bCs/>
                <w:szCs w:val="21"/>
                <w:highlight w:val="none"/>
                <w:lang w:val="en-US" w:eastAsia="zh-CN"/>
              </w:rPr>
              <w:t>技术负责人</w:t>
            </w:r>
            <w:r>
              <w:rPr>
                <w:rFonts w:hint="eastAsia" w:ascii="仿宋" w:hAnsi="仿宋" w:eastAsia="仿宋" w:cs="仿宋"/>
                <w:b/>
                <w:bCs/>
                <w:sz w:val="21"/>
                <w:szCs w:val="21"/>
                <w:highlight w:val="none"/>
                <w:lang w:val="en-US" w:eastAsia="zh-CN"/>
              </w:rPr>
              <w:t>[未提供投标人为其缴纳社保证明（2025年1月至提交投标文件截止时间前任意一月）不得分]</w:t>
            </w:r>
          </w:p>
          <w:p w14:paraId="1932A801">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szCs w:val="21"/>
                <w:highlight w:val="none"/>
                <w:lang w:eastAsia="zh-CN"/>
              </w:rPr>
            </w:pPr>
            <w:r>
              <w:rPr>
                <w:rFonts w:hint="eastAsia" w:ascii="仿宋" w:hAnsi="仿宋" w:eastAsia="仿宋" w:cs="仿宋"/>
                <w:b/>
                <w:bCs/>
                <w:szCs w:val="21"/>
                <w:highlight w:val="none"/>
              </w:rPr>
              <w:t>1.[客观分]</w:t>
            </w:r>
            <w:r>
              <w:rPr>
                <w:rFonts w:hint="eastAsia" w:ascii="仿宋" w:hAnsi="仿宋" w:eastAsia="仿宋" w:cs="仿宋"/>
                <w:b w:val="0"/>
                <w:bCs w:val="0"/>
                <w:szCs w:val="21"/>
                <w:highlight w:val="none"/>
                <w:lang w:val="en-US" w:eastAsia="zh-CN"/>
              </w:rPr>
              <w:t>具有中</w:t>
            </w:r>
            <w:r>
              <w:rPr>
                <w:rFonts w:hint="eastAsia" w:ascii="仿宋" w:hAnsi="仿宋" w:eastAsia="仿宋" w:cs="仿宋"/>
                <w:szCs w:val="21"/>
                <w:highlight w:val="none"/>
                <w:lang w:val="en-US" w:eastAsia="zh-CN"/>
              </w:rPr>
              <w:t>级及以上职称证书</w:t>
            </w:r>
            <w:r>
              <w:rPr>
                <w:rFonts w:hint="eastAsia" w:ascii="仿宋" w:hAnsi="仿宋" w:eastAsia="仿宋" w:cs="仿宋"/>
                <w:szCs w:val="21"/>
                <w:lang w:val="en-US" w:eastAsia="zh-CN"/>
              </w:rPr>
              <w:t>（人社部门颁发）</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以证书为准</w:t>
            </w:r>
            <w:r>
              <w:rPr>
                <w:rFonts w:hint="eastAsia" w:ascii="仿宋" w:hAnsi="仿宋" w:eastAsia="仿宋" w:cs="仿宋"/>
                <w:szCs w:val="21"/>
                <w:highlight w:val="none"/>
                <w:lang w:eastAsia="zh-CN"/>
              </w:rPr>
              <w:t>）</w:t>
            </w:r>
          </w:p>
          <w:p w14:paraId="32AB6EE0">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szCs w:val="21"/>
                <w:highlight w:val="none"/>
              </w:rPr>
              <w:t>2.[</w:t>
            </w:r>
            <w:r>
              <w:rPr>
                <w:rFonts w:hint="eastAsia" w:ascii="仿宋" w:hAnsi="仿宋" w:eastAsia="仿宋" w:cs="仿宋"/>
                <w:b/>
                <w:bCs/>
                <w:szCs w:val="21"/>
                <w:highlight w:val="none"/>
                <w:lang w:val="en-US" w:eastAsia="zh-CN"/>
              </w:rPr>
              <w:t>客</w:t>
            </w:r>
            <w:r>
              <w:rPr>
                <w:rFonts w:hint="eastAsia" w:ascii="仿宋" w:hAnsi="仿宋" w:eastAsia="仿宋" w:cs="仿宋"/>
                <w:b/>
                <w:bCs/>
                <w:szCs w:val="21"/>
                <w:highlight w:val="none"/>
              </w:rPr>
              <w:t>观分]</w:t>
            </w:r>
            <w:r>
              <w:rPr>
                <w:rFonts w:hint="eastAsia" w:ascii="仿宋" w:hAnsi="仿宋" w:eastAsia="仿宋" w:cs="仿宋"/>
                <w:szCs w:val="21"/>
                <w:highlight w:val="none"/>
                <w:lang w:val="en-US" w:eastAsia="zh-CN"/>
              </w:rPr>
              <w:t>具有</w:t>
            </w:r>
            <w:r>
              <w:rPr>
                <w:rFonts w:hint="eastAsia" w:ascii="仿宋" w:hAnsi="仿宋" w:eastAsia="仿宋" w:cs="仿宋"/>
                <w:b w:val="0"/>
                <w:bCs w:val="0"/>
                <w:color w:val="auto"/>
                <w:szCs w:val="21"/>
                <w:highlight w:val="none"/>
                <w:lang w:val="en-US" w:eastAsia="zh-CN"/>
              </w:rPr>
              <w:t>软件测评师证书</w:t>
            </w:r>
            <w:r>
              <w:rPr>
                <w:rFonts w:hint="eastAsia" w:ascii="仿宋" w:hAnsi="仿宋" w:eastAsia="仿宋" w:cs="仿宋"/>
                <w:szCs w:val="21"/>
                <w:lang w:val="en-US" w:eastAsia="zh-CN"/>
              </w:rPr>
              <w:t>（工信或人社部门颁发）</w:t>
            </w:r>
            <w:r>
              <w:rPr>
                <w:rFonts w:hint="eastAsia" w:ascii="仿宋" w:hAnsi="仿宋" w:eastAsia="仿宋" w:cs="仿宋"/>
                <w:b w:val="0"/>
                <w:bCs w:val="0"/>
                <w:color w:val="auto"/>
                <w:szCs w:val="21"/>
                <w:highlight w:val="none"/>
                <w:lang w:val="en-US" w:eastAsia="zh-CN"/>
              </w:rPr>
              <w:t>：1分（以证书为准）</w:t>
            </w:r>
          </w:p>
        </w:tc>
      </w:tr>
      <w:tr w14:paraId="5AE0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restart"/>
            <w:vAlign w:val="center"/>
          </w:tcPr>
          <w:p w14:paraId="6D7F1C63">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演示</w:t>
            </w:r>
          </w:p>
        </w:tc>
        <w:tc>
          <w:tcPr>
            <w:tcW w:w="359" w:type="pct"/>
            <w:vAlign w:val="center"/>
          </w:tcPr>
          <w:p w14:paraId="1DDC8B6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842" w:type="pct"/>
            <w:vAlign w:val="center"/>
          </w:tcPr>
          <w:p w14:paraId="6AD92A06">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000000" w:themeColor="text1"/>
                <w:szCs w:val="21"/>
                <w:highlight w:val="none"/>
                <w:lang w:val="en-US" w:eastAsia="zh-CN"/>
                <w14:textFill>
                  <w14:solidFill>
                    <w14:schemeClr w14:val="tx1"/>
                  </w14:solidFill>
                </w14:textFill>
              </w:rPr>
              <w:t>[主</w:t>
            </w:r>
            <w:r>
              <w:rPr>
                <w:rFonts w:hint="eastAsia" w:ascii="仿宋" w:hAnsi="仿宋" w:eastAsia="仿宋" w:cs="仿宋"/>
                <w:b/>
                <w:bCs/>
                <w:color w:val="000000" w:themeColor="text1"/>
                <w:szCs w:val="21"/>
                <w:highlight w:val="none"/>
                <w14:textFill>
                  <w14:solidFill>
                    <w14:schemeClr w14:val="tx1"/>
                  </w14:solidFill>
                </w14:textFill>
              </w:rPr>
              <w:t>观分</w:t>
            </w:r>
            <w:r>
              <w:rPr>
                <w:rFonts w:hint="eastAsia" w:ascii="仿宋" w:hAnsi="仿宋" w:eastAsia="仿宋" w:cs="仿宋"/>
                <w:b/>
                <w:bCs/>
                <w:color w:val="000000" w:themeColor="text1"/>
                <w:szCs w:val="21"/>
                <w:highlight w:val="none"/>
                <w:lang w:val="en-US" w:eastAsia="zh-CN"/>
                <w14:textFill>
                  <w14:solidFill>
                    <w14:schemeClr w14:val="tx1"/>
                  </w14:solidFill>
                </w14:textFill>
              </w:rPr>
              <w:t>]</w:t>
            </w:r>
            <w:r>
              <w:rPr>
                <w:rFonts w:hint="eastAsia" w:ascii="仿宋" w:hAnsi="仿宋" w:eastAsia="仿宋" w:cs="仿宋"/>
                <w:szCs w:val="21"/>
              </w:rPr>
              <w:t>演示内容1：专业、全面、针对采购需求及实际特点、功能需求符合程度</w:t>
            </w:r>
            <w:r>
              <w:rPr>
                <w:rFonts w:hint="eastAsia" w:ascii="仿宋" w:hAnsi="仿宋" w:eastAsia="仿宋" w:cs="仿宋"/>
                <w:b/>
                <w:bCs/>
                <w:szCs w:val="21"/>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szCs w:val="21"/>
              </w:rPr>
              <w:t>，未提供演示或功能需求不符合得0分）</w:t>
            </w:r>
          </w:p>
        </w:tc>
      </w:tr>
      <w:tr w14:paraId="68FB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continue"/>
            <w:vAlign w:val="center"/>
          </w:tcPr>
          <w:p w14:paraId="2AF7196F">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p>
        </w:tc>
        <w:tc>
          <w:tcPr>
            <w:tcW w:w="359" w:type="pct"/>
            <w:vAlign w:val="center"/>
          </w:tcPr>
          <w:p w14:paraId="29799C5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842" w:type="pct"/>
            <w:vAlign w:val="center"/>
          </w:tcPr>
          <w:p w14:paraId="0F9CD2B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000000" w:themeColor="text1"/>
                <w:szCs w:val="21"/>
                <w:highlight w:val="none"/>
                <w:lang w:val="en-US" w:eastAsia="zh-CN"/>
                <w14:textFill>
                  <w14:solidFill>
                    <w14:schemeClr w14:val="tx1"/>
                  </w14:solidFill>
                </w14:textFill>
              </w:rPr>
              <w:t>[主</w:t>
            </w:r>
            <w:r>
              <w:rPr>
                <w:rFonts w:hint="eastAsia" w:ascii="仿宋" w:hAnsi="仿宋" w:eastAsia="仿宋" w:cs="仿宋"/>
                <w:b/>
                <w:bCs/>
                <w:color w:val="000000" w:themeColor="text1"/>
                <w:szCs w:val="21"/>
                <w:highlight w:val="none"/>
                <w14:textFill>
                  <w14:solidFill>
                    <w14:schemeClr w14:val="tx1"/>
                  </w14:solidFill>
                </w14:textFill>
              </w:rPr>
              <w:t>观分</w:t>
            </w:r>
            <w:r>
              <w:rPr>
                <w:rFonts w:hint="eastAsia" w:ascii="仿宋" w:hAnsi="仿宋" w:eastAsia="仿宋" w:cs="仿宋"/>
                <w:b/>
                <w:bCs/>
                <w:color w:val="000000" w:themeColor="text1"/>
                <w:szCs w:val="21"/>
                <w:highlight w:val="none"/>
                <w:lang w:val="en-US" w:eastAsia="zh-CN"/>
                <w14:textFill>
                  <w14:solidFill>
                    <w14:schemeClr w14:val="tx1"/>
                  </w14:solidFill>
                </w14:textFill>
              </w:rPr>
              <w:t>]</w:t>
            </w:r>
            <w:r>
              <w:rPr>
                <w:rFonts w:hint="eastAsia" w:ascii="仿宋" w:hAnsi="仿宋" w:eastAsia="仿宋" w:cs="仿宋"/>
                <w:szCs w:val="21"/>
              </w:rPr>
              <w:t>演示内容</w:t>
            </w:r>
            <w:r>
              <w:rPr>
                <w:rFonts w:hint="eastAsia" w:ascii="仿宋" w:hAnsi="仿宋" w:eastAsia="仿宋" w:cs="仿宋"/>
                <w:szCs w:val="21"/>
                <w:lang w:val="en-US" w:eastAsia="zh-CN"/>
              </w:rPr>
              <w:t>2</w:t>
            </w:r>
            <w:r>
              <w:rPr>
                <w:rFonts w:hint="eastAsia" w:ascii="仿宋" w:hAnsi="仿宋" w:eastAsia="仿宋" w:cs="仿宋"/>
                <w:szCs w:val="21"/>
              </w:rPr>
              <w:t>：专业、全面、针对采购需求及实际特点、功能需求符合程度</w:t>
            </w:r>
            <w:r>
              <w:rPr>
                <w:rFonts w:hint="eastAsia" w:ascii="仿宋" w:hAnsi="仿宋" w:eastAsia="仿宋" w:cs="仿宋"/>
                <w:b/>
                <w:bCs/>
                <w:szCs w:val="21"/>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szCs w:val="21"/>
              </w:rPr>
              <w:t>，未提供演示或功能需求不符合得0分）</w:t>
            </w:r>
          </w:p>
        </w:tc>
      </w:tr>
      <w:tr w14:paraId="12C6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continue"/>
            <w:vAlign w:val="center"/>
          </w:tcPr>
          <w:p w14:paraId="7A93807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p>
        </w:tc>
        <w:tc>
          <w:tcPr>
            <w:tcW w:w="359" w:type="pct"/>
            <w:vAlign w:val="center"/>
          </w:tcPr>
          <w:p w14:paraId="5EB88D8F">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842" w:type="pct"/>
            <w:vAlign w:val="center"/>
          </w:tcPr>
          <w:p w14:paraId="68875593">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000000" w:themeColor="text1"/>
                <w:szCs w:val="21"/>
                <w:highlight w:val="none"/>
                <w:lang w:val="en-US" w:eastAsia="zh-CN"/>
                <w14:textFill>
                  <w14:solidFill>
                    <w14:schemeClr w14:val="tx1"/>
                  </w14:solidFill>
                </w14:textFill>
              </w:rPr>
              <w:t>[主</w:t>
            </w:r>
            <w:r>
              <w:rPr>
                <w:rFonts w:hint="eastAsia" w:ascii="仿宋" w:hAnsi="仿宋" w:eastAsia="仿宋" w:cs="仿宋"/>
                <w:b/>
                <w:bCs/>
                <w:color w:val="000000" w:themeColor="text1"/>
                <w:szCs w:val="21"/>
                <w:highlight w:val="none"/>
                <w14:textFill>
                  <w14:solidFill>
                    <w14:schemeClr w14:val="tx1"/>
                  </w14:solidFill>
                </w14:textFill>
              </w:rPr>
              <w:t>观分</w:t>
            </w:r>
            <w:r>
              <w:rPr>
                <w:rFonts w:hint="eastAsia" w:ascii="仿宋" w:hAnsi="仿宋" w:eastAsia="仿宋" w:cs="仿宋"/>
                <w:b/>
                <w:bCs/>
                <w:color w:val="000000" w:themeColor="text1"/>
                <w:szCs w:val="21"/>
                <w:highlight w:val="none"/>
                <w:lang w:val="en-US" w:eastAsia="zh-CN"/>
                <w14:textFill>
                  <w14:solidFill>
                    <w14:schemeClr w14:val="tx1"/>
                  </w14:solidFill>
                </w14:textFill>
              </w:rPr>
              <w:t>]</w:t>
            </w:r>
            <w:r>
              <w:rPr>
                <w:rFonts w:hint="eastAsia" w:ascii="仿宋" w:hAnsi="仿宋" w:eastAsia="仿宋" w:cs="仿宋"/>
                <w:szCs w:val="21"/>
              </w:rPr>
              <w:t>演示内容</w:t>
            </w:r>
            <w:r>
              <w:rPr>
                <w:rFonts w:hint="eastAsia" w:ascii="仿宋" w:hAnsi="仿宋" w:eastAsia="仿宋" w:cs="仿宋"/>
                <w:szCs w:val="21"/>
                <w:lang w:val="en-US" w:eastAsia="zh-CN"/>
              </w:rPr>
              <w:t>3</w:t>
            </w:r>
            <w:r>
              <w:rPr>
                <w:rFonts w:hint="eastAsia" w:ascii="仿宋" w:hAnsi="仿宋" w:eastAsia="仿宋" w:cs="仿宋"/>
                <w:szCs w:val="21"/>
              </w:rPr>
              <w:t>：专业、全面、针对采购需求及实际特点、功能需求符合程度</w:t>
            </w:r>
            <w:r>
              <w:rPr>
                <w:rFonts w:hint="eastAsia" w:ascii="仿宋" w:hAnsi="仿宋" w:eastAsia="仿宋" w:cs="仿宋"/>
                <w:b/>
                <w:bCs/>
                <w:szCs w:val="21"/>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szCs w:val="21"/>
              </w:rPr>
              <w:t>，未提供演示或功能需求不符合得0分）</w:t>
            </w:r>
          </w:p>
        </w:tc>
      </w:tr>
      <w:tr w14:paraId="1CC4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continue"/>
            <w:vAlign w:val="center"/>
          </w:tcPr>
          <w:p w14:paraId="5D799E5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p>
        </w:tc>
        <w:tc>
          <w:tcPr>
            <w:tcW w:w="359" w:type="pct"/>
            <w:vAlign w:val="center"/>
          </w:tcPr>
          <w:p w14:paraId="05A100A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842" w:type="pct"/>
            <w:vAlign w:val="center"/>
          </w:tcPr>
          <w:p w14:paraId="0F077686">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000000" w:themeColor="text1"/>
                <w:szCs w:val="21"/>
                <w:highlight w:val="none"/>
                <w:lang w:val="en-US" w:eastAsia="zh-CN"/>
                <w14:textFill>
                  <w14:solidFill>
                    <w14:schemeClr w14:val="tx1"/>
                  </w14:solidFill>
                </w14:textFill>
              </w:rPr>
              <w:t>[主</w:t>
            </w:r>
            <w:r>
              <w:rPr>
                <w:rFonts w:hint="eastAsia" w:ascii="仿宋" w:hAnsi="仿宋" w:eastAsia="仿宋" w:cs="仿宋"/>
                <w:b/>
                <w:bCs/>
                <w:color w:val="000000" w:themeColor="text1"/>
                <w:szCs w:val="21"/>
                <w:highlight w:val="none"/>
                <w14:textFill>
                  <w14:solidFill>
                    <w14:schemeClr w14:val="tx1"/>
                  </w14:solidFill>
                </w14:textFill>
              </w:rPr>
              <w:t>观分</w:t>
            </w:r>
            <w:r>
              <w:rPr>
                <w:rFonts w:hint="eastAsia" w:ascii="仿宋" w:hAnsi="仿宋" w:eastAsia="仿宋" w:cs="仿宋"/>
                <w:b/>
                <w:bCs/>
                <w:color w:val="000000" w:themeColor="text1"/>
                <w:szCs w:val="21"/>
                <w:highlight w:val="none"/>
                <w:lang w:val="en-US" w:eastAsia="zh-CN"/>
                <w14:textFill>
                  <w14:solidFill>
                    <w14:schemeClr w14:val="tx1"/>
                  </w14:solidFill>
                </w14:textFill>
              </w:rPr>
              <w:t>]</w:t>
            </w:r>
            <w:r>
              <w:rPr>
                <w:rFonts w:hint="eastAsia" w:ascii="仿宋" w:hAnsi="仿宋" w:eastAsia="仿宋" w:cs="仿宋"/>
                <w:szCs w:val="21"/>
              </w:rPr>
              <w:t>演示内容</w:t>
            </w:r>
            <w:r>
              <w:rPr>
                <w:rFonts w:hint="eastAsia" w:ascii="仿宋" w:hAnsi="仿宋" w:eastAsia="仿宋" w:cs="仿宋"/>
                <w:szCs w:val="21"/>
                <w:lang w:val="en-US" w:eastAsia="zh-CN"/>
              </w:rPr>
              <w:t>4</w:t>
            </w:r>
            <w:r>
              <w:rPr>
                <w:rFonts w:hint="eastAsia" w:ascii="仿宋" w:hAnsi="仿宋" w:eastAsia="仿宋" w:cs="仿宋"/>
                <w:szCs w:val="21"/>
              </w:rPr>
              <w:t>：专业、全面、针对采购需求及实际特点、功能需求符合程度</w:t>
            </w:r>
            <w:r>
              <w:rPr>
                <w:rFonts w:hint="eastAsia" w:ascii="仿宋" w:hAnsi="仿宋" w:eastAsia="仿宋" w:cs="仿宋"/>
                <w:b/>
                <w:bCs/>
                <w:szCs w:val="21"/>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szCs w:val="21"/>
              </w:rPr>
              <w:t>，未提供演示或功能需求不符合得0分）</w:t>
            </w:r>
          </w:p>
        </w:tc>
      </w:tr>
      <w:tr w14:paraId="27CF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7" w:type="pct"/>
            <w:vMerge w:val="continue"/>
            <w:vAlign w:val="center"/>
          </w:tcPr>
          <w:p w14:paraId="60640D5D">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szCs w:val="21"/>
                <w:highlight w:val="none"/>
                <w:lang w:val="en-US" w:eastAsia="zh-CN"/>
              </w:rPr>
            </w:pPr>
          </w:p>
        </w:tc>
        <w:tc>
          <w:tcPr>
            <w:tcW w:w="359" w:type="pct"/>
            <w:vAlign w:val="center"/>
          </w:tcPr>
          <w:p w14:paraId="3975EB7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p>
        </w:tc>
        <w:tc>
          <w:tcPr>
            <w:tcW w:w="3842" w:type="pct"/>
            <w:vAlign w:val="center"/>
          </w:tcPr>
          <w:p w14:paraId="36691A74">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000000" w:themeColor="text1"/>
                <w:szCs w:val="21"/>
                <w:highlight w:val="none"/>
                <w:lang w:val="en-US" w:eastAsia="zh-CN"/>
                <w14:textFill>
                  <w14:solidFill>
                    <w14:schemeClr w14:val="tx1"/>
                  </w14:solidFill>
                </w14:textFill>
              </w:rPr>
              <w:t>[主</w:t>
            </w:r>
            <w:r>
              <w:rPr>
                <w:rFonts w:hint="eastAsia" w:ascii="仿宋" w:hAnsi="仿宋" w:eastAsia="仿宋" w:cs="仿宋"/>
                <w:b/>
                <w:bCs/>
                <w:color w:val="000000" w:themeColor="text1"/>
                <w:szCs w:val="21"/>
                <w:highlight w:val="none"/>
                <w14:textFill>
                  <w14:solidFill>
                    <w14:schemeClr w14:val="tx1"/>
                  </w14:solidFill>
                </w14:textFill>
              </w:rPr>
              <w:t>观分</w:t>
            </w:r>
            <w:r>
              <w:rPr>
                <w:rFonts w:hint="eastAsia" w:ascii="仿宋" w:hAnsi="仿宋" w:eastAsia="仿宋" w:cs="仿宋"/>
                <w:b/>
                <w:bCs/>
                <w:color w:val="000000" w:themeColor="text1"/>
                <w:szCs w:val="21"/>
                <w:highlight w:val="none"/>
                <w:lang w:val="en-US" w:eastAsia="zh-CN"/>
                <w14:textFill>
                  <w14:solidFill>
                    <w14:schemeClr w14:val="tx1"/>
                  </w14:solidFill>
                </w14:textFill>
              </w:rPr>
              <w:t>]</w:t>
            </w:r>
            <w:r>
              <w:rPr>
                <w:rFonts w:hint="eastAsia" w:ascii="仿宋" w:hAnsi="仿宋" w:eastAsia="仿宋" w:cs="仿宋"/>
                <w:szCs w:val="21"/>
              </w:rPr>
              <w:t>演示内容</w:t>
            </w:r>
            <w:r>
              <w:rPr>
                <w:rFonts w:hint="eastAsia" w:ascii="仿宋" w:hAnsi="仿宋" w:eastAsia="仿宋" w:cs="仿宋"/>
                <w:szCs w:val="21"/>
                <w:lang w:val="en-US" w:eastAsia="zh-CN"/>
              </w:rPr>
              <w:t>5</w:t>
            </w:r>
            <w:r>
              <w:rPr>
                <w:rFonts w:hint="eastAsia" w:ascii="仿宋" w:hAnsi="仿宋" w:eastAsia="仿宋" w:cs="仿宋"/>
                <w:szCs w:val="21"/>
              </w:rPr>
              <w:t>：专业、全面、针对采购需求及实际特点、功能需求符合程度</w:t>
            </w:r>
            <w:r>
              <w:rPr>
                <w:rFonts w:hint="eastAsia" w:ascii="仿宋" w:hAnsi="仿宋" w:eastAsia="仿宋" w:cs="仿宋"/>
                <w:b/>
                <w:bCs/>
                <w:szCs w:val="21"/>
              </w:rPr>
              <w:t>（评分范围:</w:t>
            </w:r>
            <w:r>
              <w:rPr>
                <w:rFonts w:hint="eastAsia" w:ascii="仿宋" w:hAnsi="仿宋" w:eastAsia="仿宋" w:cs="仿宋"/>
                <w:b/>
                <w:bCs/>
                <w:color w:val="auto"/>
                <w:sz w:val="21"/>
                <w:szCs w:val="21"/>
                <w:highlight w:val="none"/>
                <w:lang w:val="en-US" w:eastAsia="zh-CN"/>
              </w:rPr>
              <w:t>3,2,1,0</w:t>
            </w:r>
            <w:r>
              <w:rPr>
                <w:rFonts w:hint="eastAsia" w:ascii="仿宋" w:hAnsi="仿宋" w:eastAsia="仿宋" w:cs="仿宋"/>
                <w:b/>
                <w:bCs/>
                <w:szCs w:val="21"/>
              </w:rPr>
              <w:t>，未提供演示或功能需求不符合得0分）</w:t>
            </w:r>
          </w:p>
        </w:tc>
      </w:tr>
    </w:tbl>
    <w:p w14:paraId="7A138FA0">
      <w:pPr>
        <w:widowControl/>
        <w:adjustRightInd w:val="0"/>
        <w:snapToGrid w:val="0"/>
        <w:spacing w:line="288" w:lineRule="auto"/>
        <w:ind w:left="0" w:leftChars="0" w:right="0" w:rightChars="0" w:firstLine="0" w:firstLineChars="0"/>
        <w:jc w:val="cente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750F4D5D">
      <w:pPr>
        <w:adjustRightInd w:val="0"/>
        <w:snapToGrid w:val="0"/>
        <w:spacing w:line="288" w:lineRule="auto"/>
        <w:ind w:left="0" w:leftChars="0" w:right="0" w:rightChars="0" w:firstLine="0" w:firstLineChars="0"/>
        <w:jc w:val="center"/>
        <w:outlineLvl w:val="0"/>
        <w:rPr>
          <w:rFonts w:ascii="仿宋" w:hAnsi="仿宋" w:eastAsia="仿宋" w:cs="仿宋"/>
          <w:color w:val="auto"/>
          <w:kern w:val="0"/>
          <w:sz w:val="32"/>
          <w:szCs w:val="32"/>
          <w:highlight w:val="none"/>
        </w:rPr>
      </w:pPr>
      <w:r>
        <w:rPr>
          <w:rFonts w:hint="eastAsia" w:ascii="仿宋" w:hAnsi="仿宋" w:eastAsia="仿宋" w:cs="仿宋"/>
          <w:b/>
          <w:color w:val="auto"/>
          <w:sz w:val="32"/>
          <w:szCs w:val="32"/>
          <w:highlight w:val="none"/>
        </w:rPr>
        <w:t>第五章  拟签订的合同文本</w:t>
      </w:r>
    </w:p>
    <w:p w14:paraId="35536978">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浙江理工大学采购合同</w:t>
      </w:r>
    </w:p>
    <w:p w14:paraId="39C28751">
      <w:pPr>
        <w:keepNext w:val="0"/>
        <w:keepLines w:val="0"/>
        <w:pageBreakBefore w:val="0"/>
        <w:widowControl w:val="0"/>
        <w:kinsoku/>
        <w:wordWrap/>
        <w:overflowPunct/>
        <w:topLinePunct w:val="0"/>
        <w:autoSpaceDE/>
        <w:autoSpaceDN/>
        <w:bidi w:val="0"/>
        <w:adjustRightInd/>
        <w:spacing w:line="288" w:lineRule="auto"/>
        <w:ind w:left="0" w:leftChars="0" w:right="0" w:rightChars="0"/>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（本合同为合同样稿，最终稿由三方协商后确定，合同实质性内容不得更改；签订合同时删除此行）</w:t>
      </w:r>
    </w:p>
    <w:p w14:paraId="1FC0AA5E">
      <w:pPr>
        <w:keepNext w:val="0"/>
        <w:keepLines w:val="0"/>
        <w:pageBreakBefore w:val="0"/>
        <w:widowControl w:val="0"/>
        <w:kinsoku/>
        <w:wordWrap/>
        <w:overflowPunct/>
        <w:topLinePunct w:val="0"/>
        <w:autoSpaceDE/>
        <w:autoSpaceDN/>
        <w:bidi w:val="0"/>
        <w:adjustRightInd/>
        <w:spacing w:line="288" w:lineRule="auto"/>
        <w:ind w:left="0" w:leftChars="0" w:right="0" w:rightChars="0"/>
        <w:jc w:val="right"/>
        <w:textAlignment w:val="auto"/>
        <w:rPr>
          <w:rFonts w:hint="eastAsia" w:ascii="仿宋" w:hAnsi="仿宋" w:eastAsia="仿宋" w:cs="仿宋"/>
          <w:color w:val="auto"/>
          <w:spacing w:val="-6"/>
          <w:sz w:val="21"/>
          <w:szCs w:val="21"/>
          <w:highlight w:val="none"/>
          <w:lang w:eastAsia="zh-CN"/>
        </w:rPr>
      </w:pPr>
      <w:r>
        <w:rPr>
          <w:rFonts w:hint="eastAsia" w:ascii="仿宋" w:hAnsi="仿宋" w:eastAsia="仿宋" w:cs="仿宋"/>
          <w:spacing w:val="-6"/>
          <w:sz w:val="21"/>
          <w:szCs w:val="21"/>
          <w:highlight w:val="none"/>
          <w:lang w:eastAsia="zh-CN"/>
        </w:rPr>
        <w:t>浙财采备[2025]40963、40964、40965号</w:t>
      </w:r>
    </w:p>
    <w:p w14:paraId="55985471">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甲方（需方）：</w:t>
      </w:r>
      <w:r>
        <w:rPr>
          <w:rFonts w:hint="eastAsia" w:ascii="仿宋" w:hAnsi="仿宋" w:eastAsia="仿宋" w:cs="仿宋"/>
          <w:color w:val="auto"/>
          <w:spacing w:val="-6"/>
          <w:sz w:val="21"/>
          <w:szCs w:val="21"/>
          <w:highlight w:val="none"/>
        </w:rPr>
        <w:t>浙江理工大学</w:t>
      </w:r>
    </w:p>
    <w:p w14:paraId="7726AD47">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乙方（供方）：</w:t>
      </w:r>
    </w:p>
    <w:p w14:paraId="22C271C7">
      <w:pPr>
        <w:keepNext w:val="0"/>
        <w:keepLines w:val="0"/>
        <w:pageBreakBefore w:val="0"/>
        <w:widowControl w:val="0"/>
        <w:kinsoku/>
        <w:wordWrap/>
        <w:overflowPunct/>
        <w:topLinePunct w:val="0"/>
        <w:autoSpaceDE/>
        <w:autoSpaceDN/>
        <w:bidi w:val="0"/>
        <w:adjustRightInd/>
        <w:spacing w:line="288" w:lineRule="auto"/>
        <w:ind w:left="0" w:leftChars="0" w:right="0" w:rightChars="0"/>
        <w:textAlignment w:val="auto"/>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采购代理机构：</w:t>
      </w:r>
      <w:r>
        <w:rPr>
          <w:rFonts w:hint="eastAsia" w:ascii="仿宋" w:hAnsi="仿宋" w:eastAsia="仿宋" w:cs="仿宋"/>
          <w:color w:val="auto"/>
          <w:spacing w:val="-6"/>
          <w:sz w:val="21"/>
          <w:szCs w:val="21"/>
          <w:highlight w:val="none"/>
        </w:rPr>
        <w:t>浙江求是招标代理有限公司</w:t>
      </w:r>
    </w:p>
    <w:p w14:paraId="61083835">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为保护供、需双方的合法权益，根据《中华人民共和国政府采购法》《中华人民共和国民法典》等相关法律法规，浙江理工大学特委托浙江求是招标代理有限公司经评审，确定</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为项目编号</w:t>
      </w:r>
      <w:r>
        <w:rPr>
          <w:rFonts w:hint="eastAsia" w:ascii="仿宋" w:hAnsi="仿宋" w:eastAsia="仿宋" w:cs="仿宋"/>
          <w:spacing w:val="-6"/>
          <w:sz w:val="21"/>
          <w:szCs w:val="21"/>
          <w:highlight w:val="none"/>
          <w:lang w:eastAsia="zh-CN"/>
        </w:rPr>
        <w:t>QSZBH250028ZHGK</w:t>
      </w:r>
      <w:r>
        <w:rPr>
          <w:rFonts w:hint="eastAsia" w:ascii="仿宋" w:hAnsi="仿宋" w:eastAsia="仿宋" w:cs="仿宋"/>
          <w:color w:val="auto"/>
          <w:spacing w:val="-6"/>
          <w:sz w:val="21"/>
          <w:szCs w:val="21"/>
          <w:highlight w:val="none"/>
        </w:rPr>
        <w:t>的</w:t>
      </w:r>
      <w:r>
        <w:rPr>
          <w:rFonts w:hint="eastAsia" w:ascii="仿宋" w:hAnsi="仿宋" w:eastAsia="仿宋" w:cs="仿宋"/>
          <w:color w:val="auto"/>
          <w:spacing w:val="-6"/>
          <w:sz w:val="21"/>
          <w:szCs w:val="21"/>
          <w:highlight w:val="none"/>
          <w:lang w:eastAsia="zh-CN"/>
        </w:rPr>
        <w:t>中标人</w:t>
      </w:r>
      <w:r>
        <w:rPr>
          <w:rFonts w:hint="eastAsia" w:ascii="仿宋" w:hAnsi="仿宋" w:eastAsia="仿宋" w:cs="仿宋"/>
          <w:color w:val="auto"/>
          <w:spacing w:val="-6"/>
          <w:sz w:val="21"/>
          <w:szCs w:val="21"/>
          <w:highlight w:val="none"/>
        </w:rPr>
        <w:t>。本合同为中小企业预留合同</w:t>
      </w:r>
      <w:r>
        <w:rPr>
          <w:rFonts w:hint="eastAsia" w:ascii="仿宋" w:hAnsi="仿宋" w:eastAsia="仿宋" w:cs="仿宋"/>
          <w:color w:val="auto"/>
          <w:spacing w:val="-6"/>
          <w:sz w:val="21"/>
          <w:szCs w:val="21"/>
          <w:highlight w:val="none"/>
          <w:lang w:eastAsia="zh-CN"/>
        </w:rPr>
        <w:t>。</w:t>
      </w:r>
      <w:r>
        <w:rPr>
          <w:rFonts w:hint="eastAsia" w:ascii="仿宋" w:hAnsi="仿宋" w:eastAsia="仿宋" w:cs="仿宋"/>
          <w:color w:val="auto"/>
          <w:spacing w:val="-6"/>
          <w:sz w:val="21"/>
          <w:szCs w:val="21"/>
          <w:highlight w:val="none"/>
        </w:rPr>
        <w:t>经甲、乙双方协商达成以下协议：</w:t>
      </w:r>
    </w:p>
    <w:p w14:paraId="732EF20D">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第一条：采购商品名称及合同价格</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2395"/>
        <w:gridCol w:w="849"/>
        <w:gridCol w:w="1591"/>
        <w:gridCol w:w="2460"/>
      </w:tblGrid>
      <w:tr w14:paraId="369F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33" w:type="dxa"/>
            <w:vAlign w:val="center"/>
          </w:tcPr>
          <w:p w14:paraId="6EEFA24C">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商品名称</w:t>
            </w:r>
          </w:p>
        </w:tc>
        <w:tc>
          <w:tcPr>
            <w:tcW w:w="2395" w:type="dxa"/>
            <w:vAlign w:val="center"/>
          </w:tcPr>
          <w:p w14:paraId="56953FF5">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配置要求</w:t>
            </w:r>
          </w:p>
        </w:tc>
        <w:tc>
          <w:tcPr>
            <w:tcW w:w="849" w:type="dxa"/>
            <w:vAlign w:val="center"/>
          </w:tcPr>
          <w:p w14:paraId="4A59B866">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数量</w:t>
            </w:r>
          </w:p>
        </w:tc>
        <w:tc>
          <w:tcPr>
            <w:tcW w:w="1591" w:type="dxa"/>
            <w:vAlign w:val="center"/>
          </w:tcPr>
          <w:p w14:paraId="63B0D036">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单价</w:t>
            </w:r>
          </w:p>
        </w:tc>
        <w:tc>
          <w:tcPr>
            <w:tcW w:w="2460" w:type="dxa"/>
            <w:vAlign w:val="center"/>
          </w:tcPr>
          <w:p w14:paraId="43E4565B">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合计</w:t>
            </w:r>
          </w:p>
        </w:tc>
      </w:tr>
      <w:tr w14:paraId="011A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33" w:type="dxa"/>
            <w:vAlign w:val="center"/>
          </w:tcPr>
          <w:p w14:paraId="6DDEC06D">
            <w:pPr>
              <w:jc w:val="center"/>
              <w:rPr>
                <w:rFonts w:hint="eastAsia" w:ascii="仿宋" w:hAnsi="仿宋" w:eastAsia="仿宋" w:cs="仿宋"/>
                <w:b/>
                <w:bCs/>
                <w:sz w:val="21"/>
                <w:szCs w:val="21"/>
                <w:highlight w:val="none"/>
                <w:u w:val="none"/>
              </w:rPr>
            </w:pPr>
          </w:p>
        </w:tc>
        <w:tc>
          <w:tcPr>
            <w:tcW w:w="2395" w:type="dxa"/>
            <w:vAlign w:val="center"/>
          </w:tcPr>
          <w:p w14:paraId="66043540">
            <w:pPr>
              <w:jc w:val="center"/>
              <w:rPr>
                <w:rFonts w:hint="eastAsia" w:ascii="仿宋" w:hAnsi="仿宋" w:eastAsia="仿宋" w:cs="仿宋"/>
                <w:b/>
                <w:bCs/>
                <w:sz w:val="21"/>
                <w:szCs w:val="21"/>
                <w:highlight w:val="none"/>
                <w:u w:val="none"/>
              </w:rPr>
            </w:pPr>
          </w:p>
        </w:tc>
        <w:tc>
          <w:tcPr>
            <w:tcW w:w="849" w:type="dxa"/>
            <w:vAlign w:val="center"/>
          </w:tcPr>
          <w:p w14:paraId="56193352">
            <w:pPr>
              <w:jc w:val="center"/>
              <w:rPr>
                <w:rFonts w:hint="eastAsia" w:ascii="仿宋" w:hAnsi="仿宋" w:eastAsia="仿宋" w:cs="仿宋"/>
                <w:b/>
                <w:bCs/>
                <w:sz w:val="21"/>
                <w:szCs w:val="21"/>
                <w:highlight w:val="none"/>
                <w:u w:val="none"/>
              </w:rPr>
            </w:pPr>
          </w:p>
        </w:tc>
        <w:tc>
          <w:tcPr>
            <w:tcW w:w="1591" w:type="dxa"/>
            <w:vAlign w:val="center"/>
          </w:tcPr>
          <w:p w14:paraId="6BDD547F">
            <w:pPr>
              <w:jc w:val="center"/>
              <w:rPr>
                <w:rFonts w:hint="eastAsia" w:ascii="仿宋" w:hAnsi="仿宋" w:eastAsia="仿宋" w:cs="仿宋"/>
                <w:b/>
                <w:bCs/>
                <w:sz w:val="21"/>
                <w:szCs w:val="21"/>
                <w:highlight w:val="none"/>
                <w:u w:val="none"/>
              </w:rPr>
            </w:pPr>
          </w:p>
        </w:tc>
        <w:tc>
          <w:tcPr>
            <w:tcW w:w="2460" w:type="dxa"/>
            <w:vAlign w:val="center"/>
          </w:tcPr>
          <w:p w14:paraId="7B816329">
            <w:pPr>
              <w:jc w:val="center"/>
              <w:rPr>
                <w:rFonts w:hint="eastAsia" w:ascii="仿宋" w:hAnsi="仿宋" w:eastAsia="仿宋" w:cs="仿宋"/>
                <w:b/>
                <w:bCs/>
                <w:sz w:val="21"/>
                <w:szCs w:val="21"/>
                <w:highlight w:val="none"/>
                <w:u w:val="none"/>
              </w:rPr>
            </w:pPr>
          </w:p>
        </w:tc>
      </w:tr>
      <w:tr w14:paraId="6D68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8" w:type="dxa"/>
            <w:gridSpan w:val="2"/>
            <w:vAlign w:val="center"/>
          </w:tcPr>
          <w:p w14:paraId="4910B4D0">
            <w:pPr>
              <w:jc w:val="cente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总计</w:t>
            </w:r>
          </w:p>
        </w:tc>
        <w:tc>
          <w:tcPr>
            <w:tcW w:w="849" w:type="dxa"/>
            <w:vAlign w:val="center"/>
          </w:tcPr>
          <w:p w14:paraId="4565FADE">
            <w:pPr>
              <w:jc w:val="center"/>
              <w:rPr>
                <w:rFonts w:hint="eastAsia" w:ascii="仿宋" w:hAnsi="仿宋" w:eastAsia="仿宋" w:cs="仿宋"/>
                <w:b/>
                <w:bCs/>
                <w:sz w:val="21"/>
                <w:szCs w:val="21"/>
                <w:highlight w:val="none"/>
                <w:u w:val="none"/>
              </w:rPr>
            </w:pPr>
          </w:p>
        </w:tc>
        <w:tc>
          <w:tcPr>
            <w:tcW w:w="1591" w:type="dxa"/>
            <w:vAlign w:val="center"/>
          </w:tcPr>
          <w:p w14:paraId="31BFB317">
            <w:pPr>
              <w:jc w:val="center"/>
              <w:rPr>
                <w:rFonts w:hint="eastAsia" w:ascii="仿宋" w:hAnsi="仿宋" w:eastAsia="仿宋" w:cs="仿宋"/>
                <w:b/>
                <w:bCs/>
                <w:sz w:val="21"/>
                <w:szCs w:val="21"/>
                <w:highlight w:val="none"/>
                <w:u w:val="none"/>
              </w:rPr>
            </w:pPr>
          </w:p>
        </w:tc>
        <w:tc>
          <w:tcPr>
            <w:tcW w:w="2460" w:type="dxa"/>
            <w:vAlign w:val="center"/>
          </w:tcPr>
          <w:p w14:paraId="17C2E6FD">
            <w:pPr>
              <w:jc w:val="center"/>
              <w:rPr>
                <w:rFonts w:hint="eastAsia" w:ascii="仿宋" w:hAnsi="仿宋" w:eastAsia="仿宋" w:cs="仿宋"/>
                <w:b/>
                <w:bCs/>
                <w:sz w:val="21"/>
                <w:szCs w:val="21"/>
                <w:highlight w:val="none"/>
                <w:u w:val="none"/>
              </w:rPr>
            </w:pPr>
          </w:p>
        </w:tc>
      </w:tr>
      <w:tr w14:paraId="5DE4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77B5E732">
            <w:pPr>
              <w:jc w:val="both"/>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商品总价（大写）：</w:t>
            </w:r>
          </w:p>
        </w:tc>
      </w:tr>
      <w:tr w14:paraId="2489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5"/>
            <w:vAlign w:val="center"/>
          </w:tcPr>
          <w:p w14:paraId="01CA4CDC">
            <w:pPr>
              <w:rPr>
                <w:rFonts w:hint="eastAsia" w:ascii="仿宋" w:hAnsi="仿宋" w:eastAsia="仿宋" w:cs="仿宋"/>
                <w:b/>
                <w:bCs/>
                <w:sz w:val="21"/>
                <w:szCs w:val="21"/>
                <w:highlight w:val="none"/>
                <w:u w:val="none"/>
              </w:rPr>
            </w:pPr>
            <w:r>
              <w:rPr>
                <w:rFonts w:hint="eastAsia" w:ascii="仿宋" w:hAnsi="仿宋" w:eastAsia="仿宋" w:cs="仿宋"/>
                <w:b/>
                <w:bCs/>
                <w:sz w:val="21"/>
                <w:szCs w:val="21"/>
                <w:highlight w:val="none"/>
                <w:u w:val="none"/>
              </w:rPr>
              <w:t>备注：详见技术协议或配置清单</w:t>
            </w:r>
          </w:p>
        </w:tc>
      </w:tr>
    </w:tbl>
    <w:p w14:paraId="51BD2006">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p>
    <w:p w14:paraId="6BF7F62A">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lang w:eastAsia="zh-CN"/>
        </w:rPr>
      </w:pPr>
      <w:r>
        <w:rPr>
          <w:rFonts w:hint="eastAsia" w:ascii="仿宋" w:hAnsi="仿宋" w:eastAsia="仿宋" w:cs="仿宋"/>
          <w:spacing w:val="-6"/>
          <w:sz w:val="21"/>
          <w:szCs w:val="21"/>
          <w:highlight w:val="none"/>
        </w:rPr>
        <w:t>注：以上合同总价包含设备（包括主机、标准附件、备品备件、专用工具）价、设备运杂费、保险费、利润、税金等。</w:t>
      </w:r>
    </w:p>
    <w:p w14:paraId="2B22BA46">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第二条：质量保证与售后服务</w:t>
      </w:r>
    </w:p>
    <w:p w14:paraId="681AEC39">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1.乙方保证本合同中所供应的商品是最新生产的符合国家相关技术标准和质量要求的出厂原装合格产品。如发生所供商品与合同不符，甲方有权拒收或退货，由此产生的一切责任和后果由乙方承担。</w:t>
      </w:r>
    </w:p>
    <w:p w14:paraId="2EFE86D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2.乙方免费负责设备的安装、调试、培训以及提供相关资料。</w:t>
      </w:r>
    </w:p>
    <w:p w14:paraId="4095E844">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3.乙方需向甲方提供</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年的免费技术服务，期限自设备验收合格之日起。免费维护期内提供免费保修服务和现场技术服务（含免费更换设备配件）；免费维护期后实行有偿服务，仅收取材料成本费（按优惠价格）。</w:t>
      </w:r>
    </w:p>
    <w:p w14:paraId="6CA5185D">
      <w:pPr>
        <w:keepNext w:val="0"/>
        <w:keepLines w:val="0"/>
        <w:pageBreakBefore w:val="0"/>
        <w:widowControl w:val="0"/>
        <w:kinsoku/>
        <w:wordWrap/>
        <w:overflowPunct/>
        <w:topLinePunct w:val="0"/>
        <w:autoSpaceDE/>
        <w:autoSpaceDN/>
        <w:bidi w:val="0"/>
        <w:adjustRightInd/>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4.一旦设备发生故障，乙方接到甲方通知后，</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小时内做出响应，提出解决故障的方案。</w:t>
      </w:r>
    </w:p>
    <w:p w14:paraId="26C0A1CF">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第三条：交货时间、地点</w:t>
      </w:r>
    </w:p>
    <w:p w14:paraId="3DCE44D3">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1.乙方在合同签订生效后的</w:t>
      </w:r>
      <w:r>
        <w:rPr>
          <w:rFonts w:hint="eastAsia" w:ascii="仿宋" w:hAnsi="仿宋" w:eastAsia="仿宋" w:cs="仿宋"/>
          <w:spacing w:val="-6"/>
          <w:sz w:val="21"/>
          <w:szCs w:val="21"/>
          <w:highlight w:val="none"/>
          <w:u w:val="single"/>
        </w:rPr>
        <w:t xml:space="preserve">   </w:t>
      </w:r>
      <w:r>
        <w:rPr>
          <w:rFonts w:hint="eastAsia" w:ascii="仿宋" w:hAnsi="仿宋" w:eastAsia="仿宋" w:cs="仿宋"/>
          <w:spacing w:val="-6"/>
          <w:sz w:val="21"/>
          <w:szCs w:val="21"/>
          <w:highlight w:val="none"/>
        </w:rPr>
        <w:t>日内，将所供商品运抵甲方指定的地点拆箱，并负责安装调试完毕后交付甲方验收。</w:t>
      </w:r>
    </w:p>
    <w:p w14:paraId="38F9AE3E">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2.乙方在商品交付使用时，必须向甲方提供产品说明书、质量保证书、保修证明、相关配套使用手册等文件资料。</w:t>
      </w:r>
    </w:p>
    <w:p w14:paraId="139FAACC">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第四条：验收</w:t>
      </w:r>
    </w:p>
    <w:p w14:paraId="2C3053BD">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乙方将所提供的商品运至交货地点拆箱并安装调试完毕后，供需双方根据已确认的测试方案共同进行测试，并对测试结果进行签字确认。若测试未通过，或者测试过程中发现未达到本项目采购结果的要求，以及相关的合同要求，甲方可以无条件提出退货。</w:t>
      </w:r>
    </w:p>
    <w:p w14:paraId="48383CD2">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第五条：付款支付及履约保证金</w:t>
      </w:r>
    </w:p>
    <w:p w14:paraId="3C5BCB27">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1.付款支付</w:t>
      </w:r>
    </w:p>
    <w:p w14:paraId="7515F8B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highlight w:val="none"/>
          <w:lang w:val="en-US" w:eastAsia="zh-CN"/>
        </w:rPr>
        <w:t>合同生效以及具备实施条件后7个工作日内且乙方已向甲方提交银行、保险公司等金融机构出具的预付款保函（额度与预付款金额一致），甲方向乙方支付合同总价的40%作为预付款</w:t>
      </w:r>
      <w:r>
        <w:rPr>
          <w:rFonts w:hint="eastAsia" w:ascii="仿宋" w:hAnsi="仿宋" w:eastAsia="仿宋" w:cs="仿宋"/>
          <w:b w:val="0"/>
          <w:bCs w:val="0"/>
          <w:color w:val="auto"/>
          <w:highlight w:val="none"/>
          <w:lang w:val="en-US" w:eastAsia="zh-CN"/>
        </w:rPr>
        <w:t>（预付款在后续货款中作相应抵扣）；货物自乙方交付甲方，经安装调试并经甲方验收合格且正常运行15个工作日，甲方在收到乙方开具的对应金额的专业发票后7个工作日内支付至合同总价的100%。</w:t>
      </w:r>
    </w:p>
    <w:p w14:paraId="3A42E893">
      <w:pPr>
        <w:keepNext w:val="0"/>
        <w:keepLines w:val="0"/>
        <w:pageBreakBefore w:val="0"/>
        <w:widowControl w:val="0"/>
        <w:kinsoku/>
        <w:wordWrap/>
        <w:overflowPunct/>
        <w:topLinePunct w:val="0"/>
        <w:autoSpaceDE/>
        <w:autoSpaceDN/>
        <w:bidi w:val="0"/>
        <w:adjustRightInd/>
        <w:snapToGrid/>
        <w:spacing w:line="288" w:lineRule="auto"/>
        <w:ind w:firstLine="361" w:firstLineChars="200"/>
        <w:textAlignment w:val="auto"/>
        <w:rPr>
          <w:rFonts w:hint="eastAsia" w:ascii="仿宋" w:hAnsi="仿宋" w:eastAsia="仿宋" w:cs="仿宋"/>
          <w:b/>
          <w:bCs/>
          <w:sz w:val="18"/>
          <w:szCs w:val="20"/>
          <w:highlight w:val="none"/>
          <w:lang w:val="en-US" w:eastAsia="zh-CN"/>
        </w:rPr>
      </w:pPr>
      <w:r>
        <w:rPr>
          <w:rFonts w:hint="eastAsia" w:ascii="仿宋" w:hAnsi="仿宋" w:eastAsia="仿宋" w:cs="仿宋"/>
          <w:b/>
          <w:bCs/>
          <w:color w:val="auto"/>
          <w:sz w:val="18"/>
          <w:szCs w:val="20"/>
          <w:highlight w:val="none"/>
          <w:lang w:val="en-US" w:eastAsia="zh-CN"/>
        </w:rPr>
        <w:t>备注：在签订合同时，乙方明确表示无需预付款或主动要求降低预付款比例的，可降低预付款比例；联合体投标的预付款、货款均由甲方支付给联合体牵头人，联合体成员与联合体牵头人的付款方式以双方约定的为准，与甲方无涉。</w:t>
      </w:r>
    </w:p>
    <w:p w14:paraId="6AAEC692">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2.履约保证金</w:t>
      </w:r>
    </w:p>
    <w:p w14:paraId="6701EEAC">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2.1 比例：</w:t>
      </w:r>
      <w:r>
        <w:rPr>
          <w:rFonts w:hint="eastAsia" w:ascii="仿宋" w:hAnsi="仿宋" w:eastAsia="仿宋" w:cs="仿宋"/>
          <w:color w:val="000000"/>
          <w:sz w:val="21"/>
          <w:szCs w:val="21"/>
          <w:highlight w:val="none"/>
          <w:lang w:eastAsia="zh-CN"/>
        </w:rPr>
        <w:t>合同金额的1%；</w:t>
      </w:r>
    </w:p>
    <w:p w14:paraId="78BD87DF">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2.2 提交方式：支票、汇票、本票或者金融机构、担保机构出具的保函等非现金形式</w:t>
      </w:r>
      <w:r>
        <w:rPr>
          <w:rFonts w:hint="eastAsia" w:ascii="仿宋" w:hAnsi="仿宋" w:eastAsia="仿宋" w:cs="仿宋"/>
          <w:color w:val="000000"/>
          <w:sz w:val="21"/>
          <w:szCs w:val="21"/>
          <w:highlight w:val="none"/>
          <w:lang w:eastAsia="zh-CN"/>
        </w:rPr>
        <w:t>；</w:t>
      </w:r>
    </w:p>
    <w:p w14:paraId="2EAD4992">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2.3 提交时间：合同生效后</w:t>
      </w:r>
      <w:r>
        <w:rPr>
          <w:rFonts w:hint="eastAsia" w:ascii="仿宋" w:hAnsi="仿宋" w:eastAsia="仿宋" w:cs="仿宋"/>
          <w:color w:val="000000"/>
          <w:sz w:val="21"/>
          <w:szCs w:val="21"/>
          <w:highlight w:val="none"/>
          <w:lang w:eastAsia="zh-CN"/>
        </w:rPr>
        <w:t>；</w:t>
      </w:r>
    </w:p>
    <w:p w14:paraId="2B9CE4CA">
      <w:pPr>
        <w:keepNext w:val="0"/>
        <w:keepLines w:val="0"/>
        <w:pageBreakBefore w:val="0"/>
        <w:widowControl w:val="0"/>
        <w:kinsoku/>
        <w:wordWrap/>
        <w:overflowPunct/>
        <w:topLinePunct w:val="0"/>
        <w:autoSpaceDE/>
        <w:autoSpaceDN/>
        <w:bidi w:val="0"/>
        <w:adjustRightInd/>
        <w:spacing w:line="288" w:lineRule="auto"/>
        <w:ind w:left="0" w:leftChars="0" w:right="0" w:rightChars="0" w:firstLine="411" w:firstLineChars="196"/>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2.4 退还时间及条件：</w:t>
      </w:r>
      <w:r>
        <w:rPr>
          <w:rFonts w:hint="eastAsia" w:ascii="仿宋" w:hAnsi="仿宋" w:eastAsia="仿宋" w:cs="仿宋"/>
          <w:sz w:val="21"/>
          <w:szCs w:val="21"/>
          <w:highlight w:val="none"/>
        </w:rPr>
        <w:t>合同履约期间无违约情形的，项目验收结束后</w:t>
      </w:r>
      <w:r>
        <w:rPr>
          <w:rFonts w:hint="eastAsia" w:ascii="仿宋" w:hAnsi="仿宋" w:eastAsia="仿宋" w:cs="仿宋"/>
          <w:sz w:val="21"/>
          <w:szCs w:val="21"/>
          <w:highlight w:val="none"/>
          <w:lang w:val="en-US" w:eastAsia="zh-CN"/>
        </w:rPr>
        <w:t>及时</w:t>
      </w:r>
      <w:r>
        <w:rPr>
          <w:rFonts w:hint="eastAsia" w:ascii="仿宋" w:hAnsi="仿宋" w:eastAsia="仿宋" w:cs="仿宋"/>
          <w:sz w:val="21"/>
          <w:szCs w:val="21"/>
          <w:highlight w:val="none"/>
        </w:rPr>
        <w:t>退还（不计息）</w:t>
      </w:r>
      <w:r>
        <w:rPr>
          <w:rFonts w:hint="eastAsia" w:ascii="仿宋" w:hAnsi="仿宋" w:eastAsia="仿宋" w:cs="仿宋"/>
          <w:sz w:val="21"/>
          <w:szCs w:val="21"/>
          <w:highlight w:val="none"/>
          <w:lang w:eastAsia="zh-CN"/>
        </w:rPr>
        <w:t>。</w:t>
      </w:r>
    </w:p>
    <w:p w14:paraId="24225F6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第六条：违约责任</w:t>
      </w:r>
    </w:p>
    <w:p w14:paraId="460B1485">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乙方未能在本合同第三条第1款约定的期限内履行合同交货义务的，自逾期之日起，向甲方每日偿付合同总价千分之一的违约金；乙方逾期30日不能交货的，应向甲方支付合同总价百分之五的违约金，甲方同时有权选择解除合同。由于海关、灾难等不可抗力原因导致乙方延迟交货的，不在此范围内。</w:t>
      </w:r>
    </w:p>
    <w:p w14:paraId="59DDE5F5">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2.甲方逾期支付货款的，应向乙方每日偿付合同总价千分之一的违约金。由于假期等客观原因导致逾期支付货款的，双方友好协商解决。</w:t>
      </w:r>
    </w:p>
    <w:p w14:paraId="3D9484FE">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396" w:firstLineChars="200"/>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3.乙方在合同商品交付验收合格之日起一年内违反本合同有关质量保证及售后服务约定的，</w:t>
      </w:r>
      <w:r>
        <w:rPr>
          <w:rFonts w:hint="eastAsia" w:ascii="仿宋" w:hAnsi="仿宋" w:eastAsia="仿宋" w:cs="仿宋"/>
          <w:color w:val="000000"/>
          <w:spacing w:val="-6"/>
          <w:szCs w:val="21"/>
          <w:highlight w:val="none"/>
        </w:rPr>
        <w:t>乙方将</w:t>
      </w:r>
      <w:r>
        <w:rPr>
          <w:rFonts w:hint="eastAsia" w:ascii="仿宋" w:hAnsi="仿宋" w:eastAsia="仿宋" w:cs="仿宋"/>
          <w:color w:val="000000"/>
          <w:spacing w:val="-6"/>
          <w:szCs w:val="21"/>
          <w:highlight w:val="none"/>
          <w:lang w:val="en-US" w:eastAsia="zh-CN"/>
        </w:rPr>
        <w:t>合同金额的1%</w:t>
      </w:r>
      <w:r>
        <w:rPr>
          <w:rFonts w:hint="eastAsia" w:ascii="仿宋" w:hAnsi="仿宋" w:eastAsia="仿宋" w:cs="仿宋"/>
          <w:color w:val="000000"/>
          <w:spacing w:val="-6"/>
          <w:szCs w:val="21"/>
          <w:highlight w:val="none"/>
        </w:rPr>
        <w:t>作为违约金支付给甲方</w:t>
      </w:r>
      <w:r>
        <w:rPr>
          <w:rFonts w:hint="eastAsia" w:ascii="仿宋" w:hAnsi="仿宋" w:eastAsia="仿宋" w:cs="仿宋"/>
          <w:spacing w:val="-6"/>
          <w:sz w:val="21"/>
          <w:szCs w:val="21"/>
          <w:highlight w:val="none"/>
        </w:rPr>
        <w:t>。该违约金不足赔偿的损失部分，甲方仍有权要求赔偿该损失。</w:t>
      </w:r>
    </w:p>
    <w:p w14:paraId="496A49D3">
      <w:pPr>
        <w:keepNext w:val="0"/>
        <w:keepLines w:val="0"/>
        <w:pageBreakBefore w:val="0"/>
        <w:widowControl w:val="0"/>
        <w:kinsoku/>
        <w:wordWrap/>
        <w:overflowPunct/>
        <w:topLinePunct w:val="0"/>
        <w:autoSpaceDE/>
        <w:autoSpaceDN/>
        <w:bidi w:val="0"/>
        <w:adjustRightInd/>
        <w:spacing w:line="288" w:lineRule="auto"/>
        <w:ind w:left="0" w:leftChars="0" w:right="0" w:rightChars="0" w:firstLine="390" w:firstLineChars="196"/>
        <w:textAlignment w:val="auto"/>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第七条：争议的解决</w:t>
      </w:r>
    </w:p>
    <w:p w14:paraId="6FD23708">
      <w:pPr>
        <w:keepNext w:val="0"/>
        <w:keepLines w:val="0"/>
        <w:pageBreakBefore w:val="0"/>
        <w:widowControl w:val="0"/>
        <w:kinsoku/>
        <w:wordWrap/>
        <w:overflowPunct/>
        <w:topLinePunct w:val="0"/>
        <w:autoSpaceDE/>
        <w:autoSpaceDN/>
        <w:bidi w:val="0"/>
        <w:adjustRightInd/>
        <w:spacing w:line="288" w:lineRule="auto"/>
        <w:ind w:left="0" w:leftChars="0" w:right="0" w:rightChars="0" w:firstLine="388" w:firstLineChars="196"/>
        <w:textAlignment w:val="auto"/>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本合同履行过程中若发生商品质量、售后服务等问题时，甲方有权直接向乙方索赔。如双方不能就争议解决协商一致的，任何一方有权向杭州市仲裁委员会申请仲裁解决。</w:t>
      </w:r>
    </w:p>
    <w:p w14:paraId="4691616E">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0" w:firstLineChars="196"/>
        <w:textAlignment w:val="auto"/>
        <w:outlineLvl w:val="9"/>
        <w:rPr>
          <w:rFonts w:hint="eastAsia" w:ascii="仿宋" w:hAnsi="仿宋" w:eastAsia="仿宋" w:cs="仿宋"/>
          <w:b/>
          <w:spacing w:val="-6"/>
          <w:sz w:val="21"/>
          <w:szCs w:val="21"/>
          <w:highlight w:val="none"/>
        </w:rPr>
      </w:pPr>
      <w:r>
        <w:rPr>
          <w:rFonts w:hint="eastAsia" w:ascii="仿宋" w:hAnsi="仿宋" w:eastAsia="仿宋" w:cs="仿宋"/>
          <w:b/>
          <w:spacing w:val="-6"/>
          <w:sz w:val="21"/>
          <w:szCs w:val="21"/>
          <w:highlight w:val="none"/>
        </w:rPr>
        <w:t>第八条：合同的生效</w:t>
      </w:r>
    </w:p>
    <w:p w14:paraId="581B4303">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1.本合同经甲、乙双方单位的法定代表人或者经单位法定代表人授权的委托代理人签字并加盖公章后生效。</w:t>
      </w:r>
    </w:p>
    <w:p w14:paraId="635F4B55">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spacing w:val="-6"/>
          <w:sz w:val="21"/>
          <w:szCs w:val="21"/>
          <w:highlight w:val="none"/>
        </w:rPr>
      </w:pPr>
      <w:r>
        <w:rPr>
          <w:rFonts w:hint="eastAsia" w:ascii="仿宋" w:hAnsi="仿宋" w:eastAsia="仿宋" w:cs="仿宋"/>
          <w:spacing w:val="-6"/>
          <w:sz w:val="21"/>
          <w:szCs w:val="21"/>
          <w:highlight w:val="none"/>
        </w:rPr>
        <w:t>2.本合同一式</w:t>
      </w:r>
      <w:r>
        <w:rPr>
          <w:rFonts w:hint="eastAsia" w:ascii="仿宋" w:hAnsi="仿宋" w:eastAsia="仿宋" w:cs="仿宋"/>
          <w:spacing w:val="-6"/>
          <w:sz w:val="21"/>
          <w:szCs w:val="21"/>
          <w:highlight w:val="none"/>
          <w:lang w:val="en-US" w:eastAsia="zh-CN"/>
        </w:rPr>
        <w:t>伍</w:t>
      </w:r>
      <w:r>
        <w:rPr>
          <w:rFonts w:hint="eastAsia" w:ascii="仿宋" w:hAnsi="仿宋" w:eastAsia="仿宋" w:cs="仿宋"/>
          <w:spacing w:val="-6"/>
          <w:sz w:val="21"/>
          <w:szCs w:val="21"/>
          <w:highlight w:val="none"/>
        </w:rPr>
        <w:t>份，甲方执</w:t>
      </w:r>
      <w:r>
        <w:rPr>
          <w:rFonts w:hint="eastAsia" w:ascii="仿宋" w:hAnsi="仿宋" w:eastAsia="仿宋" w:cs="仿宋"/>
          <w:spacing w:val="-6"/>
          <w:sz w:val="21"/>
          <w:szCs w:val="21"/>
          <w:highlight w:val="none"/>
          <w:lang w:val="en-US" w:eastAsia="zh-CN"/>
        </w:rPr>
        <w:t>叁</w:t>
      </w:r>
      <w:r>
        <w:rPr>
          <w:rFonts w:hint="eastAsia" w:ascii="仿宋" w:hAnsi="仿宋" w:eastAsia="仿宋" w:cs="仿宋"/>
          <w:spacing w:val="-6"/>
          <w:sz w:val="21"/>
          <w:szCs w:val="21"/>
          <w:highlight w:val="none"/>
        </w:rPr>
        <w:t>份，乙方、鉴证方各执</w:t>
      </w:r>
      <w:r>
        <w:rPr>
          <w:rFonts w:hint="eastAsia" w:ascii="仿宋" w:hAnsi="仿宋" w:eastAsia="仿宋" w:cs="仿宋"/>
          <w:spacing w:val="-6"/>
          <w:sz w:val="21"/>
          <w:szCs w:val="21"/>
          <w:highlight w:val="none"/>
          <w:lang w:val="en-US" w:eastAsia="zh-CN"/>
        </w:rPr>
        <w:t>壹</w:t>
      </w:r>
      <w:r>
        <w:rPr>
          <w:rFonts w:hint="eastAsia" w:ascii="仿宋" w:hAnsi="仿宋" w:eastAsia="仿宋" w:cs="仿宋"/>
          <w:spacing w:val="-6"/>
          <w:sz w:val="21"/>
          <w:szCs w:val="21"/>
          <w:highlight w:val="none"/>
        </w:rPr>
        <w:t>份。</w:t>
      </w:r>
    </w:p>
    <w:p w14:paraId="25461B13">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96" w:firstLineChars="200"/>
        <w:textAlignment w:val="auto"/>
        <w:outlineLvl w:val="9"/>
        <w:rPr>
          <w:rFonts w:hint="eastAsia" w:ascii="仿宋" w:hAnsi="仿宋" w:eastAsia="仿宋" w:cs="仿宋"/>
          <w:color w:val="auto"/>
          <w:spacing w:val="-6"/>
          <w:sz w:val="21"/>
          <w:szCs w:val="21"/>
          <w:highlight w:val="none"/>
        </w:rPr>
      </w:pPr>
      <w:r>
        <w:rPr>
          <w:rFonts w:hint="eastAsia" w:ascii="仿宋" w:hAnsi="仿宋" w:eastAsia="仿宋" w:cs="仿宋"/>
          <w:spacing w:val="-6"/>
          <w:sz w:val="21"/>
          <w:szCs w:val="21"/>
          <w:highlight w:val="none"/>
        </w:rPr>
        <w:t>3.相关</w:t>
      </w:r>
      <w:r>
        <w:rPr>
          <w:rFonts w:hint="eastAsia" w:ascii="仿宋" w:hAnsi="仿宋" w:eastAsia="仿宋" w:cs="仿宋"/>
          <w:spacing w:val="-6"/>
          <w:sz w:val="21"/>
          <w:szCs w:val="21"/>
          <w:highlight w:val="none"/>
          <w:lang w:eastAsia="zh-CN"/>
        </w:rPr>
        <w:t>招标文件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eastAsia="zh-CN"/>
        </w:rPr>
        <w:t>投标文件</w:t>
      </w:r>
      <w:r>
        <w:rPr>
          <w:rFonts w:hint="eastAsia" w:ascii="仿宋" w:hAnsi="仿宋" w:eastAsia="仿宋" w:cs="仿宋"/>
          <w:spacing w:val="-6"/>
          <w:sz w:val="21"/>
          <w:szCs w:val="21"/>
          <w:highlight w:val="none"/>
        </w:rPr>
        <w:t>、</w:t>
      </w:r>
      <w:r>
        <w:rPr>
          <w:rFonts w:hint="eastAsia" w:ascii="仿宋" w:hAnsi="仿宋" w:eastAsia="仿宋" w:cs="仿宋"/>
          <w:spacing w:val="-6"/>
          <w:sz w:val="21"/>
          <w:szCs w:val="21"/>
          <w:highlight w:val="none"/>
          <w:lang w:val="en-US" w:eastAsia="zh-CN"/>
        </w:rPr>
        <w:t>询标纪要</w:t>
      </w:r>
      <w:r>
        <w:rPr>
          <w:rFonts w:hint="eastAsia" w:ascii="仿宋" w:hAnsi="仿宋" w:eastAsia="仿宋" w:cs="仿宋"/>
          <w:spacing w:val="-6"/>
          <w:sz w:val="21"/>
          <w:szCs w:val="21"/>
          <w:highlight w:val="none"/>
        </w:rPr>
        <w:t>、产品配置清单等与本合同具有同等法律效力。</w:t>
      </w:r>
    </w:p>
    <w:tbl>
      <w:tblPr>
        <w:tblStyle w:val="26"/>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968"/>
      </w:tblGrid>
      <w:tr w14:paraId="0FD2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780" w:type="dxa"/>
            <w:vAlign w:val="center"/>
          </w:tcPr>
          <w:p w14:paraId="3303483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甲方：浙江理工大学</w:t>
            </w:r>
          </w:p>
          <w:p w14:paraId="6836BB31">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25A767B8">
            <w:pPr>
              <w:rPr>
                <w:rFonts w:hint="eastAsia" w:ascii="仿宋" w:hAnsi="仿宋" w:eastAsia="仿宋" w:cs="仿宋"/>
                <w:b/>
                <w:bCs/>
                <w:color w:val="auto"/>
                <w:szCs w:val="21"/>
                <w:highlight w:val="none"/>
              </w:rPr>
            </w:pPr>
          </w:p>
          <w:p w14:paraId="1FA6C6BA">
            <w:pPr>
              <w:rPr>
                <w:rFonts w:hint="eastAsia" w:ascii="仿宋" w:hAnsi="仿宋" w:eastAsia="仿宋" w:cs="仿宋"/>
                <w:b/>
                <w:bCs/>
                <w:color w:val="auto"/>
                <w:szCs w:val="21"/>
                <w:highlight w:val="none"/>
              </w:rPr>
            </w:pPr>
          </w:p>
          <w:p w14:paraId="233668F6">
            <w:pPr>
              <w:rPr>
                <w:rFonts w:ascii="仿宋" w:hAnsi="仿宋" w:eastAsia="仿宋" w:cs="仿宋"/>
                <w:b/>
                <w:bCs/>
                <w:color w:val="auto"/>
                <w:szCs w:val="21"/>
                <w:highlight w:val="none"/>
              </w:rPr>
            </w:pPr>
          </w:p>
        </w:tc>
        <w:tc>
          <w:tcPr>
            <w:tcW w:w="4968" w:type="dxa"/>
            <w:vAlign w:val="center"/>
          </w:tcPr>
          <w:p w14:paraId="65C8D705">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乙方：</w:t>
            </w:r>
          </w:p>
          <w:p w14:paraId="49852C30">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1D6E3379">
            <w:pPr>
              <w:rPr>
                <w:rFonts w:hint="eastAsia" w:ascii="仿宋" w:hAnsi="仿宋" w:eastAsia="仿宋" w:cs="仿宋"/>
                <w:b/>
                <w:bCs/>
                <w:color w:val="auto"/>
                <w:szCs w:val="21"/>
                <w:highlight w:val="none"/>
              </w:rPr>
            </w:pPr>
          </w:p>
          <w:p w14:paraId="760621B9">
            <w:pPr>
              <w:rPr>
                <w:rFonts w:hint="eastAsia" w:ascii="仿宋" w:hAnsi="仿宋" w:eastAsia="仿宋" w:cs="仿宋"/>
                <w:b/>
                <w:bCs/>
                <w:color w:val="auto"/>
                <w:szCs w:val="21"/>
                <w:highlight w:val="none"/>
              </w:rPr>
            </w:pPr>
          </w:p>
          <w:p w14:paraId="3ED18489">
            <w:pPr>
              <w:rPr>
                <w:rFonts w:ascii="仿宋" w:hAnsi="仿宋" w:eastAsia="仿宋" w:cs="仿宋"/>
                <w:b/>
                <w:bCs/>
                <w:color w:val="auto"/>
                <w:szCs w:val="21"/>
                <w:highlight w:val="none"/>
              </w:rPr>
            </w:pPr>
          </w:p>
        </w:tc>
      </w:tr>
      <w:tr w14:paraId="1617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839244E">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4F948606">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c>
          <w:tcPr>
            <w:tcW w:w="4968" w:type="dxa"/>
            <w:vAlign w:val="center"/>
          </w:tcPr>
          <w:p w14:paraId="42C47D4E">
            <w:pPr>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法定代表人或受委托人：</w:t>
            </w:r>
          </w:p>
          <w:p w14:paraId="3B853B02">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0BEE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0F533ACD">
            <w:pPr>
              <w:rPr>
                <w:rFonts w:ascii="仿宋" w:hAnsi="仿宋" w:eastAsia="仿宋" w:cs="仿宋"/>
                <w:color w:val="auto"/>
                <w:szCs w:val="21"/>
                <w:highlight w:val="none"/>
              </w:rPr>
            </w:pPr>
            <w:r>
              <w:rPr>
                <w:rFonts w:hint="eastAsia" w:ascii="仿宋" w:hAnsi="仿宋" w:eastAsia="仿宋" w:cs="仿宋"/>
                <w:color w:val="auto"/>
                <w:szCs w:val="21"/>
                <w:highlight w:val="none"/>
              </w:rPr>
              <w:t>地址：杭州市钱塘区2号大街928号</w:t>
            </w:r>
          </w:p>
        </w:tc>
        <w:tc>
          <w:tcPr>
            <w:tcW w:w="4968" w:type="dxa"/>
            <w:vAlign w:val="center"/>
          </w:tcPr>
          <w:p w14:paraId="75877634">
            <w:pP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r>
      <w:tr w14:paraId="7921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0FE55776">
            <w:pPr>
              <w:rPr>
                <w:rFonts w:ascii="仿宋" w:hAnsi="仿宋" w:eastAsia="仿宋" w:cs="仿宋"/>
                <w:color w:val="auto"/>
                <w:szCs w:val="21"/>
                <w:highlight w:val="none"/>
              </w:rPr>
            </w:pPr>
            <w:r>
              <w:rPr>
                <w:rFonts w:hint="eastAsia" w:ascii="仿宋" w:hAnsi="仿宋" w:eastAsia="仿宋" w:cs="仿宋"/>
                <w:color w:val="auto"/>
                <w:szCs w:val="21"/>
                <w:highlight w:val="none"/>
              </w:rPr>
              <w:t>邮编：310018</w:t>
            </w:r>
          </w:p>
        </w:tc>
        <w:tc>
          <w:tcPr>
            <w:tcW w:w="4968" w:type="dxa"/>
            <w:vAlign w:val="center"/>
          </w:tcPr>
          <w:p w14:paraId="36F1B675">
            <w:pPr>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r>
      <w:tr w14:paraId="1B0A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F7A4D09">
            <w:pPr>
              <w:rPr>
                <w:rFonts w:ascii="仿宋" w:hAnsi="仿宋" w:eastAsia="仿宋" w:cs="仿宋"/>
                <w:color w:val="auto"/>
                <w:szCs w:val="21"/>
                <w:highlight w:val="none"/>
              </w:rPr>
            </w:pPr>
            <w:r>
              <w:rPr>
                <w:rFonts w:hint="eastAsia" w:ascii="仿宋" w:hAnsi="仿宋" w:eastAsia="仿宋" w:cs="仿宋"/>
                <w:color w:val="auto"/>
                <w:szCs w:val="21"/>
                <w:highlight w:val="none"/>
              </w:rPr>
              <w:t>电话：0571-86843939</w:t>
            </w:r>
          </w:p>
        </w:tc>
        <w:tc>
          <w:tcPr>
            <w:tcW w:w="4968" w:type="dxa"/>
            <w:vAlign w:val="center"/>
          </w:tcPr>
          <w:p w14:paraId="47A35DE6">
            <w:pPr>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r>
      <w:tr w14:paraId="710C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4EBA9BEF">
            <w:pPr>
              <w:rPr>
                <w:rFonts w:ascii="仿宋" w:hAnsi="仿宋" w:eastAsia="仿宋" w:cs="仿宋"/>
                <w:color w:val="auto"/>
                <w:szCs w:val="21"/>
                <w:highlight w:val="none"/>
              </w:rPr>
            </w:pPr>
            <w:r>
              <w:rPr>
                <w:rFonts w:hint="eastAsia" w:ascii="仿宋" w:hAnsi="仿宋" w:eastAsia="仿宋" w:cs="仿宋"/>
                <w:color w:val="auto"/>
                <w:szCs w:val="21"/>
                <w:highlight w:val="none"/>
              </w:rPr>
              <w:t>传真：0571-86843156</w:t>
            </w:r>
          </w:p>
        </w:tc>
        <w:tc>
          <w:tcPr>
            <w:tcW w:w="4968" w:type="dxa"/>
            <w:vAlign w:val="center"/>
          </w:tcPr>
          <w:p w14:paraId="611165BF">
            <w:pPr>
              <w:rPr>
                <w:rFonts w:ascii="仿宋" w:hAnsi="仿宋" w:eastAsia="仿宋" w:cs="仿宋"/>
                <w:color w:val="auto"/>
                <w:szCs w:val="21"/>
                <w:highlight w:val="none"/>
              </w:rPr>
            </w:pPr>
            <w:r>
              <w:rPr>
                <w:rFonts w:hint="eastAsia" w:ascii="仿宋" w:hAnsi="仿宋" w:eastAsia="仿宋" w:cs="仿宋"/>
                <w:color w:val="auto"/>
                <w:szCs w:val="21"/>
                <w:highlight w:val="none"/>
              </w:rPr>
              <w:t>传真：</w:t>
            </w:r>
          </w:p>
        </w:tc>
      </w:tr>
      <w:tr w14:paraId="66C3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56183EE6">
            <w:pPr>
              <w:rPr>
                <w:rFonts w:ascii="仿宋" w:hAnsi="仿宋" w:eastAsia="仿宋" w:cs="仿宋"/>
                <w:color w:val="auto"/>
                <w:szCs w:val="21"/>
                <w:highlight w:val="none"/>
              </w:rPr>
            </w:pPr>
            <w:r>
              <w:rPr>
                <w:rStyle w:val="116"/>
                <w:rFonts w:hint="eastAsia" w:ascii="仿宋" w:hAnsi="仿宋" w:eastAsia="仿宋" w:cs="仿宋"/>
                <w:color w:val="auto"/>
                <w:szCs w:val="21"/>
                <w:highlight w:val="none"/>
              </w:rPr>
              <w:t>统一社会信用代码：12330000470009034M</w:t>
            </w:r>
          </w:p>
        </w:tc>
        <w:tc>
          <w:tcPr>
            <w:tcW w:w="4968" w:type="dxa"/>
            <w:vAlign w:val="center"/>
          </w:tcPr>
          <w:p w14:paraId="68FD0C5E">
            <w:pPr>
              <w:rPr>
                <w:rFonts w:ascii="仿宋" w:hAnsi="仿宋" w:eastAsia="仿宋" w:cs="仿宋"/>
                <w:color w:val="auto"/>
                <w:szCs w:val="21"/>
                <w:highlight w:val="none"/>
              </w:rPr>
            </w:pPr>
            <w:r>
              <w:rPr>
                <w:rStyle w:val="116"/>
                <w:rFonts w:hint="eastAsia" w:ascii="仿宋" w:hAnsi="仿宋" w:eastAsia="仿宋" w:cs="仿宋"/>
                <w:color w:val="auto"/>
                <w:szCs w:val="21"/>
                <w:highlight w:val="none"/>
              </w:rPr>
              <w:t>统一社会信用代码：</w:t>
            </w:r>
          </w:p>
        </w:tc>
      </w:tr>
      <w:tr w14:paraId="0A92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30EBC4ED">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开户银行：中国农业银行杭州枫华支行</w:t>
            </w:r>
          </w:p>
        </w:tc>
        <w:tc>
          <w:tcPr>
            <w:tcW w:w="4968" w:type="dxa"/>
            <w:vAlign w:val="center"/>
          </w:tcPr>
          <w:p w14:paraId="583946BE">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r>
      <w:tr w14:paraId="2196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6E65BC8F">
            <w:pPr>
              <w:rPr>
                <w:rFonts w:ascii="仿宋" w:hAnsi="仿宋" w:eastAsia="仿宋" w:cs="仿宋"/>
                <w:color w:val="auto"/>
                <w:szCs w:val="21"/>
                <w:highlight w:val="none"/>
              </w:rPr>
            </w:pPr>
            <w:r>
              <w:rPr>
                <w:rFonts w:hint="eastAsia" w:ascii="仿宋" w:hAnsi="仿宋" w:eastAsia="仿宋" w:cs="仿宋"/>
                <w:color w:val="auto"/>
                <w:szCs w:val="21"/>
                <w:highlight w:val="none"/>
              </w:rPr>
              <w:t>帐号：19001401040051897</w:t>
            </w:r>
          </w:p>
        </w:tc>
        <w:tc>
          <w:tcPr>
            <w:tcW w:w="4968" w:type="dxa"/>
            <w:vAlign w:val="center"/>
          </w:tcPr>
          <w:p w14:paraId="2F3EEB36">
            <w:pPr>
              <w:rPr>
                <w:rFonts w:ascii="仿宋" w:hAnsi="仿宋" w:eastAsia="仿宋" w:cs="仿宋"/>
                <w:color w:val="auto"/>
                <w:szCs w:val="21"/>
                <w:highlight w:val="none"/>
              </w:rPr>
            </w:pPr>
            <w:r>
              <w:rPr>
                <w:rFonts w:hint="eastAsia" w:ascii="仿宋" w:hAnsi="仿宋" w:eastAsia="仿宋" w:cs="仿宋"/>
                <w:color w:val="auto"/>
                <w:szCs w:val="21"/>
                <w:highlight w:val="none"/>
              </w:rPr>
              <w:t>帐号：</w:t>
            </w:r>
          </w:p>
        </w:tc>
      </w:tr>
      <w:tr w14:paraId="49E3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0" w:type="dxa"/>
            <w:vAlign w:val="center"/>
          </w:tcPr>
          <w:p w14:paraId="0FE1A1BF">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c>
          <w:tcPr>
            <w:tcW w:w="4968" w:type="dxa"/>
            <w:vAlign w:val="center"/>
          </w:tcPr>
          <w:p w14:paraId="13C1ECDA">
            <w:pPr>
              <w:rPr>
                <w:rFonts w:ascii="仿宋" w:hAnsi="仿宋" w:eastAsia="仿宋" w:cs="仿宋"/>
                <w:color w:val="auto"/>
                <w:szCs w:val="21"/>
                <w:highlight w:val="none"/>
              </w:rPr>
            </w:pPr>
            <w:r>
              <w:rPr>
                <w:rFonts w:hint="eastAsia" w:ascii="仿宋" w:hAnsi="仿宋" w:eastAsia="仿宋" w:cs="仿宋"/>
                <w:color w:val="auto"/>
                <w:szCs w:val="21"/>
                <w:highlight w:val="none"/>
              </w:rPr>
              <w:t>签约时间：     年   月   日</w:t>
            </w:r>
          </w:p>
        </w:tc>
      </w:tr>
      <w:tr w14:paraId="6BDA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845B2BC">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采购代理机构：浙江求是招标代理有限公司</w:t>
            </w:r>
          </w:p>
          <w:p w14:paraId="3ECC8088">
            <w:pP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val="en-US" w:eastAsia="zh-CN"/>
              </w:rPr>
              <w:t>盖</w:t>
            </w:r>
            <w:r>
              <w:rPr>
                <w:rFonts w:hint="eastAsia" w:ascii="仿宋" w:hAnsi="仿宋" w:eastAsia="仿宋" w:cs="仿宋"/>
                <w:b/>
                <w:bCs/>
                <w:color w:val="auto"/>
                <w:szCs w:val="21"/>
                <w:highlight w:val="none"/>
              </w:rPr>
              <w:t>章）</w:t>
            </w:r>
          </w:p>
          <w:p w14:paraId="58BE7D91">
            <w:pPr>
              <w:rPr>
                <w:rFonts w:hint="eastAsia" w:ascii="仿宋" w:hAnsi="仿宋" w:eastAsia="仿宋" w:cs="仿宋"/>
                <w:b/>
                <w:bCs/>
                <w:color w:val="auto"/>
                <w:szCs w:val="21"/>
                <w:highlight w:val="none"/>
              </w:rPr>
            </w:pPr>
          </w:p>
          <w:p w14:paraId="74EE1803">
            <w:pPr>
              <w:rPr>
                <w:rFonts w:hint="eastAsia" w:ascii="仿宋" w:hAnsi="仿宋" w:eastAsia="仿宋" w:cs="仿宋"/>
                <w:b/>
                <w:bCs/>
                <w:color w:val="auto"/>
                <w:szCs w:val="21"/>
                <w:highlight w:val="none"/>
              </w:rPr>
            </w:pPr>
          </w:p>
          <w:p w14:paraId="056F43BB">
            <w:pPr>
              <w:rPr>
                <w:rFonts w:ascii="仿宋" w:hAnsi="仿宋" w:eastAsia="仿宋" w:cs="仿宋"/>
                <w:color w:val="auto"/>
                <w:szCs w:val="21"/>
                <w:highlight w:val="none"/>
              </w:rPr>
            </w:pPr>
          </w:p>
        </w:tc>
      </w:tr>
      <w:tr w14:paraId="2C74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5053F0A1">
            <w:pPr>
              <w:rPr>
                <w:rFonts w:ascii="仿宋" w:hAnsi="仿宋" w:eastAsia="仿宋" w:cs="仿宋"/>
                <w:color w:val="auto"/>
                <w:szCs w:val="21"/>
                <w:highlight w:val="none"/>
              </w:rPr>
            </w:pPr>
            <w:r>
              <w:rPr>
                <w:rFonts w:hint="eastAsia" w:ascii="仿宋" w:hAnsi="仿宋" w:eastAsia="仿宋" w:cs="仿宋"/>
                <w:color w:val="auto"/>
                <w:szCs w:val="21"/>
                <w:highlight w:val="none"/>
              </w:rPr>
              <w:t>采购代理机构代表：</w:t>
            </w:r>
          </w:p>
          <w:p w14:paraId="1175E040">
            <w:pPr>
              <w:rPr>
                <w:rFonts w:ascii="仿宋" w:hAnsi="仿宋" w:eastAsia="仿宋" w:cs="仿宋"/>
                <w:color w:val="auto"/>
                <w:szCs w:val="21"/>
                <w:highlight w:val="none"/>
              </w:rPr>
            </w:pPr>
            <w:r>
              <w:rPr>
                <w:rFonts w:hint="eastAsia" w:ascii="仿宋" w:hAnsi="仿宋" w:eastAsia="仿宋" w:cs="仿宋"/>
                <w:color w:val="auto"/>
                <w:szCs w:val="21"/>
                <w:highlight w:val="none"/>
              </w:rPr>
              <w:t>（签字）</w:t>
            </w:r>
          </w:p>
        </w:tc>
      </w:tr>
      <w:tr w14:paraId="2426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90245DB">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地址：杭州市玉古路173号</w:t>
            </w:r>
            <w:r>
              <w:rPr>
                <w:rFonts w:hint="eastAsia" w:ascii="仿宋" w:hAnsi="仿宋" w:eastAsia="仿宋" w:cs="仿宋"/>
                <w:color w:val="auto"/>
                <w:szCs w:val="21"/>
                <w:highlight w:val="none"/>
                <w:lang w:eastAsia="zh-CN"/>
              </w:rPr>
              <w:t>中田大厦21楼</w:t>
            </w:r>
          </w:p>
        </w:tc>
      </w:tr>
      <w:tr w14:paraId="5FB7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54F6268">
            <w:pPr>
              <w:rPr>
                <w:rFonts w:ascii="仿宋" w:hAnsi="仿宋" w:eastAsia="仿宋" w:cs="仿宋"/>
                <w:color w:val="auto"/>
                <w:szCs w:val="21"/>
                <w:highlight w:val="none"/>
              </w:rPr>
            </w:pPr>
            <w:r>
              <w:rPr>
                <w:rFonts w:hint="eastAsia" w:ascii="仿宋" w:hAnsi="仿宋" w:eastAsia="仿宋" w:cs="仿宋"/>
                <w:color w:val="auto"/>
                <w:szCs w:val="21"/>
                <w:highlight w:val="none"/>
              </w:rPr>
              <w:t>邮编：310027</w:t>
            </w:r>
          </w:p>
        </w:tc>
      </w:tr>
      <w:tr w14:paraId="3CD0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342E2462">
            <w:pPr>
              <w:rPr>
                <w:rFonts w:ascii="仿宋" w:hAnsi="仿宋" w:eastAsia="仿宋" w:cs="仿宋"/>
                <w:color w:val="auto"/>
                <w:szCs w:val="21"/>
                <w:highlight w:val="none"/>
              </w:rPr>
            </w:pPr>
            <w:r>
              <w:rPr>
                <w:rFonts w:hint="eastAsia" w:ascii="仿宋" w:hAnsi="仿宋" w:eastAsia="仿宋" w:cs="仿宋"/>
                <w:color w:val="auto"/>
                <w:szCs w:val="21"/>
                <w:highlight w:val="none"/>
              </w:rPr>
              <w:t>电话：0571-87666111</w:t>
            </w:r>
          </w:p>
        </w:tc>
      </w:tr>
      <w:tr w14:paraId="794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5F7AC771">
            <w:pPr>
              <w:rPr>
                <w:rFonts w:ascii="仿宋" w:hAnsi="仿宋" w:eastAsia="仿宋" w:cs="仿宋"/>
                <w:color w:val="auto"/>
                <w:szCs w:val="21"/>
                <w:highlight w:val="none"/>
              </w:rPr>
            </w:pPr>
            <w:r>
              <w:rPr>
                <w:rFonts w:hint="eastAsia" w:ascii="仿宋" w:hAnsi="仿宋" w:eastAsia="仿宋" w:cs="仿宋"/>
                <w:color w:val="auto"/>
                <w:szCs w:val="21"/>
                <w:highlight w:val="none"/>
              </w:rPr>
              <w:t>传真：0571-87666116</w:t>
            </w:r>
          </w:p>
        </w:tc>
      </w:tr>
      <w:tr w14:paraId="3372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72A4EC22">
            <w:pPr>
              <w:rPr>
                <w:rFonts w:ascii="仿宋" w:hAnsi="仿宋" w:eastAsia="仿宋" w:cs="仿宋"/>
                <w:color w:val="auto"/>
                <w:szCs w:val="21"/>
                <w:highlight w:val="none"/>
              </w:rPr>
            </w:pPr>
            <w:r>
              <w:rPr>
                <w:rFonts w:hint="eastAsia" w:ascii="仿宋" w:hAnsi="仿宋" w:eastAsia="仿宋" w:cs="仿宋"/>
                <w:color w:val="auto"/>
                <w:szCs w:val="21"/>
                <w:highlight w:val="none"/>
              </w:rPr>
              <w:t>开户银行：工行浙大分理处</w:t>
            </w:r>
          </w:p>
        </w:tc>
      </w:tr>
      <w:tr w14:paraId="5C99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68" w:type="dxa"/>
          <w:trHeight w:val="340" w:hRule="atLeast"/>
          <w:jc w:val="center"/>
        </w:trPr>
        <w:tc>
          <w:tcPr>
            <w:tcW w:w="4780" w:type="dxa"/>
            <w:vAlign w:val="center"/>
          </w:tcPr>
          <w:p w14:paraId="6F42E03F">
            <w:pPr>
              <w:rPr>
                <w:rFonts w:ascii="仿宋" w:hAnsi="仿宋" w:eastAsia="仿宋" w:cs="仿宋"/>
                <w:color w:val="auto"/>
                <w:szCs w:val="21"/>
                <w:highlight w:val="none"/>
              </w:rPr>
            </w:pPr>
            <w:r>
              <w:rPr>
                <w:rFonts w:hint="eastAsia" w:ascii="仿宋" w:hAnsi="仿宋" w:eastAsia="仿宋" w:cs="仿宋"/>
                <w:color w:val="auto"/>
                <w:szCs w:val="21"/>
                <w:highlight w:val="none"/>
              </w:rPr>
              <w:t>帐号：1202024609900033043</w:t>
            </w:r>
          </w:p>
        </w:tc>
      </w:tr>
    </w:tbl>
    <w:p w14:paraId="34499D3F">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48270B75">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第六章  投标文件格式</w:t>
      </w:r>
    </w:p>
    <w:p w14:paraId="64D26915">
      <w:pPr>
        <w:adjustRightInd w:val="0"/>
        <w:snapToGrid w:val="0"/>
        <w:spacing w:line="360" w:lineRule="auto"/>
        <w:rPr>
          <w:rFonts w:ascii="仿宋" w:hAnsi="仿宋" w:eastAsia="仿宋" w:cs="仿宋"/>
          <w:b/>
          <w:bCs/>
          <w:color w:val="auto"/>
          <w:spacing w:val="-6"/>
          <w:sz w:val="24"/>
          <w:szCs w:val="24"/>
          <w:highlight w:val="none"/>
        </w:rPr>
      </w:pPr>
    </w:p>
    <w:p w14:paraId="6B71A5E3">
      <w:pPr>
        <w:adjustRightInd w:val="0"/>
        <w:snapToGrid w:val="0"/>
        <w:spacing w:line="360" w:lineRule="auto"/>
        <w:jc w:val="center"/>
        <w:rPr>
          <w:rFonts w:ascii="仿宋" w:hAnsi="仿宋" w:eastAsia="仿宋" w:cs="仿宋"/>
          <w:b/>
          <w:bCs/>
          <w:color w:val="auto"/>
          <w:spacing w:val="-6"/>
          <w:sz w:val="24"/>
          <w:szCs w:val="24"/>
          <w:highlight w:val="none"/>
        </w:rPr>
      </w:pPr>
      <w:r>
        <w:rPr>
          <w:rFonts w:hint="eastAsia" w:ascii="仿宋" w:hAnsi="仿宋" w:eastAsia="仿宋" w:cs="仿宋"/>
          <w:b/>
          <w:bCs/>
          <w:color w:val="auto"/>
          <w:spacing w:val="-6"/>
          <w:sz w:val="24"/>
          <w:szCs w:val="24"/>
          <w:highlight w:val="none"/>
        </w:rPr>
        <w:t>目  录</w:t>
      </w:r>
    </w:p>
    <w:p w14:paraId="6C59CC11">
      <w:pPr>
        <w:adjustRightInd w:val="0"/>
        <w:snapToGrid w:val="0"/>
        <w:spacing w:line="360" w:lineRule="auto"/>
        <w:rPr>
          <w:rFonts w:ascii="仿宋" w:hAnsi="仿宋" w:eastAsia="仿宋" w:cs="仿宋"/>
          <w:b/>
          <w:bCs/>
          <w:color w:val="auto"/>
          <w:spacing w:val="-6"/>
          <w:sz w:val="24"/>
          <w:szCs w:val="24"/>
          <w:highlight w:val="none"/>
        </w:rPr>
      </w:pPr>
    </w:p>
    <w:p w14:paraId="5D267E95">
      <w:pPr>
        <w:adjustRightInd w:val="0"/>
        <w:snapToGrid w:val="0"/>
        <w:spacing w:line="360" w:lineRule="auto"/>
        <w:ind w:firstLine="398" w:firstLineChars="200"/>
        <w:jc w:val="left"/>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w:t>
      </w:r>
      <w:r>
        <w:rPr>
          <w:rFonts w:hint="eastAsia" w:ascii="仿宋" w:hAnsi="仿宋" w:eastAsia="仿宋" w:cs="仿宋"/>
          <w:b/>
          <w:bCs/>
          <w:color w:val="auto"/>
          <w:spacing w:val="-6"/>
          <w:szCs w:val="21"/>
          <w:highlight w:val="none"/>
          <w:lang w:val="en-US" w:eastAsia="zh-CN"/>
        </w:rPr>
        <w:t>一、</w:t>
      </w:r>
      <w:r>
        <w:rPr>
          <w:rFonts w:hint="eastAsia" w:ascii="仿宋" w:hAnsi="仿宋" w:eastAsia="仿宋" w:cs="仿宋"/>
          <w:b/>
          <w:bCs/>
          <w:color w:val="auto"/>
          <w:spacing w:val="-6"/>
          <w:szCs w:val="21"/>
          <w:highlight w:val="none"/>
        </w:rPr>
        <w:t>资格文件（单独上传）</w:t>
      </w:r>
    </w:p>
    <w:p w14:paraId="4244714E">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资格审查要求的资格证明材料（均需加盖公章）</w:t>
      </w:r>
    </w:p>
    <w:p w14:paraId="115BC3A9">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1.</w:t>
      </w:r>
      <w:r>
        <w:rPr>
          <w:rFonts w:hint="eastAsia" w:ascii="仿宋" w:hAnsi="仿宋" w:eastAsia="仿宋" w:cs="仿宋"/>
          <w:b/>
          <w:color w:val="auto"/>
          <w:spacing w:val="-6"/>
          <w:szCs w:val="21"/>
          <w:highlight w:val="none"/>
        </w:rPr>
        <w:t>有效的法人或者其他组织的营业执照等证明文件/自然人的身份证明</w:t>
      </w:r>
    </w:p>
    <w:p w14:paraId="06E9480C">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2.</w:t>
      </w:r>
      <w:r>
        <w:rPr>
          <w:rFonts w:hint="eastAsia" w:ascii="仿宋" w:hAnsi="仿宋" w:eastAsia="仿宋" w:cs="仿宋"/>
          <w:b/>
          <w:color w:val="auto"/>
          <w:spacing w:val="-6"/>
          <w:szCs w:val="21"/>
          <w:highlight w:val="none"/>
        </w:rPr>
        <w:t>符合参加政府采购活动应当具备的一般条件的承诺函</w:t>
      </w:r>
    </w:p>
    <w:p w14:paraId="18E93727">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3.落实政府采购政策需满足的资格要求</w:t>
      </w:r>
    </w:p>
    <w:p w14:paraId="15216427">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4.联合协议（若联合体投标）</w:t>
      </w:r>
    </w:p>
    <w:p w14:paraId="3B9B0C5A">
      <w:pPr>
        <w:keepNext w:val="0"/>
        <w:keepLines w:val="0"/>
        <w:pageBreakBefore w:val="0"/>
        <w:widowControl w:val="0"/>
        <w:kinsoku/>
        <w:wordWrap/>
        <w:overflowPunct/>
        <w:topLinePunct w:val="0"/>
        <w:autoSpaceDE/>
        <w:autoSpaceDN/>
        <w:bidi w:val="0"/>
        <w:adjustRightInd w:val="0"/>
        <w:snapToGrid w:val="0"/>
        <w:spacing w:line="360" w:lineRule="auto"/>
        <w:ind w:firstLine="596" w:firstLineChars="300"/>
        <w:jc w:val="left"/>
        <w:textAlignment w:val="auto"/>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t>▲联合体投标的，联合体各方均应提供（1）&amp;（2）项材料</w:t>
      </w:r>
    </w:p>
    <w:p w14:paraId="19729172">
      <w:pPr>
        <w:adjustRightInd w:val="0"/>
        <w:snapToGrid w:val="0"/>
        <w:spacing w:line="360"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color w:val="auto"/>
          <w:spacing w:val="-6"/>
          <w:szCs w:val="21"/>
          <w:highlight w:val="none"/>
          <w:lang w:val="en-US" w:eastAsia="zh-CN"/>
        </w:rPr>
        <w:t>二、</w:t>
      </w:r>
      <w:r>
        <w:rPr>
          <w:rFonts w:hint="eastAsia" w:ascii="仿宋" w:hAnsi="仿宋" w:eastAsia="仿宋" w:cs="仿宋"/>
          <w:b/>
          <w:color w:val="auto"/>
          <w:spacing w:val="-6"/>
          <w:szCs w:val="21"/>
          <w:highlight w:val="none"/>
        </w:rPr>
        <w:t>商务和</w:t>
      </w:r>
      <w:r>
        <w:rPr>
          <w:rFonts w:hint="eastAsia" w:ascii="仿宋" w:hAnsi="仿宋" w:eastAsia="仿宋" w:cs="仿宋"/>
          <w:b/>
          <w:bCs/>
          <w:color w:val="auto"/>
          <w:spacing w:val="-6"/>
          <w:szCs w:val="21"/>
          <w:highlight w:val="none"/>
        </w:rPr>
        <w:t>技术文件（单独上传）</w:t>
      </w:r>
    </w:p>
    <w:p w14:paraId="69D3D002">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rPr>
        <w:t>投标函</w:t>
      </w:r>
    </w:p>
    <w:p w14:paraId="08A81653">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rPr>
        <w:t>法定代表人（单位负责人、自然人本人）身份证明</w:t>
      </w:r>
      <w:r>
        <w:rPr>
          <w:rFonts w:hint="eastAsia" w:ascii="仿宋" w:hAnsi="仿宋" w:eastAsia="仿宋" w:cs="仿宋"/>
          <w:color w:val="auto"/>
          <w:spacing w:val="-6"/>
          <w:szCs w:val="21"/>
          <w:highlight w:val="none"/>
          <w:lang w:val="en-US" w:eastAsia="zh-CN"/>
        </w:rPr>
        <w:t>/</w:t>
      </w:r>
      <w:r>
        <w:rPr>
          <w:rFonts w:hint="eastAsia" w:ascii="仿宋" w:hAnsi="仿宋" w:eastAsia="仿宋" w:cs="仿宋"/>
          <w:color w:val="auto"/>
          <w:spacing w:val="-6"/>
          <w:szCs w:val="21"/>
          <w:highlight w:val="none"/>
          <w:lang w:eastAsia="zh-CN"/>
        </w:rPr>
        <w:t>授权委托书</w:t>
      </w:r>
    </w:p>
    <w:p w14:paraId="1899CE0C">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400"/>
        <w:jc w:val="left"/>
        <w:textAlignment w:val="auto"/>
        <w:rPr>
          <w:rFonts w:ascii="仿宋" w:hAnsi="仿宋" w:eastAsia="仿宋" w:cs="仿宋"/>
          <w:color w:val="auto"/>
          <w:spacing w:val="-6"/>
          <w:szCs w:val="21"/>
          <w:highlight w:val="none"/>
        </w:rPr>
      </w:pPr>
      <w:r>
        <w:rPr>
          <w:rFonts w:hint="eastAsia" w:ascii="仿宋" w:hAnsi="仿宋" w:eastAsia="仿宋" w:cs="仿宋"/>
          <w:color w:val="auto"/>
          <w:szCs w:val="21"/>
          <w:highlight w:val="none"/>
          <w:lang w:eastAsia="zh-CN"/>
        </w:rPr>
        <w:t>2025年1月（含）至今任意一月</w:t>
      </w:r>
      <w:r>
        <w:rPr>
          <w:rFonts w:hint="eastAsia" w:ascii="仿宋" w:hAnsi="仿宋" w:eastAsia="仿宋" w:cs="仿宋"/>
          <w:color w:val="auto"/>
          <w:spacing w:val="-6"/>
          <w:szCs w:val="21"/>
          <w:highlight w:val="none"/>
        </w:rPr>
        <w:t>投标授权代表社保缴纳证明</w:t>
      </w:r>
    </w:p>
    <w:p w14:paraId="1B5CD8B5">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3.</w:t>
      </w:r>
      <w:r>
        <w:rPr>
          <w:rFonts w:hint="eastAsia" w:ascii="仿宋" w:hAnsi="仿宋" w:eastAsia="仿宋" w:cs="仿宋"/>
          <w:color w:val="auto"/>
          <w:spacing w:val="-6"/>
          <w:szCs w:val="21"/>
          <w:highlight w:val="none"/>
        </w:rPr>
        <w:t>采购需求偏离表</w:t>
      </w:r>
    </w:p>
    <w:p w14:paraId="765D66E1">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4.</w:t>
      </w:r>
      <w:r>
        <w:rPr>
          <w:rFonts w:hint="eastAsia" w:ascii="仿宋" w:hAnsi="仿宋" w:eastAsia="仿宋" w:cs="仿宋"/>
          <w:color w:val="auto"/>
          <w:spacing w:val="-6"/>
          <w:szCs w:val="21"/>
          <w:highlight w:val="none"/>
          <w:lang w:eastAsia="zh-CN"/>
        </w:rPr>
        <w:t>投标人同类合同实施情况一览表</w:t>
      </w:r>
    </w:p>
    <w:p w14:paraId="407C3F83">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5.节能、环保产品证明材料</w:t>
      </w:r>
    </w:p>
    <w:p w14:paraId="5425F697">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6.</w:t>
      </w:r>
      <w:r>
        <w:rPr>
          <w:rFonts w:hint="eastAsia" w:ascii="仿宋" w:hAnsi="仿宋" w:eastAsia="仿宋" w:cs="仿宋"/>
          <w:color w:val="auto"/>
          <w:spacing w:val="-6"/>
          <w:szCs w:val="21"/>
          <w:highlight w:val="none"/>
          <w:lang w:eastAsia="zh-CN"/>
        </w:rPr>
        <w:t>标的配置清单</w:t>
      </w:r>
    </w:p>
    <w:p w14:paraId="7E73428D">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7.</w:t>
      </w:r>
      <w:r>
        <w:rPr>
          <w:rFonts w:hint="eastAsia" w:ascii="仿宋" w:hAnsi="仿宋" w:eastAsia="仿宋" w:cs="仿宋"/>
          <w:color w:val="auto"/>
          <w:spacing w:val="-6"/>
          <w:szCs w:val="21"/>
          <w:highlight w:val="none"/>
          <w:lang w:eastAsia="zh-CN"/>
        </w:rPr>
        <w:t>技术方案</w:t>
      </w:r>
    </w:p>
    <w:p w14:paraId="0A45C32E">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val="en-US" w:eastAsia="zh-CN"/>
        </w:rPr>
        <w:t>8.</w:t>
      </w:r>
      <w:r>
        <w:rPr>
          <w:rFonts w:hint="eastAsia" w:ascii="仿宋" w:hAnsi="仿宋" w:eastAsia="仿宋" w:cs="仿宋"/>
          <w:color w:val="auto"/>
          <w:spacing w:val="-6"/>
          <w:szCs w:val="21"/>
          <w:highlight w:val="none"/>
          <w:lang w:eastAsia="zh-CN"/>
        </w:rPr>
        <w:t>培训计划</w:t>
      </w:r>
    </w:p>
    <w:p w14:paraId="6495BDFA">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9.</w:t>
      </w:r>
      <w:r>
        <w:rPr>
          <w:rFonts w:hint="eastAsia" w:ascii="仿宋" w:hAnsi="仿宋" w:eastAsia="仿宋" w:cs="仿宋"/>
          <w:color w:val="auto"/>
          <w:spacing w:val="-6"/>
          <w:szCs w:val="21"/>
          <w:highlight w:val="none"/>
          <w:lang w:eastAsia="zh-CN"/>
        </w:rPr>
        <w:t>售后服务方案</w:t>
      </w:r>
    </w:p>
    <w:p w14:paraId="23AF58F0">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10.随机标准附件、备品备件、易损件、零配件、专用工具等</w:t>
      </w:r>
    </w:p>
    <w:p w14:paraId="3CAF3A55">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11.所需选配件、维修配件、易耗件费用一览表</w:t>
      </w:r>
    </w:p>
    <w:p w14:paraId="3143B7ED">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default" w:ascii="仿宋" w:hAnsi="仿宋" w:eastAsia="仿宋" w:cs="仿宋"/>
          <w:color w:val="auto"/>
          <w:spacing w:val="-6"/>
          <w:szCs w:val="21"/>
          <w:highlight w:val="none"/>
          <w:lang w:val="en-US" w:eastAsia="zh-CN"/>
        </w:rPr>
      </w:pPr>
      <w:r>
        <w:rPr>
          <w:rFonts w:hint="eastAsia" w:ascii="仿宋" w:hAnsi="仿宋" w:eastAsia="仿宋" w:cs="仿宋"/>
          <w:color w:val="auto"/>
          <w:spacing w:val="-6"/>
          <w:szCs w:val="21"/>
          <w:highlight w:val="none"/>
          <w:lang w:val="en-US" w:eastAsia="zh-CN"/>
        </w:rPr>
        <w:t>12.项目团队人员一览表</w:t>
      </w:r>
    </w:p>
    <w:p w14:paraId="1B0C4512">
      <w:pPr>
        <w:adjustRightInd w:val="0"/>
        <w:snapToGrid w:val="0"/>
        <w:spacing w:line="360"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lang w:val="en-US" w:eastAsia="zh-CN"/>
        </w:rPr>
        <w:t>三、</w:t>
      </w:r>
      <w:r>
        <w:rPr>
          <w:rFonts w:hint="eastAsia" w:ascii="仿宋" w:hAnsi="仿宋" w:eastAsia="仿宋" w:cs="仿宋"/>
          <w:b/>
          <w:color w:val="auto"/>
          <w:spacing w:val="-6"/>
          <w:szCs w:val="21"/>
          <w:highlight w:val="none"/>
        </w:rPr>
        <w:t>报价文件</w:t>
      </w:r>
      <w:r>
        <w:rPr>
          <w:rFonts w:hint="eastAsia" w:ascii="仿宋" w:hAnsi="仿宋" w:eastAsia="仿宋" w:cs="仿宋"/>
          <w:b/>
          <w:bCs/>
          <w:color w:val="auto"/>
          <w:spacing w:val="-6"/>
          <w:szCs w:val="21"/>
          <w:highlight w:val="none"/>
        </w:rPr>
        <w:t>（单独上传）</w:t>
      </w:r>
    </w:p>
    <w:p w14:paraId="319C89A4">
      <w:pPr>
        <w:keepNext w:val="0"/>
        <w:keepLines w:val="0"/>
        <w:pageBreakBefore w:val="0"/>
        <w:widowControl w:val="0"/>
        <w:kinsoku/>
        <w:wordWrap/>
        <w:overflowPunct/>
        <w:topLinePunct w:val="0"/>
        <w:autoSpaceDE/>
        <w:autoSpaceDN/>
        <w:bidi w:val="0"/>
        <w:adjustRightInd w:val="0"/>
        <w:snapToGrid w:val="0"/>
        <w:spacing w:line="360" w:lineRule="auto"/>
        <w:ind w:firstLine="594" w:firstLineChars="300"/>
        <w:jc w:val="left"/>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lang w:val="en-US" w:eastAsia="zh-CN"/>
        </w:rPr>
        <w:t>1.开标一览表</w:t>
      </w:r>
    </w:p>
    <w:p w14:paraId="49C7615F">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ABFC1EB">
      <w:pPr>
        <w:adjustRightInd w:val="0"/>
        <w:snapToGrid w:val="0"/>
        <w:spacing w:line="288" w:lineRule="auto"/>
        <w:jc w:val="center"/>
        <w:rPr>
          <w:rFonts w:ascii="仿宋" w:hAnsi="仿宋" w:eastAsia="仿宋" w:cs="仿宋"/>
          <w:b/>
          <w:bCs/>
          <w:color w:val="auto"/>
          <w:sz w:val="84"/>
          <w:szCs w:val="84"/>
          <w:highlight w:val="none"/>
        </w:rPr>
      </w:pPr>
    </w:p>
    <w:p w14:paraId="6F900EF4">
      <w:pPr>
        <w:adjustRightInd w:val="0"/>
        <w:snapToGrid w:val="0"/>
        <w:spacing w:line="288" w:lineRule="auto"/>
        <w:jc w:val="center"/>
        <w:rPr>
          <w:rFonts w:ascii="仿宋" w:hAnsi="仿宋" w:eastAsia="仿宋" w:cs="仿宋"/>
          <w:b/>
          <w:bCs/>
          <w:color w:val="auto"/>
          <w:sz w:val="84"/>
          <w:szCs w:val="84"/>
          <w:highlight w:val="none"/>
        </w:rPr>
      </w:pPr>
    </w:p>
    <w:p w14:paraId="6AA9ABD6">
      <w:pPr>
        <w:adjustRightInd w:val="0"/>
        <w:snapToGrid w:val="0"/>
        <w:spacing w:line="288" w:lineRule="auto"/>
        <w:jc w:val="center"/>
        <w:rPr>
          <w:rFonts w:ascii="仿宋" w:hAnsi="仿宋" w:eastAsia="仿宋" w:cs="仿宋"/>
          <w:b/>
          <w:bCs/>
          <w:color w:val="auto"/>
          <w:sz w:val="84"/>
          <w:szCs w:val="84"/>
          <w:highlight w:val="none"/>
        </w:rPr>
      </w:pPr>
    </w:p>
    <w:p w14:paraId="3C1BB3CD">
      <w:pPr>
        <w:adjustRightInd w:val="0"/>
        <w:snapToGrid w:val="0"/>
        <w:spacing w:line="288" w:lineRule="auto"/>
        <w:jc w:val="center"/>
        <w:rPr>
          <w:rFonts w:ascii="仿宋" w:hAnsi="仿宋" w:eastAsia="仿宋" w:cs="仿宋"/>
          <w:b/>
          <w:bCs/>
          <w:color w:val="auto"/>
          <w:sz w:val="84"/>
          <w:szCs w:val="84"/>
          <w:highlight w:val="none"/>
        </w:rPr>
      </w:pPr>
    </w:p>
    <w:p w14:paraId="5129312E">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14:paraId="46A65ED0">
      <w:pPr>
        <w:adjustRightInd w:val="0"/>
        <w:snapToGrid w:val="0"/>
        <w:spacing w:line="288" w:lineRule="auto"/>
        <w:jc w:val="center"/>
        <w:rPr>
          <w:rFonts w:ascii="仿宋" w:hAnsi="仿宋" w:eastAsia="仿宋" w:cs="仿宋"/>
          <w:b/>
          <w:bCs/>
          <w:color w:val="auto"/>
          <w:sz w:val="84"/>
          <w:szCs w:val="84"/>
          <w:highlight w:val="none"/>
        </w:rPr>
      </w:pPr>
    </w:p>
    <w:p w14:paraId="6D2F8515">
      <w:pPr>
        <w:adjustRightInd w:val="0"/>
        <w:snapToGrid w:val="0"/>
        <w:spacing w:line="288" w:lineRule="auto"/>
        <w:jc w:val="center"/>
        <w:rPr>
          <w:rFonts w:ascii="仿宋" w:hAnsi="仿宋" w:eastAsia="仿宋" w:cs="仿宋"/>
          <w:b/>
          <w:bCs/>
          <w:color w:val="auto"/>
          <w:szCs w:val="21"/>
          <w:highlight w:val="none"/>
        </w:rPr>
      </w:pPr>
      <w:bookmarkStart w:id="48" w:name="_Hlk94097338"/>
      <w:r>
        <w:rPr>
          <w:rFonts w:hint="eastAsia" w:ascii="仿宋" w:hAnsi="仿宋" w:eastAsia="仿宋" w:cs="仿宋"/>
          <w:b/>
          <w:bCs/>
          <w:color w:val="auto"/>
          <w:sz w:val="24"/>
          <w:szCs w:val="24"/>
          <w:highlight w:val="none"/>
        </w:rPr>
        <w:t>资格审查要求的资格证明材料（均需加盖公章）</w:t>
      </w:r>
      <w:bookmarkEnd w:id="48"/>
    </w:p>
    <w:p w14:paraId="0417FC41">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55A5BDFB">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14:paraId="330D57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07E5CF6D">
      <w:pPr>
        <w:adjustRightInd w:val="0"/>
        <w:snapToGrid w:val="0"/>
        <w:spacing w:line="360" w:lineRule="auto"/>
        <w:rPr>
          <w:rFonts w:ascii="仿宋" w:hAnsi="仿宋" w:eastAsia="仿宋" w:cs="仿宋"/>
          <w:color w:val="auto"/>
          <w:szCs w:val="21"/>
          <w:highlight w:val="none"/>
        </w:rPr>
      </w:pPr>
    </w:p>
    <w:p w14:paraId="036FE371">
      <w:pPr>
        <w:adjustRightInd w:val="0"/>
        <w:snapToGrid w:val="0"/>
        <w:spacing w:line="360" w:lineRule="auto"/>
        <w:rPr>
          <w:rFonts w:ascii="仿宋" w:hAnsi="仿宋" w:eastAsia="仿宋" w:cs="仿宋"/>
          <w:color w:val="auto"/>
          <w:szCs w:val="21"/>
          <w:highlight w:val="none"/>
        </w:rPr>
      </w:pPr>
    </w:p>
    <w:p w14:paraId="1C850E0C">
      <w:pPr>
        <w:adjustRightInd w:val="0"/>
        <w:snapToGrid w:val="0"/>
        <w:spacing w:line="360" w:lineRule="auto"/>
        <w:rPr>
          <w:rFonts w:ascii="仿宋" w:hAnsi="仿宋" w:eastAsia="仿宋" w:cs="仿宋"/>
          <w:b/>
          <w:bCs/>
          <w:color w:val="auto"/>
          <w:szCs w:val="21"/>
          <w:highlight w:val="none"/>
        </w:rPr>
      </w:pPr>
    </w:p>
    <w:p w14:paraId="683D25FA">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2DCCF8BB">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是企业（包括合伙企业），提供在工商部门注册的有效“企业法人营业执照”或“营业执照”；</w:t>
      </w:r>
    </w:p>
    <w:p w14:paraId="14D77FAE">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是事业单位，提供有效的“事业单位法人证书”；</w:t>
      </w:r>
    </w:p>
    <w:p w14:paraId="645AE527">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是非企业专业服务机构，提供执业许可证等证明文件；</w:t>
      </w:r>
    </w:p>
    <w:p w14:paraId="67BD324B">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是个体工商户，提供有效的“个体工商户营业执照”；</w:t>
      </w:r>
    </w:p>
    <w:p w14:paraId="5719D304">
      <w:pPr>
        <w:adjustRightInd w:val="0"/>
        <w:snapToGrid w:val="0"/>
        <w:spacing w:line="360" w:lineRule="auto"/>
        <w:rPr>
          <w:rFonts w:ascii="仿宋" w:hAnsi="仿宋" w:eastAsia="仿宋" w:cs="仿宋"/>
          <w:bCs/>
          <w:color w:val="auto"/>
          <w:spacing w:val="-6"/>
          <w:szCs w:val="21"/>
          <w:highlight w:val="none"/>
        </w:rPr>
      </w:pPr>
      <w:r>
        <w:rPr>
          <w:rFonts w:hint="eastAsia" w:ascii="仿宋" w:hAnsi="仿宋" w:eastAsia="仿宋" w:cs="仿宋"/>
          <w:b/>
          <w:bCs/>
          <w:color w:val="auto"/>
          <w:sz w:val="18"/>
          <w:szCs w:val="18"/>
          <w:highlight w:val="none"/>
        </w:rPr>
        <w:t>5.如</w:t>
      </w:r>
      <w:r>
        <w:rPr>
          <w:rFonts w:hint="eastAsia" w:ascii="仿宋" w:hAnsi="仿宋" w:eastAsia="仿宋" w:cs="仿宋"/>
          <w:b/>
          <w:bCs/>
          <w:color w:val="auto"/>
          <w:sz w:val="18"/>
          <w:szCs w:val="18"/>
          <w:highlight w:val="none"/>
          <w:lang w:eastAsia="zh-CN"/>
        </w:rPr>
        <w:t>投标人</w:t>
      </w:r>
      <w:r>
        <w:rPr>
          <w:rFonts w:hint="eastAsia" w:ascii="仿宋" w:hAnsi="仿宋" w:eastAsia="仿宋" w:cs="仿宋"/>
          <w:b/>
          <w:bCs/>
          <w:color w:val="auto"/>
          <w:sz w:val="18"/>
          <w:szCs w:val="18"/>
          <w:highlight w:val="none"/>
        </w:rPr>
        <w:t>是自然人，提供有效的自然人身份证明。</w:t>
      </w:r>
    </w:p>
    <w:p w14:paraId="0CC5DFBA">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br w:type="page"/>
      </w:r>
    </w:p>
    <w:p w14:paraId="495EC7ED">
      <w:pPr>
        <w:adjustRightInd w:val="0"/>
        <w:snapToGrid w:val="0"/>
        <w:spacing w:line="360" w:lineRule="auto"/>
        <w:jc w:val="center"/>
        <w:outlineLvl w:val="2"/>
        <w:rPr>
          <w:rFonts w:ascii="仿宋" w:hAnsi="仿宋" w:eastAsia="仿宋" w:cs="仿宋"/>
          <w:b/>
          <w:bCs/>
          <w:color w:val="auto"/>
          <w:spacing w:val="-6"/>
          <w:sz w:val="24"/>
          <w:szCs w:val="24"/>
          <w:highlight w:val="none"/>
        </w:rPr>
      </w:pPr>
      <w:r>
        <w:rPr>
          <w:rFonts w:hint="eastAsia" w:ascii="仿宋" w:hAnsi="仿宋" w:eastAsia="仿宋" w:cs="仿宋"/>
          <w:b/>
          <w:bCs/>
          <w:color w:val="auto"/>
          <w:sz w:val="24"/>
          <w:szCs w:val="24"/>
          <w:highlight w:val="none"/>
        </w:rPr>
        <w:t>符合参加政府采购活动应当具备的一般条件的承诺函</w:t>
      </w:r>
    </w:p>
    <w:p w14:paraId="02CA0A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（联合体投标的，联合体各方均需提供）</w:t>
      </w:r>
    </w:p>
    <w:p w14:paraId="49422EDE">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41DA27B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lang w:eastAsia="zh-CN"/>
        </w:rPr>
        <w:t>工业互联网工程技术人员培训、实训平台建设</w:t>
      </w:r>
      <w:r>
        <w:rPr>
          <w:rFonts w:hint="eastAsia" w:ascii="仿宋" w:hAnsi="仿宋" w:eastAsia="仿宋" w:cs="仿宋"/>
          <w:color w:val="auto"/>
          <w:spacing w:val="-6"/>
          <w:szCs w:val="21"/>
          <w:highlight w:val="none"/>
        </w:rPr>
        <w:t>的采购活动并承诺如下：</w:t>
      </w:r>
    </w:p>
    <w:p w14:paraId="77DB257F">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5AC4851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285C0B0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56F7348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1FA0F89D">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635C7A3E">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（五）参加本项目政府采购活动前三年内，在经营活动中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重大违法记录（重大违法记录是指投标人因违法经营受到刑事处罚或者责令停产停业、吊销许可证或者执照、较大数额罚款等行政处罚）。</w:t>
      </w:r>
    </w:p>
    <w:p w14:paraId="736CDCEA">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20B1B068">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14:paraId="6A4A90E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448D498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1.单位负责人为同一人或者存在直接控股、管理关系的不同供应商参加同一合同项下的政府采购活动的；</w:t>
      </w:r>
    </w:p>
    <w:p w14:paraId="4B5E1410">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0FF2D76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4C29A798">
      <w:pPr>
        <w:adjustRightInd w:val="0"/>
        <w:snapToGrid w:val="0"/>
        <w:spacing w:line="360" w:lineRule="auto"/>
        <w:rPr>
          <w:rFonts w:ascii="仿宋" w:hAnsi="仿宋" w:eastAsia="仿宋" w:cs="仿宋"/>
          <w:color w:val="auto"/>
          <w:szCs w:val="21"/>
          <w:highlight w:val="none"/>
        </w:rPr>
      </w:pPr>
    </w:p>
    <w:p w14:paraId="13C37B34">
      <w:pPr>
        <w:adjustRightInd w:val="0"/>
        <w:snapToGrid w:val="0"/>
        <w:spacing w:line="360" w:lineRule="auto"/>
        <w:rPr>
          <w:rFonts w:ascii="仿宋" w:hAnsi="仿宋" w:eastAsia="仿宋" w:cs="仿宋"/>
          <w:b/>
          <w:bCs/>
          <w:color w:val="auto"/>
          <w:spacing w:val="-6"/>
          <w:szCs w:val="21"/>
          <w:highlight w:val="none"/>
        </w:rPr>
      </w:pPr>
    </w:p>
    <w:p w14:paraId="6E6D6214">
      <w:pPr>
        <w:adjustRightInd w:val="0"/>
        <w:snapToGrid w:val="0"/>
        <w:spacing w:line="360" w:lineRule="auto"/>
        <w:rPr>
          <w:rFonts w:ascii="仿宋" w:hAnsi="仿宋" w:eastAsia="仿宋" w:cs="仿宋"/>
          <w:b/>
          <w:bCs/>
          <w:color w:val="auto"/>
          <w:spacing w:val="-6"/>
          <w:szCs w:val="21"/>
          <w:highlight w:val="none"/>
        </w:rPr>
      </w:pPr>
    </w:p>
    <w:p w14:paraId="776092CE">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1D3A9E6D">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296AF0C">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48532476">
      <w:pPr>
        <w:adjustRightInd w:val="0"/>
        <w:snapToGrid w:val="0"/>
        <w:spacing w:line="360" w:lineRule="auto"/>
        <w:ind w:left="0" w:leftChars="0" w:right="0" w:rightChars="0" w:firstLine="0" w:firstLineChars="0"/>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落实政府采购政策需满足的资格要求</w:t>
      </w:r>
    </w:p>
    <w:p w14:paraId="0EF098A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14:paraId="2247574D">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郑重声明，根据《政府采购促进中小企业发展管理办法》（财库[2020]46号）的规定，本公司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联合体</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工业互联网工程技术人员培训、实训平台建设</w:t>
      </w:r>
      <w:r>
        <w:rPr>
          <w:rFonts w:hint="eastAsia" w:ascii="仿宋" w:hAnsi="仿宋" w:eastAsia="仿宋" w:cs="仿宋"/>
          <w:bCs/>
          <w:color w:val="auto"/>
          <w:spacing w:val="-6"/>
          <w:szCs w:val="21"/>
          <w:highlight w:val="none"/>
          <w:lang w:val="en-US" w:eastAsia="zh-CN"/>
        </w:rPr>
        <w:t>采购</w:t>
      </w:r>
      <w:r>
        <w:rPr>
          <w:rFonts w:hint="eastAsia" w:ascii="仿宋" w:hAnsi="仿宋" w:eastAsia="仿宋" w:cs="仿宋"/>
          <w:color w:val="auto"/>
          <w:szCs w:val="21"/>
          <w:highlight w:val="none"/>
        </w:rPr>
        <w:t>活动，提供的货物全部由符合政策要求的中小企业制造。相关企业（含联合体中的中小企业）的具体情况如下：</w:t>
      </w:r>
    </w:p>
    <w:p w14:paraId="2F84DD84">
      <w:pPr>
        <w:adjustRightInd w:val="0"/>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1.工业互联网开发平台，属于软件和信息技术服务业；制造商为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14:paraId="291C9B52">
      <w:pPr>
        <w:adjustRightInd w:val="0"/>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val="0"/>
          <w:bCs w:val="0"/>
          <w:color w:val="auto"/>
          <w:szCs w:val="21"/>
          <w:highlight w:val="none"/>
          <w:lang w:val="en-US" w:eastAsia="zh-CN"/>
        </w:rPr>
        <w:t>工业互联网工程技术人员考核实训台</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p>
    <w:p w14:paraId="65FBD0EB">
      <w:pPr>
        <w:adjustRightInd w:val="0"/>
        <w:snapToGrid w:val="0"/>
        <w:spacing w:line="36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w:t>
      </w:r>
      <w:r>
        <w:rPr>
          <w:rFonts w:hint="eastAsia" w:ascii="仿宋" w:hAnsi="仿宋" w:eastAsia="仿宋" w:cs="仿宋"/>
          <w:b w:val="0"/>
          <w:bCs w:val="0"/>
          <w:color w:val="auto"/>
          <w:szCs w:val="21"/>
          <w:highlight w:val="none"/>
          <w:lang w:val="en-US" w:eastAsia="zh-CN"/>
        </w:rPr>
        <w:t>纺织工程沙盘</w:t>
      </w:r>
      <w:r>
        <w:rPr>
          <w:rFonts w:hint="eastAsia" w:ascii="仿宋" w:hAnsi="仿宋" w:eastAsia="仿宋" w:cs="仿宋"/>
          <w:szCs w:val="21"/>
          <w:highlight w:val="none"/>
        </w:rPr>
        <w:t>，属于</w:t>
      </w:r>
      <w:r>
        <w:rPr>
          <w:rFonts w:hint="eastAsia" w:ascii="仿宋" w:hAnsi="仿宋" w:eastAsia="仿宋" w:cs="仿宋"/>
          <w:szCs w:val="21"/>
          <w:highlight w:val="none"/>
          <w:lang w:eastAsia="zh-CN"/>
        </w:rPr>
        <w:t>工业</w:t>
      </w:r>
      <w:r>
        <w:rPr>
          <w:rFonts w:hint="eastAsia" w:ascii="仿宋" w:hAnsi="仿宋" w:eastAsia="仿宋" w:cs="仿宋"/>
          <w:szCs w:val="21"/>
          <w:highlight w:val="none"/>
        </w:rPr>
        <w:t>；制造商为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b/>
          <w:bCs/>
          <w:szCs w:val="21"/>
          <w:highlight w:val="none"/>
        </w:rPr>
        <w:t>（企业名称）</w:t>
      </w:r>
      <w:r>
        <w:rPr>
          <w:rFonts w:hint="eastAsia" w:ascii="仿宋" w:hAnsi="仿宋" w:eastAsia="仿宋" w:cs="仿宋"/>
          <w:szCs w:val="21"/>
          <w:highlight w:val="none"/>
        </w:rPr>
        <w:t>，从业人员</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人，营业收入为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万元，资产总额为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万元，属于</w:t>
      </w:r>
      <w:r>
        <w:rPr>
          <w:rFonts w:hint="eastAsia" w:ascii="MS Gothic" w:hAnsi="MS Gothic" w:eastAsia="仿宋" w:cs="仿宋"/>
          <w:kern w:val="0"/>
          <w:szCs w:val="21"/>
          <w:highlight w:val="none"/>
        </w:rPr>
        <w:t>☐</w:t>
      </w:r>
      <w:r>
        <w:rPr>
          <w:rFonts w:hint="eastAsia" w:ascii="仿宋" w:hAnsi="仿宋" w:eastAsia="仿宋" w:cs="仿宋"/>
          <w:iCs/>
          <w:szCs w:val="21"/>
          <w:highlight w:val="none"/>
        </w:rPr>
        <w:t>中型企业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小型企业</w:t>
      </w:r>
      <w:r>
        <w:rPr>
          <w:rFonts w:hint="eastAsia" w:ascii="仿宋" w:hAnsi="仿宋" w:eastAsia="仿宋" w:cs="仿宋"/>
          <w:kern w:val="0"/>
          <w:szCs w:val="21"/>
          <w:highlight w:val="none"/>
        </w:rPr>
        <w:t>☐</w:t>
      </w:r>
      <w:r>
        <w:rPr>
          <w:rFonts w:hint="eastAsia" w:ascii="仿宋" w:hAnsi="仿宋" w:eastAsia="仿宋" w:cs="仿宋"/>
          <w:iCs/>
          <w:szCs w:val="21"/>
          <w:highlight w:val="none"/>
        </w:rPr>
        <w:t>微型企业</w:t>
      </w:r>
      <w:r>
        <w:rPr>
          <w:rFonts w:hint="eastAsia" w:ascii="仿宋" w:hAnsi="仿宋" w:eastAsia="仿宋" w:cs="仿宋"/>
          <w:b/>
          <w:bCs/>
          <w:iCs/>
          <w:szCs w:val="21"/>
          <w:highlight w:val="none"/>
        </w:rPr>
        <w:t>（如实勾选）</w:t>
      </w:r>
      <w:r>
        <w:rPr>
          <w:rFonts w:hint="eastAsia" w:ascii="仿宋" w:hAnsi="仿宋" w:eastAsia="仿宋" w:cs="仿宋"/>
          <w:b/>
          <w:bCs/>
          <w:iCs/>
          <w:szCs w:val="21"/>
          <w:highlight w:val="none"/>
          <w:lang w:eastAsia="zh-CN"/>
        </w:rPr>
        <w:t>。</w:t>
      </w:r>
    </w:p>
    <w:p w14:paraId="644DAB07">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14:paraId="2A6F0A4C">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14:paraId="6404F3B9">
      <w:pPr>
        <w:adjustRightInd w:val="0"/>
        <w:snapToGrid w:val="0"/>
        <w:spacing w:line="360" w:lineRule="auto"/>
        <w:ind w:firstLine="420" w:firstLineChars="200"/>
        <w:rPr>
          <w:rFonts w:ascii="仿宋" w:hAnsi="仿宋" w:eastAsia="仿宋" w:cs="仿宋"/>
          <w:color w:val="auto"/>
          <w:szCs w:val="21"/>
          <w:highlight w:val="none"/>
        </w:rPr>
      </w:pPr>
    </w:p>
    <w:p w14:paraId="0F615E78">
      <w:pPr>
        <w:adjustRightInd w:val="0"/>
        <w:snapToGrid w:val="0"/>
        <w:spacing w:line="360" w:lineRule="auto"/>
        <w:ind w:firstLine="420" w:firstLineChars="200"/>
        <w:rPr>
          <w:rFonts w:ascii="仿宋" w:hAnsi="仿宋" w:eastAsia="仿宋" w:cs="仿宋"/>
          <w:color w:val="auto"/>
          <w:szCs w:val="21"/>
          <w:highlight w:val="none"/>
        </w:rPr>
      </w:pPr>
    </w:p>
    <w:p w14:paraId="6C056160">
      <w:pPr>
        <w:adjustRightInd w:val="0"/>
        <w:snapToGrid w:val="0"/>
        <w:spacing w:line="360" w:lineRule="auto"/>
        <w:ind w:firstLine="420" w:firstLineChars="200"/>
        <w:rPr>
          <w:rFonts w:ascii="仿宋" w:hAnsi="仿宋" w:eastAsia="仿宋" w:cs="仿宋"/>
          <w:color w:val="auto"/>
          <w:szCs w:val="21"/>
          <w:highlight w:val="none"/>
        </w:rPr>
      </w:pPr>
    </w:p>
    <w:p w14:paraId="44D79EA7">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14:paraId="5FA2E8A3">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14:paraId="46BFC563">
      <w:pPr>
        <w:adjustRightInd w:val="0"/>
        <w:snapToGrid w:val="0"/>
        <w:spacing w:line="360" w:lineRule="auto"/>
        <w:ind w:firstLine="420" w:firstLineChars="200"/>
        <w:rPr>
          <w:rFonts w:ascii="仿宋" w:hAnsi="仿宋" w:eastAsia="仿宋" w:cs="仿宋"/>
          <w:color w:val="auto"/>
          <w:szCs w:val="21"/>
          <w:highlight w:val="none"/>
        </w:rPr>
      </w:pPr>
    </w:p>
    <w:p w14:paraId="31ED5047">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14:paraId="28879A43">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1.标的名称，按照招标文件中明确的标的填写；</w:t>
      </w:r>
    </w:p>
    <w:p w14:paraId="42683552">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2.所属行业，按照招标文件中明确的标的“所属行业”填写；</w:t>
      </w:r>
    </w:p>
    <w:p w14:paraId="4A10E372">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3.制造商，货物由中小企业制造，即货物由中小企业生产且使用该中小企业商号或者注册商标；</w:t>
      </w:r>
    </w:p>
    <w:p w14:paraId="1F0EE5BB">
      <w:pPr>
        <w:adjustRightInd w:val="0"/>
        <w:snapToGrid w:val="0"/>
        <w:spacing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4.从业人员、营业收入、资产总额填报上一年度数据，无上一年度数据的新成立企业可不填报</w:t>
      </w:r>
      <w:r>
        <w:rPr>
          <w:rFonts w:hint="eastAsia" w:ascii="仿宋" w:hAnsi="仿宋" w:eastAsia="仿宋" w:cs="仿宋"/>
          <w:b/>
          <w:bCs/>
          <w:color w:val="auto"/>
          <w:sz w:val="18"/>
          <w:szCs w:val="18"/>
          <w:highlight w:val="none"/>
          <w:lang w:eastAsia="zh-CN"/>
        </w:rPr>
        <w:t>；</w:t>
      </w:r>
    </w:p>
    <w:p w14:paraId="270491EA">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5.企业类型（包括新成立企业），按照《中小企业划型标准规定》（工信部联企业〔2011〕300号）规定和招标文件中明确的标的“所属行业”，选择“中型企业、小型企业、微型企业”其中之一；</w:t>
      </w:r>
    </w:p>
    <w:p w14:paraId="0D0E5AFB">
      <w:pPr>
        <w:adjustRightInd w:val="0"/>
        <w:snapToGrid w:val="0"/>
        <w:spacing w:line="360" w:lineRule="auto"/>
        <w:ind w:firstLine="361" w:firstLineChars="200"/>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6.招标文件中明确的标的是能够独立发挥功能的产品，配件、辅料不作为标的，不需要在《中小企业声明函》里填列。</w:t>
      </w:r>
    </w:p>
    <w:p w14:paraId="38E1A88C">
      <w:pP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br w:type="page"/>
      </w:r>
    </w:p>
    <w:p w14:paraId="3A5E9C2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14:paraId="2203602C">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14:paraId="02090235">
      <w:pPr>
        <w:adjustRightInd w:val="0"/>
        <w:snapToGrid w:val="0"/>
        <w:spacing w:line="360" w:lineRule="auto"/>
        <w:rPr>
          <w:rFonts w:ascii="仿宋" w:hAnsi="仿宋" w:eastAsia="仿宋" w:cs="仿宋"/>
          <w:color w:val="auto"/>
          <w:szCs w:val="21"/>
          <w:highlight w:val="none"/>
        </w:rPr>
      </w:pPr>
    </w:p>
    <w:p w14:paraId="3D0B98D5">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40B311EA">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AEFB92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3"/>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14:paraId="73655D8C">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14:paraId="303F9339">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lang w:eastAsia="zh-CN"/>
        </w:rPr>
        <w:t>浙江理工大学</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工业互联网工程技术人员培训、实训平台建设</w:t>
      </w:r>
      <w:r>
        <w:rPr>
          <w:rFonts w:hint="eastAsia" w:ascii="仿宋" w:hAnsi="仿宋" w:eastAsia="仿宋" w:cs="仿宋"/>
          <w:color w:val="auto"/>
          <w:spacing w:val="6"/>
          <w:szCs w:val="21"/>
          <w:highlight w:val="none"/>
          <w:lang w:val="en-US" w:eastAsia="zh-CN"/>
        </w:rPr>
        <w:t>项目采购</w:t>
      </w:r>
      <w:r>
        <w:rPr>
          <w:rFonts w:hint="eastAsia" w:ascii="仿宋" w:hAnsi="仿宋" w:eastAsia="仿宋" w:cs="仿宋"/>
          <w:color w:val="auto"/>
          <w:spacing w:val="6"/>
          <w:szCs w:val="21"/>
          <w:highlight w:val="none"/>
        </w:rPr>
        <w:t>活动提供本单位制造的货物，或者提供其他残疾人福利性单位制造的货物（不包括使用非残疾人福利性单位注册商标的货物）。</w:t>
      </w:r>
    </w:p>
    <w:p w14:paraId="7CA51177">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14:paraId="0B915422">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4D3A9BAE">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1699438F">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14:paraId="5B3C221B">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14:paraId="3CBCF791">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14:paraId="18393D9B">
      <w:pPr>
        <w:adjustRightInd w:val="0"/>
        <w:snapToGrid w:val="0"/>
        <w:spacing w:line="360" w:lineRule="auto"/>
        <w:ind w:firstLine="420" w:firstLineChars="200"/>
        <w:rPr>
          <w:rFonts w:ascii="仿宋" w:hAnsi="仿宋" w:eastAsia="仿宋" w:cs="仿宋"/>
          <w:color w:val="auto"/>
          <w:szCs w:val="21"/>
          <w:highlight w:val="none"/>
        </w:rPr>
      </w:pPr>
    </w:p>
    <w:p w14:paraId="4192D5E9">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4C820CB8">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14:paraId="40636CF0">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14:paraId="723C75D2">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14:paraId="682A6832">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14:paraId="237B9559">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14:paraId="733CBE94">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14:paraId="46E2E08E">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D1E89A">
      <w:pPr>
        <w:pStyle w:val="23"/>
        <w:shd w:val="clear" w:color="auto" w:fill="FFFFFF"/>
        <w:adjustRightInd w:val="0"/>
        <w:snapToGrid w:val="0"/>
        <w:spacing w:before="0" w:beforeAutospacing="0" w:after="0" w:afterAutospacing="0" w:line="360" w:lineRule="auto"/>
        <w:ind w:firstLine="361" w:firstLineChars="200"/>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18"/>
          <w:szCs w:val="18"/>
          <w:highlight w:val="none"/>
          <w:lang w:eastAsia="zh-CN"/>
        </w:rPr>
        <w:t>；</w:t>
      </w:r>
    </w:p>
    <w:p w14:paraId="3BD0D52E">
      <w:pPr>
        <w:pStyle w:val="23"/>
        <w:shd w:val="clear" w:color="auto" w:fill="FFFFFF"/>
        <w:adjustRightInd w:val="0"/>
        <w:snapToGrid w:val="0"/>
        <w:spacing w:before="0" w:beforeAutospacing="0" w:after="0" w:afterAutospacing="0" w:line="360" w:lineRule="auto"/>
        <w:ind w:firstLine="361" w:firstLineChars="200"/>
        <w:rPr>
          <w:rFonts w:hint="eastAsia"/>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002EAF6B">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57E70A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联合协议</w:t>
      </w:r>
    </w:p>
    <w:p w14:paraId="16D299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（若联合体投标）</w:t>
      </w:r>
    </w:p>
    <w:p w14:paraId="4FE29E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 w:val="18"/>
          <w:szCs w:val="18"/>
          <w:highlight w:val="none"/>
          <w:lang w:val="en-US" w:eastAsia="zh-CN"/>
        </w:rPr>
      </w:pPr>
    </w:p>
    <w:p w14:paraId="1B03263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说明：格式见附件2</w:t>
      </w:r>
    </w:p>
    <w:p w14:paraId="3910968A">
      <w:pPr>
        <w:ind w:left="0" w:leftChars="0" w:right="0" w:rightChars="0" w:firstLine="0" w:firstLineChars="0"/>
        <w:jc w:val="center"/>
        <w:rPr>
          <w:rFonts w:hint="eastAsia" w:ascii="仿宋" w:hAnsi="仿宋" w:eastAsia="仿宋" w:cs="仿宋"/>
          <w:b/>
          <w:color w:val="auto"/>
          <w:spacing w:val="-6"/>
          <w:szCs w:val="21"/>
          <w:highlight w:val="none"/>
          <w:lang w:val="en-US" w:eastAsia="zh-CN"/>
        </w:rPr>
      </w:pPr>
      <w:r>
        <w:rPr>
          <w:rFonts w:hint="eastAsia" w:ascii="仿宋" w:hAnsi="仿宋" w:eastAsia="仿宋" w:cs="仿宋"/>
          <w:b/>
          <w:color w:val="auto"/>
          <w:spacing w:val="-6"/>
          <w:szCs w:val="21"/>
          <w:highlight w:val="none"/>
          <w:lang w:val="en-US" w:eastAsia="zh-CN"/>
        </w:rPr>
        <w:br w:type="page"/>
      </w:r>
    </w:p>
    <w:p w14:paraId="2056105A">
      <w:pPr>
        <w:adjustRightInd w:val="0"/>
        <w:snapToGrid w:val="0"/>
        <w:spacing w:line="288" w:lineRule="auto"/>
        <w:jc w:val="center"/>
        <w:rPr>
          <w:rFonts w:ascii="仿宋" w:hAnsi="仿宋" w:eastAsia="仿宋" w:cs="仿宋"/>
          <w:b/>
          <w:bCs/>
          <w:color w:val="auto"/>
          <w:sz w:val="84"/>
          <w:szCs w:val="84"/>
          <w:highlight w:val="none"/>
        </w:rPr>
      </w:pPr>
    </w:p>
    <w:p w14:paraId="50A18D59">
      <w:pPr>
        <w:adjustRightInd w:val="0"/>
        <w:snapToGrid w:val="0"/>
        <w:spacing w:line="288" w:lineRule="auto"/>
        <w:jc w:val="center"/>
        <w:rPr>
          <w:rFonts w:ascii="仿宋" w:hAnsi="仿宋" w:eastAsia="仿宋" w:cs="仿宋"/>
          <w:b/>
          <w:bCs/>
          <w:color w:val="auto"/>
          <w:sz w:val="84"/>
          <w:szCs w:val="84"/>
          <w:highlight w:val="none"/>
        </w:rPr>
      </w:pPr>
    </w:p>
    <w:p w14:paraId="43232E35">
      <w:pPr>
        <w:adjustRightInd w:val="0"/>
        <w:snapToGrid w:val="0"/>
        <w:spacing w:line="288" w:lineRule="auto"/>
        <w:jc w:val="center"/>
        <w:rPr>
          <w:rFonts w:ascii="仿宋" w:hAnsi="仿宋" w:eastAsia="仿宋" w:cs="仿宋"/>
          <w:b/>
          <w:bCs/>
          <w:color w:val="auto"/>
          <w:sz w:val="84"/>
          <w:szCs w:val="84"/>
          <w:highlight w:val="none"/>
        </w:rPr>
      </w:pPr>
    </w:p>
    <w:p w14:paraId="3CF0A129">
      <w:pPr>
        <w:adjustRightInd w:val="0"/>
        <w:snapToGrid w:val="0"/>
        <w:spacing w:line="288" w:lineRule="auto"/>
        <w:jc w:val="center"/>
        <w:rPr>
          <w:rFonts w:ascii="仿宋" w:hAnsi="仿宋" w:eastAsia="仿宋" w:cs="仿宋"/>
          <w:b/>
          <w:bCs/>
          <w:color w:val="auto"/>
          <w:sz w:val="84"/>
          <w:szCs w:val="84"/>
          <w:highlight w:val="none"/>
        </w:rPr>
      </w:pPr>
    </w:p>
    <w:p w14:paraId="7C0C781C">
      <w:pPr>
        <w:overflowPunct w:val="0"/>
        <w:adjustRightInd w:val="0"/>
        <w:snapToGrid w:val="0"/>
        <w:spacing w:line="288" w:lineRule="auto"/>
        <w:jc w:val="center"/>
        <w:outlineLvl w:val="1"/>
        <w:rPr>
          <w:rFonts w:ascii="仿宋" w:hAnsi="仿宋" w:eastAsia="仿宋" w:cs="仿宋"/>
          <w:bCs/>
          <w:color w:val="auto"/>
          <w:spacing w:val="-6"/>
          <w:sz w:val="84"/>
          <w:szCs w:val="84"/>
          <w:highlight w:val="none"/>
        </w:rPr>
      </w:pPr>
      <w:r>
        <w:rPr>
          <w:rFonts w:hint="eastAsia" w:ascii="仿宋" w:hAnsi="仿宋" w:eastAsia="仿宋" w:cs="仿宋"/>
          <w:b/>
          <w:bCs/>
          <w:color w:val="auto"/>
          <w:sz w:val="84"/>
          <w:szCs w:val="84"/>
          <w:highlight w:val="none"/>
        </w:rPr>
        <w:t>商务和技术文件</w:t>
      </w:r>
    </w:p>
    <w:p w14:paraId="176987E0">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144CD2F">
      <w:pPr>
        <w:adjustRightInd w:val="0"/>
        <w:snapToGrid w:val="0"/>
        <w:spacing w:line="360" w:lineRule="auto"/>
        <w:jc w:val="center"/>
        <w:outlineLvl w:val="2"/>
        <w:rPr>
          <w:rFonts w:ascii="仿宋" w:hAnsi="仿宋" w:eastAsia="仿宋" w:cs="仿宋"/>
          <w:color w:val="auto"/>
          <w:spacing w:val="-6"/>
          <w:sz w:val="24"/>
          <w:szCs w:val="24"/>
          <w:highlight w:val="none"/>
        </w:rPr>
      </w:pPr>
      <w:r>
        <w:rPr>
          <w:rFonts w:hint="eastAsia" w:ascii="仿宋" w:hAnsi="仿宋" w:eastAsia="仿宋" w:cs="仿宋"/>
          <w:b/>
          <w:bCs/>
          <w:color w:val="auto"/>
          <w:sz w:val="24"/>
          <w:szCs w:val="24"/>
          <w:highlight w:val="none"/>
        </w:rPr>
        <w:t>投标函</w:t>
      </w:r>
    </w:p>
    <w:p w14:paraId="0C22658C">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308C01BB">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lang w:eastAsia="zh-CN"/>
        </w:rPr>
        <w:t>浙江理工大学工业互联网工程技术人员培训、实训平台建设</w:t>
      </w:r>
      <w:r>
        <w:rPr>
          <w:rFonts w:hint="eastAsia" w:ascii="仿宋" w:hAnsi="仿宋" w:eastAsia="仿宋" w:cs="仿宋"/>
          <w:bCs/>
          <w:color w:val="auto"/>
          <w:spacing w:val="-6"/>
          <w:szCs w:val="21"/>
          <w:highlight w:val="none"/>
          <w:lang w:val="en-US" w:eastAsia="zh-CN"/>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QSZBH250028ZHGK]</w:t>
      </w:r>
      <w:r>
        <w:rPr>
          <w:rFonts w:hint="eastAsia" w:ascii="仿宋" w:hAnsi="仿宋" w:eastAsia="仿宋" w:cs="仿宋"/>
          <w:color w:val="auto"/>
          <w:spacing w:val="-6"/>
          <w:szCs w:val="21"/>
          <w:highlight w:val="none"/>
        </w:rPr>
        <w:t>，为此，我方提交电子加密投标文件一份、以介质（U盘）存储的数据电文形式的备份投标文件一份。宣布同意如下：</w:t>
      </w:r>
    </w:p>
    <w:p w14:paraId="3E7C89A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1.我方已详细审查全部“招标文件”，包括修改文件（如有）以及全部参考资料和有关附件，已经了解我方对于招标文件、招标过程、中标结果有依法进行询问、质疑、投诉的权利及相关渠道和要求。</w:t>
      </w:r>
    </w:p>
    <w:p w14:paraId="00889C49">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2.我方在投标之前已经与贵方进行了充分的沟通，完全理解并接受招标文件的各项规定和要求，对招标文件的合理性、合法性不再有异议。</w:t>
      </w:r>
    </w:p>
    <w:p w14:paraId="55A0E4D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3.投标有效期自提交投标文件的截止之日起</w:t>
      </w:r>
      <w:r>
        <w:rPr>
          <w:rFonts w:hint="eastAsia" w:ascii="仿宋" w:hAnsi="仿宋" w:eastAsia="仿宋" w:cs="仿宋"/>
          <w:b/>
          <w:color w:val="auto"/>
          <w:spacing w:val="-6"/>
          <w:szCs w:val="21"/>
          <w:highlight w:val="none"/>
          <w:u w:val="single"/>
        </w:rPr>
        <w:t xml:space="preserve"> 90 </w:t>
      </w:r>
      <w:r>
        <w:rPr>
          <w:rFonts w:hint="eastAsia" w:ascii="仿宋" w:hAnsi="仿宋" w:eastAsia="仿宋" w:cs="仿宋"/>
          <w:color w:val="auto"/>
          <w:spacing w:val="-6"/>
          <w:szCs w:val="21"/>
          <w:highlight w:val="none"/>
        </w:rPr>
        <w:t>天。</w:t>
      </w:r>
    </w:p>
    <w:p w14:paraId="1D89E955">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14:paraId="36F16671">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5.我方同意按照贵方要求提供与投标有关的一切数据或资料。</w:t>
      </w:r>
    </w:p>
    <w:p w14:paraId="23D5FE67">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6.与本投标有关的一切正式往来信函联系：</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14:paraId="54F8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C2E650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14:paraId="799667B3">
            <w:pPr>
              <w:jc w:val="center"/>
              <w:rPr>
                <w:rFonts w:ascii="仿宋" w:hAnsi="仿宋" w:eastAsia="仿宋" w:cs="仿宋"/>
                <w:color w:val="auto"/>
                <w:szCs w:val="21"/>
                <w:highlight w:val="none"/>
              </w:rPr>
            </w:pPr>
          </w:p>
        </w:tc>
      </w:tr>
      <w:tr w14:paraId="5D02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5F2D797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14:paraId="1EAF61AF">
            <w:pPr>
              <w:jc w:val="center"/>
              <w:rPr>
                <w:rFonts w:ascii="仿宋" w:hAnsi="仿宋" w:eastAsia="仿宋" w:cs="仿宋"/>
                <w:color w:val="auto"/>
                <w:szCs w:val="21"/>
                <w:highlight w:val="none"/>
              </w:rPr>
            </w:pPr>
          </w:p>
        </w:tc>
      </w:tr>
      <w:tr w14:paraId="1661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7865DF55">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14:paraId="4C41B97F">
            <w:pPr>
              <w:jc w:val="center"/>
              <w:rPr>
                <w:rFonts w:ascii="仿宋" w:hAnsi="仿宋" w:eastAsia="仿宋" w:cs="仿宋"/>
                <w:color w:val="auto"/>
                <w:szCs w:val="21"/>
                <w:highlight w:val="none"/>
              </w:rPr>
            </w:pPr>
          </w:p>
        </w:tc>
      </w:tr>
      <w:tr w14:paraId="7C05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691E99ED">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14:paraId="21C28249">
            <w:pPr>
              <w:jc w:val="center"/>
              <w:rPr>
                <w:rFonts w:ascii="仿宋" w:hAnsi="仿宋" w:eastAsia="仿宋" w:cs="仿宋"/>
                <w:color w:val="auto"/>
                <w:szCs w:val="21"/>
                <w:highlight w:val="none"/>
              </w:rPr>
            </w:pPr>
          </w:p>
        </w:tc>
      </w:tr>
      <w:tr w14:paraId="76FC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447158D0">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14:paraId="4C3F8CC2">
            <w:pPr>
              <w:jc w:val="center"/>
              <w:rPr>
                <w:rFonts w:ascii="仿宋" w:hAnsi="仿宋" w:eastAsia="仿宋" w:cs="仿宋"/>
                <w:color w:val="auto"/>
                <w:szCs w:val="21"/>
                <w:highlight w:val="none"/>
              </w:rPr>
            </w:pPr>
          </w:p>
        </w:tc>
      </w:tr>
      <w:tr w14:paraId="6057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0E3C481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14:paraId="5E783983">
            <w:pPr>
              <w:jc w:val="center"/>
              <w:rPr>
                <w:rFonts w:ascii="仿宋" w:hAnsi="仿宋" w:eastAsia="仿宋" w:cs="仿宋"/>
                <w:color w:val="auto"/>
                <w:szCs w:val="21"/>
                <w:highlight w:val="none"/>
              </w:rPr>
            </w:pPr>
          </w:p>
        </w:tc>
      </w:tr>
      <w:tr w14:paraId="7D2D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14:paraId="382B3EF9">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14:paraId="1D1EE9BF">
            <w:pPr>
              <w:jc w:val="center"/>
              <w:rPr>
                <w:rFonts w:ascii="仿宋" w:hAnsi="仿宋" w:eastAsia="仿宋" w:cs="仿宋"/>
                <w:color w:val="auto"/>
                <w:szCs w:val="21"/>
                <w:highlight w:val="none"/>
              </w:rPr>
            </w:pPr>
          </w:p>
        </w:tc>
      </w:tr>
    </w:tbl>
    <w:p w14:paraId="78BE5762">
      <w:pPr>
        <w:adjustRightInd w:val="0"/>
        <w:snapToGrid w:val="0"/>
        <w:spacing w:line="360" w:lineRule="auto"/>
        <w:rPr>
          <w:rFonts w:ascii="仿宋" w:hAnsi="仿宋" w:eastAsia="仿宋" w:cs="仿宋"/>
          <w:color w:val="auto"/>
          <w:spacing w:val="-6"/>
          <w:szCs w:val="21"/>
          <w:highlight w:val="none"/>
        </w:rPr>
      </w:pPr>
    </w:p>
    <w:p w14:paraId="69EFDC21">
      <w:pPr>
        <w:adjustRightInd w:val="0"/>
        <w:snapToGrid w:val="0"/>
        <w:spacing w:line="360" w:lineRule="auto"/>
        <w:rPr>
          <w:rFonts w:ascii="仿宋" w:hAnsi="仿宋" w:eastAsia="仿宋" w:cs="仿宋"/>
          <w:color w:val="auto"/>
          <w:spacing w:val="-6"/>
          <w:szCs w:val="21"/>
          <w:highlight w:val="none"/>
        </w:rPr>
      </w:pPr>
    </w:p>
    <w:p w14:paraId="3A4923D5">
      <w:pPr>
        <w:adjustRightInd w:val="0"/>
        <w:snapToGrid w:val="0"/>
        <w:spacing w:line="360" w:lineRule="auto"/>
        <w:rPr>
          <w:rFonts w:ascii="仿宋" w:hAnsi="仿宋" w:eastAsia="仿宋" w:cs="仿宋"/>
          <w:b/>
          <w:bCs/>
          <w:color w:val="auto"/>
          <w:spacing w:val="-6"/>
          <w:szCs w:val="21"/>
          <w:highlight w:val="none"/>
        </w:rPr>
      </w:pPr>
    </w:p>
    <w:p w14:paraId="0ECAF1DA">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0C58C30C">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7D9285F1">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0F74FF8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14:paraId="40E0AD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7DB19A2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3455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14:paraId="05485861">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14:paraId="1D7AF808">
            <w:pPr>
              <w:adjustRightInd w:val="0"/>
              <w:snapToGrid w:val="0"/>
              <w:spacing w:line="288" w:lineRule="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14:paraId="711AC6D7">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br w:type="page"/>
      </w:r>
    </w:p>
    <w:p w14:paraId="05B06C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授权委托书</w:t>
      </w:r>
    </w:p>
    <w:p w14:paraId="4BCC76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bCs/>
          <w:color w:val="auto"/>
          <w:spacing w:val="-6"/>
          <w:sz w:val="18"/>
          <w:szCs w:val="18"/>
          <w:highlight w:val="none"/>
          <w:lang w:eastAsia="zh-CN"/>
        </w:rPr>
      </w:pP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适用于投标人代表不是法定代表人（单位负责人、自然人本人）</w:t>
      </w:r>
      <w:r>
        <w:rPr>
          <w:rFonts w:hint="eastAsia" w:ascii="仿宋" w:hAnsi="仿宋" w:eastAsia="仿宋" w:cs="仿宋"/>
          <w:b/>
          <w:bCs/>
          <w:color w:val="auto"/>
          <w:spacing w:val="-6"/>
          <w:sz w:val="18"/>
          <w:szCs w:val="18"/>
          <w:highlight w:val="none"/>
        </w:rPr>
        <w:t>代表投标人参加投标</w:t>
      </w:r>
      <w:r>
        <w:rPr>
          <w:rFonts w:hint="eastAsia" w:ascii="仿宋" w:hAnsi="仿宋" w:eastAsia="仿宋" w:cs="仿宋"/>
          <w:b/>
          <w:bCs/>
          <w:color w:val="auto"/>
          <w:spacing w:val="-6"/>
          <w:sz w:val="18"/>
          <w:szCs w:val="18"/>
          <w:highlight w:val="none"/>
          <w:lang w:eastAsia="zh-CN"/>
        </w:rPr>
        <w:t>]</w:t>
      </w:r>
    </w:p>
    <w:p w14:paraId="57F4609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w:t>
      </w:r>
      <w:r>
        <w:rPr>
          <w:rFonts w:hint="eastAsia" w:ascii="仿宋" w:hAnsi="仿宋" w:eastAsia="仿宋" w:cs="仿宋"/>
          <w:b/>
          <w:color w:val="auto"/>
          <w:spacing w:val="-6"/>
          <w:szCs w:val="21"/>
          <w:highlight w:val="none"/>
          <w:lang w:eastAsia="zh-CN"/>
        </w:rPr>
        <w:t>浙江理工大学</w:t>
      </w:r>
      <w:r>
        <w:rPr>
          <w:rFonts w:hint="eastAsia" w:ascii="仿宋" w:hAnsi="仿宋" w:eastAsia="仿宋" w:cs="仿宋"/>
          <w:b/>
          <w:color w:val="auto"/>
          <w:spacing w:val="-6"/>
          <w:szCs w:val="21"/>
          <w:highlight w:val="none"/>
        </w:rPr>
        <w:t>、浙江求是招标代理有限公司</w:t>
      </w:r>
    </w:p>
    <w:p w14:paraId="4646A8DC">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lang w:eastAsia="zh-CN"/>
        </w:rPr>
        <w:t>浙江理工大学工业互联网工程技术人员培训、实训平台建设</w:t>
      </w:r>
      <w:r>
        <w:rPr>
          <w:rFonts w:hint="eastAsia" w:ascii="仿宋" w:hAnsi="仿宋" w:eastAsia="仿宋" w:cs="仿宋"/>
          <w:bCs/>
          <w:color w:val="auto"/>
          <w:spacing w:val="-6"/>
          <w:szCs w:val="21"/>
          <w:highlight w:val="none"/>
          <w:lang w:val="en-US" w:eastAsia="zh-CN"/>
        </w:rPr>
        <w:t>项目</w:t>
      </w:r>
      <w:r>
        <w:rPr>
          <w:rFonts w:hint="eastAsia" w:ascii="仿宋" w:hAnsi="仿宋" w:eastAsia="仿宋" w:cs="仿宋"/>
          <w:bCs/>
          <w:color w:val="auto"/>
          <w:spacing w:val="-6"/>
          <w:szCs w:val="21"/>
          <w:highlight w:val="none"/>
          <w:lang w:eastAsia="zh-CN"/>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QSZBH250028ZHGK]</w:t>
      </w:r>
      <w:r>
        <w:rPr>
          <w:rFonts w:hint="eastAsia" w:ascii="仿宋" w:hAnsi="仿宋" w:eastAsia="仿宋" w:cs="仿宋"/>
          <w:bCs/>
          <w:color w:val="auto"/>
          <w:spacing w:val="-6"/>
          <w:szCs w:val="21"/>
          <w:highlight w:val="none"/>
          <w:lang w:val="en-US" w:eastAsia="zh-CN"/>
        </w:rPr>
        <w:t>的</w:t>
      </w:r>
      <w:r>
        <w:rPr>
          <w:rFonts w:hint="eastAsia" w:ascii="仿宋" w:hAnsi="仿宋" w:eastAsia="仿宋" w:cs="仿宋"/>
          <w:color w:val="auto"/>
          <w:spacing w:val="-6"/>
          <w:szCs w:val="21"/>
          <w:highlight w:val="none"/>
        </w:rPr>
        <w:t>投标活动，并代表我方全权办理针对上述项目的投标、开标、评标、签约等具体事务和签署相关文件。</w:t>
      </w:r>
    </w:p>
    <w:p w14:paraId="27134B0D">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14:paraId="1AB8EB0E">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14:paraId="35779607">
      <w:pPr>
        <w:keepNext w:val="0"/>
        <w:keepLines w:val="0"/>
        <w:pageBreakBefore w:val="0"/>
        <w:widowControl w:val="0"/>
        <w:kinsoku/>
        <w:wordWrap/>
        <w:overflowPunct/>
        <w:topLinePunct w:val="0"/>
        <w:autoSpaceDE/>
        <w:autoSpaceDN/>
        <w:bidi w:val="0"/>
        <w:adjustRightInd w:val="0"/>
        <w:snapToGrid w:val="0"/>
        <w:spacing w:line="360" w:lineRule="auto"/>
        <w:ind w:firstLine="396" w:firstLineChars="200"/>
        <w:textAlignment w:val="auto"/>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被授权人无转委托权，特此告知。</w:t>
      </w:r>
    </w:p>
    <w:p w14:paraId="406879FA">
      <w:pPr>
        <w:adjustRightInd w:val="0"/>
        <w:snapToGrid w:val="0"/>
        <w:spacing w:line="360" w:lineRule="auto"/>
        <w:rPr>
          <w:rFonts w:ascii="仿宋" w:hAnsi="仿宋" w:eastAsia="仿宋" w:cs="仿宋"/>
          <w:color w:val="auto"/>
          <w:szCs w:val="21"/>
          <w:highlight w:val="none"/>
        </w:rPr>
      </w:pPr>
    </w:p>
    <w:p w14:paraId="1364594F">
      <w:pPr>
        <w:adjustRightInd w:val="0"/>
        <w:snapToGrid w:val="0"/>
        <w:spacing w:line="360" w:lineRule="auto"/>
        <w:rPr>
          <w:rFonts w:ascii="仿宋" w:hAnsi="仿宋" w:eastAsia="仿宋" w:cs="仿宋"/>
          <w:b/>
          <w:bCs/>
          <w:color w:val="auto"/>
          <w:spacing w:val="-6"/>
          <w:szCs w:val="21"/>
          <w:highlight w:val="none"/>
        </w:rPr>
      </w:pPr>
    </w:p>
    <w:p w14:paraId="2F4B8E0E">
      <w:pPr>
        <w:adjustRightInd w:val="0"/>
        <w:snapToGrid w:val="0"/>
        <w:spacing w:line="360" w:lineRule="auto"/>
        <w:rPr>
          <w:rFonts w:ascii="仿宋" w:hAnsi="仿宋" w:eastAsia="仿宋" w:cs="仿宋"/>
          <w:b/>
          <w:bCs/>
          <w:color w:val="auto"/>
          <w:spacing w:val="-6"/>
          <w:szCs w:val="21"/>
          <w:highlight w:val="none"/>
        </w:rPr>
      </w:pPr>
    </w:p>
    <w:p w14:paraId="2C47A7D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4D7A0DD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4390F7A8">
      <w:pPr>
        <w:ind w:left="0" w:leftChars="0" w:right="0" w:rightChars="0" w:firstLine="0" w:firstLineChars="0"/>
        <w:jc w:val="both"/>
        <w:rPr>
          <w:rFonts w:hint="eastAsia" w:ascii="仿宋" w:hAnsi="仿宋" w:eastAsia="仿宋" w:cs="仿宋"/>
          <w:b/>
          <w:bCs/>
          <w:color w:val="auto"/>
          <w:sz w:val="24"/>
          <w:szCs w:val="24"/>
          <w:highlight w:val="none"/>
        </w:rPr>
      </w:pPr>
    </w:p>
    <w:p w14:paraId="3C49D9D0">
      <w:pPr>
        <w:ind w:left="0" w:leftChars="0" w:right="0" w:rightChars="0" w:firstLine="0" w:firstLineChars="0"/>
        <w:jc w:val="both"/>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lang w:val="en-US" w:eastAsia="zh-CN"/>
        </w:rPr>
        <w:t>说明</w:t>
      </w:r>
      <w:r>
        <w:rPr>
          <w:rFonts w:hint="eastAsia" w:ascii="仿宋" w:hAnsi="仿宋" w:eastAsia="仿宋" w:cs="仿宋"/>
          <w:b/>
          <w:bCs/>
          <w:color w:val="auto"/>
          <w:sz w:val="18"/>
          <w:szCs w:val="18"/>
          <w:highlight w:val="none"/>
        </w:rPr>
        <w:t>：投标人是联合体的</w:t>
      </w:r>
      <w:r>
        <w:rPr>
          <w:rFonts w:hint="eastAsia" w:ascii="仿宋" w:hAnsi="仿宋" w:eastAsia="仿宋" w:cs="仿宋"/>
          <w:b/>
          <w:bCs/>
          <w:color w:val="auto"/>
          <w:sz w:val="18"/>
          <w:szCs w:val="18"/>
          <w:highlight w:val="none"/>
          <w:lang w:val="en-US" w:eastAsia="zh-CN"/>
        </w:rPr>
        <w:t>则</w:t>
      </w:r>
      <w:r>
        <w:rPr>
          <w:rFonts w:hint="eastAsia" w:ascii="仿宋" w:hAnsi="仿宋" w:eastAsia="仿宋" w:cs="仿宋"/>
          <w:b/>
          <w:bCs/>
          <w:color w:val="auto"/>
          <w:sz w:val="18"/>
          <w:szCs w:val="18"/>
          <w:highlight w:val="none"/>
        </w:rPr>
        <w:t>联合体各成员均应在“授权委托书”上盖章（电子签名/公章）</w:t>
      </w:r>
    </w:p>
    <w:p w14:paraId="1C887F3D">
      <w:pPr>
        <w:ind w:left="0" w:leftChars="0" w:right="0" w:rightChars="0" w:firstLine="0" w:firstLineChars="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7C9AD8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3"/>
        <w:rPr>
          <w:rFonts w:ascii="仿宋" w:hAnsi="仿宋" w:eastAsia="仿宋" w:cs="仿宋"/>
          <w:bCs/>
          <w:color w:val="auto"/>
          <w:spacing w:val="-6"/>
          <w:szCs w:val="21"/>
          <w:highlight w:val="none"/>
        </w:rPr>
      </w:pPr>
      <w:r>
        <w:rPr>
          <w:rFonts w:hint="eastAsia" w:ascii="仿宋" w:hAnsi="仿宋" w:eastAsia="仿宋" w:cs="仿宋"/>
          <w:b/>
          <w:bCs/>
          <w:color w:val="auto"/>
          <w:sz w:val="24"/>
          <w:szCs w:val="24"/>
          <w:highlight w:val="none"/>
          <w:lang w:eastAsia="zh-CN"/>
        </w:rPr>
        <w:t>2025年1月（含）至今任意一月</w:t>
      </w:r>
      <w:r>
        <w:rPr>
          <w:rFonts w:hint="eastAsia" w:ascii="仿宋" w:hAnsi="仿宋" w:eastAsia="仿宋" w:cs="仿宋"/>
          <w:b/>
          <w:bCs/>
          <w:color w:val="auto"/>
          <w:sz w:val="24"/>
          <w:szCs w:val="24"/>
          <w:highlight w:val="none"/>
        </w:rPr>
        <w:t>投标授权代表社保缴纳证明</w:t>
      </w:r>
    </w:p>
    <w:p w14:paraId="1FB5308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pacing w:val="-6"/>
          <w:szCs w:val="21"/>
          <w:highlight w:val="none"/>
        </w:rPr>
      </w:pPr>
    </w:p>
    <w:p w14:paraId="5A5BB80B">
      <w:pPr>
        <w:adjustRightInd w:val="0"/>
        <w:snapToGrid w:val="0"/>
        <w:spacing w:line="360" w:lineRule="auto"/>
        <w:jc w:val="both"/>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lang w:val="en-US" w:eastAsia="zh-CN"/>
        </w:rPr>
        <w:t>说明：投标人委派不在本单位缴纳社保的人员作为授权代表的，在投标文件中说明具体原因、授权代表缴纳社保单位并附列该授权代表缴纳社保清单。</w:t>
      </w:r>
    </w:p>
    <w:p w14:paraId="4D5E22FC">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77F99052">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采购需求偏离表</w:t>
      </w:r>
    </w:p>
    <w:p w14:paraId="4E48B929">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0E40A714">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工业互联网工程技术人员培训、实训平台建设</w:t>
      </w:r>
    </w:p>
    <w:p w14:paraId="771FD8F3">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QSZBH250028ZHGK</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25"/>
        <w:gridCol w:w="3118"/>
        <w:gridCol w:w="2946"/>
        <w:gridCol w:w="2958"/>
      </w:tblGrid>
      <w:tr w14:paraId="24A4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3FFEB7A0">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序号</w:t>
            </w:r>
          </w:p>
        </w:tc>
        <w:tc>
          <w:tcPr>
            <w:tcW w:w="1619" w:type="pct"/>
            <w:vAlign w:val="center"/>
          </w:tcPr>
          <w:p w14:paraId="1DF72906">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招标文件要求</w:t>
            </w:r>
          </w:p>
        </w:tc>
        <w:tc>
          <w:tcPr>
            <w:tcW w:w="1530" w:type="pct"/>
            <w:vAlign w:val="center"/>
          </w:tcPr>
          <w:p w14:paraId="09B805E3">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响应规格</w:t>
            </w:r>
          </w:p>
        </w:tc>
        <w:tc>
          <w:tcPr>
            <w:tcW w:w="1534" w:type="pct"/>
            <w:vAlign w:val="center"/>
          </w:tcPr>
          <w:p w14:paraId="666EE10C">
            <w:pPr>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是否偏离（提供说明）</w:t>
            </w:r>
          </w:p>
        </w:tc>
      </w:tr>
      <w:tr w14:paraId="2A25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24593537">
            <w:pPr>
              <w:rPr>
                <w:rFonts w:hint="eastAsia" w:ascii="仿宋" w:hAnsi="仿宋" w:eastAsia="仿宋" w:cs="仿宋"/>
                <w:color w:val="auto"/>
                <w:sz w:val="18"/>
                <w:szCs w:val="18"/>
                <w:highlight w:val="none"/>
                <w:lang w:val="en-US" w:eastAsia="zh-CN"/>
              </w:rPr>
            </w:pPr>
            <w:r>
              <w:rPr>
                <w:rFonts w:hint="eastAsia" w:ascii="仿宋" w:hAnsi="仿宋" w:eastAsia="仿宋" w:cs="仿宋"/>
                <w:b/>
                <w:bCs/>
                <w:color w:val="auto"/>
                <w:sz w:val="18"/>
                <w:szCs w:val="18"/>
                <w:highlight w:val="none"/>
              </w:rPr>
              <w:t>采购资金的支付方式、时间、条件（具体条款详见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 xml:space="preserve">第二章  </w:t>
            </w:r>
            <w:r>
              <w:rPr>
                <w:rFonts w:hint="eastAsia" w:ascii="仿宋" w:hAnsi="仿宋" w:eastAsia="仿宋" w:cs="仿宋"/>
                <w:b/>
                <w:bCs/>
                <w:color w:val="auto"/>
                <w:sz w:val="18"/>
                <w:szCs w:val="18"/>
                <w:highlight w:val="none"/>
              </w:rPr>
              <w:t>采购需求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3B28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3825D06F">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619" w:type="pct"/>
            <w:shd w:val="clear" w:color="auto" w:fill="auto"/>
            <w:vAlign w:val="center"/>
          </w:tcPr>
          <w:p w14:paraId="0042FEB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支付方式</w:t>
            </w:r>
          </w:p>
        </w:tc>
        <w:tc>
          <w:tcPr>
            <w:tcW w:w="1530" w:type="pct"/>
            <w:vAlign w:val="center"/>
          </w:tcPr>
          <w:p w14:paraId="3BD65C25">
            <w:pPr>
              <w:jc w:val="center"/>
              <w:rPr>
                <w:rFonts w:ascii="仿宋" w:hAnsi="仿宋" w:eastAsia="仿宋" w:cs="仿宋"/>
                <w:color w:val="auto"/>
                <w:sz w:val="18"/>
                <w:szCs w:val="18"/>
                <w:highlight w:val="none"/>
              </w:rPr>
            </w:pPr>
          </w:p>
        </w:tc>
        <w:tc>
          <w:tcPr>
            <w:tcW w:w="1534" w:type="pct"/>
            <w:vAlign w:val="center"/>
          </w:tcPr>
          <w:p w14:paraId="0EC5C55F">
            <w:pPr>
              <w:jc w:val="center"/>
              <w:rPr>
                <w:rFonts w:ascii="仿宋" w:hAnsi="仿宋" w:eastAsia="仿宋" w:cs="仿宋"/>
                <w:color w:val="auto"/>
                <w:sz w:val="18"/>
                <w:szCs w:val="18"/>
                <w:highlight w:val="none"/>
              </w:rPr>
            </w:pPr>
          </w:p>
        </w:tc>
      </w:tr>
      <w:tr w14:paraId="208A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774B93C3">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619" w:type="pct"/>
            <w:shd w:val="clear" w:color="auto" w:fill="auto"/>
            <w:vAlign w:val="center"/>
          </w:tcPr>
          <w:p w14:paraId="1E75DC33">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支付时间及条件</w:t>
            </w:r>
          </w:p>
        </w:tc>
        <w:tc>
          <w:tcPr>
            <w:tcW w:w="1530" w:type="pct"/>
            <w:vAlign w:val="center"/>
          </w:tcPr>
          <w:p w14:paraId="709A0A80">
            <w:pPr>
              <w:jc w:val="center"/>
              <w:rPr>
                <w:rFonts w:ascii="仿宋" w:hAnsi="仿宋" w:eastAsia="仿宋" w:cs="仿宋"/>
                <w:color w:val="auto"/>
                <w:sz w:val="18"/>
                <w:szCs w:val="18"/>
                <w:highlight w:val="none"/>
              </w:rPr>
            </w:pPr>
          </w:p>
        </w:tc>
        <w:tc>
          <w:tcPr>
            <w:tcW w:w="1534" w:type="pct"/>
            <w:vAlign w:val="center"/>
          </w:tcPr>
          <w:p w14:paraId="1602727D">
            <w:pPr>
              <w:jc w:val="center"/>
              <w:rPr>
                <w:rFonts w:ascii="仿宋" w:hAnsi="仿宋" w:eastAsia="仿宋" w:cs="仿宋"/>
                <w:color w:val="auto"/>
                <w:sz w:val="18"/>
                <w:szCs w:val="18"/>
                <w:highlight w:val="none"/>
              </w:rPr>
            </w:pPr>
          </w:p>
        </w:tc>
      </w:tr>
      <w:tr w14:paraId="43D4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7DCF6B9E">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1619" w:type="pct"/>
            <w:shd w:val="clear" w:color="auto" w:fill="auto"/>
            <w:vAlign w:val="center"/>
          </w:tcPr>
          <w:p w14:paraId="36586490">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履约保证金</w:t>
            </w:r>
          </w:p>
        </w:tc>
        <w:tc>
          <w:tcPr>
            <w:tcW w:w="1530" w:type="pct"/>
            <w:vAlign w:val="center"/>
          </w:tcPr>
          <w:p w14:paraId="643335D2">
            <w:pPr>
              <w:jc w:val="center"/>
              <w:rPr>
                <w:rFonts w:ascii="仿宋" w:hAnsi="仿宋" w:eastAsia="仿宋" w:cs="仿宋"/>
                <w:color w:val="auto"/>
                <w:sz w:val="18"/>
                <w:szCs w:val="18"/>
                <w:highlight w:val="none"/>
              </w:rPr>
            </w:pPr>
          </w:p>
        </w:tc>
        <w:tc>
          <w:tcPr>
            <w:tcW w:w="1534" w:type="pct"/>
            <w:vAlign w:val="center"/>
          </w:tcPr>
          <w:p w14:paraId="226B1313">
            <w:pPr>
              <w:jc w:val="center"/>
              <w:rPr>
                <w:rFonts w:ascii="仿宋" w:hAnsi="仿宋" w:eastAsia="仿宋" w:cs="仿宋"/>
                <w:color w:val="auto"/>
                <w:sz w:val="18"/>
                <w:szCs w:val="18"/>
                <w:highlight w:val="none"/>
              </w:rPr>
            </w:pPr>
          </w:p>
        </w:tc>
      </w:tr>
      <w:tr w14:paraId="157E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79D6296B">
            <w:pP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服务要求（具体条款详见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 xml:space="preserve">第二章  </w:t>
            </w:r>
            <w:r>
              <w:rPr>
                <w:rFonts w:hint="eastAsia" w:ascii="仿宋" w:hAnsi="仿宋" w:eastAsia="仿宋" w:cs="仿宋"/>
                <w:b/>
                <w:bCs/>
                <w:color w:val="auto"/>
                <w:sz w:val="18"/>
                <w:szCs w:val="18"/>
                <w:highlight w:val="none"/>
              </w:rPr>
              <w:t>采购需求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2256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29EB4016">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619" w:type="pct"/>
            <w:shd w:val="clear" w:color="auto" w:fill="auto"/>
            <w:vAlign w:val="center"/>
          </w:tcPr>
          <w:p w14:paraId="601ADC2A">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交付时间</w:t>
            </w:r>
          </w:p>
        </w:tc>
        <w:tc>
          <w:tcPr>
            <w:tcW w:w="1530" w:type="pct"/>
            <w:vAlign w:val="center"/>
          </w:tcPr>
          <w:p w14:paraId="111D0B3B">
            <w:pPr>
              <w:jc w:val="center"/>
              <w:rPr>
                <w:rFonts w:ascii="仿宋" w:hAnsi="仿宋" w:eastAsia="仿宋" w:cs="仿宋"/>
                <w:color w:val="auto"/>
                <w:sz w:val="18"/>
                <w:szCs w:val="18"/>
                <w:highlight w:val="none"/>
              </w:rPr>
            </w:pPr>
          </w:p>
        </w:tc>
        <w:tc>
          <w:tcPr>
            <w:tcW w:w="1534" w:type="pct"/>
            <w:vAlign w:val="center"/>
          </w:tcPr>
          <w:p w14:paraId="1A08F85F">
            <w:pPr>
              <w:jc w:val="center"/>
              <w:rPr>
                <w:rFonts w:ascii="仿宋" w:hAnsi="仿宋" w:eastAsia="仿宋" w:cs="仿宋"/>
                <w:color w:val="auto"/>
                <w:sz w:val="18"/>
                <w:szCs w:val="18"/>
                <w:highlight w:val="none"/>
              </w:rPr>
            </w:pPr>
          </w:p>
        </w:tc>
      </w:tr>
      <w:tr w14:paraId="0117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27B6A29C">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619" w:type="pct"/>
            <w:shd w:val="clear" w:color="auto" w:fill="auto"/>
            <w:vAlign w:val="center"/>
          </w:tcPr>
          <w:p w14:paraId="239B3032">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交付地点</w:t>
            </w:r>
          </w:p>
        </w:tc>
        <w:tc>
          <w:tcPr>
            <w:tcW w:w="1530" w:type="pct"/>
            <w:vAlign w:val="center"/>
          </w:tcPr>
          <w:p w14:paraId="553DF383">
            <w:pPr>
              <w:jc w:val="center"/>
              <w:rPr>
                <w:rFonts w:ascii="仿宋" w:hAnsi="仿宋" w:eastAsia="仿宋" w:cs="仿宋"/>
                <w:color w:val="auto"/>
                <w:sz w:val="18"/>
                <w:szCs w:val="18"/>
                <w:highlight w:val="none"/>
              </w:rPr>
            </w:pPr>
          </w:p>
        </w:tc>
        <w:tc>
          <w:tcPr>
            <w:tcW w:w="1534" w:type="pct"/>
            <w:vAlign w:val="center"/>
          </w:tcPr>
          <w:p w14:paraId="5C199025">
            <w:pPr>
              <w:jc w:val="center"/>
              <w:rPr>
                <w:rFonts w:ascii="仿宋" w:hAnsi="仿宋" w:eastAsia="仿宋" w:cs="仿宋"/>
                <w:color w:val="auto"/>
                <w:sz w:val="18"/>
                <w:szCs w:val="18"/>
                <w:highlight w:val="none"/>
              </w:rPr>
            </w:pPr>
          </w:p>
        </w:tc>
      </w:tr>
      <w:tr w14:paraId="5B7F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46B91BF1">
            <w:pPr>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1619" w:type="pct"/>
            <w:shd w:val="clear" w:color="auto" w:fill="auto"/>
            <w:vAlign w:val="center"/>
          </w:tcPr>
          <w:p w14:paraId="7058751E">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质保期</w:t>
            </w:r>
          </w:p>
        </w:tc>
        <w:tc>
          <w:tcPr>
            <w:tcW w:w="1530" w:type="pct"/>
            <w:vAlign w:val="center"/>
          </w:tcPr>
          <w:p w14:paraId="20E15113">
            <w:pPr>
              <w:jc w:val="center"/>
              <w:rPr>
                <w:rFonts w:ascii="仿宋" w:hAnsi="仿宋" w:eastAsia="仿宋" w:cs="仿宋"/>
                <w:color w:val="auto"/>
                <w:sz w:val="18"/>
                <w:szCs w:val="18"/>
                <w:highlight w:val="none"/>
              </w:rPr>
            </w:pPr>
          </w:p>
        </w:tc>
        <w:tc>
          <w:tcPr>
            <w:tcW w:w="1534" w:type="pct"/>
            <w:vAlign w:val="center"/>
          </w:tcPr>
          <w:p w14:paraId="017A51DA">
            <w:pPr>
              <w:jc w:val="center"/>
              <w:rPr>
                <w:rFonts w:ascii="仿宋" w:hAnsi="仿宋" w:eastAsia="仿宋" w:cs="仿宋"/>
                <w:color w:val="auto"/>
                <w:sz w:val="18"/>
                <w:szCs w:val="18"/>
                <w:highlight w:val="none"/>
              </w:rPr>
            </w:pPr>
          </w:p>
        </w:tc>
      </w:tr>
      <w:tr w14:paraId="3CC2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467276B7">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4</w:t>
            </w:r>
          </w:p>
        </w:tc>
        <w:tc>
          <w:tcPr>
            <w:tcW w:w="1619" w:type="pct"/>
            <w:shd w:val="clear" w:color="auto" w:fill="auto"/>
            <w:vAlign w:val="center"/>
          </w:tcPr>
          <w:p w14:paraId="4B7F565C">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服务标准、期限、效率</w:t>
            </w:r>
          </w:p>
        </w:tc>
        <w:tc>
          <w:tcPr>
            <w:tcW w:w="1530" w:type="pct"/>
            <w:vAlign w:val="center"/>
          </w:tcPr>
          <w:p w14:paraId="59B39DAD">
            <w:pPr>
              <w:jc w:val="center"/>
              <w:rPr>
                <w:rFonts w:ascii="仿宋" w:hAnsi="仿宋" w:eastAsia="仿宋" w:cs="仿宋"/>
                <w:color w:val="auto"/>
                <w:sz w:val="18"/>
                <w:szCs w:val="18"/>
                <w:highlight w:val="none"/>
              </w:rPr>
            </w:pPr>
          </w:p>
        </w:tc>
        <w:tc>
          <w:tcPr>
            <w:tcW w:w="1534" w:type="pct"/>
            <w:vAlign w:val="center"/>
          </w:tcPr>
          <w:p w14:paraId="0FEEBB9E">
            <w:pPr>
              <w:jc w:val="center"/>
              <w:rPr>
                <w:rFonts w:ascii="仿宋" w:hAnsi="仿宋" w:eastAsia="仿宋" w:cs="仿宋"/>
                <w:color w:val="auto"/>
                <w:sz w:val="18"/>
                <w:szCs w:val="18"/>
                <w:highlight w:val="none"/>
              </w:rPr>
            </w:pPr>
          </w:p>
        </w:tc>
      </w:tr>
      <w:tr w14:paraId="1C22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6906C846">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5</w:t>
            </w:r>
          </w:p>
        </w:tc>
        <w:tc>
          <w:tcPr>
            <w:tcW w:w="1619" w:type="pct"/>
            <w:shd w:val="clear" w:color="auto" w:fill="auto"/>
            <w:vAlign w:val="center"/>
          </w:tcPr>
          <w:p w14:paraId="76DD1D45">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其他技术、服务要求</w:t>
            </w:r>
          </w:p>
        </w:tc>
        <w:tc>
          <w:tcPr>
            <w:tcW w:w="1530" w:type="pct"/>
            <w:vAlign w:val="center"/>
          </w:tcPr>
          <w:p w14:paraId="21BA9446">
            <w:pPr>
              <w:jc w:val="center"/>
              <w:rPr>
                <w:rFonts w:ascii="仿宋" w:hAnsi="仿宋" w:eastAsia="仿宋" w:cs="仿宋"/>
                <w:color w:val="auto"/>
                <w:sz w:val="18"/>
                <w:szCs w:val="18"/>
                <w:highlight w:val="none"/>
              </w:rPr>
            </w:pPr>
          </w:p>
        </w:tc>
        <w:tc>
          <w:tcPr>
            <w:tcW w:w="1534" w:type="pct"/>
            <w:vAlign w:val="center"/>
          </w:tcPr>
          <w:p w14:paraId="186488A4">
            <w:pPr>
              <w:jc w:val="center"/>
              <w:rPr>
                <w:rFonts w:ascii="仿宋" w:hAnsi="仿宋" w:eastAsia="仿宋" w:cs="仿宋"/>
                <w:color w:val="auto"/>
                <w:sz w:val="18"/>
                <w:szCs w:val="18"/>
                <w:highlight w:val="none"/>
              </w:rPr>
            </w:pPr>
          </w:p>
        </w:tc>
      </w:tr>
      <w:tr w14:paraId="66C3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2A847A65">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6</w:t>
            </w:r>
          </w:p>
        </w:tc>
        <w:tc>
          <w:tcPr>
            <w:tcW w:w="1619" w:type="pct"/>
            <w:shd w:val="clear" w:color="auto" w:fill="auto"/>
            <w:vAlign w:val="center"/>
          </w:tcPr>
          <w:p w14:paraId="09C9C267">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bCs/>
                <w:color w:val="auto"/>
                <w:kern w:val="2"/>
                <w:sz w:val="18"/>
                <w:szCs w:val="18"/>
                <w:highlight w:val="none"/>
                <w:lang w:val="en-US" w:eastAsia="zh-CN" w:bidi="ar-SA"/>
              </w:rPr>
            </w:pPr>
            <w:r>
              <w:rPr>
                <w:rFonts w:hint="eastAsia" w:ascii="仿宋" w:hAnsi="仿宋" w:eastAsia="仿宋" w:cs="仿宋"/>
                <w:b/>
                <w:bCs/>
                <w:color w:val="auto"/>
                <w:sz w:val="18"/>
                <w:szCs w:val="18"/>
                <w:highlight w:val="none"/>
              </w:rPr>
              <w:t>验收标准</w:t>
            </w:r>
          </w:p>
        </w:tc>
        <w:tc>
          <w:tcPr>
            <w:tcW w:w="1530" w:type="pct"/>
            <w:vAlign w:val="center"/>
          </w:tcPr>
          <w:p w14:paraId="03F2A48C">
            <w:pPr>
              <w:jc w:val="center"/>
              <w:rPr>
                <w:rFonts w:ascii="仿宋" w:hAnsi="仿宋" w:eastAsia="仿宋" w:cs="仿宋"/>
                <w:color w:val="auto"/>
                <w:sz w:val="18"/>
                <w:szCs w:val="18"/>
                <w:highlight w:val="none"/>
              </w:rPr>
            </w:pPr>
          </w:p>
        </w:tc>
        <w:tc>
          <w:tcPr>
            <w:tcW w:w="1534" w:type="pct"/>
            <w:vAlign w:val="center"/>
          </w:tcPr>
          <w:p w14:paraId="3FE2C9B2">
            <w:pPr>
              <w:jc w:val="center"/>
              <w:rPr>
                <w:rFonts w:ascii="仿宋" w:hAnsi="仿宋" w:eastAsia="仿宋" w:cs="仿宋"/>
                <w:color w:val="auto"/>
                <w:sz w:val="18"/>
                <w:szCs w:val="18"/>
                <w:highlight w:val="none"/>
              </w:rPr>
            </w:pPr>
          </w:p>
        </w:tc>
      </w:tr>
      <w:tr w14:paraId="1F3C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376BC057">
            <w:pP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技术要求（具体条款详见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 xml:space="preserve">第二章  </w:t>
            </w:r>
            <w:r>
              <w:rPr>
                <w:rFonts w:hint="eastAsia" w:ascii="仿宋" w:hAnsi="仿宋" w:eastAsia="仿宋" w:cs="仿宋"/>
                <w:b/>
                <w:bCs/>
                <w:color w:val="auto"/>
                <w:sz w:val="18"/>
                <w:szCs w:val="18"/>
                <w:highlight w:val="none"/>
              </w:rPr>
              <w:t>采购需求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4A40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620DA1F0">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619" w:type="pct"/>
            <w:vAlign w:val="center"/>
          </w:tcPr>
          <w:p w14:paraId="54764239">
            <w:pPr>
              <w:jc w:val="both"/>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需执行的国家相关标准、行业标准、地方标准或者其他标准、规范</w:t>
            </w:r>
          </w:p>
        </w:tc>
        <w:tc>
          <w:tcPr>
            <w:tcW w:w="1530" w:type="pct"/>
            <w:vAlign w:val="center"/>
          </w:tcPr>
          <w:p w14:paraId="516F4511">
            <w:pPr>
              <w:jc w:val="center"/>
              <w:rPr>
                <w:rFonts w:ascii="仿宋" w:hAnsi="仿宋" w:eastAsia="仿宋" w:cs="仿宋"/>
                <w:color w:val="auto"/>
                <w:sz w:val="18"/>
                <w:szCs w:val="18"/>
                <w:highlight w:val="none"/>
              </w:rPr>
            </w:pPr>
          </w:p>
        </w:tc>
        <w:tc>
          <w:tcPr>
            <w:tcW w:w="1534" w:type="pct"/>
            <w:vAlign w:val="center"/>
          </w:tcPr>
          <w:p w14:paraId="3E605E20">
            <w:pPr>
              <w:jc w:val="center"/>
              <w:rPr>
                <w:rFonts w:ascii="仿宋" w:hAnsi="仿宋" w:eastAsia="仿宋" w:cs="仿宋"/>
                <w:color w:val="auto"/>
                <w:sz w:val="18"/>
                <w:szCs w:val="18"/>
                <w:highlight w:val="none"/>
              </w:rPr>
            </w:pPr>
          </w:p>
        </w:tc>
      </w:tr>
      <w:tr w14:paraId="7CFF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024DDD30">
            <w:pPr>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619" w:type="pct"/>
            <w:vAlign w:val="center"/>
          </w:tcPr>
          <w:p w14:paraId="22258599">
            <w:pPr>
              <w:jc w:val="cente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需实现的功能或者目标</w:t>
            </w:r>
          </w:p>
        </w:tc>
        <w:tc>
          <w:tcPr>
            <w:tcW w:w="1530" w:type="pct"/>
            <w:vAlign w:val="center"/>
          </w:tcPr>
          <w:p w14:paraId="1EE51191">
            <w:pPr>
              <w:jc w:val="center"/>
              <w:rPr>
                <w:rFonts w:ascii="仿宋" w:hAnsi="仿宋" w:eastAsia="仿宋" w:cs="仿宋"/>
                <w:color w:val="auto"/>
                <w:sz w:val="18"/>
                <w:szCs w:val="18"/>
                <w:highlight w:val="none"/>
              </w:rPr>
            </w:pPr>
          </w:p>
        </w:tc>
        <w:tc>
          <w:tcPr>
            <w:tcW w:w="1534" w:type="pct"/>
            <w:vAlign w:val="center"/>
          </w:tcPr>
          <w:p w14:paraId="1B62FD74">
            <w:pPr>
              <w:jc w:val="center"/>
              <w:rPr>
                <w:rFonts w:ascii="仿宋" w:hAnsi="仿宋" w:eastAsia="仿宋" w:cs="仿宋"/>
                <w:color w:val="auto"/>
                <w:sz w:val="18"/>
                <w:szCs w:val="18"/>
                <w:highlight w:val="none"/>
              </w:rPr>
            </w:pPr>
          </w:p>
        </w:tc>
      </w:tr>
      <w:tr w14:paraId="0832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5" w:type="pct"/>
            <w:gridSpan w:val="2"/>
            <w:vAlign w:val="center"/>
          </w:tcPr>
          <w:p w14:paraId="508131E7">
            <w:pPr>
              <w:jc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3</w:t>
            </w:r>
          </w:p>
        </w:tc>
        <w:tc>
          <w:tcPr>
            <w:tcW w:w="1619" w:type="pct"/>
            <w:vAlign w:val="center"/>
          </w:tcPr>
          <w:p w14:paraId="67565E8E">
            <w:pPr>
              <w:jc w:val="both"/>
              <w:rPr>
                <w:rFonts w:ascii="仿宋" w:hAnsi="仿宋" w:eastAsia="仿宋" w:cs="仿宋"/>
                <w:color w:val="auto"/>
                <w:sz w:val="18"/>
                <w:szCs w:val="18"/>
                <w:highlight w:val="none"/>
              </w:rPr>
            </w:pPr>
            <w:r>
              <w:rPr>
                <w:rFonts w:hint="eastAsia" w:ascii="仿宋" w:hAnsi="仿宋" w:eastAsia="仿宋" w:cs="仿宋"/>
                <w:b/>
                <w:bCs/>
                <w:color w:val="auto"/>
                <w:spacing w:val="-4"/>
                <w:sz w:val="18"/>
                <w:szCs w:val="18"/>
                <w:highlight w:val="none"/>
              </w:rPr>
              <w:t>需满足的质量、安全、技术规格、物理特性等要求</w:t>
            </w:r>
          </w:p>
        </w:tc>
        <w:tc>
          <w:tcPr>
            <w:tcW w:w="1530" w:type="pct"/>
            <w:vAlign w:val="center"/>
          </w:tcPr>
          <w:p w14:paraId="012A5BC9">
            <w:pPr>
              <w:jc w:val="center"/>
              <w:rPr>
                <w:rFonts w:ascii="仿宋" w:hAnsi="仿宋" w:eastAsia="仿宋" w:cs="仿宋"/>
                <w:color w:val="auto"/>
                <w:sz w:val="18"/>
                <w:szCs w:val="18"/>
                <w:highlight w:val="none"/>
              </w:rPr>
            </w:pPr>
          </w:p>
        </w:tc>
        <w:tc>
          <w:tcPr>
            <w:tcW w:w="1534" w:type="pct"/>
            <w:vAlign w:val="center"/>
          </w:tcPr>
          <w:p w14:paraId="126F9A10">
            <w:pPr>
              <w:jc w:val="center"/>
              <w:rPr>
                <w:rFonts w:ascii="仿宋" w:hAnsi="仿宋" w:eastAsia="仿宋" w:cs="仿宋"/>
                <w:color w:val="auto"/>
                <w:sz w:val="18"/>
                <w:szCs w:val="18"/>
                <w:highlight w:val="none"/>
              </w:rPr>
            </w:pPr>
          </w:p>
        </w:tc>
      </w:tr>
      <w:tr w14:paraId="47EF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14:paraId="62301F50">
            <w:pPr>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合同条款（具体条款详见</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第五章</w:t>
            </w:r>
            <w:r>
              <w:rPr>
                <w:rFonts w:hint="eastAsia" w:ascii="仿宋" w:hAnsi="仿宋" w:eastAsia="仿宋" w:cs="仿宋"/>
                <w:b/>
                <w:bCs/>
                <w:color w:val="auto"/>
                <w:sz w:val="18"/>
                <w:szCs w:val="18"/>
                <w:highlight w:val="none"/>
                <w:lang w:val="en-US" w:eastAsia="zh-CN"/>
              </w:rPr>
              <w:t xml:space="preserve">  </w:t>
            </w:r>
            <w:r>
              <w:rPr>
                <w:rFonts w:hint="eastAsia" w:ascii="仿宋" w:hAnsi="仿宋" w:eastAsia="仿宋" w:cs="仿宋"/>
                <w:b/>
                <w:bCs/>
                <w:color w:val="auto"/>
                <w:sz w:val="18"/>
                <w:szCs w:val="18"/>
                <w:highlight w:val="none"/>
              </w:rPr>
              <w:t>拟签订的合同文本</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中相关内容</w:t>
            </w:r>
            <w:r>
              <w:rPr>
                <w:rFonts w:hint="eastAsia" w:ascii="仿宋" w:hAnsi="仿宋" w:eastAsia="仿宋" w:cs="仿宋"/>
                <w:b/>
                <w:bCs/>
                <w:color w:val="auto"/>
                <w:sz w:val="18"/>
                <w:szCs w:val="18"/>
                <w:highlight w:val="none"/>
              </w:rPr>
              <w:t>）</w:t>
            </w:r>
          </w:p>
        </w:tc>
      </w:tr>
      <w:tr w14:paraId="632A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2" w:type="pct"/>
            <w:vAlign w:val="center"/>
          </w:tcPr>
          <w:p w14:paraId="01479A7C">
            <w:pPr>
              <w:jc w:val="center"/>
              <w:rPr>
                <w:rFonts w:hint="default" w:ascii="仿宋" w:hAnsi="仿宋" w:eastAsia="仿宋" w:cs="仿宋"/>
                <w:b w:val="0"/>
                <w:bCs w:val="0"/>
                <w:color w:val="auto"/>
                <w:sz w:val="18"/>
                <w:szCs w:val="18"/>
                <w:highlight w:val="none"/>
                <w:lang w:val="en-US" w:eastAsia="zh-CN"/>
              </w:rPr>
            </w:pPr>
            <w:r>
              <w:rPr>
                <w:rFonts w:hint="eastAsia" w:ascii="仿宋" w:hAnsi="仿宋" w:eastAsia="仿宋" w:cs="仿宋"/>
                <w:b w:val="0"/>
                <w:bCs w:val="0"/>
                <w:color w:val="auto"/>
                <w:sz w:val="18"/>
                <w:szCs w:val="18"/>
                <w:highlight w:val="none"/>
                <w:lang w:val="en-US" w:eastAsia="zh-CN"/>
              </w:rPr>
              <w:t>1</w:t>
            </w:r>
          </w:p>
        </w:tc>
        <w:tc>
          <w:tcPr>
            <w:tcW w:w="1632" w:type="pct"/>
            <w:gridSpan w:val="2"/>
            <w:vAlign w:val="center"/>
          </w:tcPr>
          <w:p w14:paraId="3F97E1A5">
            <w:pPr>
              <w:jc w:val="center"/>
              <w:rPr>
                <w:rFonts w:hint="eastAsia" w:ascii="仿宋" w:hAnsi="仿宋" w:eastAsia="仿宋" w:cs="仿宋"/>
                <w:b/>
                <w:bCs/>
                <w:color w:val="auto"/>
                <w:sz w:val="18"/>
                <w:szCs w:val="18"/>
                <w:highlight w:val="none"/>
                <w:lang w:eastAsia="zh-CN"/>
              </w:rPr>
            </w:pPr>
            <w:r>
              <w:rPr>
                <w:rFonts w:hint="eastAsia" w:ascii="仿宋" w:hAnsi="仿宋" w:eastAsia="仿宋" w:cs="仿宋"/>
                <w:b/>
                <w:bCs/>
                <w:color w:val="auto"/>
                <w:sz w:val="18"/>
                <w:szCs w:val="18"/>
                <w:highlight w:val="none"/>
              </w:rPr>
              <w:t>拟签订的合同文本</w:t>
            </w:r>
            <w:r>
              <w:rPr>
                <w:rFonts w:hint="eastAsia" w:ascii="仿宋" w:hAnsi="仿宋" w:eastAsia="仿宋" w:cs="仿宋"/>
                <w:b/>
                <w:bCs/>
                <w:color w:val="auto"/>
                <w:sz w:val="18"/>
                <w:szCs w:val="18"/>
                <w:highlight w:val="none"/>
                <w:lang w:val="en-US" w:eastAsia="zh-CN"/>
              </w:rPr>
              <w:t>中所有内容</w:t>
            </w:r>
          </w:p>
        </w:tc>
        <w:tc>
          <w:tcPr>
            <w:tcW w:w="1530" w:type="pct"/>
            <w:vAlign w:val="center"/>
          </w:tcPr>
          <w:p w14:paraId="5AF5B017">
            <w:pPr>
              <w:jc w:val="center"/>
              <w:rPr>
                <w:rFonts w:ascii="仿宋" w:hAnsi="仿宋" w:eastAsia="仿宋" w:cs="仿宋"/>
                <w:color w:val="auto"/>
                <w:sz w:val="18"/>
                <w:szCs w:val="18"/>
                <w:highlight w:val="none"/>
              </w:rPr>
            </w:pPr>
          </w:p>
        </w:tc>
        <w:tc>
          <w:tcPr>
            <w:tcW w:w="1534" w:type="pct"/>
            <w:vAlign w:val="center"/>
          </w:tcPr>
          <w:p w14:paraId="0CACA41E">
            <w:pPr>
              <w:jc w:val="center"/>
              <w:rPr>
                <w:rFonts w:ascii="仿宋" w:hAnsi="仿宋" w:eastAsia="仿宋" w:cs="仿宋"/>
                <w:color w:val="auto"/>
                <w:sz w:val="18"/>
                <w:szCs w:val="18"/>
                <w:highlight w:val="none"/>
              </w:rPr>
            </w:pPr>
          </w:p>
        </w:tc>
      </w:tr>
    </w:tbl>
    <w:p w14:paraId="3A0E87C3">
      <w:pPr>
        <w:adjustRightInd w:val="0"/>
        <w:snapToGrid w:val="0"/>
        <w:spacing w:line="360" w:lineRule="auto"/>
        <w:rPr>
          <w:rFonts w:ascii="仿宋" w:hAnsi="仿宋" w:eastAsia="仿宋" w:cs="仿宋"/>
          <w:color w:val="auto"/>
          <w:szCs w:val="21"/>
          <w:highlight w:val="none"/>
        </w:rPr>
      </w:pPr>
    </w:p>
    <w:p w14:paraId="1F63B93A">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14:paraId="3814265E">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1.逐项按照招标文件要求填写响应规格；</w:t>
      </w:r>
    </w:p>
    <w:p w14:paraId="6D22C760">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2.偏离说明是指对招标文件要求存在不同之处的解释说明，偏离系指</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正偏离（高于采购需求）、负偏离（低于采购需求）、无偏离（满足采购需求）；</w:t>
      </w:r>
    </w:p>
    <w:p w14:paraId="608D8962">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3.如不填写或未如实填写，自行承担投标风险。</w:t>
      </w:r>
    </w:p>
    <w:p w14:paraId="0837745A">
      <w:pPr>
        <w:adjustRightInd w:val="0"/>
        <w:snapToGrid w:val="0"/>
        <w:spacing w:line="360" w:lineRule="auto"/>
        <w:rPr>
          <w:rFonts w:ascii="仿宋" w:hAnsi="仿宋" w:eastAsia="仿宋" w:cs="仿宋"/>
          <w:color w:val="auto"/>
          <w:szCs w:val="21"/>
          <w:highlight w:val="none"/>
        </w:rPr>
      </w:pPr>
    </w:p>
    <w:p w14:paraId="7CD856CC">
      <w:pPr>
        <w:adjustRightInd w:val="0"/>
        <w:snapToGrid w:val="0"/>
        <w:spacing w:line="360" w:lineRule="auto"/>
        <w:rPr>
          <w:rFonts w:ascii="仿宋" w:hAnsi="仿宋" w:eastAsia="仿宋" w:cs="仿宋"/>
          <w:color w:val="auto"/>
          <w:szCs w:val="21"/>
          <w:highlight w:val="none"/>
        </w:rPr>
      </w:pPr>
    </w:p>
    <w:p w14:paraId="63B3C051">
      <w:pPr>
        <w:adjustRightInd w:val="0"/>
        <w:snapToGrid w:val="0"/>
        <w:spacing w:line="360" w:lineRule="auto"/>
        <w:rPr>
          <w:rFonts w:ascii="仿宋" w:hAnsi="仿宋" w:eastAsia="仿宋" w:cs="仿宋"/>
          <w:color w:val="auto"/>
          <w:szCs w:val="21"/>
          <w:highlight w:val="none"/>
        </w:rPr>
      </w:pPr>
    </w:p>
    <w:p w14:paraId="5AF47703">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33CFB9DD">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6B8A2629">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74D294CA">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投标人需提供的其他</w:t>
      </w:r>
      <w:r>
        <w:rPr>
          <w:rFonts w:hint="eastAsia" w:ascii="仿宋" w:hAnsi="仿宋" w:eastAsia="仿宋" w:cs="仿宋"/>
          <w:b/>
          <w:bCs/>
          <w:color w:val="auto"/>
          <w:sz w:val="24"/>
          <w:szCs w:val="24"/>
          <w:highlight w:val="none"/>
          <w:lang w:val="en-US" w:eastAsia="zh-CN"/>
        </w:rPr>
        <w:t>证明</w:t>
      </w:r>
      <w:r>
        <w:rPr>
          <w:rFonts w:hint="eastAsia" w:ascii="仿宋" w:hAnsi="仿宋" w:eastAsia="仿宋" w:cs="仿宋"/>
          <w:b/>
          <w:bCs/>
          <w:color w:val="auto"/>
          <w:sz w:val="24"/>
          <w:szCs w:val="24"/>
          <w:highlight w:val="none"/>
          <w:lang w:eastAsia="zh-CN"/>
        </w:rPr>
        <w:t>材料</w:t>
      </w:r>
    </w:p>
    <w:p w14:paraId="5961801E">
      <w:pPr>
        <w:spacing w:line="360" w:lineRule="auto"/>
        <w:rPr>
          <w:rFonts w:hint="eastAsia" w:ascii="仿宋" w:hAnsi="仿宋" w:eastAsia="仿宋" w:cs="仿宋"/>
          <w:b/>
          <w:bCs/>
          <w:color w:val="auto"/>
          <w:spacing w:val="-6"/>
          <w:sz w:val="21"/>
          <w:szCs w:val="21"/>
          <w:highlight w:val="none"/>
          <w:lang w:eastAsia="zh-CN"/>
        </w:rPr>
      </w:pPr>
      <w:r>
        <w:rPr>
          <w:rFonts w:hint="eastAsia" w:ascii="仿宋" w:hAnsi="仿宋" w:eastAsia="仿宋" w:cs="仿宋"/>
          <w:b/>
          <w:color w:val="auto"/>
          <w:spacing w:val="-6"/>
          <w:sz w:val="18"/>
          <w:szCs w:val="18"/>
          <w:highlight w:val="none"/>
        </w:rPr>
        <w:t>说明：</w:t>
      </w:r>
      <w:r>
        <w:rPr>
          <w:rFonts w:hint="eastAsia" w:ascii="仿宋" w:hAnsi="仿宋" w:eastAsia="仿宋" w:cs="仿宋"/>
          <w:b/>
          <w:color w:val="auto"/>
          <w:spacing w:val="-6"/>
          <w:sz w:val="18"/>
          <w:szCs w:val="18"/>
          <w:highlight w:val="none"/>
          <w:lang w:eastAsia="zh-CN"/>
        </w:rPr>
        <w:t>“本项目实训平台为数字技术工程师培育项目-工业互联网工程技术人员培训及考核使用专用设备，中标人需配合采购人完成工业互联网工程技术人员考点申报、基础建设及培训服务等相关工作，由此产生的费用由中标人自行承担。”</w:t>
      </w:r>
      <w:r>
        <w:rPr>
          <w:rFonts w:hint="eastAsia" w:ascii="仿宋" w:hAnsi="仿宋" w:eastAsia="仿宋" w:cs="仿宋"/>
          <w:b/>
          <w:color w:val="auto"/>
          <w:spacing w:val="-6"/>
          <w:sz w:val="18"/>
          <w:szCs w:val="18"/>
          <w:highlight w:val="none"/>
          <w:lang w:val="en-US" w:eastAsia="zh-CN"/>
        </w:rPr>
        <w:t>的</w:t>
      </w:r>
      <w:r>
        <w:rPr>
          <w:rFonts w:hint="eastAsia" w:ascii="仿宋" w:hAnsi="仿宋" w:eastAsia="仿宋" w:cs="仿宋"/>
          <w:b/>
          <w:color w:val="auto"/>
          <w:spacing w:val="-6"/>
          <w:sz w:val="18"/>
          <w:szCs w:val="18"/>
          <w:highlight w:val="none"/>
        </w:rPr>
        <w:t>承诺函</w:t>
      </w:r>
      <w:r>
        <w:rPr>
          <w:rFonts w:hint="eastAsia" w:ascii="仿宋" w:hAnsi="仿宋" w:eastAsia="仿宋" w:cs="仿宋"/>
          <w:b/>
          <w:color w:val="auto"/>
          <w:spacing w:val="-6"/>
          <w:sz w:val="18"/>
          <w:szCs w:val="18"/>
          <w:highlight w:val="none"/>
          <w:lang w:eastAsia="zh-CN"/>
        </w:rPr>
        <w:t>（</w:t>
      </w:r>
      <w:r>
        <w:rPr>
          <w:rFonts w:hint="eastAsia" w:ascii="仿宋" w:hAnsi="仿宋" w:eastAsia="仿宋" w:cs="仿宋"/>
          <w:b/>
          <w:color w:val="auto"/>
          <w:spacing w:val="-6"/>
          <w:sz w:val="18"/>
          <w:szCs w:val="18"/>
          <w:highlight w:val="none"/>
          <w:lang w:val="en-US" w:eastAsia="zh-CN"/>
        </w:rPr>
        <w:t>格式自拟</w:t>
      </w:r>
      <w:r>
        <w:rPr>
          <w:rFonts w:hint="eastAsia" w:ascii="仿宋" w:hAnsi="仿宋" w:eastAsia="仿宋" w:cs="仿宋"/>
          <w:b/>
          <w:color w:val="auto"/>
          <w:spacing w:val="-6"/>
          <w:sz w:val="18"/>
          <w:szCs w:val="18"/>
          <w:highlight w:val="none"/>
          <w:lang w:eastAsia="zh-CN"/>
        </w:rPr>
        <w:t>）</w:t>
      </w:r>
    </w:p>
    <w:p w14:paraId="7EC5E35D">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3B729E22">
      <w:pPr>
        <w:adjustRightInd w:val="0"/>
        <w:snapToGrid w:val="0"/>
        <w:spacing w:line="360" w:lineRule="auto"/>
        <w:jc w:val="center"/>
        <w:outlineLvl w:val="2"/>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投标人同类合同实施情况一览表</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05D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38C3FD0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3BA4812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14:paraId="6B641C7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4F3A0F3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53B9968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6BECEAF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1FC301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6407F73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5FC2D8A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65B22E8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726EC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8235789">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313D14">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6143BD5">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92DCB32">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7182D54">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61F091A">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F4B18F1">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E8F93C5">
            <w:pPr>
              <w:jc w:val="center"/>
              <w:rPr>
                <w:rFonts w:ascii="仿宋" w:hAnsi="仿宋" w:eastAsia="仿宋" w:cs="仿宋"/>
                <w:b/>
                <w:bCs/>
                <w:color w:val="auto"/>
                <w:szCs w:val="21"/>
                <w:highlight w:val="none"/>
              </w:rPr>
            </w:pPr>
          </w:p>
        </w:tc>
      </w:tr>
      <w:tr w14:paraId="15E8E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8345025">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463CE3E">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737043">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F3546CD">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278AF17">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5478F6D">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17A4944">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225338C">
            <w:pPr>
              <w:jc w:val="center"/>
              <w:rPr>
                <w:rFonts w:ascii="仿宋" w:hAnsi="仿宋" w:eastAsia="仿宋" w:cs="仿宋"/>
                <w:b/>
                <w:bCs/>
                <w:color w:val="auto"/>
                <w:szCs w:val="21"/>
                <w:highlight w:val="none"/>
              </w:rPr>
            </w:pPr>
          </w:p>
        </w:tc>
      </w:tr>
      <w:tr w14:paraId="231B1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2B8D6BF3">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4B6411E">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5543DF1">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23FA417C">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B72C66F">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BC8CE6C">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F25DDA5">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C512AAE">
            <w:pPr>
              <w:jc w:val="center"/>
              <w:rPr>
                <w:rFonts w:ascii="仿宋" w:hAnsi="仿宋" w:eastAsia="仿宋" w:cs="仿宋"/>
                <w:b/>
                <w:bCs/>
                <w:color w:val="auto"/>
                <w:szCs w:val="21"/>
                <w:highlight w:val="none"/>
              </w:rPr>
            </w:pPr>
          </w:p>
        </w:tc>
      </w:tr>
      <w:tr w14:paraId="6EF0E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0C6E2448">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03601AED">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ACF44DA">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8AF675C">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9113F5C">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380E9290">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008FE4F">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04921F9D">
            <w:pPr>
              <w:jc w:val="center"/>
              <w:rPr>
                <w:rFonts w:ascii="仿宋" w:hAnsi="仿宋" w:eastAsia="仿宋" w:cs="仿宋"/>
                <w:b/>
                <w:bCs/>
                <w:color w:val="auto"/>
                <w:szCs w:val="21"/>
                <w:highlight w:val="none"/>
              </w:rPr>
            </w:pPr>
          </w:p>
        </w:tc>
      </w:tr>
      <w:tr w14:paraId="48E68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14:paraId="7752E8EB">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782FE6B">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217113F">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45CB894">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1E3C89D8">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006D8BF">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B42CFB9">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167984C9">
            <w:pPr>
              <w:jc w:val="center"/>
              <w:rPr>
                <w:rFonts w:ascii="仿宋" w:hAnsi="仿宋" w:eastAsia="仿宋" w:cs="仿宋"/>
                <w:b/>
                <w:bCs/>
                <w:color w:val="auto"/>
                <w:szCs w:val="21"/>
                <w:highlight w:val="none"/>
              </w:rPr>
            </w:pPr>
          </w:p>
        </w:tc>
      </w:tr>
    </w:tbl>
    <w:p w14:paraId="5F882742">
      <w:pPr>
        <w:pStyle w:val="21"/>
        <w:spacing w:line="360" w:lineRule="auto"/>
        <w:ind w:left="420" w:hanging="420"/>
        <w:rPr>
          <w:rFonts w:ascii="仿宋" w:hAnsi="仿宋" w:eastAsia="仿宋" w:cs="仿宋"/>
          <w:color w:val="auto"/>
          <w:sz w:val="21"/>
          <w:szCs w:val="21"/>
          <w:highlight w:val="none"/>
        </w:rPr>
      </w:pPr>
    </w:p>
    <w:p w14:paraId="2934C2C8">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14:paraId="15AFC5FC">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1.投标人须提供上述业绩合同及对应验收报告</w:t>
      </w:r>
      <w:r>
        <w:rPr>
          <w:rFonts w:hint="eastAsia" w:ascii="仿宋" w:hAnsi="仿宋" w:eastAsia="仿宋" w:cs="仿宋"/>
          <w:b/>
          <w:color w:val="auto"/>
          <w:spacing w:val="-6"/>
          <w:sz w:val="18"/>
          <w:szCs w:val="18"/>
          <w:highlight w:val="none"/>
          <w:lang w:val="en-US" w:eastAsia="zh-CN"/>
        </w:rPr>
        <w:t>或</w:t>
      </w:r>
      <w:r>
        <w:rPr>
          <w:rFonts w:hint="eastAsia" w:ascii="仿宋" w:hAnsi="仿宋" w:eastAsia="仿宋" w:cs="仿宋"/>
          <w:b/>
          <w:color w:val="auto"/>
          <w:spacing w:val="-6"/>
          <w:sz w:val="18"/>
          <w:szCs w:val="18"/>
          <w:highlight w:val="none"/>
        </w:rPr>
        <w:t>省级以上主管部门认定的首台套产品</w:t>
      </w:r>
      <w:r>
        <w:rPr>
          <w:rFonts w:hint="eastAsia" w:ascii="仿宋" w:hAnsi="仿宋" w:eastAsia="仿宋" w:cs="仿宋"/>
          <w:b/>
          <w:color w:val="auto"/>
          <w:spacing w:val="-6"/>
          <w:sz w:val="18"/>
          <w:szCs w:val="18"/>
          <w:highlight w:val="none"/>
          <w:lang w:val="en-US" w:eastAsia="zh-CN"/>
        </w:rPr>
        <w:t>相关证明材料或“制造精品”相关证明材料或“专精特新”相关证明材料</w:t>
      </w:r>
      <w:r>
        <w:rPr>
          <w:rFonts w:hint="eastAsia" w:ascii="仿宋" w:hAnsi="仿宋" w:eastAsia="仿宋" w:cs="仿宋"/>
          <w:b/>
          <w:color w:val="auto"/>
          <w:spacing w:val="-6"/>
          <w:sz w:val="18"/>
          <w:szCs w:val="18"/>
          <w:highlight w:val="none"/>
        </w:rPr>
        <w:t>；</w:t>
      </w:r>
    </w:p>
    <w:p w14:paraId="1B6926EE">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2.所有合同扫描件应清晰，应能体现合同签订时间、双方签字盖章等内容；</w:t>
      </w:r>
    </w:p>
    <w:p w14:paraId="26EED587">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3.投标人应在不涉及商业秘密的前提下尽可能提供详细的合同扫描件内容。</w:t>
      </w:r>
    </w:p>
    <w:p w14:paraId="4E3E4758">
      <w:pPr>
        <w:adjustRightInd w:val="0"/>
        <w:snapToGrid w:val="0"/>
        <w:spacing w:line="360" w:lineRule="auto"/>
        <w:rPr>
          <w:rFonts w:ascii="仿宋" w:hAnsi="仿宋" w:eastAsia="仿宋" w:cs="仿宋"/>
          <w:color w:val="auto"/>
          <w:szCs w:val="21"/>
          <w:highlight w:val="none"/>
        </w:rPr>
      </w:pPr>
    </w:p>
    <w:p w14:paraId="15658758">
      <w:pPr>
        <w:adjustRightInd w:val="0"/>
        <w:snapToGrid w:val="0"/>
        <w:spacing w:line="360" w:lineRule="auto"/>
        <w:rPr>
          <w:rFonts w:ascii="仿宋" w:hAnsi="仿宋" w:eastAsia="仿宋" w:cs="仿宋"/>
          <w:color w:val="auto"/>
          <w:szCs w:val="21"/>
          <w:highlight w:val="none"/>
        </w:rPr>
      </w:pPr>
    </w:p>
    <w:p w14:paraId="0E98B774">
      <w:pPr>
        <w:adjustRightInd w:val="0"/>
        <w:snapToGrid w:val="0"/>
        <w:spacing w:line="360" w:lineRule="auto"/>
        <w:rPr>
          <w:rFonts w:ascii="仿宋" w:hAnsi="仿宋" w:eastAsia="仿宋" w:cs="仿宋"/>
          <w:b/>
          <w:bCs/>
          <w:color w:val="auto"/>
          <w:spacing w:val="-6"/>
          <w:szCs w:val="21"/>
          <w:highlight w:val="none"/>
        </w:rPr>
      </w:pPr>
    </w:p>
    <w:p w14:paraId="587C1527">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5A7EEA4B">
      <w:pPr>
        <w:pStyle w:val="13"/>
        <w:spacing w:line="360" w:lineRule="auto"/>
        <w:ind w:firstLine="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25CCD354">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17AE80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节能、环保产品证明材料</w:t>
      </w:r>
    </w:p>
    <w:p w14:paraId="66515EC3">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说明：</w:t>
      </w:r>
    </w:p>
    <w:p w14:paraId="45072DCA">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ascii="仿宋" w:hAnsi="仿宋" w:eastAsia="仿宋" w:cs="仿宋"/>
          <w:b/>
          <w:bCs/>
          <w:color w:val="auto"/>
          <w:spacing w:val="-6"/>
          <w:kern w:val="2"/>
          <w:sz w:val="18"/>
          <w:szCs w:val="18"/>
          <w:highlight w:val="none"/>
          <w:lang w:val="en-US" w:eastAsia="zh-CN" w:bidi="ar-SA"/>
        </w:rPr>
      </w:pPr>
      <w:r>
        <w:rPr>
          <w:rFonts w:hint="eastAsia" w:ascii="仿宋" w:hAnsi="仿宋" w:eastAsia="仿宋" w:cs="仿宋"/>
          <w:b/>
          <w:bCs/>
          <w:color w:val="auto"/>
          <w:spacing w:val="-6"/>
          <w:kern w:val="2"/>
          <w:sz w:val="18"/>
          <w:szCs w:val="18"/>
          <w:highlight w:val="none"/>
          <w:lang w:val="en-US" w:eastAsia="zh-CN" w:bidi="ar-SA"/>
        </w:rPr>
        <w:t>1.投标产品属于财政部、发展改革委公布的“节能产品政府采购品目清单”范围且由国家确定的认证机构出具的处于有效期之内的节能产品认证证书</w:t>
      </w:r>
    </w:p>
    <w:p w14:paraId="62504833">
      <w:pPr>
        <w:keepNext w:val="0"/>
        <w:keepLines w:val="0"/>
        <w:pageBreakBefore w:val="0"/>
        <w:widowControl w:val="0"/>
        <w:kinsoku/>
        <w:wordWrap/>
        <w:overflowPunct/>
        <w:topLinePunct w:val="0"/>
        <w:autoSpaceDE/>
        <w:autoSpaceDN/>
        <w:bidi w:val="0"/>
        <w:snapToGrid w:val="0"/>
        <w:spacing w:line="360" w:lineRule="auto"/>
        <w:ind w:firstLine="0"/>
        <w:jc w:val="both"/>
        <w:textAlignment w:val="auto"/>
        <w:rPr>
          <w:rFonts w:hint="eastAsia"/>
        </w:rPr>
      </w:pPr>
      <w:r>
        <w:rPr>
          <w:rFonts w:hint="eastAsia" w:ascii="仿宋" w:hAnsi="仿宋" w:eastAsia="仿宋" w:cs="仿宋"/>
          <w:b/>
          <w:bCs/>
          <w:color w:val="auto"/>
          <w:spacing w:val="-6"/>
          <w:kern w:val="2"/>
          <w:sz w:val="18"/>
          <w:szCs w:val="18"/>
          <w:highlight w:val="none"/>
          <w:lang w:val="en-US" w:eastAsia="zh-CN" w:bidi="ar-SA"/>
        </w:rPr>
        <w:t>2.投标产品属于财政部、生态环境部公布的“环境标志产品政府采购品目清单”范围且由国家确定的认证机构出具的处于有效期之内的环境标志产品认证证书</w:t>
      </w:r>
    </w:p>
    <w:p w14:paraId="0C0F9BD2">
      <w:pPr>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14:paraId="3BD6E090">
      <w:pPr>
        <w:adjustRightInd w:val="0"/>
        <w:snapToGrid w:val="0"/>
        <w:spacing w:line="360" w:lineRule="auto"/>
        <w:jc w:val="center"/>
        <w:outlineLvl w:val="2"/>
        <w:rPr>
          <w:rFonts w:hint="eastAsia" w:ascii="仿宋" w:hAnsi="仿宋" w:eastAsia="仿宋" w:cs="仿宋"/>
          <w:spacing w:val="-6"/>
          <w:szCs w:val="21"/>
          <w:highlight w:val="none"/>
          <w:lang w:eastAsia="zh-CN"/>
        </w:rPr>
      </w:pPr>
      <w:r>
        <w:rPr>
          <w:rFonts w:hint="eastAsia" w:ascii="仿宋" w:hAnsi="仿宋" w:eastAsia="仿宋" w:cs="仿宋"/>
          <w:b/>
          <w:bCs/>
          <w:sz w:val="24"/>
          <w:szCs w:val="24"/>
          <w:highlight w:val="none"/>
          <w:lang w:eastAsia="zh-CN"/>
        </w:rPr>
        <w:t>标的配置清单</w:t>
      </w:r>
    </w:p>
    <w:tbl>
      <w:tblPr>
        <w:tblStyle w:val="26"/>
        <w:tblW w:w="499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5"/>
        <w:gridCol w:w="1777"/>
        <w:gridCol w:w="1681"/>
        <w:gridCol w:w="848"/>
        <w:gridCol w:w="921"/>
        <w:gridCol w:w="1152"/>
        <w:gridCol w:w="975"/>
        <w:gridCol w:w="1587"/>
      </w:tblGrid>
      <w:tr w14:paraId="6C2E8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3EABCD35">
            <w:pPr>
              <w:jc w:val="center"/>
              <w:rPr>
                <w:rFonts w:hint="eastAsia" w:ascii="仿宋" w:hAnsi="仿宋" w:eastAsia="仿宋" w:cs="仿宋"/>
                <w:b/>
                <w:bCs/>
              </w:rPr>
            </w:pPr>
            <w:r>
              <w:rPr>
                <w:rFonts w:hint="eastAsia" w:ascii="仿宋" w:hAnsi="仿宋" w:eastAsia="仿宋" w:cs="仿宋"/>
                <w:b/>
                <w:bCs/>
              </w:rPr>
              <w:t>序号</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4D41E0F6">
            <w:pPr>
              <w:jc w:val="center"/>
              <w:rPr>
                <w:rFonts w:hint="eastAsia" w:ascii="仿宋" w:hAnsi="仿宋" w:eastAsia="仿宋" w:cs="仿宋"/>
                <w:b/>
                <w:bCs/>
              </w:rPr>
            </w:pPr>
            <w:r>
              <w:rPr>
                <w:rFonts w:hint="eastAsia" w:ascii="仿宋" w:hAnsi="仿宋" w:eastAsia="仿宋" w:cs="仿宋"/>
                <w:b/>
                <w:bCs/>
              </w:rPr>
              <w:t>标的名称</w:t>
            </w:r>
          </w:p>
        </w:tc>
        <w:tc>
          <w:tcPr>
            <w:tcW w:w="874" w:type="pct"/>
            <w:tcBorders>
              <w:top w:val="single" w:color="auto" w:sz="4" w:space="0"/>
              <w:left w:val="single" w:color="auto" w:sz="4" w:space="0"/>
              <w:bottom w:val="single" w:color="auto" w:sz="4" w:space="0"/>
              <w:right w:val="single" w:color="auto" w:sz="4" w:space="0"/>
            </w:tcBorders>
            <w:shd w:val="clear" w:color="auto" w:fill="FFFFFF"/>
            <w:vAlign w:val="center"/>
          </w:tcPr>
          <w:p w14:paraId="18D66FAB">
            <w:pPr>
              <w:jc w:val="center"/>
              <w:rPr>
                <w:rFonts w:hint="eastAsia" w:ascii="仿宋" w:hAnsi="仿宋" w:eastAsia="仿宋" w:cs="仿宋"/>
                <w:b/>
                <w:bCs/>
              </w:rPr>
            </w:pPr>
            <w:r>
              <w:rPr>
                <w:rFonts w:hint="eastAsia" w:ascii="仿宋" w:hAnsi="仿宋" w:eastAsia="仿宋" w:cs="仿宋"/>
                <w:b/>
                <w:bCs/>
              </w:rPr>
              <w:t>★规格型号</w:t>
            </w:r>
          </w:p>
        </w:tc>
        <w:tc>
          <w:tcPr>
            <w:tcW w:w="441" w:type="pct"/>
            <w:tcBorders>
              <w:top w:val="single" w:color="auto" w:sz="4" w:space="0"/>
              <w:left w:val="single" w:color="auto" w:sz="4" w:space="0"/>
              <w:bottom w:val="single" w:color="auto" w:sz="4" w:space="0"/>
              <w:right w:val="single" w:color="auto" w:sz="4" w:space="0"/>
            </w:tcBorders>
            <w:shd w:val="clear" w:color="auto" w:fill="FFFFFF"/>
            <w:vAlign w:val="center"/>
          </w:tcPr>
          <w:p w14:paraId="594CCA8B">
            <w:pPr>
              <w:jc w:val="center"/>
              <w:rPr>
                <w:rFonts w:hint="eastAsia" w:ascii="仿宋" w:hAnsi="仿宋" w:eastAsia="仿宋" w:cs="仿宋"/>
                <w:b/>
                <w:bCs/>
              </w:rPr>
            </w:pPr>
            <w:r>
              <w:rPr>
                <w:rFonts w:hint="eastAsia" w:ascii="仿宋" w:hAnsi="仿宋" w:eastAsia="仿宋" w:cs="仿宋"/>
                <w:b/>
                <w:bCs/>
              </w:rPr>
              <w:t>数量</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14:paraId="138C10C0">
            <w:pPr>
              <w:jc w:val="center"/>
              <w:rPr>
                <w:rFonts w:hint="eastAsia" w:ascii="仿宋" w:hAnsi="仿宋" w:eastAsia="仿宋" w:cs="仿宋"/>
                <w:b/>
                <w:bCs/>
              </w:rPr>
            </w:pPr>
            <w:r>
              <w:rPr>
                <w:rFonts w:hint="eastAsia" w:ascii="仿宋" w:hAnsi="仿宋" w:eastAsia="仿宋" w:cs="仿宋"/>
                <w:b/>
                <w:bCs/>
              </w:rPr>
              <w:t>★品牌</w:t>
            </w: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14:paraId="0D0DC5C4">
            <w:pPr>
              <w:jc w:val="center"/>
              <w:rPr>
                <w:rFonts w:hint="eastAsia" w:ascii="仿宋" w:hAnsi="仿宋" w:eastAsia="仿宋" w:cs="仿宋"/>
                <w:b/>
                <w:bCs/>
              </w:rPr>
            </w:pPr>
            <w:r>
              <w:rPr>
                <w:rFonts w:hint="eastAsia" w:ascii="仿宋" w:hAnsi="仿宋" w:eastAsia="仿宋" w:cs="仿宋"/>
                <w:b/>
                <w:bCs/>
              </w:rPr>
              <w:t>★制造商</w:t>
            </w:r>
          </w:p>
        </w:tc>
        <w:tc>
          <w:tcPr>
            <w:tcW w:w="507" w:type="pct"/>
            <w:tcBorders>
              <w:top w:val="single" w:color="auto" w:sz="4" w:space="0"/>
              <w:left w:val="single" w:color="auto" w:sz="4" w:space="0"/>
              <w:bottom w:val="single" w:color="auto" w:sz="4" w:space="0"/>
              <w:right w:val="single" w:color="auto" w:sz="4" w:space="0"/>
            </w:tcBorders>
            <w:vAlign w:val="center"/>
          </w:tcPr>
          <w:p w14:paraId="04E01E14">
            <w:pPr>
              <w:jc w:val="center"/>
              <w:rPr>
                <w:rFonts w:hint="eastAsia" w:ascii="仿宋" w:hAnsi="仿宋" w:eastAsia="仿宋" w:cs="仿宋"/>
                <w:b/>
                <w:bCs/>
              </w:rPr>
            </w:pPr>
            <w:r>
              <w:rPr>
                <w:rFonts w:hint="eastAsia" w:ascii="仿宋" w:hAnsi="仿宋" w:eastAsia="仿宋" w:cs="仿宋"/>
                <w:b/>
                <w:bCs/>
              </w:rPr>
              <w:t>★产地</w:t>
            </w:r>
          </w:p>
        </w:tc>
        <w:tc>
          <w:tcPr>
            <w:tcW w:w="818" w:type="pct"/>
            <w:tcBorders>
              <w:top w:val="single" w:color="auto" w:sz="4" w:space="0"/>
              <w:left w:val="single" w:color="auto" w:sz="4" w:space="0"/>
              <w:bottom w:val="single" w:color="auto" w:sz="4" w:space="0"/>
              <w:right w:val="single" w:color="auto" w:sz="4" w:space="0"/>
            </w:tcBorders>
            <w:vAlign w:val="center"/>
          </w:tcPr>
          <w:p w14:paraId="52267D4B">
            <w:pPr>
              <w:jc w:val="center"/>
              <w:rPr>
                <w:rFonts w:hint="eastAsia" w:ascii="仿宋" w:hAnsi="仿宋" w:eastAsia="仿宋" w:cs="仿宋"/>
                <w:b/>
                <w:bCs/>
              </w:rPr>
            </w:pPr>
            <w:r>
              <w:rPr>
                <w:rFonts w:hint="eastAsia" w:ascii="仿宋" w:hAnsi="仿宋" w:eastAsia="仿宋" w:cs="仿宋"/>
                <w:b/>
                <w:bCs/>
              </w:rPr>
              <w:t>备注</w:t>
            </w:r>
          </w:p>
          <w:p w14:paraId="45AC3691">
            <w:pPr>
              <w:jc w:val="center"/>
              <w:rPr>
                <w:rFonts w:hint="eastAsia" w:ascii="仿宋" w:hAnsi="仿宋" w:eastAsia="仿宋" w:cs="仿宋"/>
                <w:b/>
                <w:bCs/>
              </w:rPr>
            </w:pPr>
            <w:r>
              <w:rPr>
                <w:rFonts w:hint="eastAsia" w:ascii="仿宋" w:hAnsi="仿宋" w:eastAsia="仿宋" w:cs="仿宋"/>
                <w:b/>
                <w:bCs/>
              </w:rPr>
              <w:t>（可另附页）</w:t>
            </w:r>
          </w:p>
        </w:tc>
      </w:tr>
      <w:tr w14:paraId="4F676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27E1821C">
            <w:pPr>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1</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5504293E">
            <w:pPr>
              <w:jc w:val="center"/>
              <w:rPr>
                <w:rFonts w:hint="eastAsia" w:ascii="仿宋" w:hAnsi="仿宋" w:eastAsia="仿宋" w:cs="仿宋"/>
                <w:kern w:val="2"/>
                <w:sz w:val="21"/>
                <w:szCs w:val="22"/>
                <w:lang w:val="en-US" w:eastAsia="zh-CN" w:bidi="ar-SA"/>
              </w:rPr>
            </w:pPr>
            <w:r>
              <w:rPr>
                <w:rFonts w:hint="eastAsia" w:ascii="仿宋" w:hAnsi="仿宋" w:eastAsia="仿宋" w:cs="仿宋"/>
              </w:rPr>
              <w:t>工业互联网开发平台</w:t>
            </w:r>
          </w:p>
        </w:tc>
        <w:tc>
          <w:tcPr>
            <w:tcW w:w="874" w:type="pct"/>
            <w:tcBorders>
              <w:top w:val="single" w:color="auto" w:sz="4" w:space="0"/>
              <w:left w:val="single" w:color="auto" w:sz="4" w:space="0"/>
              <w:bottom w:val="single" w:color="auto" w:sz="4" w:space="0"/>
              <w:right w:val="single" w:color="auto" w:sz="4" w:space="0"/>
            </w:tcBorders>
            <w:shd w:val="clear" w:color="auto" w:fill="FFFFFF"/>
            <w:vAlign w:val="center"/>
          </w:tcPr>
          <w:p w14:paraId="192E0D67">
            <w:pPr>
              <w:jc w:val="center"/>
              <w:rPr>
                <w:rFonts w:hint="eastAsia" w:ascii="仿宋" w:hAnsi="仿宋" w:eastAsia="仿宋" w:cs="仿宋"/>
                <w:kern w:val="2"/>
                <w:sz w:val="21"/>
                <w:szCs w:val="22"/>
                <w:lang w:val="en-US" w:eastAsia="zh-CN" w:bidi="ar-SA"/>
              </w:rPr>
            </w:pPr>
          </w:p>
        </w:tc>
        <w:tc>
          <w:tcPr>
            <w:tcW w:w="441" w:type="pct"/>
            <w:tcBorders>
              <w:top w:val="single" w:color="auto" w:sz="4" w:space="0"/>
              <w:left w:val="single" w:color="auto" w:sz="4" w:space="0"/>
              <w:bottom w:val="single" w:color="auto" w:sz="4" w:space="0"/>
              <w:right w:val="single" w:color="auto" w:sz="4" w:space="0"/>
            </w:tcBorders>
            <w:shd w:val="clear" w:color="auto" w:fill="FFFFFF"/>
            <w:vAlign w:val="center"/>
          </w:tcPr>
          <w:p w14:paraId="009DDDB0">
            <w:pPr>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1套</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14:paraId="2BD56C25">
            <w:pPr>
              <w:jc w:val="center"/>
              <w:rPr>
                <w:rFonts w:hint="eastAsia" w:ascii="仿宋" w:hAnsi="仿宋" w:eastAsia="仿宋" w:cs="仿宋"/>
                <w:b/>
                <w:bCs/>
              </w:rPr>
            </w:pP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14:paraId="5422A8A5">
            <w:pPr>
              <w:jc w:val="center"/>
              <w:rPr>
                <w:rFonts w:hint="eastAsia" w:ascii="仿宋" w:hAnsi="仿宋" w:eastAsia="仿宋" w:cs="仿宋"/>
                <w:b/>
                <w:bCs/>
              </w:rPr>
            </w:pPr>
          </w:p>
        </w:tc>
        <w:tc>
          <w:tcPr>
            <w:tcW w:w="507" w:type="pct"/>
            <w:tcBorders>
              <w:top w:val="single" w:color="auto" w:sz="4" w:space="0"/>
              <w:left w:val="single" w:color="auto" w:sz="4" w:space="0"/>
              <w:bottom w:val="single" w:color="auto" w:sz="4" w:space="0"/>
              <w:right w:val="single" w:color="auto" w:sz="4" w:space="0"/>
            </w:tcBorders>
            <w:vAlign w:val="center"/>
          </w:tcPr>
          <w:p w14:paraId="23AFC484">
            <w:pPr>
              <w:jc w:val="center"/>
              <w:rPr>
                <w:rFonts w:hint="eastAsia" w:ascii="仿宋" w:hAnsi="仿宋" w:eastAsia="仿宋" w:cs="仿宋"/>
                <w:b/>
                <w:bCs/>
              </w:rPr>
            </w:pPr>
          </w:p>
        </w:tc>
        <w:tc>
          <w:tcPr>
            <w:tcW w:w="818" w:type="pct"/>
            <w:tcBorders>
              <w:top w:val="single" w:color="auto" w:sz="4" w:space="0"/>
              <w:left w:val="single" w:color="auto" w:sz="4" w:space="0"/>
              <w:bottom w:val="single" w:color="auto" w:sz="4" w:space="0"/>
              <w:right w:val="single" w:color="auto" w:sz="4" w:space="0"/>
            </w:tcBorders>
            <w:vAlign w:val="center"/>
          </w:tcPr>
          <w:p w14:paraId="766DC8D5">
            <w:pPr>
              <w:jc w:val="center"/>
              <w:rPr>
                <w:rFonts w:hint="eastAsia" w:ascii="仿宋" w:hAnsi="仿宋" w:eastAsia="仿宋" w:cs="仿宋"/>
                <w:b/>
                <w:bCs/>
              </w:rPr>
            </w:pPr>
          </w:p>
        </w:tc>
      </w:tr>
      <w:tr w14:paraId="3E1CE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516F972B">
            <w:pPr>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2</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4DDD3296">
            <w:pPr>
              <w:jc w:val="center"/>
              <w:rPr>
                <w:rFonts w:hint="eastAsia" w:ascii="仿宋" w:hAnsi="仿宋" w:eastAsia="仿宋" w:cs="仿宋"/>
              </w:rPr>
            </w:pPr>
            <w:r>
              <w:rPr>
                <w:rFonts w:hint="eastAsia" w:ascii="仿宋" w:hAnsi="仿宋" w:eastAsia="仿宋" w:cs="仿宋"/>
              </w:rPr>
              <w:t>工业互联网工程技术人员考核</w:t>
            </w:r>
          </w:p>
          <w:p w14:paraId="3F41CECC">
            <w:pPr>
              <w:jc w:val="center"/>
              <w:rPr>
                <w:rFonts w:hint="eastAsia" w:ascii="仿宋" w:hAnsi="仿宋" w:eastAsia="仿宋" w:cs="仿宋"/>
                <w:kern w:val="2"/>
                <w:sz w:val="21"/>
                <w:szCs w:val="22"/>
                <w:lang w:val="en-US" w:eastAsia="zh-CN" w:bidi="ar-SA"/>
              </w:rPr>
            </w:pPr>
            <w:r>
              <w:rPr>
                <w:rFonts w:hint="eastAsia" w:ascii="仿宋" w:hAnsi="仿宋" w:eastAsia="仿宋" w:cs="仿宋"/>
              </w:rPr>
              <w:t>实训台</w:t>
            </w:r>
          </w:p>
        </w:tc>
        <w:tc>
          <w:tcPr>
            <w:tcW w:w="874" w:type="pct"/>
            <w:tcBorders>
              <w:top w:val="single" w:color="auto" w:sz="4" w:space="0"/>
              <w:left w:val="single" w:color="auto" w:sz="4" w:space="0"/>
              <w:bottom w:val="single" w:color="auto" w:sz="4" w:space="0"/>
              <w:right w:val="single" w:color="auto" w:sz="4" w:space="0"/>
            </w:tcBorders>
            <w:shd w:val="clear" w:color="auto" w:fill="FFFFFF"/>
            <w:vAlign w:val="center"/>
          </w:tcPr>
          <w:p w14:paraId="0F1A3895">
            <w:pPr>
              <w:jc w:val="center"/>
              <w:rPr>
                <w:rFonts w:hint="eastAsia" w:ascii="仿宋" w:hAnsi="仿宋" w:eastAsia="仿宋" w:cs="仿宋"/>
                <w:kern w:val="2"/>
                <w:sz w:val="21"/>
                <w:szCs w:val="22"/>
                <w:lang w:val="en-US" w:eastAsia="zh-CN" w:bidi="ar-SA"/>
              </w:rPr>
            </w:pPr>
          </w:p>
        </w:tc>
        <w:tc>
          <w:tcPr>
            <w:tcW w:w="441" w:type="pct"/>
            <w:tcBorders>
              <w:top w:val="single" w:color="auto" w:sz="4" w:space="0"/>
              <w:left w:val="single" w:color="auto" w:sz="4" w:space="0"/>
              <w:bottom w:val="single" w:color="auto" w:sz="4" w:space="0"/>
              <w:right w:val="single" w:color="auto" w:sz="4" w:space="0"/>
            </w:tcBorders>
            <w:shd w:val="clear" w:color="auto" w:fill="FFFFFF"/>
            <w:vAlign w:val="center"/>
          </w:tcPr>
          <w:p w14:paraId="25CBF051">
            <w:pPr>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8套</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14:paraId="30B15949">
            <w:pPr>
              <w:jc w:val="center"/>
              <w:rPr>
                <w:rFonts w:hint="eastAsia" w:ascii="仿宋" w:hAnsi="仿宋" w:eastAsia="仿宋" w:cs="仿宋"/>
                <w:b/>
                <w:bCs/>
              </w:rPr>
            </w:pP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14:paraId="5476CA9B">
            <w:pPr>
              <w:jc w:val="center"/>
              <w:rPr>
                <w:rFonts w:hint="eastAsia" w:ascii="仿宋" w:hAnsi="仿宋" w:eastAsia="仿宋" w:cs="仿宋"/>
                <w:b/>
                <w:bCs/>
              </w:rPr>
            </w:pPr>
          </w:p>
        </w:tc>
        <w:tc>
          <w:tcPr>
            <w:tcW w:w="507" w:type="pct"/>
            <w:tcBorders>
              <w:top w:val="single" w:color="auto" w:sz="4" w:space="0"/>
              <w:left w:val="single" w:color="auto" w:sz="4" w:space="0"/>
              <w:bottom w:val="single" w:color="auto" w:sz="4" w:space="0"/>
              <w:right w:val="single" w:color="auto" w:sz="4" w:space="0"/>
            </w:tcBorders>
            <w:vAlign w:val="center"/>
          </w:tcPr>
          <w:p w14:paraId="1E17D890">
            <w:pPr>
              <w:jc w:val="center"/>
              <w:rPr>
                <w:rFonts w:hint="eastAsia" w:ascii="仿宋" w:hAnsi="仿宋" w:eastAsia="仿宋" w:cs="仿宋"/>
                <w:b/>
                <w:bCs/>
              </w:rPr>
            </w:pPr>
          </w:p>
        </w:tc>
        <w:tc>
          <w:tcPr>
            <w:tcW w:w="818" w:type="pct"/>
            <w:tcBorders>
              <w:top w:val="single" w:color="auto" w:sz="4" w:space="0"/>
              <w:left w:val="single" w:color="auto" w:sz="4" w:space="0"/>
              <w:bottom w:val="single" w:color="auto" w:sz="4" w:space="0"/>
              <w:right w:val="single" w:color="auto" w:sz="4" w:space="0"/>
            </w:tcBorders>
            <w:vAlign w:val="center"/>
          </w:tcPr>
          <w:p w14:paraId="0DB5D92B">
            <w:pPr>
              <w:jc w:val="center"/>
              <w:rPr>
                <w:rFonts w:hint="eastAsia" w:ascii="仿宋" w:hAnsi="仿宋" w:eastAsia="仿宋" w:cs="仿宋"/>
                <w:b/>
                <w:bCs/>
              </w:rPr>
            </w:pPr>
          </w:p>
        </w:tc>
      </w:tr>
      <w:tr w14:paraId="5C4FF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463AEC72">
            <w:pPr>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3</w:t>
            </w: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4B1CD001">
            <w:pPr>
              <w:jc w:val="center"/>
              <w:rPr>
                <w:rFonts w:hint="eastAsia" w:ascii="仿宋" w:hAnsi="仿宋" w:eastAsia="仿宋" w:cs="仿宋"/>
                <w:kern w:val="2"/>
                <w:sz w:val="21"/>
                <w:szCs w:val="22"/>
                <w:lang w:val="en-US" w:eastAsia="zh-CN" w:bidi="ar-SA"/>
              </w:rPr>
            </w:pPr>
            <w:r>
              <w:rPr>
                <w:rFonts w:hint="eastAsia" w:ascii="仿宋" w:hAnsi="仿宋" w:eastAsia="仿宋" w:cs="仿宋"/>
              </w:rPr>
              <w:t>纺织工程沙盘</w:t>
            </w:r>
          </w:p>
        </w:tc>
        <w:tc>
          <w:tcPr>
            <w:tcW w:w="874" w:type="pct"/>
            <w:tcBorders>
              <w:top w:val="single" w:color="auto" w:sz="4" w:space="0"/>
              <w:left w:val="single" w:color="auto" w:sz="4" w:space="0"/>
              <w:bottom w:val="single" w:color="auto" w:sz="4" w:space="0"/>
              <w:right w:val="single" w:color="auto" w:sz="4" w:space="0"/>
            </w:tcBorders>
            <w:shd w:val="clear" w:color="auto" w:fill="FFFFFF"/>
            <w:vAlign w:val="center"/>
          </w:tcPr>
          <w:p w14:paraId="180543F7">
            <w:pPr>
              <w:jc w:val="center"/>
              <w:rPr>
                <w:rFonts w:hint="eastAsia" w:ascii="仿宋" w:hAnsi="仿宋" w:eastAsia="仿宋" w:cs="仿宋"/>
                <w:kern w:val="2"/>
                <w:sz w:val="21"/>
                <w:szCs w:val="22"/>
                <w:lang w:val="en-US" w:eastAsia="zh-CN" w:bidi="ar-SA"/>
              </w:rPr>
            </w:pPr>
          </w:p>
        </w:tc>
        <w:tc>
          <w:tcPr>
            <w:tcW w:w="441" w:type="pct"/>
            <w:tcBorders>
              <w:top w:val="single" w:color="auto" w:sz="4" w:space="0"/>
              <w:left w:val="single" w:color="auto" w:sz="4" w:space="0"/>
              <w:bottom w:val="single" w:color="auto" w:sz="4" w:space="0"/>
              <w:right w:val="single" w:color="auto" w:sz="4" w:space="0"/>
            </w:tcBorders>
            <w:shd w:val="clear" w:color="auto" w:fill="FFFFFF"/>
            <w:vAlign w:val="center"/>
          </w:tcPr>
          <w:p w14:paraId="4E45F5F0">
            <w:pPr>
              <w:jc w:val="center"/>
              <w:rPr>
                <w:rFonts w:hint="eastAsia" w:ascii="仿宋" w:hAnsi="仿宋" w:eastAsia="仿宋" w:cs="仿宋"/>
                <w:kern w:val="2"/>
                <w:sz w:val="21"/>
                <w:szCs w:val="22"/>
                <w:lang w:val="en-US" w:eastAsia="zh-CN" w:bidi="ar-SA"/>
              </w:rPr>
            </w:pPr>
            <w:r>
              <w:rPr>
                <w:rFonts w:hint="eastAsia" w:ascii="仿宋" w:hAnsi="仿宋" w:eastAsia="仿宋" w:cs="仿宋"/>
                <w:lang w:val="en-US" w:eastAsia="zh-CN"/>
              </w:rPr>
              <w:t>1套</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14:paraId="2C71040C">
            <w:pPr>
              <w:jc w:val="center"/>
              <w:rPr>
                <w:rFonts w:hint="eastAsia" w:ascii="仿宋" w:hAnsi="仿宋" w:eastAsia="仿宋" w:cs="仿宋"/>
                <w:b/>
                <w:bCs/>
              </w:rPr>
            </w:pP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14:paraId="3BA18366">
            <w:pPr>
              <w:jc w:val="center"/>
              <w:rPr>
                <w:rFonts w:hint="eastAsia" w:ascii="仿宋" w:hAnsi="仿宋" w:eastAsia="仿宋" w:cs="仿宋"/>
                <w:b/>
                <w:bCs/>
              </w:rPr>
            </w:pPr>
          </w:p>
        </w:tc>
        <w:tc>
          <w:tcPr>
            <w:tcW w:w="507" w:type="pct"/>
            <w:tcBorders>
              <w:top w:val="single" w:color="auto" w:sz="4" w:space="0"/>
              <w:left w:val="single" w:color="auto" w:sz="4" w:space="0"/>
              <w:bottom w:val="single" w:color="auto" w:sz="4" w:space="0"/>
              <w:right w:val="single" w:color="auto" w:sz="4" w:space="0"/>
            </w:tcBorders>
            <w:vAlign w:val="center"/>
          </w:tcPr>
          <w:p w14:paraId="4E008500">
            <w:pPr>
              <w:jc w:val="center"/>
              <w:rPr>
                <w:rFonts w:hint="eastAsia" w:ascii="仿宋" w:hAnsi="仿宋" w:eastAsia="仿宋" w:cs="仿宋"/>
                <w:b/>
                <w:bCs/>
              </w:rPr>
            </w:pPr>
          </w:p>
        </w:tc>
        <w:tc>
          <w:tcPr>
            <w:tcW w:w="818" w:type="pct"/>
            <w:tcBorders>
              <w:top w:val="single" w:color="auto" w:sz="4" w:space="0"/>
              <w:left w:val="single" w:color="auto" w:sz="4" w:space="0"/>
              <w:bottom w:val="single" w:color="auto" w:sz="4" w:space="0"/>
              <w:right w:val="single" w:color="auto" w:sz="4" w:space="0"/>
            </w:tcBorders>
            <w:vAlign w:val="center"/>
          </w:tcPr>
          <w:p w14:paraId="1BB76037">
            <w:pPr>
              <w:jc w:val="center"/>
              <w:rPr>
                <w:rFonts w:hint="eastAsia" w:ascii="仿宋" w:hAnsi="仿宋" w:eastAsia="仿宋" w:cs="仿宋"/>
                <w:b/>
                <w:bCs/>
              </w:rPr>
            </w:pPr>
          </w:p>
        </w:tc>
      </w:tr>
      <w:tr w14:paraId="0EA5E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B382EA1">
            <w:pPr>
              <w:rPr>
                <w:rFonts w:hint="eastAsia" w:ascii="仿宋" w:hAnsi="仿宋" w:eastAsia="仿宋" w:cs="仿宋"/>
                <w:b/>
                <w:bCs/>
              </w:rPr>
            </w:pPr>
            <w:r>
              <w:rPr>
                <w:rFonts w:hint="eastAsia" w:ascii="仿宋" w:hAnsi="仿宋" w:eastAsia="仿宋" w:cs="仿宋"/>
                <w:b/>
                <w:bCs/>
              </w:rPr>
              <w:t>★以下（联合体</w:t>
            </w:r>
            <w:r>
              <w:rPr>
                <w:rFonts w:hint="eastAsia" w:ascii="仿宋" w:hAnsi="仿宋" w:eastAsia="仿宋" w:cs="仿宋"/>
                <w:b/>
                <w:bCs/>
                <w:lang w:val="en-US" w:eastAsia="zh-CN"/>
              </w:rPr>
              <w:t>其他</w:t>
            </w:r>
            <w:r>
              <w:rPr>
                <w:rFonts w:hint="eastAsia" w:ascii="仿宋" w:hAnsi="仿宋" w:eastAsia="仿宋" w:cs="仿宋"/>
                <w:b/>
                <w:bCs/>
              </w:rPr>
              <w:t>成员）承担的部分</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如无则可不填写</w:t>
            </w:r>
            <w:r>
              <w:rPr>
                <w:rFonts w:hint="eastAsia" w:ascii="仿宋" w:hAnsi="仿宋" w:eastAsia="仿宋" w:cs="仿宋"/>
                <w:b/>
                <w:bCs/>
                <w:color w:val="auto"/>
                <w:highlight w:val="none"/>
                <w:lang w:eastAsia="zh-CN"/>
              </w:rPr>
              <w:t>）</w:t>
            </w:r>
          </w:p>
        </w:tc>
      </w:tr>
      <w:tr w14:paraId="45C62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14:paraId="72898E61">
            <w:pPr>
              <w:jc w:val="center"/>
              <w:rPr>
                <w:rFonts w:hint="eastAsia" w:ascii="仿宋" w:hAnsi="仿宋" w:eastAsia="仿宋" w:cs="仿宋"/>
                <w:b/>
                <w:bCs/>
              </w:rPr>
            </w:pPr>
          </w:p>
        </w:tc>
        <w:tc>
          <w:tcPr>
            <w:tcW w:w="924" w:type="pct"/>
            <w:tcBorders>
              <w:top w:val="single" w:color="auto" w:sz="4" w:space="0"/>
              <w:left w:val="single" w:color="auto" w:sz="4" w:space="0"/>
              <w:bottom w:val="single" w:color="auto" w:sz="4" w:space="0"/>
              <w:right w:val="single" w:color="auto" w:sz="4" w:space="0"/>
            </w:tcBorders>
            <w:shd w:val="clear" w:color="auto" w:fill="auto"/>
            <w:vAlign w:val="center"/>
          </w:tcPr>
          <w:p w14:paraId="235AF661">
            <w:pPr>
              <w:jc w:val="center"/>
              <w:rPr>
                <w:rFonts w:hint="eastAsia" w:ascii="仿宋" w:hAnsi="仿宋" w:eastAsia="仿宋" w:cs="仿宋"/>
                <w:b/>
                <w:bCs/>
              </w:rPr>
            </w:pPr>
          </w:p>
        </w:tc>
        <w:tc>
          <w:tcPr>
            <w:tcW w:w="874" w:type="pct"/>
            <w:tcBorders>
              <w:top w:val="single" w:color="auto" w:sz="4" w:space="0"/>
              <w:left w:val="single" w:color="auto" w:sz="4" w:space="0"/>
              <w:bottom w:val="single" w:color="auto" w:sz="4" w:space="0"/>
              <w:right w:val="single" w:color="auto" w:sz="4" w:space="0"/>
            </w:tcBorders>
            <w:shd w:val="clear" w:color="auto" w:fill="FFFFFF"/>
            <w:vAlign w:val="center"/>
          </w:tcPr>
          <w:p w14:paraId="491C38E8">
            <w:pPr>
              <w:jc w:val="center"/>
              <w:rPr>
                <w:rFonts w:hint="eastAsia" w:ascii="仿宋" w:hAnsi="仿宋" w:eastAsia="仿宋" w:cs="仿宋"/>
                <w:b/>
                <w:bCs/>
              </w:rPr>
            </w:pPr>
          </w:p>
        </w:tc>
        <w:tc>
          <w:tcPr>
            <w:tcW w:w="441" w:type="pct"/>
            <w:tcBorders>
              <w:top w:val="single" w:color="auto" w:sz="4" w:space="0"/>
              <w:left w:val="single" w:color="auto" w:sz="4" w:space="0"/>
              <w:bottom w:val="single" w:color="auto" w:sz="4" w:space="0"/>
              <w:right w:val="single" w:color="auto" w:sz="4" w:space="0"/>
            </w:tcBorders>
            <w:shd w:val="clear" w:color="auto" w:fill="FFFFFF"/>
            <w:vAlign w:val="center"/>
          </w:tcPr>
          <w:p w14:paraId="45DB3D5B">
            <w:pPr>
              <w:jc w:val="center"/>
              <w:rPr>
                <w:rFonts w:hint="eastAsia" w:ascii="仿宋" w:hAnsi="仿宋" w:eastAsia="仿宋" w:cs="仿宋"/>
                <w:b/>
                <w:bCs/>
              </w:rPr>
            </w:pP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14:paraId="1639DFF4">
            <w:pPr>
              <w:jc w:val="center"/>
              <w:rPr>
                <w:rFonts w:hint="eastAsia" w:ascii="仿宋" w:hAnsi="仿宋" w:eastAsia="仿宋" w:cs="仿宋"/>
                <w:b/>
                <w:bCs/>
              </w:rPr>
            </w:pPr>
          </w:p>
        </w:tc>
        <w:tc>
          <w:tcPr>
            <w:tcW w:w="599" w:type="pct"/>
            <w:tcBorders>
              <w:top w:val="single" w:color="auto" w:sz="4" w:space="0"/>
              <w:left w:val="single" w:color="auto" w:sz="4" w:space="0"/>
              <w:bottom w:val="single" w:color="auto" w:sz="4" w:space="0"/>
              <w:right w:val="single" w:color="auto" w:sz="4" w:space="0"/>
            </w:tcBorders>
            <w:shd w:val="clear" w:color="auto" w:fill="FFFFFF"/>
            <w:vAlign w:val="center"/>
          </w:tcPr>
          <w:p w14:paraId="01A03A03">
            <w:pPr>
              <w:jc w:val="center"/>
              <w:rPr>
                <w:rFonts w:hint="eastAsia" w:ascii="仿宋" w:hAnsi="仿宋" w:eastAsia="仿宋" w:cs="仿宋"/>
                <w:b/>
                <w:bCs/>
              </w:rPr>
            </w:pPr>
          </w:p>
        </w:tc>
        <w:tc>
          <w:tcPr>
            <w:tcW w:w="507" w:type="pct"/>
            <w:tcBorders>
              <w:top w:val="single" w:color="auto" w:sz="4" w:space="0"/>
              <w:left w:val="single" w:color="auto" w:sz="4" w:space="0"/>
              <w:bottom w:val="single" w:color="auto" w:sz="4" w:space="0"/>
              <w:right w:val="single" w:color="auto" w:sz="4" w:space="0"/>
            </w:tcBorders>
            <w:vAlign w:val="center"/>
          </w:tcPr>
          <w:p w14:paraId="556A6339">
            <w:pPr>
              <w:jc w:val="center"/>
              <w:rPr>
                <w:rFonts w:hint="eastAsia" w:ascii="仿宋" w:hAnsi="仿宋" w:eastAsia="仿宋" w:cs="仿宋"/>
                <w:b/>
                <w:bCs/>
              </w:rPr>
            </w:pPr>
          </w:p>
        </w:tc>
        <w:tc>
          <w:tcPr>
            <w:tcW w:w="818" w:type="pct"/>
            <w:tcBorders>
              <w:top w:val="single" w:color="auto" w:sz="4" w:space="0"/>
              <w:left w:val="single" w:color="auto" w:sz="4" w:space="0"/>
              <w:bottom w:val="single" w:color="auto" w:sz="4" w:space="0"/>
              <w:right w:val="single" w:color="auto" w:sz="4" w:space="0"/>
            </w:tcBorders>
            <w:vAlign w:val="center"/>
          </w:tcPr>
          <w:p w14:paraId="0E5C0C7A">
            <w:pPr>
              <w:jc w:val="center"/>
              <w:rPr>
                <w:rFonts w:hint="eastAsia" w:ascii="仿宋" w:hAnsi="仿宋" w:eastAsia="仿宋" w:cs="仿宋"/>
                <w:b/>
                <w:bCs/>
              </w:rPr>
            </w:pPr>
          </w:p>
        </w:tc>
      </w:tr>
    </w:tbl>
    <w:p w14:paraId="202FD47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p>
    <w:p w14:paraId="26A05C5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注：</w:t>
      </w:r>
    </w:p>
    <w:p w14:paraId="2808CDF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1.按照招标文件明确的标的清单填写此表；</w:t>
      </w:r>
    </w:p>
    <w:p w14:paraId="3FD45C8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03532B1E">
      <w:pPr>
        <w:adjustRightInd w:val="0"/>
        <w:snapToGrid w:val="0"/>
        <w:spacing w:line="360" w:lineRule="auto"/>
      </w:pPr>
      <w:r>
        <w:rPr>
          <w:rFonts w:hint="eastAsia" w:ascii="仿宋" w:hAnsi="仿宋" w:eastAsia="仿宋" w:cs="仿宋"/>
          <w:b/>
          <w:bCs/>
          <w:color w:val="auto"/>
          <w:spacing w:val="-6"/>
          <w:sz w:val="18"/>
          <w:szCs w:val="18"/>
          <w:highlight w:val="none"/>
        </w:rPr>
        <w:t>★3.联合体其他成员承担的部分，应在表中列明。</w:t>
      </w:r>
    </w:p>
    <w:p w14:paraId="59744018">
      <w:pPr>
        <w:adjustRightInd w:val="0"/>
        <w:snapToGrid w:val="0"/>
        <w:spacing w:line="360" w:lineRule="auto"/>
        <w:rPr>
          <w:rFonts w:ascii="仿宋" w:hAnsi="仿宋" w:eastAsia="仿宋" w:cs="仿宋"/>
          <w:color w:val="auto"/>
          <w:spacing w:val="-6"/>
          <w:szCs w:val="21"/>
          <w:highlight w:val="none"/>
        </w:rPr>
      </w:pPr>
    </w:p>
    <w:p w14:paraId="126B2B0D">
      <w:pPr>
        <w:adjustRightInd w:val="0"/>
        <w:snapToGrid w:val="0"/>
        <w:spacing w:line="360" w:lineRule="auto"/>
        <w:rPr>
          <w:rFonts w:ascii="仿宋" w:hAnsi="仿宋" w:eastAsia="仿宋" w:cs="仿宋"/>
          <w:b/>
          <w:bCs/>
          <w:color w:val="auto"/>
          <w:spacing w:val="-6"/>
          <w:szCs w:val="21"/>
          <w:highlight w:val="none"/>
        </w:rPr>
      </w:pPr>
    </w:p>
    <w:p w14:paraId="693E075F">
      <w:pPr>
        <w:adjustRightInd w:val="0"/>
        <w:snapToGrid w:val="0"/>
        <w:spacing w:line="360" w:lineRule="auto"/>
        <w:rPr>
          <w:rFonts w:hint="eastAsia" w:ascii="仿宋" w:hAnsi="仿宋" w:eastAsia="仿宋" w:cs="仿宋"/>
          <w:b/>
          <w:bCs/>
          <w:color w:val="auto"/>
          <w:spacing w:val="-6"/>
          <w:szCs w:val="21"/>
          <w:highlight w:val="none"/>
        </w:rPr>
      </w:pPr>
    </w:p>
    <w:p w14:paraId="0F0E7C3C">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77E3E42B">
      <w:pPr>
        <w:pStyle w:val="112"/>
        <w:spacing w:line="360" w:lineRule="auto"/>
        <w:ind w:left="0"/>
        <w:rPr>
          <w:rFonts w:ascii="仿宋" w:hAnsi="仿宋" w:eastAsia="仿宋" w:cs="仿宋"/>
          <w:color w:val="auto"/>
          <w:spacing w:val="-6"/>
          <w:sz w:val="24"/>
          <w:highlight w:val="none"/>
        </w:rPr>
      </w:pPr>
      <w:r>
        <w:rPr>
          <w:rFonts w:hint="eastAsia" w:ascii="仿宋" w:hAnsi="仿宋" w:eastAsia="仿宋" w:cs="仿宋"/>
          <w:b/>
          <w:bCs/>
          <w:color w:val="auto"/>
          <w:spacing w:val="-6"/>
          <w:szCs w:val="21"/>
          <w:highlight w:val="none"/>
        </w:rPr>
        <w:t>日期：     年   月   日</w:t>
      </w:r>
    </w:p>
    <w:p w14:paraId="484F17BC">
      <w:pPr>
        <w:adjustRightInd w:val="0"/>
        <w:snapToGrid w:val="0"/>
        <w:spacing w:line="288"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4A64813A">
      <w:pPr>
        <w:keepNext w:val="0"/>
        <w:keepLines w:val="0"/>
        <w:pageBreakBefore w:val="0"/>
        <w:kinsoku/>
        <w:wordWrap/>
        <w:overflowPunct/>
        <w:topLinePunct w:val="0"/>
        <w:autoSpaceDE/>
        <w:autoSpaceDN/>
        <w:bidi w:val="0"/>
        <w:spacing w:line="360" w:lineRule="auto"/>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14:paraId="03D3604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1E57992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1.</w:t>
      </w:r>
      <w:r>
        <w:rPr>
          <w:rFonts w:hint="eastAsia" w:ascii="仿宋" w:hAnsi="仿宋" w:eastAsia="仿宋" w:cs="仿宋"/>
          <w:b/>
          <w:color w:val="auto"/>
          <w:spacing w:val="-6"/>
          <w:sz w:val="18"/>
          <w:szCs w:val="18"/>
          <w:highlight w:val="none"/>
        </w:rPr>
        <w:t>产品制造商公开发布的印刷资料（官网材料、彩页、Datasheet）或由有关政府部门或检测机构合法出具的文件或报告、</w:t>
      </w:r>
      <w:r>
        <w:rPr>
          <w:rFonts w:hint="eastAsia" w:ascii="仿宋" w:hAnsi="仿宋" w:eastAsia="仿宋" w:cs="仿宋"/>
          <w:b/>
          <w:color w:val="auto"/>
          <w:spacing w:val="-6"/>
          <w:sz w:val="18"/>
          <w:szCs w:val="18"/>
          <w:highlight w:val="none"/>
          <w:lang w:val="en-US" w:eastAsia="zh-CN"/>
        </w:rPr>
        <w:t>硬件</w:t>
      </w:r>
      <w:r>
        <w:rPr>
          <w:rFonts w:hint="eastAsia" w:ascii="仿宋" w:hAnsi="仿宋" w:eastAsia="仿宋" w:cs="仿宋"/>
          <w:b/>
          <w:color w:val="auto"/>
          <w:spacing w:val="-6"/>
          <w:sz w:val="18"/>
          <w:szCs w:val="18"/>
          <w:highlight w:val="none"/>
        </w:rPr>
        <w:t>功能界面截图</w:t>
      </w:r>
      <w:r>
        <w:rPr>
          <w:rFonts w:hint="eastAsia" w:ascii="仿宋" w:hAnsi="仿宋" w:eastAsia="仿宋" w:cs="仿宋"/>
          <w:b/>
          <w:color w:val="auto"/>
          <w:spacing w:val="-6"/>
          <w:sz w:val="18"/>
          <w:szCs w:val="18"/>
          <w:highlight w:val="none"/>
          <w:lang w:eastAsia="zh-CN"/>
        </w:rPr>
        <w:t>、</w:t>
      </w:r>
      <w:r>
        <w:rPr>
          <w:rFonts w:hint="eastAsia" w:ascii="仿宋" w:hAnsi="仿宋" w:eastAsia="仿宋" w:cs="仿宋"/>
          <w:b/>
          <w:color w:val="auto"/>
          <w:spacing w:val="-6"/>
          <w:sz w:val="18"/>
          <w:szCs w:val="18"/>
          <w:highlight w:val="none"/>
          <w:lang w:val="en-US" w:eastAsia="zh-CN"/>
        </w:rPr>
        <w:t>软件</w:t>
      </w:r>
      <w:r>
        <w:rPr>
          <w:rFonts w:hint="eastAsia" w:ascii="仿宋" w:hAnsi="仿宋" w:eastAsia="仿宋" w:cs="仿宋"/>
          <w:b/>
          <w:color w:val="auto"/>
          <w:spacing w:val="-6"/>
          <w:sz w:val="18"/>
          <w:szCs w:val="18"/>
          <w:highlight w:val="none"/>
        </w:rPr>
        <w:t>功能界面截图等相关证明材料</w:t>
      </w:r>
    </w:p>
    <w:p w14:paraId="76FEBA5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安装调试方法或方案</w:t>
      </w:r>
    </w:p>
    <w:p w14:paraId="43BCDC23">
      <w:pPr>
        <w:keepNext w:val="0"/>
        <w:keepLines w:val="0"/>
        <w:pageBreakBefore w:val="0"/>
        <w:widowControl/>
        <w:kinsoku/>
        <w:wordWrap/>
        <w:overflowPunct/>
        <w:topLinePunct w:val="0"/>
        <w:autoSpaceDE/>
        <w:autoSpaceDN/>
        <w:bidi w:val="0"/>
        <w:adjustRightInd w:val="0"/>
        <w:snapToGrid w:val="0"/>
        <w:spacing w:line="360" w:lineRule="auto"/>
        <w:ind w:left="178" w:leftChars="85" w:firstLine="0" w:firstLineChars="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2.1 安装前准备阶段[安装调试计划（技术资料准备、安装流程、人员分工、时间节点等）、采购人现有环境（基础条件、环境参数、配套设施等）检查及改造方案等]</w:t>
      </w:r>
    </w:p>
    <w:p w14:paraId="1DFD88EF">
      <w:pPr>
        <w:keepNext w:val="0"/>
        <w:keepLines w:val="0"/>
        <w:pageBreakBefore w:val="0"/>
        <w:widowControl/>
        <w:kinsoku/>
        <w:wordWrap/>
        <w:overflowPunct/>
        <w:topLinePunct w:val="0"/>
        <w:autoSpaceDE/>
        <w:autoSpaceDN/>
        <w:bidi w:val="0"/>
        <w:adjustRightInd w:val="0"/>
        <w:snapToGrid w:val="0"/>
        <w:spacing w:line="360" w:lineRule="auto"/>
        <w:ind w:firstLine="169" w:firstLineChars="100"/>
        <w:jc w:val="left"/>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2.2 安装调试阶段（流程、标准、性能验证、文档移交等）</w:t>
      </w:r>
    </w:p>
    <w:p w14:paraId="009A5A4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3.</w:t>
      </w:r>
      <w:r>
        <w:rPr>
          <w:rFonts w:hint="eastAsia" w:ascii="仿宋" w:hAnsi="仿宋" w:eastAsia="仿宋" w:cs="仿宋"/>
          <w:b/>
          <w:color w:val="auto"/>
          <w:spacing w:val="-6"/>
          <w:sz w:val="18"/>
          <w:szCs w:val="18"/>
          <w:highlight w:val="none"/>
        </w:rPr>
        <w:t>日常运行及保养方案（</w:t>
      </w:r>
      <w:r>
        <w:rPr>
          <w:rFonts w:hint="eastAsia" w:ascii="仿宋" w:hAnsi="仿宋" w:eastAsia="仿宋" w:cs="仿宋"/>
          <w:b/>
          <w:color w:val="auto"/>
          <w:spacing w:val="-6"/>
          <w:sz w:val="18"/>
          <w:szCs w:val="18"/>
          <w:highlight w:val="none"/>
          <w:lang w:eastAsia="zh-CN"/>
        </w:rPr>
        <w:t>操作使用说明、日常维修保养说明、关键部件&amp;易损件&amp;耗材检查和更换周期等</w:t>
      </w:r>
      <w:r>
        <w:rPr>
          <w:rFonts w:hint="eastAsia" w:ascii="仿宋" w:hAnsi="仿宋" w:eastAsia="仿宋" w:cs="仿宋"/>
          <w:b/>
          <w:color w:val="auto"/>
          <w:spacing w:val="-6"/>
          <w:sz w:val="18"/>
          <w:szCs w:val="18"/>
          <w:highlight w:val="none"/>
        </w:rPr>
        <w:t>）</w:t>
      </w:r>
    </w:p>
    <w:p w14:paraId="01FA0D9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pacing w:val="-6"/>
          <w:sz w:val="24"/>
          <w:highlight w:val="none"/>
        </w:rPr>
      </w:pPr>
    </w:p>
    <w:p w14:paraId="7A0046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b/>
          <w:color w:val="auto"/>
          <w:spacing w:val="-6"/>
          <w:sz w:val="24"/>
          <w:highlight w:val="none"/>
        </w:rPr>
      </w:pPr>
    </w:p>
    <w:p w14:paraId="5C7359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培训计划</w:t>
      </w:r>
    </w:p>
    <w:p w14:paraId="5184FEC5">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24"/>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提供和编写（格式自拟），包括但不仅限于培训目标、培训对象、培训内容（理论知识、实操、维修保养等）、培训时间与地点、培训方式、培训师资、培训后跟进（效果跟踪、复训计划、技术支持等）等。</w:t>
      </w:r>
    </w:p>
    <w:p w14:paraId="4AB1CA25">
      <w:pP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126CDE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14:paraId="16ADBF04">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w:t>
      </w:r>
      <w:r>
        <w:rPr>
          <w:rFonts w:hint="eastAsia" w:ascii="仿宋" w:hAnsi="仿宋" w:eastAsia="仿宋" w:cs="仿宋"/>
          <w:b/>
          <w:color w:val="auto"/>
          <w:spacing w:val="-6"/>
          <w:sz w:val="18"/>
          <w:szCs w:val="18"/>
          <w:highlight w:val="none"/>
          <w:lang w:eastAsia="zh-CN"/>
        </w:rPr>
        <w:t>评分标准</w:t>
      </w:r>
      <w:r>
        <w:rPr>
          <w:rFonts w:hint="eastAsia" w:ascii="仿宋" w:hAnsi="仿宋" w:eastAsia="仿宋" w:cs="仿宋"/>
          <w:b/>
          <w:color w:val="auto"/>
          <w:spacing w:val="-6"/>
          <w:sz w:val="18"/>
          <w:szCs w:val="18"/>
          <w:highlight w:val="none"/>
        </w:rPr>
        <w:t>提供和编写（格式自拟），包括但不仅限于：</w:t>
      </w:r>
    </w:p>
    <w:p w14:paraId="3F0A01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1.售后服务体系</w:t>
      </w:r>
    </w:p>
    <w:p w14:paraId="076CBC8B">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1.1 </w:t>
      </w:r>
      <w:r>
        <w:rPr>
          <w:rFonts w:hint="eastAsia" w:ascii="仿宋" w:hAnsi="仿宋" w:eastAsia="仿宋" w:cs="仿宋"/>
          <w:b/>
          <w:color w:val="auto"/>
          <w:spacing w:val="-6"/>
          <w:sz w:val="18"/>
          <w:szCs w:val="18"/>
          <w:highlight w:val="none"/>
        </w:rPr>
        <w:t>售后服务团队（原厂及自有售后人员售后服务经验、技术能力等）</w:t>
      </w:r>
    </w:p>
    <w:p w14:paraId="05BEC2B4">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1.2 </w:t>
      </w:r>
      <w:r>
        <w:rPr>
          <w:rFonts w:hint="eastAsia" w:ascii="仿宋" w:hAnsi="仿宋" w:eastAsia="仿宋" w:cs="仿宋"/>
          <w:b/>
          <w:color w:val="auto"/>
          <w:spacing w:val="-6"/>
          <w:sz w:val="18"/>
          <w:szCs w:val="18"/>
          <w:highlight w:val="none"/>
        </w:rPr>
        <w:t>原厂及自有备品备件仓库</w:t>
      </w:r>
    </w:p>
    <w:p w14:paraId="2D5F5EA5">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 xml:space="preserve">1.3 </w:t>
      </w:r>
      <w:r>
        <w:rPr>
          <w:rFonts w:hint="eastAsia" w:ascii="仿宋" w:hAnsi="仿宋" w:eastAsia="仿宋" w:cs="仿宋"/>
          <w:b/>
          <w:color w:val="auto"/>
          <w:spacing w:val="-6"/>
          <w:sz w:val="18"/>
          <w:szCs w:val="18"/>
          <w:highlight w:val="none"/>
        </w:rPr>
        <w:t>退换货时效保障机制</w:t>
      </w:r>
    </w:p>
    <w:p w14:paraId="76FC1B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2.</w:t>
      </w:r>
      <w:r>
        <w:rPr>
          <w:rFonts w:hint="eastAsia" w:ascii="仿宋" w:hAnsi="仿宋" w:eastAsia="仿宋" w:cs="仿宋"/>
          <w:b/>
          <w:color w:val="auto"/>
          <w:spacing w:val="-6"/>
          <w:sz w:val="18"/>
          <w:szCs w:val="18"/>
          <w:highlight w:val="none"/>
        </w:rPr>
        <w:t>售后服务内容</w:t>
      </w:r>
    </w:p>
    <w:p w14:paraId="14469B18">
      <w:pPr>
        <w:keepNext w:val="0"/>
        <w:keepLines w:val="0"/>
        <w:pageBreakBefore w:val="0"/>
        <w:widowControl w:val="0"/>
        <w:kinsoku/>
        <w:wordWrap/>
        <w:overflowPunct/>
        <w:topLinePunct w:val="0"/>
        <w:autoSpaceDE/>
        <w:autoSpaceDN/>
        <w:bidi w:val="0"/>
        <w:adjustRightInd/>
        <w:snapToGrid/>
        <w:spacing w:line="360" w:lineRule="auto"/>
        <w:ind w:left="178" w:leftChars="85" w:firstLine="0" w:firstLineChars="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2.1 时效（响应时间、到达采购人现场时间、一般问题解决时间、重大问题或其它无法迅速解决的问题解决或提出明确的解决方案时间、备机提供到位时间等）</w:t>
      </w:r>
    </w:p>
    <w:p w14:paraId="5E9FB2F4">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2.2 质保期内免费的定期巡检及必要的维护保养指导等（频次、方式等）</w:t>
      </w:r>
    </w:p>
    <w:p w14:paraId="5B9DB84F">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2.3 质保期外有偿的维护保养（检查、故障排查、部件更换等）和个性化维护保养方案等及相应收费标准</w:t>
      </w:r>
    </w:p>
    <w:p w14:paraId="1D3A87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3.</w:t>
      </w:r>
      <w:r>
        <w:rPr>
          <w:rFonts w:hint="eastAsia" w:ascii="仿宋" w:hAnsi="仿宋" w:eastAsia="仿宋" w:cs="仿宋"/>
          <w:b/>
          <w:color w:val="auto"/>
          <w:spacing w:val="-6"/>
          <w:sz w:val="18"/>
          <w:szCs w:val="18"/>
          <w:highlight w:val="none"/>
        </w:rPr>
        <w:t>售后服务流程</w:t>
      </w:r>
    </w:p>
    <w:p w14:paraId="14178ACC">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3.1 售后接收处理和反馈（方式、具体步骤等）</w:t>
      </w:r>
    </w:p>
    <w:p w14:paraId="73DEE26A">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3.2 故障诊断及现场维修服务（具体步骤、服务标准等）</w:t>
      </w:r>
    </w:p>
    <w:p w14:paraId="13B30A6A">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3.3 反馈意见收集及定期回访（频次、方式、目的等）</w:t>
      </w:r>
    </w:p>
    <w:p w14:paraId="0855A0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lang w:val="en-US" w:eastAsia="zh-CN"/>
        </w:rPr>
        <w:t>4.</w:t>
      </w:r>
      <w:r>
        <w:rPr>
          <w:rFonts w:hint="eastAsia" w:ascii="仿宋" w:hAnsi="仿宋" w:eastAsia="仿宋" w:cs="仿宋"/>
          <w:b/>
          <w:color w:val="auto"/>
          <w:spacing w:val="-6"/>
          <w:sz w:val="18"/>
          <w:szCs w:val="18"/>
          <w:highlight w:val="none"/>
        </w:rPr>
        <w:t>日常反馈机制</w:t>
      </w:r>
    </w:p>
    <w:p w14:paraId="1113EEAE">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4.1 采购人满意度调查（方式、内容等）</w:t>
      </w:r>
    </w:p>
    <w:p w14:paraId="708D841B">
      <w:pPr>
        <w:keepNext w:val="0"/>
        <w:keepLines w:val="0"/>
        <w:pageBreakBefore w:val="0"/>
        <w:widowControl w:val="0"/>
        <w:kinsoku/>
        <w:wordWrap/>
        <w:overflowPunct/>
        <w:topLinePunct w:val="0"/>
        <w:autoSpaceDE/>
        <w:autoSpaceDN/>
        <w:bidi w:val="0"/>
        <w:adjustRightInd/>
        <w:snapToGrid/>
        <w:spacing w:line="360" w:lineRule="auto"/>
        <w:ind w:firstLine="169" w:firstLineChars="100"/>
        <w:textAlignment w:val="auto"/>
        <w:rPr>
          <w:rFonts w:hint="eastAsia" w:ascii="仿宋" w:hAnsi="仿宋" w:eastAsia="仿宋" w:cs="仿宋"/>
          <w:b/>
          <w:color w:val="auto"/>
          <w:spacing w:val="-6"/>
          <w:sz w:val="18"/>
          <w:szCs w:val="18"/>
          <w:highlight w:val="none"/>
          <w:lang w:val="en-US" w:eastAsia="zh-CN"/>
        </w:rPr>
      </w:pPr>
      <w:r>
        <w:rPr>
          <w:rFonts w:hint="eastAsia" w:ascii="仿宋" w:hAnsi="仿宋" w:eastAsia="仿宋" w:cs="仿宋"/>
          <w:b/>
          <w:color w:val="auto"/>
          <w:spacing w:val="-6"/>
          <w:sz w:val="18"/>
          <w:szCs w:val="18"/>
          <w:highlight w:val="none"/>
          <w:lang w:val="en-US" w:eastAsia="zh-CN"/>
        </w:rPr>
        <w:t>4.2 投诉处理（时效、处理团队、改进措施等）</w:t>
      </w:r>
    </w:p>
    <w:p w14:paraId="6E338D7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b/>
          <w:color w:val="auto"/>
          <w:spacing w:val="-6"/>
          <w:sz w:val="18"/>
          <w:szCs w:val="18"/>
          <w:highlight w:val="none"/>
          <w:lang w:val="en-US" w:eastAsia="zh-CN"/>
        </w:rPr>
        <w:t>5.</w:t>
      </w:r>
      <w:r>
        <w:rPr>
          <w:rFonts w:hint="eastAsia" w:ascii="仿宋" w:hAnsi="仿宋" w:eastAsia="仿宋" w:cs="仿宋"/>
          <w:b/>
          <w:color w:val="auto"/>
          <w:spacing w:val="-6"/>
          <w:sz w:val="18"/>
          <w:szCs w:val="18"/>
          <w:highlight w:val="none"/>
          <w:lang w:eastAsia="zh-CN"/>
        </w:rPr>
        <w:t>随机标准附件、备品备件、易损件、零配件、专用工具等</w:t>
      </w:r>
      <w:r>
        <w:rPr>
          <w:rFonts w:hint="eastAsia" w:ascii="仿宋" w:hAnsi="仿宋" w:eastAsia="仿宋" w:cs="仿宋"/>
          <w:b/>
          <w:color w:val="auto"/>
          <w:spacing w:val="-6"/>
          <w:sz w:val="18"/>
          <w:szCs w:val="18"/>
          <w:highlight w:val="none"/>
        </w:rPr>
        <w:t>保障措施</w:t>
      </w:r>
    </w:p>
    <w:p w14:paraId="184E7E12">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14:paraId="1319652D">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lang w:eastAsia="zh-CN"/>
        </w:rPr>
      </w:pPr>
      <w:r>
        <w:rPr>
          <w:rFonts w:hint="eastAsia" w:ascii="仿宋" w:hAnsi="仿宋" w:eastAsia="仿宋" w:cs="仿宋"/>
          <w:b/>
          <w:spacing w:val="-6"/>
          <w:sz w:val="24"/>
          <w:highlight w:val="none"/>
          <w:lang w:eastAsia="zh-CN"/>
        </w:rPr>
        <w:t>随机标准附件、备品备件、易损件、零配件、专用工具等</w:t>
      </w:r>
    </w:p>
    <w:p w14:paraId="0CDA3A08">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eastAsia" w:ascii="仿宋" w:hAnsi="仿宋" w:eastAsia="仿宋" w:cs="仿宋"/>
          <w:b/>
          <w:spacing w:val="-6"/>
          <w:sz w:val="21"/>
          <w:szCs w:val="21"/>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费用包含在投标总价内</w:t>
      </w:r>
      <w:r>
        <w:rPr>
          <w:rFonts w:hint="eastAsia" w:ascii="仿宋" w:hAnsi="仿宋" w:eastAsia="仿宋" w:cs="仿宋"/>
          <w:b/>
          <w:spacing w:val="-6"/>
          <w:sz w:val="21"/>
          <w:szCs w:val="21"/>
          <w:highlight w:val="none"/>
          <w:lang w:eastAsia="zh-CN"/>
        </w:rPr>
        <w:t>）</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7"/>
        <w:gridCol w:w="2222"/>
        <w:gridCol w:w="1386"/>
        <w:gridCol w:w="1388"/>
        <w:gridCol w:w="1093"/>
        <w:gridCol w:w="1416"/>
        <w:gridCol w:w="1416"/>
      </w:tblGrid>
      <w:tr w14:paraId="46CF5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11F9461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10644380">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1034B782">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4740F538">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2613C7A">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25F6FEB2">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0855CB19">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总价</w:t>
            </w:r>
            <w:r>
              <w:rPr>
                <w:rFonts w:hint="eastAsia" w:ascii="仿宋" w:hAnsi="仿宋" w:eastAsia="仿宋" w:cs="仿宋"/>
                <w:b/>
                <w:bCs/>
                <w:color w:val="auto"/>
                <w:szCs w:val="21"/>
                <w:highlight w:val="none"/>
              </w:rPr>
              <w:t>（元）</w:t>
            </w:r>
          </w:p>
        </w:tc>
      </w:tr>
      <w:tr w14:paraId="78C2E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44CB8550">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8B48F3C">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680405BF">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67B949A3">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35A8F034">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F4B476E">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11DBD1D4">
            <w:pPr>
              <w:jc w:val="center"/>
              <w:rPr>
                <w:rFonts w:ascii="仿宋" w:hAnsi="仿宋" w:eastAsia="仿宋" w:cs="仿宋"/>
                <w:b/>
                <w:bCs/>
                <w:color w:val="auto"/>
                <w:szCs w:val="21"/>
                <w:highlight w:val="none"/>
              </w:rPr>
            </w:pPr>
          </w:p>
        </w:tc>
      </w:tr>
      <w:tr w14:paraId="4A38A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239F6C42">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11F846C3">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7C615CA2">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37EF7263">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7D083558">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1F5263AD">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483DA3B8">
            <w:pPr>
              <w:jc w:val="center"/>
              <w:rPr>
                <w:rFonts w:ascii="仿宋" w:hAnsi="仿宋" w:eastAsia="仿宋" w:cs="仿宋"/>
                <w:b/>
                <w:bCs/>
                <w:color w:val="auto"/>
                <w:szCs w:val="21"/>
                <w:highlight w:val="none"/>
              </w:rPr>
            </w:pPr>
          </w:p>
        </w:tc>
      </w:tr>
      <w:tr w14:paraId="3CA97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648873F">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339155F">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4052F99">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6FDD40C8">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19A2F470">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2B7CC837">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C819CE4">
            <w:pPr>
              <w:jc w:val="center"/>
              <w:rPr>
                <w:rFonts w:ascii="仿宋" w:hAnsi="仿宋" w:eastAsia="仿宋" w:cs="仿宋"/>
                <w:b/>
                <w:bCs/>
                <w:color w:val="auto"/>
                <w:szCs w:val="21"/>
                <w:highlight w:val="none"/>
              </w:rPr>
            </w:pPr>
          </w:p>
        </w:tc>
      </w:tr>
      <w:tr w14:paraId="1D557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1A86D15E">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20815F78">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C15D863">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21E3B877">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4B0D5865">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B04CE5E">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0395021">
            <w:pPr>
              <w:jc w:val="center"/>
              <w:rPr>
                <w:rFonts w:ascii="仿宋" w:hAnsi="仿宋" w:eastAsia="仿宋" w:cs="仿宋"/>
                <w:b/>
                <w:bCs/>
                <w:color w:val="auto"/>
                <w:szCs w:val="21"/>
                <w:highlight w:val="none"/>
              </w:rPr>
            </w:pPr>
          </w:p>
        </w:tc>
      </w:tr>
      <w:tr w14:paraId="308D0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8011329">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38411154">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863C033">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0C075902">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55AD6E02">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65A47AB7">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49F713F0">
            <w:pPr>
              <w:jc w:val="center"/>
              <w:rPr>
                <w:rFonts w:ascii="仿宋" w:hAnsi="仿宋" w:eastAsia="仿宋" w:cs="仿宋"/>
                <w:b/>
                <w:bCs/>
                <w:color w:val="auto"/>
                <w:szCs w:val="21"/>
                <w:highlight w:val="none"/>
              </w:rPr>
            </w:pPr>
          </w:p>
        </w:tc>
      </w:tr>
      <w:tr w14:paraId="1B383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7F9A515B">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5F4217C">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34E312D">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06060BD7">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360E7CB8">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334EE867">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5EFF9E03">
            <w:pPr>
              <w:jc w:val="center"/>
              <w:rPr>
                <w:rFonts w:ascii="仿宋" w:hAnsi="仿宋" w:eastAsia="仿宋" w:cs="仿宋"/>
                <w:b/>
                <w:bCs/>
                <w:color w:val="auto"/>
                <w:szCs w:val="21"/>
                <w:highlight w:val="none"/>
              </w:rPr>
            </w:pPr>
          </w:p>
        </w:tc>
      </w:tr>
      <w:tr w14:paraId="3B6BF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49D44319">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47D33555">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1245C95">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EBA79A8">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0C79991">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C2A10BC">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58EE6B7B">
            <w:pPr>
              <w:jc w:val="center"/>
              <w:rPr>
                <w:rFonts w:ascii="仿宋" w:hAnsi="仿宋" w:eastAsia="仿宋" w:cs="仿宋"/>
                <w:b/>
                <w:bCs/>
                <w:color w:val="auto"/>
                <w:szCs w:val="21"/>
                <w:highlight w:val="none"/>
              </w:rPr>
            </w:pPr>
          </w:p>
        </w:tc>
      </w:tr>
      <w:tr w14:paraId="1CEDD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20B8714D">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0AE975B7">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773531EB">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3AB7EC18">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5851147">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2D20A78">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1201A0ED">
            <w:pPr>
              <w:jc w:val="center"/>
              <w:rPr>
                <w:rFonts w:ascii="仿宋" w:hAnsi="仿宋" w:eastAsia="仿宋" w:cs="仿宋"/>
                <w:b/>
                <w:bCs/>
                <w:color w:val="auto"/>
                <w:szCs w:val="21"/>
                <w:highlight w:val="none"/>
              </w:rPr>
            </w:pPr>
          </w:p>
        </w:tc>
      </w:tr>
      <w:tr w14:paraId="09240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656CCEF">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45A625DC">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D411AC2">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53846642">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77875756">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79EC755B">
            <w:pPr>
              <w:jc w:val="center"/>
              <w:rPr>
                <w:rFonts w:ascii="仿宋" w:hAnsi="仿宋" w:eastAsia="仿宋" w:cs="仿宋"/>
                <w:b/>
                <w:bCs/>
                <w:color w:val="auto"/>
                <w:szCs w:val="21"/>
                <w:highlight w:val="none"/>
              </w:rPr>
            </w:pPr>
          </w:p>
        </w:tc>
        <w:tc>
          <w:tcPr>
            <w:tcW w:w="735" w:type="pct"/>
            <w:tcBorders>
              <w:top w:val="single" w:color="auto" w:sz="4" w:space="0"/>
              <w:left w:val="single" w:color="auto" w:sz="4" w:space="0"/>
              <w:bottom w:val="single" w:color="auto" w:sz="4" w:space="0"/>
              <w:right w:val="single" w:color="auto" w:sz="4" w:space="0"/>
            </w:tcBorders>
            <w:shd w:val="clear" w:color="auto" w:fill="FFFFFF"/>
            <w:vAlign w:val="center"/>
          </w:tcPr>
          <w:p w14:paraId="5F178BFA">
            <w:pPr>
              <w:jc w:val="center"/>
              <w:rPr>
                <w:rFonts w:ascii="仿宋" w:hAnsi="仿宋" w:eastAsia="仿宋" w:cs="仿宋"/>
                <w:b/>
                <w:bCs/>
                <w:color w:val="auto"/>
                <w:szCs w:val="21"/>
                <w:highlight w:val="none"/>
              </w:rPr>
            </w:pPr>
          </w:p>
        </w:tc>
      </w:tr>
    </w:tbl>
    <w:p w14:paraId="3B050290">
      <w:pPr>
        <w:rPr>
          <w:rFonts w:hint="eastAsia" w:ascii="仿宋" w:hAnsi="仿宋" w:eastAsia="仿宋" w:cs="仿宋"/>
          <w:b/>
          <w:spacing w:val="-6"/>
          <w:sz w:val="24"/>
          <w:highlight w:val="none"/>
        </w:rPr>
      </w:pPr>
      <w:r>
        <w:rPr>
          <w:rFonts w:hint="eastAsia" w:ascii="仿宋" w:hAnsi="仿宋" w:eastAsia="仿宋" w:cs="仿宋"/>
          <w:b/>
          <w:spacing w:val="-6"/>
          <w:sz w:val="24"/>
          <w:highlight w:val="none"/>
        </w:rPr>
        <w:br w:type="page"/>
      </w:r>
    </w:p>
    <w:p w14:paraId="623DCAD4">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2"/>
        <w:rPr>
          <w:rFonts w:hint="eastAsia" w:ascii="仿宋" w:hAnsi="仿宋" w:eastAsia="仿宋" w:cs="仿宋"/>
          <w:b/>
          <w:spacing w:val="-6"/>
          <w:sz w:val="24"/>
          <w:highlight w:val="none"/>
        </w:rPr>
      </w:pPr>
      <w:r>
        <w:rPr>
          <w:rFonts w:hint="eastAsia" w:ascii="仿宋" w:hAnsi="仿宋" w:eastAsia="仿宋" w:cs="仿宋"/>
          <w:b/>
          <w:spacing w:val="-6"/>
          <w:sz w:val="24"/>
          <w:highlight w:val="none"/>
        </w:rPr>
        <w:t>所需选配件、维修配件、</w:t>
      </w:r>
      <w:r>
        <w:rPr>
          <w:rFonts w:hint="eastAsia" w:ascii="仿宋" w:hAnsi="仿宋" w:eastAsia="仿宋" w:cs="仿宋"/>
          <w:b/>
          <w:spacing w:val="-6"/>
          <w:sz w:val="24"/>
          <w:highlight w:val="none"/>
          <w:lang w:eastAsia="zh-CN"/>
        </w:rPr>
        <w:t>易耗件费用</w:t>
      </w:r>
      <w:r>
        <w:rPr>
          <w:rFonts w:hint="eastAsia" w:ascii="仿宋" w:hAnsi="仿宋" w:eastAsia="仿宋" w:cs="仿宋"/>
          <w:b/>
          <w:spacing w:val="-6"/>
          <w:sz w:val="24"/>
          <w:highlight w:val="none"/>
        </w:rPr>
        <w:t>一览表</w:t>
      </w:r>
    </w:p>
    <w:p w14:paraId="6660CB69">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9"/>
        <w:rPr>
          <w:rFonts w:hint="default" w:ascii="仿宋" w:hAnsi="仿宋" w:eastAsia="仿宋" w:cs="仿宋"/>
          <w:b/>
          <w:spacing w:val="-6"/>
          <w:sz w:val="24"/>
          <w:highlight w:val="none"/>
          <w:lang w:val="en-US" w:eastAsia="zh-CN"/>
        </w:rPr>
      </w:pPr>
      <w:r>
        <w:rPr>
          <w:rFonts w:hint="eastAsia" w:ascii="仿宋" w:hAnsi="仿宋" w:eastAsia="仿宋" w:cs="仿宋"/>
          <w:b/>
          <w:spacing w:val="-6"/>
          <w:sz w:val="21"/>
          <w:szCs w:val="21"/>
          <w:highlight w:val="none"/>
          <w:lang w:eastAsia="zh-CN"/>
        </w:rPr>
        <w:t>（</w:t>
      </w:r>
      <w:r>
        <w:rPr>
          <w:rFonts w:hint="eastAsia" w:ascii="仿宋" w:hAnsi="仿宋" w:eastAsia="仿宋" w:cs="仿宋"/>
          <w:b/>
          <w:spacing w:val="-6"/>
          <w:sz w:val="21"/>
          <w:szCs w:val="21"/>
          <w:highlight w:val="none"/>
          <w:lang w:val="en-US" w:eastAsia="zh-CN"/>
        </w:rPr>
        <w:t>费用不包含在投标总价内</w:t>
      </w:r>
      <w:r>
        <w:rPr>
          <w:rFonts w:hint="eastAsia" w:ascii="仿宋" w:hAnsi="仿宋" w:eastAsia="仿宋" w:cs="仿宋"/>
          <w:b/>
          <w:spacing w:val="-6"/>
          <w:sz w:val="21"/>
          <w:szCs w:val="21"/>
          <w:highlight w:val="none"/>
          <w:lang w:eastAsia="zh-CN"/>
        </w:rPr>
        <w:t>）</w:t>
      </w:r>
    </w:p>
    <w:tbl>
      <w:tblPr>
        <w:tblStyle w:val="2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6"/>
        <w:gridCol w:w="2220"/>
        <w:gridCol w:w="1385"/>
        <w:gridCol w:w="1386"/>
        <w:gridCol w:w="1092"/>
        <w:gridCol w:w="1227"/>
        <w:gridCol w:w="1612"/>
      </w:tblGrid>
      <w:tr w14:paraId="0869C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9C9E10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18FE8A8">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pacing w:val="-6"/>
                <w:szCs w:val="21"/>
                <w:highlight w:val="none"/>
                <w:lang w:val="en-US" w:eastAsia="zh-CN"/>
              </w:rPr>
              <w:t>名称</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6433BA2">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规格</w:t>
            </w: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D9A33B0">
            <w:pPr>
              <w:jc w:val="center"/>
              <w:rPr>
                <w:rFonts w:hint="default" w:ascii="仿宋" w:hAnsi="仿宋" w:eastAsia="仿宋" w:cs="仿宋"/>
                <w:b/>
                <w:bCs/>
                <w:color w:val="auto"/>
                <w:spacing w:val="-6"/>
                <w:szCs w:val="21"/>
                <w:highlight w:val="none"/>
                <w:lang w:val="en-US" w:eastAsia="zh-CN"/>
              </w:rPr>
            </w:pPr>
            <w:r>
              <w:rPr>
                <w:rFonts w:hint="eastAsia" w:ascii="仿宋" w:hAnsi="仿宋" w:eastAsia="仿宋" w:cs="仿宋"/>
                <w:b/>
                <w:bCs/>
                <w:color w:val="auto"/>
                <w:spacing w:val="-6"/>
                <w:szCs w:val="21"/>
                <w:highlight w:val="none"/>
                <w:lang w:val="en-US" w:eastAsia="zh-CN"/>
              </w:rPr>
              <w:t>用途</w:t>
            </w: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D6E8CDD">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pacing w:val="-6"/>
                <w:szCs w:val="21"/>
                <w:highlight w:val="none"/>
                <w:lang w:val="en-US" w:eastAsia="zh-CN"/>
              </w:rPr>
              <w:t>数量</w:t>
            </w: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7E4D969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单价（元）</w:t>
            </w: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3ABCEC0E">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购买折扣数（%）</w:t>
            </w:r>
          </w:p>
        </w:tc>
      </w:tr>
      <w:tr w14:paraId="451BE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3CEAD0EC">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6C25A7DD">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0C7D9F97">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353D2D56">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006F4690">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35C2F30D">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3281E210">
            <w:pPr>
              <w:jc w:val="center"/>
              <w:rPr>
                <w:rFonts w:ascii="仿宋" w:hAnsi="仿宋" w:eastAsia="仿宋" w:cs="仿宋"/>
                <w:b/>
                <w:bCs/>
                <w:color w:val="auto"/>
                <w:szCs w:val="21"/>
                <w:highlight w:val="none"/>
              </w:rPr>
            </w:pPr>
          </w:p>
        </w:tc>
      </w:tr>
      <w:tr w14:paraId="05241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870AA93">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291C6885">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046F34E">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2016400D">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3AFBDA06">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30E927F9">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7C9AA785">
            <w:pPr>
              <w:jc w:val="center"/>
              <w:rPr>
                <w:rFonts w:ascii="仿宋" w:hAnsi="仿宋" w:eastAsia="仿宋" w:cs="仿宋"/>
                <w:b/>
                <w:bCs/>
                <w:color w:val="auto"/>
                <w:szCs w:val="21"/>
                <w:highlight w:val="none"/>
              </w:rPr>
            </w:pPr>
          </w:p>
        </w:tc>
      </w:tr>
      <w:tr w14:paraId="0FFA7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3686A82C">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3EC5509">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110BFE14">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748A8BC6">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0EE8F4D2">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1B37AE58">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13D47C68">
            <w:pPr>
              <w:jc w:val="center"/>
              <w:rPr>
                <w:rFonts w:ascii="仿宋" w:hAnsi="仿宋" w:eastAsia="仿宋" w:cs="仿宋"/>
                <w:b/>
                <w:bCs/>
                <w:color w:val="auto"/>
                <w:szCs w:val="21"/>
                <w:highlight w:val="none"/>
              </w:rPr>
            </w:pPr>
          </w:p>
        </w:tc>
      </w:tr>
      <w:tr w14:paraId="5F5A5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82FAD56">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02643F34">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1D6A1960">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FF7A514">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28A43F27">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369ABD88">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6E85CEAB">
            <w:pPr>
              <w:jc w:val="center"/>
              <w:rPr>
                <w:rFonts w:ascii="仿宋" w:hAnsi="仿宋" w:eastAsia="仿宋" w:cs="仿宋"/>
                <w:b/>
                <w:bCs/>
                <w:color w:val="auto"/>
                <w:szCs w:val="21"/>
                <w:highlight w:val="none"/>
              </w:rPr>
            </w:pPr>
          </w:p>
        </w:tc>
      </w:tr>
      <w:tr w14:paraId="34BC2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A2DBC64">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7421A746">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4F1BF819">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109C1C8B">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2C7F9C98">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17BA0BCE">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31D21545">
            <w:pPr>
              <w:jc w:val="center"/>
              <w:rPr>
                <w:rFonts w:ascii="仿宋" w:hAnsi="仿宋" w:eastAsia="仿宋" w:cs="仿宋"/>
                <w:b/>
                <w:bCs/>
                <w:color w:val="auto"/>
                <w:szCs w:val="21"/>
                <w:highlight w:val="none"/>
              </w:rPr>
            </w:pPr>
          </w:p>
        </w:tc>
      </w:tr>
      <w:tr w14:paraId="570D4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3D9BA6F7">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0A0F4F2C">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47BF02EE">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31CCFCBA">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4724866D">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628CFF47">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40FA3BEB">
            <w:pPr>
              <w:jc w:val="center"/>
              <w:rPr>
                <w:rFonts w:ascii="仿宋" w:hAnsi="仿宋" w:eastAsia="仿宋" w:cs="仿宋"/>
                <w:b/>
                <w:bCs/>
                <w:color w:val="auto"/>
                <w:szCs w:val="21"/>
                <w:highlight w:val="none"/>
              </w:rPr>
            </w:pPr>
          </w:p>
        </w:tc>
      </w:tr>
      <w:tr w14:paraId="7C6FB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6D3BE8C2">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2FC63EA1">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E145863">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6583BA13">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5926D580">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700686E2">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46173723">
            <w:pPr>
              <w:jc w:val="center"/>
              <w:rPr>
                <w:rFonts w:ascii="仿宋" w:hAnsi="仿宋" w:eastAsia="仿宋" w:cs="仿宋"/>
                <w:b/>
                <w:bCs/>
                <w:color w:val="auto"/>
                <w:szCs w:val="21"/>
                <w:highlight w:val="none"/>
              </w:rPr>
            </w:pPr>
          </w:p>
        </w:tc>
      </w:tr>
      <w:tr w14:paraId="4184B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3F88C199">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5FF17165">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3D4A120F">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5011DA40">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13145CCB">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0ED3A6A3">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5995AA4D">
            <w:pPr>
              <w:jc w:val="center"/>
              <w:rPr>
                <w:rFonts w:ascii="仿宋" w:hAnsi="仿宋" w:eastAsia="仿宋" w:cs="仿宋"/>
                <w:b/>
                <w:bCs/>
                <w:color w:val="auto"/>
                <w:szCs w:val="21"/>
                <w:highlight w:val="none"/>
              </w:rPr>
            </w:pPr>
          </w:p>
        </w:tc>
      </w:tr>
      <w:tr w14:paraId="0DF6C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23B4A25">
            <w:pPr>
              <w:jc w:val="center"/>
              <w:rPr>
                <w:rFonts w:ascii="仿宋" w:hAnsi="仿宋" w:eastAsia="仿宋" w:cs="仿宋"/>
                <w:b/>
                <w:bCs/>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shd w:val="clear" w:color="auto" w:fill="auto"/>
            <w:vAlign w:val="center"/>
          </w:tcPr>
          <w:p w14:paraId="0CD6E24A">
            <w:pPr>
              <w:jc w:val="center"/>
              <w:rPr>
                <w:rFonts w:ascii="仿宋" w:hAnsi="仿宋" w:eastAsia="仿宋" w:cs="仿宋"/>
                <w:b/>
                <w:bCs/>
                <w:color w:val="auto"/>
                <w:szCs w:val="21"/>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2C76A9F9">
            <w:pPr>
              <w:jc w:val="center"/>
              <w:rPr>
                <w:rFonts w:ascii="仿宋" w:hAnsi="仿宋" w:eastAsia="仿宋" w:cs="仿宋"/>
                <w:b/>
                <w:bCs/>
                <w:color w:val="auto"/>
                <w:szCs w:val="21"/>
                <w:highlight w:val="none"/>
              </w:rPr>
            </w:pPr>
          </w:p>
        </w:tc>
        <w:tc>
          <w:tcPr>
            <w:tcW w:w="720" w:type="pct"/>
            <w:tcBorders>
              <w:top w:val="single" w:color="auto" w:sz="4" w:space="0"/>
              <w:left w:val="single" w:color="auto" w:sz="4" w:space="0"/>
              <w:bottom w:val="single" w:color="auto" w:sz="4" w:space="0"/>
              <w:right w:val="single" w:color="auto" w:sz="4" w:space="0"/>
            </w:tcBorders>
            <w:shd w:val="clear" w:color="auto" w:fill="auto"/>
            <w:vAlign w:val="center"/>
          </w:tcPr>
          <w:p w14:paraId="749FC36F">
            <w:pPr>
              <w:jc w:val="center"/>
              <w:rPr>
                <w:rFonts w:ascii="仿宋" w:hAnsi="仿宋" w:eastAsia="仿宋" w:cs="仿宋"/>
                <w:b/>
                <w:bCs/>
                <w:color w:val="auto"/>
                <w:szCs w:val="21"/>
                <w:highlight w:val="none"/>
              </w:rPr>
            </w:pPr>
          </w:p>
        </w:tc>
        <w:tc>
          <w:tcPr>
            <w:tcW w:w="567" w:type="pct"/>
            <w:tcBorders>
              <w:top w:val="single" w:color="auto" w:sz="4" w:space="0"/>
              <w:left w:val="single" w:color="auto" w:sz="4" w:space="0"/>
              <w:bottom w:val="single" w:color="auto" w:sz="4" w:space="0"/>
              <w:right w:val="single" w:color="auto" w:sz="4" w:space="0"/>
            </w:tcBorders>
            <w:shd w:val="clear" w:color="auto" w:fill="FFFFFF"/>
            <w:vAlign w:val="center"/>
          </w:tcPr>
          <w:p w14:paraId="681B1E09">
            <w:pPr>
              <w:jc w:val="center"/>
              <w:rPr>
                <w:rFonts w:ascii="仿宋" w:hAnsi="仿宋" w:eastAsia="仿宋" w:cs="仿宋"/>
                <w:b/>
                <w:bCs/>
                <w:color w:val="auto"/>
                <w:szCs w:val="21"/>
                <w:highlight w:val="none"/>
              </w:rPr>
            </w:pPr>
          </w:p>
        </w:tc>
        <w:tc>
          <w:tcPr>
            <w:tcW w:w="637" w:type="pct"/>
            <w:tcBorders>
              <w:top w:val="single" w:color="auto" w:sz="4" w:space="0"/>
              <w:left w:val="single" w:color="auto" w:sz="4" w:space="0"/>
              <w:bottom w:val="single" w:color="auto" w:sz="4" w:space="0"/>
              <w:right w:val="single" w:color="auto" w:sz="4" w:space="0"/>
            </w:tcBorders>
            <w:shd w:val="clear" w:color="auto" w:fill="FFFFFF"/>
            <w:vAlign w:val="center"/>
          </w:tcPr>
          <w:p w14:paraId="36BC744A">
            <w:pPr>
              <w:jc w:val="center"/>
              <w:rPr>
                <w:rFonts w:ascii="仿宋" w:hAnsi="仿宋" w:eastAsia="仿宋" w:cs="仿宋"/>
                <w:b/>
                <w:bCs/>
                <w:color w:val="auto"/>
                <w:szCs w:val="21"/>
                <w:highlight w:val="none"/>
              </w:rPr>
            </w:pPr>
          </w:p>
        </w:tc>
        <w:tc>
          <w:tcPr>
            <w:tcW w:w="834" w:type="pct"/>
            <w:tcBorders>
              <w:top w:val="single" w:color="auto" w:sz="4" w:space="0"/>
              <w:left w:val="single" w:color="auto" w:sz="4" w:space="0"/>
              <w:bottom w:val="single" w:color="auto" w:sz="4" w:space="0"/>
              <w:right w:val="single" w:color="auto" w:sz="4" w:space="0"/>
            </w:tcBorders>
            <w:shd w:val="clear" w:color="auto" w:fill="FFFFFF"/>
            <w:vAlign w:val="center"/>
          </w:tcPr>
          <w:p w14:paraId="6E07E858">
            <w:pPr>
              <w:jc w:val="center"/>
              <w:rPr>
                <w:rFonts w:ascii="仿宋" w:hAnsi="仿宋" w:eastAsia="仿宋" w:cs="仿宋"/>
                <w:b/>
                <w:bCs/>
                <w:color w:val="auto"/>
                <w:szCs w:val="21"/>
                <w:highlight w:val="none"/>
              </w:rPr>
            </w:pPr>
          </w:p>
        </w:tc>
      </w:tr>
      <w:tr w14:paraId="03341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0F47B7A8">
            <w:pPr>
              <w:keepNext w:val="0"/>
              <w:keepLines w:val="0"/>
              <w:pageBreakBefore w:val="0"/>
              <w:widowControl w:val="0"/>
              <w:kinsoku/>
              <w:wordWrap/>
              <w:overflowPunct/>
              <w:topLinePunct w:val="0"/>
              <w:autoSpaceDE/>
              <w:autoSpaceDN/>
              <w:bidi w:val="0"/>
              <w:adjustRightInd/>
              <w:snapToGrid w:val="0"/>
              <w:textAlignment w:val="auto"/>
              <w:rPr>
                <w:rFonts w:ascii="仿宋" w:hAnsi="仿宋" w:eastAsia="仿宋" w:cs="仿宋"/>
                <w:b/>
                <w:bCs/>
                <w:color w:val="auto"/>
                <w:szCs w:val="21"/>
                <w:highlight w:val="none"/>
              </w:rPr>
            </w:pPr>
            <w:r>
              <w:rPr>
                <w:rFonts w:hint="eastAsia" w:ascii="仿宋" w:hAnsi="仿宋" w:eastAsia="仿宋" w:cs="仿宋"/>
                <w:b/>
                <w:bCs/>
                <w:color w:val="auto"/>
                <w:sz w:val="18"/>
                <w:szCs w:val="18"/>
                <w:highlight w:val="none"/>
              </w:rPr>
              <w:t>说明：折扣数90%即9折</w:t>
            </w:r>
          </w:p>
        </w:tc>
      </w:tr>
    </w:tbl>
    <w:p w14:paraId="6EAA1ECB">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6F5880D7">
      <w:pPr>
        <w:spacing w:line="360" w:lineRule="auto"/>
        <w:jc w:val="center"/>
        <w:outlineLvl w:val="2"/>
        <w:rPr>
          <w:rFonts w:ascii="仿宋" w:hAnsi="仿宋" w:eastAsia="仿宋" w:cs="仿宋"/>
          <w:b/>
          <w:bCs/>
          <w:iCs/>
          <w:color w:val="auto"/>
          <w:spacing w:val="-6"/>
          <w:sz w:val="24"/>
          <w:highlight w:val="none"/>
        </w:rPr>
      </w:pPr>
      <w:r>
        <w:rPr>
          <w:rFonts w:hint="eastAsia" w:ascii="仿宋" w:hAnsi="仿宋" w:eastAsia="仿宋" w:cs="仿宋"/>
          <w:b/>
          <w:bCs/>
          <w:iCs/>
          <w:color w:val="auto"/>
          <w:spacing w:val="-6"/>
          <w:sz w:val="24"/>
          <w:highlight w:val="none"/>
          <w:lang w:val="en-US" w:eastAsia="zh-CN"/>
        </w:rPr>
        <w:t>项目团队</w:t>
      </w:r>
      <w:r>
        <w:rPr>
          <w:rFonts w:hint="eastAsia" w:ascii="仿宋" w:hAnsi="仿宋" w:eastAsia="仿宋" w:cs="仿宋"/>
          <w:b/>
          <w:bCs/>
          <w:iCs/>
          <w:color w:val="auto"/>
          <w:spacing w:val="-6"/>
          <w:sz w:val="24"/>
          <w:highlight w:val="none"/>
        </w:rPr>
        <w:t>人员一览表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991"/>
        <w:gridCol w:w="872"/>
        <w:gridCol w:w="873"/>
        <w:gridCol w:w="1186"/>
        <w:gridCol w:w="819"/>
        <w:gridCol w:w="2160"/>
      </w:tblGrid>
      <w:tr w14:paraId="2389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069015F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023" w:type="dxa"/>
            <w:vAlign w:val="center"/>
          </w:tcPr>
          <w:p w14:paraId="6EC10ABA">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姓名</w:t>
            </w:r>
          </w:p>
        </w:tc>
        <w:tc>
          <w:tcPr>
            <w:tcW w:w="1991" w:type="dxa"/>
            <w:vAlign w:val="center"/>
          </w:tcPr>
          <w:p w14:paraId="6CF74D4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本项目拟任岗位</w:t>
            </w:r>
          </w:p>
        </w:tc>
        <w:tc>
          <w:tcPr>
            <w:tcW w:w="872" w:type="dxa"/>
            <w:vAlign w:val="center"/>
          </w:tcPr>
          <w:p w14:paraId="7CE3E58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性别</w:t>
            </w:r>
          </w:p>
        </w:tc>
        <w:tc>
          <w:tcPr>
            <w:tcW w:w="873" w:type="dxa"/>
            <w:vAlign w:val="center"/>
          </w:tcPr>
          <w:p w14:paraId="0FAE695E">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年龄</w:t>
            </w:r>
          </w:p>
        </w:tc>
        <w:tc>
          <w:tcPr>
            <w:tcW w:w="1186" w:type="dxa"/>
            <w:vAlign w:val="center"/>
          </w:tcPr>
          <w:p w14:paraId="62D23B9B">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本岗年龄</w:t>
            </w:r>
          </w:p>
        </w:tc>
        <w:tc>
          <w:tcPr>
            <w:tcW w:w="819" w:type="dxa"/>
            <w:vAlign w:val="center"/>
          </w:tcPr>
          <w:p w14:paraId="15BB2D3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专业</w:t>
            </w:r>
          </w:p>
        </w:tc>
        <w:tc>
          <w:tcPr>
            <w:tcW w:w="2160" w:type="dxa"/>
            <w:vAlign w:val="center"/>
          </w:tcPr>
          <w:p w14:paraId="6CD6A524">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具有的资质证书</w:t>
            </w:r>
          </w:p>
        </w:tc>
      </w:tr>
      <w:tr w14:paraId="0D6D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28329BD">
            <w:pPr>
              <w:jc w:val="center"/>
              <w:rPr>
                <w:rFonts w:ascii="仿宋" w:hAnsi="仿宋" w:eastAsia="仿宋" w:cs="仿宋"/>
                <w:color w:val="auto"/>
                <w:szCs w:val="21"/>
                <w:highlight w:val="none"/>
              </w:rPr>
            </w:pPr>
          </w:p>
        </w:tc>
        <w:tc>
          <w:tcPr>
            <w:tcW w:w="1023" w:type="dxa"/>
            <w:vAlign w:val="center"/>
          </w:tcPr>
          <w:p w14:paraId="544C41A2">
            <w:pPr>
              <w:jc w:val="center"/>
              <w:rPr>
                <w:rFonts w:ascii="仿宋" w:hAnsi="仿宋" w:eastAsia="仿宋" w:cs="仿宋"/>
                <w:color w:val="auto"/>
                <w:szCs w:val="21"/>
                <w:highlight w:val="none"/>
              </w:rPr>
            </w:pPr>
          </w:p>
        </w:tc>
        <w:tc>
          <w:tcPr>
            <w:tcW w:w="1991" w:type="dxa"/>
            <w:vAlign w:val="center"/>
          </w:tcPr>
          <w:p w14:paraId="01A0D8A6">
            <w:pPr>
              <w:jc w:val="center"/>
              <w:rPr>
                <w:rFonts w:ascii="仿宋" w:hAnsi="仿宋" w:eastAsia="仿宋" w:cs="仿宋"/>
                <w:color w:val="auto"/>
                <w:szCs w:val="21"/>
                <w:highlight w:val="none"/>
              </w:rPr>
            </w:pPr>
          </w:p>
        </w:tc>
        <w:tc>
          <w:tcPr>
            <w:tcW w:w="872" w:type="dxa"/>
            <w:vAlign w:val="center"/>
          </w:tcPr>
          <w:p w14:paraId="4FDFD2F5">
            <w:pPr>
              <w:jc w:val="center"/>
              <w:rPr>
                <w:rFonts w:ascii="仿宋" w:hAnsi="仿宋" w:eastAsia="仿宋" w:cs="仿宋"/>
                <w:color w:val="auto"/>
                <w:szCs w:val="21"/>
                <w:highlight w:val="none"/>
              </w:rPr>
            </w:pPr>
          </w:p>
        </w:tc>
        <w:tc>
          <w:tcPr>
            <w:tcW w:w="873" w:type="dxa"/>
            <w:vAlign w:val="center"/>
          </w:tcPr>
          <w:p w14:paraId="5D6B62B4">
            <w:pPr>
              <w:jc w:val="center"/>
              <w:rPr>
                <w:rFonts w:ascii="仿宋" w:hAnsi="仿宋" w:eastAsia="仿宋" w:cs="仿宋"/>
                <w:color w:val="auto"/>
                <w:szCs w:val="21"/>
                <w:highlight w:val="none"/>
              </w:rPr>
            </w:pPr>
          </w:p>
        </w:tc>
        <w:tc>
          <w:tcPr>
            <w:tcW w:w="1186" w:type="dxa"/>
            <w:vAlign w:val="center"/>
          </w:tcPr>
          <w:p w14:paraId="06079E91">
            <w:pPr>
              <w:jc w:val="center"/>
              <w:rPr>
                <w:rFonts w:ascii="仿宋" w:hAnsi="仿宋" w:eastAsia="仿宋" w:cs="仿宋"/>
                <w:color w:val="auto"/>
                <w:szCs w:val="21"/>
                <w:highlight w:val="none"/>
              </w:rPr>
            </w:pPr>
          </w:p>
        </w:tc>
        <w:tc>
          <w:tcPr>
            <w:tcW w:w="819" w:type="dxa"/>
            <w:vAlign w:val="center"/>
          </w:tcPr>
          <w:p w14:paraId="4CAA0CBE">
            <w:pPr>
              <w:jc w:val="center"/>
              <w:rPr>
                <w:rFonts w:ascii="仿宋" w:hAnsi="仿宋" w:eastAsia="仿宋" w:cs="仿宋"/>
                <w:color w:val="auto"/>
                <w:szCs w:val="21"/>
                <w:highlight w:val="none"/>
              </w:rPr>
            </w:pPr>
          </w:p>
        </w:tc>
        <w:tc>
          <w:tcPr>
            <w:tcW w:w="2160" w:type="dxa"/>
            <w:vAlign w:val="center"/>
          </w:tcPr>
          <w:p w14:paraId="1AC92109">
            <w:pPr>
              <w:jc w:val="center"/>
              <w:rPr>
                <w:rFonts w:ascii="仿宋" w:hAnsi="仿宋" w:eastAsia="仿宋" w:cs="仿宋"/>
                <w:color w:val="auto"/>
                <w:szCs w:val="21"/>
                <w:highlight w:val="none"/>
              </w:rPr>
            </w:pPr>
          </w:p>
        </w:tc>
      </w:tr>
      <w:tr w14:paraId="0377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69B70F57">
            <w:pPr>
              <w:jc w:val="center"/>
              <w:rPr>
                <w:rFonts w:ascii="仿宋" w:hAnsi="仿宋" w:eastAsia="仿宋" w:cs="仿宋"/>
                <w:color w:val="auto"/>
                <w:szCs w:val="21"/>
                <w:highlight w:val="none"/>
              </w:rPr>
            </w:pPr>
          </w:p>
        </w:tc>
        <w:tc>
          <w:tcPr>
            <w:tcW w:w="1023" w:type="dxa"/>
            <w:vAlign w:val="center"/>
          </w:tcPr>
          <w:p w14:paraId="0F5AA41E">
            <w:pPr>
              <w:jc w:val="center"/>
              <w:rPr>
                <w:rFonts w:ascii="仿宋" w:hAnsi="仿宋" w:eastAsia="仿宋" w:cs="仿宋"/>
                <w:color w:val="auto"/>
                <w:szCs w:val="21"/>
                <w:highlight w:val="none"/>
              </w:rPr>
            </w:pPr>
          </w:p>
        </w:tc>
        <w:tc>
          <w:tcPr>
            <w:tcW w:w="1991" w:type="dxa"/>
            <w:vAlign w:val="center"/>
          </w:tcPr>
          <w:p w14:paraId="4B043FFA">
            <w:pPr>
              <w:jc w:val="center"/>
              <w:rPr>
                <w:rFonts w:ascii="仿宋" w:hAnsi="仿宋" w:eastAsia="仿宋" w:cs="仿宋"/>
                <w:color w:val="auto"/>
                <w:szCs w:val="21"/>
                <w:highlight w:val="none"/>
              </w:rPr>
            </w:pPr>
          </w:p>
        </w:tc>
        <w:tc>
          <w:tcPr>
            <w:tcW w:w="872" w:type="dxa"/>
            <w:vAlign w:val="center"/>
          </w:tcPr>
          <w:p w14:paraId="4013450B">
            <w:pPr>
              <w:jc w:val="center"/>
              <w:rPr>
                <w:rFonts w:ascii="仿宋" w:hAnsi="仿宋" w:eastAsia="仿宋" w:cs="仿宋"/>
                <w:color w:val="auto"/>
                <w:szCs w:val="21"/>
                <w:highlight w:val="none"/>
              </w:rPr>
            </w:pPr>
          </w:p>
        </w:tc>
        <w:tc>
          <w:tcPr>
            <w:tcW w:w="873" w:type="dxa"/>
            <w:vAlign w:val="center"/>
          </w:tcPr>
          <w:p w14:paraId="7CCFFC38">
            <w:pPr>
              <w:jc w:val="center"/>
              <w:rPr>
                <w:rFonts w:ascii="仿宋" w:hAnsi="仿宋" w:eastAsia="仿宋" w:cs="仿宋"/>
                <w:color w:val="auto"/>
                <w:szCs w:val="21"/>
                <w:highlight w:val="none"/>
              </w:rPr>
            </w:pPr>
          </w:p>
        </w:tc>
        <w:tc>
          <w:tcPr>
            <w:tcW w:w="1186" w:type="dxa"/>
            <w:vAlign w:val="center"/>
          </w:tcPr>
          <w:p w14:paraId="3B742533">
            <w:pPr>
              <w:jc w:val="center"/>
              <w:rPr>
                <w:rFonts w:ascii="仿宋" w:hAnsi="仿宋" w:eastAsia="仿宋" w:cs="仿宋"/>
                <w:color w:val="auto"/>
                <w:szCs w:val="21"/>
                <w:highlight w:val="none"/>
              </w:rPr>
            </w:pPr>
          </w:p>
        </w:tc>
        <w:tc>
          <w:tcPr>
            <w:tcW w:w="819" w:type="dxa"/>
            <w:vAlign w:val="center"/>
          </w:tcPr>
          <w:p w14:paraId="03181A94">
            <w:pPr>
              <w:jc w:val="center"/>
              <w:rPr>
                <w:rFonts w:ascii="仿宋" w:hAnsi="仿宋" w:eastAsia="仿宋" w:cs="仿宋"/>
                <w:color w:val="auto"/>
                <w:szCs w:val="21"/>
                <w:highlight w:val="none"/>
              </w:rPr>
            </w:pPr>
          </w:p>
        </w:tc>
        <w:tc>
          <w:tcPr>
            <w:tcW w:w="2160" w:type="dxa"/>
            <w:vAlign w:val="center"/>
          </w:tcPr>
          <w:p w14:paraId="5ADB4107">
            <w:pPr>
              <w:jc w:val="center"/>
              <w:rPr>
                <w:rFonts w:ascii="仿宋" w:hAnsi="仿宋" w:eastAsia="仿宋" w:cs="仿宋"/>
                <w:color w:val="auto"/>
                <w:szCs w:val="21"/>
                <w:highlight w:val="none"/>
              </w:rPr>
            </w:pPr>
          </w:p>
        </w:tc>
      </w:tr>
      <w:tr w14:paraId="0C6F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1F9A7E74">
            <w:pPr>
              <w:jc w:val="center"/>
              <w:rPr>
                <w:rFonts w:ascii="仿宋" w:hAnsi="仿宋" w:eastAsia="仿宋" w:cs="仿宋"/>
                <w:color w:val="auto"/>
                <w:szCs w:val="21"/>
                <w:highlight w:val="none"/>
              </w:rPr>
            </w:pPr>
          </w:p>
        </w:tc>
        <w:tc>
          <w:tcPr>
            <w:tcW w:w="1023" w:type="dxa"/>
            <w:vAlign w:val="center"/>
          </w:tcPr>
          <w:p w14:paraId="2B57ABD0">
            <w:pPr>
              <w:jc w:val="center"/>
              <w:rPr>
                <w:rFonts w:ascii="仿宋" w:hAnsi="仿宋" w:eastAsia="仿宋" w:cs="仿宋"/>
                <w:color w:val="auto"/>
                <w:szCs w:val="21"/>
                <w:highlight w:val="none"/>
              </w:rPr>
            </w:pPr>
          </w:p>
        </w:tc>
        <w:tc>
          <w:tcPr>
            <w:tcW w:w="1991" w:type="dxa"/>
            <w:vAlign w:val="center"/>
          </w:tcPr>
          <w:p w14:paraId="346D09AF">
            <w:pPr>
              <w:jc w:val="center"/>
              <w:rPr>
                <w:rFonts w:ascii="仿宋" w:hAnsi="仿宋" w:eastAsia="仿宋" w:cs="仿宋"/>
                <w:color w:val="auto"/>
                <w:szCs w:val="21"/>
                <w:highlight w:val="none"/>
              </w:rPr>
            </w:pPr>
          </w:p>
        </w:tc>
        <w:tc>
          <w:tcPr>
            <w:tcW w:w="872" w:type="dxa"/>
            <w:vAlign w:val="center"/>
          </w:tcPr>
          <w:p w14:paraId="027088C8">
            <w:pPr>
              <w:jc w:val="center"/>
              <w:rPr>
                <w:rFonts w:ascii="仿宋" w:hAnsi="仿宋" w:eastAsia="仿宋" w:cs="仿宋"/>
                <w:color w:val="auto"/>
                <w:szCs w:val="21"/>
                <w:highlight w:val="none"/>
              </w:rPr>
            </w:pPr>
          </w:p>
        </w:tc>
        <w:tc>
          <w:tcPr>
            <w:tcW w:w="873" w:type="dxa"/>
            <w:vAlign w:val="center"/>
          </w:tcPr>
          <w:p w14:paraId="305AB93A">
            <w:pPr>
              <w:jc w:val="center"/>
              <w:rPr>
                <w:rFonts w:ascii="仿宋" w:hAnsi="仿宋" w:eastAsia="仿宋" w:cs="仿宋"/>
                <w:color w:val="auto"/>
                <w:szCs w:val="21"/>
                <w:highlight w:val="none"/>
              </w:rPr>
            </w:pPr>
          </w:p>
        </w:tc>
        <w:tc>
          <w:tcPr>
            <w:tcW w:w="1186" w:type="dxa"/>
            <w:vAlign w:val="center"/>
          </w:tcPr>
          <w:p w14:paraId="5748C356">
            <w:pPr>
              <w:jc w:val="center"/>
              <w:rPr>
                <w:rFonts w:ascii="仿宋" w:hAnsi="仿宋" w:eastAsia="仿宋" w:cs="仿宋"/>
                <w:color w:val="auto"/>
                <w:szCs w:val="21"/>
                <w:highlight w:val="none"/>
              </w:rPr>
            </w:pPr>
          </w:p>
        </w:tc>
        <w:tc>
          <w:tcPr>
            <w:tcW w:w="819" w:type="dxa"/>
            <w:vAlign w:val="center"/>
          </w:tcPr>
          <w:p w14:paraId="33337BBE">
            <w:pPr>
              <w:jc w:val="center"/>
              <w:rPr>
                <w:rFonts w:ascii="仿宋" w:hAnsi="仿宋" w:eastAsia="仿宋" w:cs="仿宋"/>
                <w:color w:val="auto"/>
                <w:szCs w:val="21"/>
                <w:highlight w:val="none"/>
              </w:rPr>
            </w:pPr>
          </w:p>
        </w:tc>
        <w:tc>
          <w:tcPr>
            <w:tcW w:w="2160" w:type="dxa"/>
            <w:vAlign w:val="center"/>
          </w:tcPr>
          <w:p w14:paraId="6D30A32C">
            <w:pPr>
              <w:jc w:val="center"/>
              <w:rPr>
                <w:rFonts w:ascii="仿宋" w:hAnsi="仿宋" w:eastAsia="仿宋" w:cs="仿宋"/>
                <w:color w:val="auto"/>
                <w:szCs w:val="21"/>
                <w:highlight w:val="none"/>
              </w:rPr>
            </w:pPr>
          </w:p>
        </w:tc>
      </w:tr>
      <w:tr w14:paraId="30C8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7C6A9912">
            <w:pPr>
              <w:jc w:val="center"/>
              <w:rPr>
                <w:rFonts w:ascii="仿宋" w:hAnsi="仿宋" w:eastAsia="仿宋" w:cs="仿宋"/>
                <w:color w:val="auto"/>
                <w:szCs w:val="21"/>
                <w:highlight w:val="none"/>
              </w:rPr>
            </w:pPr>
          </w:p>
        </w:tc>
        <w:tc>
          <w:tcPr>
            <w:tcW w:w="1023" w:type="dxa"/>
            <w:vAlign w:val="center"/>
          </w:tcPr>
          <w:p w14:paraId="61D24386">
            <w:pPr>
              <w:jc w:val="center"/>
              <w:rPr>
                <w:rFonts w:ascii="仿宋" w:hAnsi="仿宋" w:eastAsia="仿宋" w:cs="仿宋"/>
                <w:color w:val="auto"/>
                <w:szCs w:val="21"/>
                <w:highlight w:val="none"/>
              </w:rPr>
            </w:pPr>
          </w:p>
        </w:tc>
        <w:tc>
          <w:tcPr>
            <w:tcW w:w="1991" w:type="dxa"/>
            <w:vAlign w:val="center"/>
          </w:tcPr>
          <w:p w14:paraId="77639034">
            <w:pPr>
              <w:jc w:val="center"/>
              <w:rPr>
                <w:rFonts w:ascii="仿宋" w:hAnsi="仿宋" w:eastAsia="仿宋" w:cs="仿宋"/>
                <w:color w:val="auto"/>
                <w:szCs w:val="21"/>
                <w:highlight w:val="none"/>
              </w:rPr>
            </w:pPr>
          </w:p>
        </w:tc>
        <w:tc>
          <w:tcPr>
            <w:tcW w:w="872" w:type="dxa"/>
            <w:vAlign w:val="center"/>
          </w:tcPr>
          <w:p w14:paraId="4B41A2F3">
            <w:pPr>
              <w:jc w:val="center"/>
              <w:rPr>
                <w:rFonts w:ascii="仿宋" w:hAnsi="仿宋" w:eastAsia="仿宋" w:cs="仿宋"/>
                <w:color w:val="auto"/>
                <w:szCs w:val="21"/>
                <w:highlight w:val="none"/>
              </w:rPr>
            </w:pPr>
          </w:p>
        </w:tc>
        <w:tc>
          <w:tcPr>
            <w:tcW w:w="873" w:type="dxa"/>
            <w:vAlign w:val="center"/>
          </w:tcPr>
          <w:p w14:paraId="415A182B">
            <w:pPr>
              <w:jc w:val="center"/>
              <w:rPr>
                <w:rFonts w:ascii="仿宋" w:hAnsi="仿宋" w:eastAsia="仿宋" w:cs="仿宋"/>
                <w:color w:val="auto"/>
                <w:szCs w:val="21"/>
                <w:highlight w:val="none"/>
              </w:rPr>
            </w:pPr>
          </w:p>
        </w:tc>
        <w:tc>
          <w:tcPr>
            <w:tcW w:w="1186" w:type="dxa"/>
            <w:vAlign w:val="center"/>
          </w:tcPr>
          <w:p w14:paraId="088F265F">
            <w:pPr>
              <w:jc w:val="center"/>
              <w:rPr>
                <w:rFonts w:ascii="仿宋" w:hAnsi="仿宋" w:eastAsia="仿宋" w:cs="仿宋"/>
                <w:color w:val="auto"/>
                <w:szCs w:val="21"/>
                <w:highlight w:val="none"/>
              </w:rPr>
            </w:pPr>
          </w:p>
        </w:tc>
        <w:tc>
          <w:tcPr>
            <w:tcW w:w="819" w:type="dxa"/>
            <w:vAlign w:val="center"/>
          </w:tcPr>
          <w:p w14:paraId="65788180">
            <w:pPr>
              <w:jc w:val="center"/>
              <w:rPr>
                <w:rFonts w:ascii="仿宋" w:hAnsi="仿宋" w:eastAsia="仿宋" w:cs="仿宋"/>
                <w:color w:val="auto"/>
                <w:szCs w:val="21"/>
                <w:highlight w:val="none"/>
              </w:rPr>
            </w:pPr>
          </w:p>
        </w:tc>
        <w:tc>
          <w:tcPr>
            <w:tcW w:w="2160" w:type="dxa"/>
            <w:vAlign w:val="center"/>
          </w:tcPr>
          <w:p w14:paraId="670F8B30">
            <w:pPr>
              <w:jc w:val="center"/>
              <w:rPr>
                <w:rFonts w:ascii="仿宋" w:hAnsi="仿宋" w:eastAsia="仿宋" w:cs="仿宋"/>
                <w:color w:val="auto"/>
                <w:szCs w:val="21"/>
                <w:highlight w:val="none"/>
              </w:rPr>
            </w:pPr>
          </w:p>
        </w:tc>
      </w:tr>
      <w:tr w14:paraId="1A74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7F9CE764">
            <w:pPr>
              <w:jc w:val="center"/>
              <w:rPr>
                <w:rFonts w:ascii="仿宋" w:hAnsi="仿宋" w:eastAsia="仿宋" w:cs="仿宋"/>
                <w:color w:val="auto"/>
                <w:szCs w:val="21"/>
                <w:highlight w:val="none"/>
              </w:rPr>
            </w:pPr>
          </w:p>
        </w:tc>
        <w:tc>
          <w:tcPr>
            <w:tcW w:w="1023" w:type="dxa"/>
            <w:vAlign w:val="center"/>
          </w:tcPr>
          <w:p w14:paraId="26EE3395">
            <w:pPr>
              <w:jc w:val="center"/>
              <w:rPr>
                <w:rFonts w:ascii="仿宋" w:hAnsi="仿宋" w:eastAsia="仿宋" w:cs="仿宋"/>
                <w:color w:val="auto"/>
                <w:szCs w:val="21"/>
                <w:highlight w:val="none"/>
              </w:rPr>
            </w:pPr>
          </w:p>
        </w:tc>
        <w:tc>
          <w:tcPr>
            <w:tcW w:w="1991" w:type="dxa"/>
            <w:vAlign w:val="center"/>
          </w:tcPr>
          <w:p w14:paraId="1CE21DC7">
            <w:pPr>
              <w:jc w:val="center"/>
              <w:rPr>
                <w:rFonts w:ascii="仿宋" w:hAnsi="仿宋" w:eastAsia="仿宋" w:cs="仿宋"/>
                <w:color w:val="auto"/>
                <w:szCs w:val="21"/>
                <w:highlight w:val="none"/>
              </w:rPr>
            </w:pPr>
          </w:p>
        </w:tc>
        <w:tc>
          <w:tcPr>
            <w:tcW w:w="872" w:type="dxa"/>
            <w:vAlign w:val="center"/>
          </w:tcPr>
          <w:p w14:paraId="1DC904B8">
            <w:pPr>
              <w:jc w:val="center"/>
              <w:rPr>
                <w:rFonts w:ascii="仿宋" w:hAnsi="仿宋" w:eastAsia="仿宋" w:cs="仿宋"/>
                <w:color w:val="auto"/>
                <w:szCs w:val="21"/>
                <w:highlight w:val="none"/>
              </w:rPr>
            </w:pPr>
          </w:p>
        </w:tc>
        <w:tc>
          <w:tcPr>
            <w:tcW w:w="873" w:type="dxa"/>
            <w:vAlign w:val="center"/>
          </w:tcPr>
          <w:p w14:paraId="3C61F638">
            <w:pPr>
              <w:jc w:val="center"/>
              <w:rPr>
                <w:rFonts w:ascii="仿宋" w:hAnsi="仿宋" w:eastAsia="仿宋" w:cs="仿宋"/>
                <w:color w:val="auto"/>
                <w:szCs w:val="21"/>
                <w:highlight w:val="none"/>
              </w:rPr>
            </w:pPr>
          </w:p>
        </w:tc>
        <w:tc>
          <w:tcPr>
            <w:tcW w:w="1186" w:type="dxa"/>
            <w:vAlign w:val="center"/>
          </w:tcPr>
          <w:p w14:paraId="2149AA05">
            <w:pPr>
              <w:jc w:val="center"/>
              <w:rPr>
                <w:rFonts w:ascii="仿宋" w:hAnsi="仿宋" w:eastAsia="仿宋" w:cs="仿宋"/>
                <w:color w:val="auto"/>
                <w:szCs w:val="21"/>
                <w:highlight w:val="none"/>
              </w:rPr>
            </w:pPr>
          </w:p>
        </w:tc>
        <w:tc>
          <w:tcPr>
            <w:tcW w:w="819" w:type="dxa"/>
            <w:vAlign w:val="center"/>
          </w:tcPr>
          <w:p w14:paraId="35F14AFB">
            <w:pPr>
              <w:jc w:val="center"/>
              <w:rPr>
                <w:rFonts w:ascii="仿宋" w:hAnsi="仿宋" w:eastAsia="仿宋" w:cs="仿宋"/>
                <w:color w:val="auto"/>
                <w:szCs w:val="21"/>
                <w:highlight w:val="none"/>
              </w:rPr>
            </w:pPr>
          </w:p>
        </w:tc>
        <w:tc>
          <w:tcPr>
            <w:tcW w:w="2160" w:type="dxa"/>
            <w:vAlign w:val="center"/>
          </w:tcPr>
          <w:p w14:paraId="275CF69C">
            <w:pPr>
              <w:jc w:val="center"/>
              <w:rPr>
                <w:rFonts w:ascii="仿宋" w:hAnsi="仿宋" w:eastAsia="仿宋" w:cs="仿宋"/>
                <w:color w:val="auto"/>
                <w:szCs w:val="21"/>
                <w:highlight w:val="none"/>
              </w:rPr>
            </w:pPr>
          </w:p>
        </w:tc>
      </w:tr>
      <w:tr w14:paraId="02E7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14:paraId="4AF9D5AB">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023" w:type="dxa"/>
            <w:vAlign w:val="center"/>
          </w:tcPr>
          <w:p w14:paraId="4E785F73">
            <w:pPr>
              <w:jc w:val="center"/>
              <w:rPr>
                <w:rFonts w:ascii="仿宋" w:hAnsi="仿宋" w:eastAsia="仿宋" w:cs="仿宋"/>
                <w:color w:val="auto"/>
                <w:szCs w:val="21"/>
                <w:highlight w:val="none"/>
              </w:rPr>
            </w:pPr>
          </w:p>
        </w:tc>
        <w:tc>
          <w:tcPr>
            <w:tcW w:w="1991" w:type="dxa"/>
            <w:vAlign w:val="center"/>
          </w:tcPr>
          <w:p w14:paraId="15020E7A">
            <w:pPr>
              <w:jc w:val="center"/>
              <w:rPr>
                <w:rFonts w:ascii="仿宋" w:hAnsi="仿宋" w:eastAsia="仿宋" w:cs="仿宋"/>
                <w:color w:val="auto"/>
                <w:szCs w:val="21"/>
                <w:highlight w:val="none"/>
              </w:rPr>
            </w:pPr>
          </w:p>
        </w:tc>
        <w:tc>
          <w:tcPr>
            <w:tcW w:w="872" w:type="dxa"/>
            <w:vAlign w:val="center"/>
          </w:tcPr>
          <w:p w14:paraId="00518389">
            <w:pPr>
              <w:jc w:val="center"/>
              <w:rPr>
                <w:rFonts w:ascii="仿宋" w:hAnsi="仿宋" w:eastAsia="仿宋" w:cs="仿宋"/>
                <w:color w:val="auto"/>
                <w:szCs w:val="21"/>
                <w:highlight w:val="none"/>
              </w:rPr>
            </w:pPr>
          </w:p>
        </w:tc>
        <w:tc>
          <w:tcPr>
            <w:tcW w:w="873" w:type="dxa"/>
            <w:vAlign w:val="center"/>
          </w:tcPr>
          <w:p w14:paraId="486C303C">
            <w:pPr>
              <w:jc w:val="center"/>
              <w:rPr>
                <w:rFonts w:ascii="仿宋" w:hAnsi="仿宋" w:eastAsia="仿宋" w:cs="仿宋"/>
                <w:color w:val="auto"/>
                <w:szCs w:val="21"/>
                <w:highlight w:val="none"/>
              </w:rPr>
            </w:pPr>
          </w:p>
        </w:tc>
        <w:tc>
          <w:tcPr>
            <w:tcW w:w="1186" w:type="dxa"/>
            <w:vAlign w:val="center"/>
          </w:tcPr>
          <w:p w14:paraId="5F1904AB">
            <w:pPr>
              <w:jc w:val="center"/>
              <w:rPr>
                <w:rFonts w:ascii="仿宋" w:hAnsi="仿宋" w:eastAsia="仿宋" w:cs="仿宋"/>
                <w:color w:val="auto"/>
                <w:szCs w:val="21"/>
                <w:highlight w:val="none"/>
              </w:rPr>
            </w:pPr>
          </w:p>
        </w:tc>
        <w:tc>
          <w:tcPr>
            <w:tcW w:w="819" w:type="dxa"/>
            <w:vAlign w:val="center"/>
          </w:tcPr>
          <w:p w14:paraId="01B5B929">
            <w:pPr>
              <w:jc w:val="center"/>
              <w:rPr>
                <w:rFonts w:ascii="仿宋" w:hAnsi="仿宋" w:eastAsia="仿宋" w:cs="仿宋"/>
                <w:color w:val="auto"/>
                <w:szCs w:val="21"/>
                <w:highlight w:val="none"/>
              </w:rPr>
            </w:pPr>
          </w:p>
        </w:tc>
        <w:tc>
          <w:tcPr>
            <w:tcW w:w="2160" w:type="dxa"/>
            <w:vAlign w:val="center"/>
          </w:tcPr>
          <w:p w14:paraId="0096D814">
            <w:pPr>
              <w:jc w:val="center"/>
              <w:rPr>
                <w:rFonts w:ascii="仿宋" w:hAnsi="仿宋" w:eastAsia="仿宋" w:cs="仿宋"/>
                <w:color w:val="auto"/>
                <w:szCs w:val="21"/>
                <w:highlight w:val="none"/>
              </w:rPr>
            </w:pPr>
          </w:p>
        </w:tc>
      </w:tr>
    </w:tbl>
    <w:p w14:paraId="58EE36F6">
      <w:pPr>
        <w:pStyle w:val="114"/>
        <w:keepNext w:val="0"/>
        <w:keepLines w:val="0"/>
        <w:pageBreakBefore w:val="0"/>
        <w:widowControl/>
        <w:kinsoku/>
        <w:wordWrap/>
        <w:overflowPunct/>
        <w:topLinePunct w:val="0"/>
        <w:autoSpaceDE/>
        <w:autoSpaceDN/>
        <w:bidi w:val="0"/>
        <w:adjustRightInd/>
        <w:snapToGrid w:val="0"/>
        <w:spacing w:line="240" w:lineRule="auto"/>
        <w:ind w:firstLine="0"/>
        <w:textAlignment w:val="auto"/>
        <w:rPr>
          <w:rFonts w:hint="eastAsia" w:ascii="仿宋" w:hAnsi="仿宋" w:eastAsia="仿宋" w:cs="仿宋"/>
          <w:color w:val="auto"/>
          <w:spacing w:val="-6"/>
          <w:sz w:val="18"/>
          <w:szCs w:val="18"/>
          <w:highlight w:val="none"/>
        </w:rPr>
      </w:pPr>
    </w:p>
    <w:p w14:paraId="3AADDC8E">
      <w:pPr>
        <w:pStyle w:val="114"/>
        <w:keepNext w:val="0"/>
        <w:keepLines w:val="0"/>
        <w:pageBreakBefore w:val="0"/>
        <w:widowControl/>
        <w:kinsoku/>
        <w:wordWrap/>
        <w:overflowPunct/>
        <w:topLinePunct w:val="0"/>
        <w:autoSpaceDE/>
        <w:autoSpaceDN/>
        <w:bidi w:val="0"/>
        <w:adjustRightInd/>
        <w:snapToGrid w:val="0"/>
        <w:spacing w:line="240" w:lineRule="auto"/>
        <w:ind w:firstLine="0"/>
        <w:textAlignment w:val="auto"/>
        <w:rPr>
          <w:rFonts w:hint="eastAsia"/>
          <w:highlight w:val="none"/>
        </w:rPr>
      </w:pPr>
      <w:r>
        <w:rPr>
          <w:rFonts w:hint="eastAsia" w:ascii="仿宋" w:hAnsi="仿宋" w:eastAsia="仿宋" w:cs="仿宋"/>
          <w:color w:val="auto"/>
          <w:spacing w:val="-6"/>
          <w:sz w:val="18"/>
          <w:szCs w:val="18"/>
          <w:highlight w:val="none"/>
        </w:rPr>
        <w:t>注：评分标准中相关证明材料随表格一并提供</w:t>
      </w:r>
    </w:p>
    <w:p w14:paraId="0747F29C">
      <w:pPr>
        <w:rPr>
          <w:highlight w:val="none"/>
        </w:rPr>
      </w:pPr>
      <w:r>
        <w:rPr>
          <w:rFonts w:hint="eastAsia"/>
          <w:highlight w:val="none"/>
        </w:rPr>
        <w:br w:type="page"/>
      </w:r>
    </w:p>
    <w:p w14:paraId="5DADD110">
      <w:pPr>
        <w:adjustRightInd w:val="0"/>
        <w:snapToGrid w:val="0"/>
        <w:spacing w:line="288" w:lineRule="auto"/>
        <w:jc w:val="center"/>
        <w:rPr>
          <w:rFonts w:ascii="仿宋" w:hAnsi="仿宋" w:eastAsia="仿宋" w:cs="仿宋"/>
          <w:b/>
          <w:bCs/>
          <w:color w:val="auto"/>
          <w:sz w:val="84"/>
          <w:szCs w:val="84"/>
          <w:highlight w:val="none"/>
        </w:rPr>
      </w:pPr>
    </w:p>
    <w:p w14:paraId="62757467">
      <w:pPr>
        <w:adjustRightInd w:val="0"/>
        <w:snapToGrid w:val="0"/>
        <w:spacing w:line="288" w:lineRule="auto"/>
        <w:jc w:val="center"/>
        <w:rPr>
          <w:rFonts w:ascii="仿宋" w:hAnsi="仿宋" w:eastAsia="仿宋" w:cs="仿宋"/>
          <w:b/>
          <w:bCs/>
          <w:color w:val="auto"/>
          <w:sz w:val="84"/>
          <w:szCs w:val="84"/>
          <w:highlight w:val="none"/>
        </w:rPr>
      </w:pPr>
    </w:p>
    <w:p w14:paraId="06C7BC45">
      <w:pPr>
        <w:adjustRightInd w:val="0"/>
        <w:snapToGrid w:val="0"/>
        <w:spacing w:line="288" w:lineRule="auto"/>
        <w:jc w:val="center"/>
        <w:rPr>
          <w:rFonts w:ascii="仿宋" w:hAnsi="仿宋" w:eastAsia="仿宋" w:cs="仿宋"/>
          <w:b/>
          <w:bCs/>
          <w:color w:val="auto"/>
          <w:sz w:val="84"/>
          <w:szCs w:val="84"/>
          <w:highlight w:val="none"/>
        </w:rPr>
      </w:pPr>
    </w:p>
    <w:p w14:paraId="22A709FA">
      <w:pPr>
        <w:adjustRightInd w:val="0"/>
        <w:snapToGrid w:val="0"/>
        <w:spacing w:line="288" w:lineRule="auto"/>
        <w:jc w:val="center"/>
        <w:rPr>
          <w:rFonts w:ascii="仿宋" w:hAnsi="仿宋" w:eastAsia="仿宋" w:cs="仿宋"/>
          <w:b/>
          <w:bCs/>
          <w:color w:val="auto"/>
          <w:sz w:val="84"/>
          <w:szCs w:val="84"/>
          <w:highlight w:val="none"/>
        </w:rPr>
      </w:pPr>
    </w:p>
    <w:p w14:paraId="017F69A5">
      <w:pPr>
        <w:overflowPunct w:val="0"/>
        <w:adjustRightInd w:val="0"/>
        <w:snapToGrid w:val="0"/>
        <w:spacing w:line="288" w:lineRule="auto"/>
        <w:jc w:val="center"/>
        <w:outlineLvl w:val="1"/>
        <w:rPr>
          <w:rFonts w:ascii="仿宋" w:hAnsi="仿宋" w:eastAsia="仿宋" w:cs="仿宋"/>
          <w:b/>
          <w:color w:val="auto"/>
          <w:spacing w:val="-6"/>
          <w:sz w:val="84"/>
          <w:szCs w:val="84"/>
          <w:highlight w:val="none"/>
        </w:rPr>
      </w:pPr>
      <w:r>
        <w:rPr>
          <w:rFonts w:hint="eastAsia" w:ascii="仿宋" w:hAnsi="仿宋" w:eastAsia="仿宋" w:cs="仿宋"/>
          <w:b/>
          <w:bCs/>
          <w:color w:val="auto"/>
          <w:sz w:val="84"/>
          <w:szCs w:val="84"/>
          <w:highlight w:val="none"/>
        </w:rPr>
        <w:t>报价文件</w:t>
      </w:r>
    </w:p>
    <w:p w14:paraId="481C914D">
      <w:pPr>
        <w:widowControl/>
        <w:adjustRightInd w:val="0"/>
        <w:snapToGrid w:val="0"/>
        <w:spacing w:line="288" w:lineRule="auto"/>
        <w:ind w:left="0" w:leftChars="0" w:right="0" w:rightChars="0" w:firstLine="0" w:firstLineChars="0"/>
        <w:jc w:val="center"/>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14:paraId="342B4D2F">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开标一览表</w:t>
      </w:r>
    </w:p>
    <w:p w14:paraId="7A025347">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采 购 人：</w:t>
      </w:r>
      <w:r>
        <w:rPr>
          <w:rFonts w:hint="eastAsia" w:ascii="仿宋" w:hAnsi="仿宋" w:eastAsia="仿宋" w:cs="仿宋"/>
          <w:bCs/>
          <w:color w:val="auto"/>
          <w:spacing w:val="-6"/>
          <w:szCs w:val="21"/>
          <w:highlight w:val="none"/>
          <w:lang w:eastAsia="zh-CN"/>
        </w:rPr>
        <w:t>浙江理工大学</w:t>
      </w:r>
    </w:p>
    <w:p w14:paraId="4188050F">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工业互联网工程技术人员培训、实训平台建设</w:t>
      </w:r>
    </w:p>
    <w:p w14:paraId="0BD0E8D1">
      <w:pPr>
        <w:adjustRightInd w:val="0"/>
        <w:snapToGrid w:val="0"/>
        <w:spacing w:line="360" w:lineRule="auto"/>
        <w:rPr>
          <w:rFonts w:hint="eastAsia" w:ascii="仿宋" w:hAnsi="仿宋" w:eastAsia="仿宋" w:cs="仿宋"/>
          <w:bCs/>
          <w:color w:val="auto"/>
          <w:spacing w:val="-6"/>
          <w:szCs w:val="21"/>
          <w:highlight w:val="none"/>
          <w:lang w:eastAsia="zh-CN"/>
        </w:rPr>
      </w:pP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QSZBH250028ZHGK</w:t>
      </w:r>
    </w:p>
    <w:tbl>
      <w:tblPr>
        <w:tblStyle w:val="26"/>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5"/>
        <w:gridCol w:w="1704"/>
        <w:gridCol w:w="1460"/>
        <w:gridCol w:w="694"/>
        <w:gridCol w:w="946"/>
        <w:gridCol w:w="1104"/>
        <w:gridCol w:w="883"/>
        <w:gridCol w:w="1008"/>
        <w:gridCol w:w="1111"/>
      </w:tblGrid>
      <w:tr w14:paraId="25460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554DA27">
            <w:pPr>
              <w:jc w:val="center"/>
              <w:rPr>
                <w:rFonts w:hint="eastAsia" w:ascii="仿宋" w:hAnsi="仿宋" w:eastAsia="仿宋" w:cs="仿宋"/>
                <w:b/>
                <w:bCs/>
              </w:rPr>
            </w:pPr>
            <w:r>
              <w:rPr>
                <w:rFonts w:hint="eastAsia" w:ascii="仿宋" w:hAnsi="仿宋" w:eastAsia="仿宋" w:cs="仿宋"/>
                <w:b/>
                <w:bCs/>
              </w:rPr>
              <w:t>序号</w:t>
            </w: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14:paraId="3FFB914A">
            <w:pPr>
              <w:jc w:val="center"/>
              <w:rPr>
                <w:rFonts w:hint="eastAsia" w:ascii="仿宋" w:hAnsi="仿宋" w:eastAsia="仿宋" w:cs="仿宋"/>
                <w:b/>
                <w:bCs/>
              </w:rPr>
            </w:pPr>
            <w:r>
              <w:rPr>
                <w:rFonts w:hint="eastAsia" w:ascii="仿宋" w:hAnsi="仿宋" w:eastAsia="仿宋" w:cs="仿宋"/>
                <w:b/>
                <w:bCs/>
              </w:rPr>
              <w:t>标的名称</w:t>
            </w:r>
          </w:p>
        </w:tc>
        <w:tc>
          <w:tcPr>
            <w:tcW w:w="759" w:type="pct"/>
            <w:tcBorders>
              <w:top w:val="single" w:color="auto" w:sz="4" w:space="0"/>
              <w:left w:val="single" w:color="auto" w:sz="4" w:space="0"/>
              <w:bottom w:val="single" w:color="auto" w:sz="4" w:space="0"/>
              <w:right w:val="single" w:color="auto" w:sz="4" w:space="0"/>
            </w:tcBorders>
            <w:shd w:val="clear" w:color="auto" w:fill="FFFFFF"/>
            <w:vAlign w:val="center"/>
          </w:tcPr>
          <w:p w14:paraId="2F96B071">
            <w:pPr>
              <w:jc w:val="center"/>
              <w:rPr>
                <w:rFonts w:hint="eastAsia" w:ascii="仿宋" w:hAnsi="仿宋" w:eastAsia="仿宋" w:cs="仿宋"/>
                <w:b/>
                <w:bCs/>
              </w:rPr>
            </w:pPr>
            <w:r>
              <w:rPr>
                <w:rFonts w:hint="eastAsia" w:ascii="仿宋" w:hAnsi="仿宋" w:eastAsia="仿宋" w:cs="仿宋"/>
                <w:b/>
                <w:bCs/>
              </w:rPr>
              <w:t>★</w:t>
            </w:r>
            <w:bookmarkStart w:id="49" w:name="_Hlk177717733"/>
            <w:r>
              <w:rPr>
                <w:rFonts w:hint="eastAsia" w:ascii="仿宋" w:hAnsi="仿宋" w:eastAsia="仿宋" w:cs="仿宋"/>
                <w:b/>
                <w:bCs/>
              </w:rPr>
              <w:t>规格型号</w:t>
            </w:r>
            <w:bookmarkEnd w:id="49"/>
          </w:p>
        </w:tc>
        <w:tc>
          <w:tcPr>
            <w:tcW w:w="361" w:type="pct"/>
            <w:tcBorders>
              <w:top w:val="single" w:color="auto" w:sz="4" w:space="0"/>
              <w:left w:val="single" w:color="auto" w:sz="4" w:space="0"/>
              <w:bottom w:val="single" w:color="auto" w:sz="4" w:space="0"/>
              <w:right w:val="single" w:color="auto" w:sz="4" w:space="0"/>
            </w:tcBorders>
            <w:shd w:val="clear" w:color="auto" w:fill="FFFFFF"/>
            <w:vAlign w:val="center"/>
          </w:tcPr>
          <w:p w14:paraId="2CFD3EED">
            <w:pPr>
              <w:jc w:val="center"/>
              <w:rPr>
                <w:rFonts w:hint="eastAsia" w:ascii="仿宋" w:hAnsi="仿宋" w:eastAsia="仿宋" w:cs="仿宋"/>
                <w:b/>
                <w:bCs/>
              </w:rPr>
            </w:pPr>
            <w:r>
              <w:rPr>
                <w:rFonts w:hint="eastAsia" w:ascii="仿宋" w:hAnsi="仿宋" w:eastAsia="仿宋" w:cs="仿宋"/>
                <w:b/>
                <w:bCs/>
              </w:rPr>
              <w:t>数量</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14:paraId="48050B35">
            <w:pPr>
              <w:jc w:val="center"/>
              <w:rPr>
                <w:rFonts w:hint="eastAsia" w:ascii="仿宋" w:hAnsi="仿宋" w:eastAsia="仿宋" w:cs="仿宋"/>
                <w:b/>
                <w:bCs/>
              </w:rPr>
            </w:pPr>
            <w:r>
              <w:rPr>
                <w:rFonts w:hint="eastAsia" w:ascii="仿宋" w:hAnsi="仿宋" w:eastAsia="仿宋" w:cs="仿宋"/>
                <w:b/>
                <w:bCs/>
              </w:rPr>
              <w:t>★品牌</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4F3551B1">
            <w:pPr>
              <w:jc w:val="center"/>
              <w:rPr>
                <w:rFonts w:hint="eastAsia" w:ascii="仿宋" w:hAnsi="仿宋" w:eastAsia="仿宋" w:cs="仿宋"/>
                <w:b/>
                <w:bCs/>
              </w:rPr>
            </w:pPr>
            <w:r>
              <w:rPr>
                <w:rFonts w:hint="eastAsia" w:ascii="仿宋" w:hAnsi="仿宋" w:eastAsia="仿宋" w:cs="仿宋"/>
                <w:b/>
                <w:bCs/>
              </w:rPr>
              <w:t>★制造商</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2562EF1A">
            <w:pPr>
              <w:jc w:val="center"/>
              <w:rPr>
                <w:rFonts w:hint="eastAsia" w:ascii="仿宋" w:hAnsi="仿宋" w:eastAsia="仿宋" w:cs="仿宋"/>
                <w:b/>
                <w:bCs/>
              </w:rPr>
            </w:pPr>
            <w:r>
              <w:rPr>
                <w:rFonts w:hint="eastAsia" w:ascii="仿宋" w:hAnsi="仿宋" w:eastAsia="仿宋" w:cs="仿宋"/>
                <w:b/>
                <w:bCs/>
              </w:rPr>
              <w:t>★产地</w:t>
            </w:r>
          </w:p>
        </w:tc>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14:paraId="52508C02">
            <w:pPr>
              <w:jc w:val="center"/>
              <w:rPr>
                <w:rFonts w:hint="eastAsia" w:ascii="仿宋" w:hAnsi="仿宋" w:eastAsia="仿宋" w:cs="仿宋"/>
                <w:b/>
                <w:bCs/>
              </w:rPr>
            </w:pPr>
            <w:r>
              <w:rPr>
                <w:rFonts w:hint="eastAsia" w:ascii="仿宋" w:hAnsi="仿宋" w:eastAsia="仿宋" w:cs="仿宋"/>
                <w:b/>
                <w:bCs/>
              </w:rPr>
              <w:t>单价</w:t>
            </w:r>
          </w:p>
          <w:p w14:paraId="148D8353">
            <w:pPr>
              <w:jc w:val="center"/>
              <w:rPr>
                <w:rFonts w:hint="eastAsia" w:ascii="仿宋" w:hAnsi="仿宋" w:eastAsia="仿宋" w:cs="仿宋"/>
                <w:b/>
                <w:bCs/>
              </w:rPr>
            </w:pPr>
            <w:r>
              <w:rPr>
                <w:rFonts w:hint="eastAsia" w:ascii="仿宋" w:hAnsi="仿宋" w:eastAsia="仿宋" w:cs="仿宋"/>
                <w:b/>
                <w:bCs/>
              </w:rPr>
              <w:t>（元）</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14:paraId="2BCB9645">
            <w:pPr>
              <w:jc w:val="center"/>
              <w:rPr>
                <w:rFonts w:hint="eastAsia" w:ascii="仿宋" w:hAnsi="仿宋" w:eastAsia="仿宋" w:cs="仿宋"/>
                <w:b/>
                <w:bCs/>
              </w:rPr>
            </w:pPr>
            <w:r>
              <w:rPr>
                <w:rFonts w:hint="eastAsia" w:ascii="仿宋" w:hAnsi="仿宋" w:eastAsia="仿宋" w:cs="仿宋"/>
                <w:b/>
                <w:bCs/>
              </w:rPr>
              <w:t>合计</w:t>
            </w:r>
          </w:p>
          <w:p w14:paraId="7572A7D2">
            <w:pPr>
              <w:jc w:val="center"/>
              <w:rPr>
                <w:rFonts w:hint="eastAsia" w:ascii="仿宋" w:hAnsi="仿宋" w:eastAsia="仿宋" w:cs="仿宋"/>
                <w:b/>
                <w:bCs/>
              </w:rPr>
            </w:pPr>
            <w:r>
              <w:rPr>
                <w:rFonts w:hint="eastAsia" w:ascii="仿宋" w:hAnsi="仿宋" w:eastAsia="仿宋" w:cs="仿宋"/>
                <w:b/>
                <w:bCs/>
              </w:rPr>
              <w:t>（元）</w:t>
            </w:r>
          </w:p>
        </w:tc>
      </w:tr>
      <w:tr w14:paraId="10054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11D95921">
            <w:pPr>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14:paraId="02C0CD47">
            <w:pPr>
              <w:jc w:val="center"/>
              <w:rPr>
                <w:rFonts w:hint="eastAsia" w:ascii="仿宋" w:hAnsi="仿宋" w:eastAsia="仿宋" w:cs="仿宋"/>
              </w:rPr>
            </w:pPr>
            <w:r>
              <w:rPr>
                <w:rFonts w:hint="eastAsia" w:ascii="仿宋" w:hAnsi="仿宋" w:eastAsia="仿宋" w:cs="仿宋"/>
              </w:rPr>
              <w:t>工业互联网开发平台</w:t>
            </w:r>
          </w:p>
        </w:tc>
        <w:tc>
          <w:tcPr>
            <w:tcW w:w="759" w:type="pct"/>
            <w:tcBorders>
              <w:top w:val="single" w:color="auto" w:sz="4" w:space="0"/>
              <w:left w:val="single" w:color="auto" w:sz="4" w:space="0"/>
              <w:bottom w:val="single" w:color="auto" w:sz="4" w:space="0"/>
              <w:right w:val="single" w:color="auto" w:sz="4" w:space="0"/>
            </w:tcBorders>
            <w:shd w:val="clear" w:color="auto" w:fill="FFFFFF"/>
            <w:vAlign w:val="center"/>
          </w:tcPr>
          <w:p w14:paraId="1F777E2F">
            <w:pPr>
              <w:jc w:val="center"/>
              <w:rPr>
                <w:rFonts w:hint="eastAsia" w:ascii="仿宋" w:hAnsi="仿宋" w:eastAsia="仿宋" w:cs="仿宋"/>
              </w:rPr>
            </w:pPr>
          </w:p>
        </w:tc>
        <w:tc>
          <w:tcPr>
            <w:tcW w:w="361" w:type="pct"/>
            <w:tcBorders>
              <w:top w:val="single" w:color="auto" w:sz="4" w:space="0"/>
              <w:left w:val="single" w:color="auto" w:sz="4" w:space="0"/>
              <w:bottom w:val="single" w:color="auto" w:sz="4" w:space="0"/>
              <w:right w:val="single" w:color="auto" w:sz="4" w:space="0"/>
            </w:tcBorders>
            <w:shd w:val="clear" w:color="auto" w:fill="FFFFFF"/>
            <w:vAlign w:val="center"/>
          </w:tcPr>
          <w:p w14:paraId="3830F9B6">
            <w:pPr>
              <w:jc w:val="center"/>
              <w:rPr>
                <w:rFonts w:hint="default" w:ascii="仿宋" w:hAnsi="仿宋" w:eastAsia="仿宋" w:cs="仿宋"/>
                <w:lang w:val="en-US" w:eastAsia="zh-CN"/>
              </w:rPr>
            </w:pPr>
            <w:r>
              <w:rPr>
                <w:rFonts w:hint="eastAsia" w:ascii="仿宋" w:hAnsi="仿宋" w:eastAsia="仿宋" w:cs="仿宋"/>
                <w:lang w:val="en-US" w:eastAsia="zh-CN"/>
              </w:rPr>
              <w:t>1套</w:t>
            </w:r>
          </w:p>
        </w:tc>
        <w:tc>
          <w:tcPr>
            <w:tcW w:w="492" w:type="pct"/>
            <w:tcBorders>
              <w:top w:val="single" w:color="auto" w:sz="4" w:space="0"/>
              <w:left w:val="single" w:color="auto" w:sz="4" w:space="0"/>
              <w:bottom w:val="single" w:color="auto" w:sz="4" w:space="0"/>
              <w:right w:val="single" w:color="auto" w:sz="4" w:space="0"/>
            </w:tcBorders>
            <w:shd w:val="clear" w:color="auto" w:fill="FFFFFF"/>
            <w:vAlign w:val="center"/>
          </w:tcPr>
          <w:p w14:paraId="2D06A805">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75174FA5">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52D92AD3">
            <w:pPr>
              <w:jc w:val="center"/>
              <w:rPr>
                <w:rFonts w:hint="eastAsia" w:ascii="仿宋" w:hAnsi="仿宋" w:eastAsia="仿宋" w:cs="仿宋"/>
              </w:rPr>
            </w:pPr>
          </w:p>
        </w:tc>
        <w:tc>
          <w:tcPr>
            <w:tcW w:w="524" w:type="pct"/>
            <w:tcBorders>
              <w:top w:val="single" w:color="auto" w:sz="4" w:space="0"/>
              <w:left w:val="single" w:color="auto" w:sz="4" w:space="0"/>
              <w:bottom w:val="single" w:color="auto" w:sz="4" w:space="0"/>
              <w:right w:val="single" w:color="auto" w:sz="4" w:space="0"/>
            </w:tcBorders>
            <w:vAlign w:val="center"/>
          </w:tcPr>
          <w:p w14:paraId="055A7EEB">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vAlign w:val="center"/>
          </w:tcPr>
          <w:p w14:paraId="4E170C10">
            <w:pPr>
              <w:jc w:val="center"/>
              <w:rPr>
                <w:rFonts w:hint="eastAsia" w:ascii="仿宋" w:hAnsi="仿宋" w:eastAsia="仿宋" w:cs="仿宋"/>
              </w:rPr>
            </w:pPr>
          </w:p>
        </w:tc>
      </w:tr>
      <w:tr w14:paraId="0625D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5040F4A6">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14:paraId="0ADF3177">
            <w:pPr>
              <w:jc w:val="center"/>
              <w:rPr>
                <w:rFonts w:hint="eastAsia" w:ascii="仿宋" w:hAnsi="仿宋" w:eastAsia="仿宋" w:cs="仿宋"/>
              </w:rPr>
            </w:pPr>
            <w:r>
              <w:rPr>
                <w:rFonts w:hint="eastAsia" w:ascii="仿宋" w:hAnsi="仿宋" w:eastAsia="仿宋" w:cs="仿宋"/>
              </w:rPr>
              <w:t>工业互联网工程技术人员考核</w:t>
            </w:r>
          </w:p>
          <w:p w14:paraId="51985540">
            <w:pPr>
              <w:jc w:val="center"/>
              <w:rPr>
                <w:rFonts w:hint="eastAsia" w:ascii="仿宋" w:hAnsi="仿宋" w:eastAsia="仿宋" w:cs="仿宋"/>
              </w:rPr>
            </w:pPr>
            <w:r>
              <w:rPr>
                <w:rFonts w:hint="eastAsia" w:ascii="仿宋" w:hAnsi="仿宋" w:eastAsia="仿宋" w:cs="仿宋"/>
              </w:rPr>
              <w:t>实训台</w:t>
            </w:r>
          </w:p>
        </w:tc>
        <w:tc>
          <w:tcPr>
            <w:tcW w:w="759" w:type="pct"/>
            <w:tcBorders>
              <w:top w:val="single" w:color="auto" w:sz="4" w:space="0"/>
              <w:left w:val="single" w:color="auto" w:sz="4" w:space="0"/>
              <w:bottom w:val="single" w:color="auto" w:sz="4" w:space="0"/>
              <w:right w:val="single" w:color="auto" w:sz="4" w:space="0"/>
            </w:tcBorders>
            <w:shd w:val="clear" w:color="auto" w:fill="FFFFFF"/>
            <w:vAlign w:val="center"/>
          </w:tcPr>
          <w:p w14:paraId="3EE29085">
            <w:pPr>
              <w:jc w:val="center"/>
              <w:rPr>
                <w:rFonts w:hint="eastAsia" w:ascii="仿宋" w:hAnsi="仿宋" w:eastAsia="仿宋" w:cs="仿宋"/>
              </w:rPr>
            </w:pPr>
          </w:p>
        </w:tc>
        <w:tc>
          <w:tcPr>
            <w:tcW w:w="361" w:type="pct"/>
            <w:tcBorders>
              <w:top w:val="single" w:color="auto" w:sz="4" w:space="0"/>
              <w:left w:val="single" w:color="auto" w:sz="4" w:space="0"/>
              <w:bottom w:val="single" w:color="auto" w:sz="4" w:space="0"/>
              <w:right w:val="single" w:color="auto" w:sz="4" w:space="0"/>
            </w:tcBorders>
            <w:shd w:val="clear" w:color="auto" w:fill="FFFFFF"/>
            <w:vAlign w:val="center"/>
          </w:tcPr>
          <w:p w14:paraId="01A4BB33">
            <w:pPr>
              <w:jc w:val="center"/>
              <w:rPr>
                <w:rFonts w:hint="default" w:ascii="仿宋" w:hAnsi="仿宋" w:eastAsia="仿宋" w:cs="仿宋"/>
                <w:lang w:val="en-US" w:eastAsia="zh-CN"/>
              </w:rPr>
            </w:pPr>
            <w:r>
              <w:rPr>
                <w:rFonts w:hint="eastAsia" w:ascii="仿宋" w:hAnsi="仿宋" w:eastAsia="仿宋" w:cs="仿宋"/>
                <w:lang w:val="en-US" w:eastAsia="zh-CN"/>
              </w:rPr>
              <w:t>8套</w:t>
            </w:r>
          </w:p>
        </w:tc>
        <w:tc>
          <w:tcPr>
            <w:tcW w:w="492" w:type="pct"/>
            <w:tcBorders>
              <w:top w:val="single" w:color="auto" w:sz="4" w:space="0"/>
              <w:left w:val="single" w:color="auto" w:sz="4" w:space="0"/>
              <w:bottom w:val="single" w:color="auto" w:sz="4" w:space="0"/>
              <w:right w:val="single" w:color="auto" w:sz="4" w:space="0"/>
            </w:tcBorders>
            <w:shd w:val="clear" w:color="auto" w:fill="FFFFFF"/>
            <w:vAlign w:val="center"/>
          </w:tcPr>
          <w:p w14:paraId="05D418CA">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75054EC6">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0433B588">
            <w:pPr>
              <w:jc w:val="center"/>
              <w:rPr>
                <w:rFonts w:hint="eastAsia" w:ascii="仿宋" w:hAnsi="仿宋" w:eastAsia="仿宋" w:cs="仿宋"/>
              </w:rPr>
            </w:pPr>
          </w:p>
        </w:tc>
        <w:tc>
          <w:tcPr>
            <w:tcW w:w="524" w:type="pct"/>
            <w:tcBorders>
              <w:top w:val="single" w:color="auto" w:sz="4" w:space="0"/>
              <w:left w:val="single" w:color="auto" w:sz="4" w:space="0"/>
              <w:bottom w:val="single" w:color="auto" w:sz="4" w:space="0"/>
              <w:right w:val="single" w:color="auto" w:sz="4" w:space="0"/>
            </w:tcBorders>
            <w:vAlign w:val="center"/>
          </w:tcPr>
          <w:p w14:paraId="2DE1DF01">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vAlign w:val="center"/>
          </w:tcPr>
          <w:p w14:paraId="64FA6392">
            <w:pPr>
              <w:jc w:val="center"/>
              <w:rPr>
                <w:rFonts w:hint="eastAsia" w:ascii="仿宋" w:hAnsi="仿宋" w:eastAsia="仿宋" w:cs="仿宋"/>
              </w:rPr>
            </w:pPr>
          </w:p>
        </w:tc>
      </w:tr>
      <w:tr w14:paraId="525BE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42769EB7">
            <w:pPr>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14:paraId="0263EEF0">
            <w:pPr>
              <w:jc w:val="center"/>
              <w:rPr>
                <w:rFonts w:hint="eastAsia" w:ascii="仿宋" w:hAnsi="仿宋" w:eastAsia="仿宋" w:cs="仿宋"/>
              </w:rPr>
            </w:pPr>
            <w:r>
              <w:rPr>
                <w:rFonts w:hint="eastAsia" w:ascii="仿宋" w:hAnsi="仿宋" w:eastAsia="仿宋" w:cs="仿宋"/>
              </w:rPr>
              <w:t>纺织工程沙盘</w:t>
            </w:r>
          </w:p>
        </w:tc>
        <w:tc>
          <w:tcPr>
            <w:tcW w:w="759" w:type="pct"/>
            <w:tcBorders>
              <w:top w:val="single" w:color="auto" w:sz="4" w:space="0"/>
              <w:left w:val="single" w:color="auto" w:sz="4" w:space="0"/>
              <w:bottom w:val="single" w:color="auto" w:sz="4" w:space="0"/>
              <w:right w:val="single" w:color="auto" w:sz="4" w:space="0"/>
            </w:tcBorders>
            <w:shd w:val="clear" w:color="auto" w:fill="FFFFFF"/>
            <w:vAlign w:val="center"/>
          </w:tcPr>
          <w:p w14:paraId="75D41B71">
            <w:pPr>
              <w:jc w:val="center"/>
              <w:rPr>
                <w:rFonts w:hint="eastAsia" w:ascii="仿宋" w:hAnsi="仿宋" w:eastAsia="仿宋" w:cs="仿宋"/>
              </w:rPr>
            </w:pPr>
          </w:p>
        </w:tc>
        <w:tc>
          <w:tcPr>
            <w:tcW w:w="361" w:type="pct"/>
            <w:tcBorders>
              <w:top w:val="single" w:color="auto" w:sz="4" w:space="0"/>
              <w:left w:val="single" w:color="auto" w:sz="4" w:space="0"/>
              <w:bottom w:val="single" w:color="auto" w:sz="4" w:space="0"/>
              <w:right w:val="single" w:color="auto" w:sz="4" w:space="0"/>
            </w:tcBorders>
            <w:shd w:val="clear" w:color="auto" w:fill="FFFFFF"/>
            <w:vAlign w:val="center"/>
          </w:tcPr>
          <w:p w14:paraId="0D451370">
            <w:pPr>
              <w:jc w:val="center"/>
              <w:rPr>
                <w:rFonts w:hint="default" w:ascii="仿宋" w:hAnsi="仿宋" w:eastAsia="仿宋" w:cs="仿宋"/>
                <w:lang w:val="en-US" w:eastAsia="zh-CN"/>
              </w:rPr>
            </w:pPr>
            <w:r>
              <w:rPr>
                <w:rFonts w:hint="eastAsia" w:ascii="仿宋" w:hAnsi="仿宋" w:eastAsia="仿宋" w:cs="仿宋"/>
                <w:lang w:val="en-US" w:eastAsia="zh-CN"/>
              </w:rPr>
              <w:t>1套</w:t>
            </w:r>
          </w:p>
        </w:tc>
        <w:tc>
          <w:tcPr>
            <w:tcW w:w="492" w:type="pct"/>
            <w:tcBorders>
              <w:top w:val="single" w:color="auto" w:sz="4" w:space="0"/>
              <w:left w:val="single" w:color="auto" w:sz="4" w:space="0"/>
              <w:bottom w:val="single" w:color="auto" w:sz="4" w:space="0"/>
              <w:right w:val="single" w:color="auto" w:sz="4" w:space="0"/>
            </w:tcBorders>
            <w:shd w:val="clear" w:color="auto" w:fill="FFFFFF"/>
            <w:vAlign w:val="center"/>
          </w:tcPr>
          <w:p w14:paraId="6FB5CCB8">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0CFEC93C">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4C762E87">
            <w:pPr>
              <w:jc w:val="center"/>
              <w:rPr>
                <w:rFonts w:hint="eastAsia" w:ascii="仿宋" w:hAnsi="仿宋" w:eastAsia="仿宋" w:cs="仿宋"/>
              </w:rPr>
            </w:pPr>
          </w:p>
        </w:tc>
        <w:tc>
          <w:tcPr>
            <w:tcW w:w="524" w:type="pct"/>
            <w:tcBorders>
              <w:top w:val="single" w:color="auto" w:sz="4" w:space="0"/>
              <w:left w:val="single" w:color="auto" w:sz="4" w:space="0"/>
              <w:bottom w:val="single" w:color="auto" w:sz="4" w:space="0"/>
              <w:right w:val="single" w:color="auto" w:sz="4" w:space="0"/>
            </w:tcBorders>
            <w:vAlign w:val="center"/>
          </w:tcPr>
          <w:p w14:paraId="71AA8113">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vAlign w:val="center"/>
          </w:tcPr>
          <w:p w14:paraId="4C3A4230">
            <w:pPr>
              <w:jc w:val="center"/>
              <w:rPr>
                <w:rFonts w:hint="eastAsia" w:ascii="仿宋" w:hAnsi="仿宋" w:eastAsia="仿宋" w:cs="仿宋"/>
              </w:rPr>
            </w:pPr>
          </w:p>
        </w:tc>
      </w:tr>
      <w:tr w14:paraId="40DC2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4026CFE7">
            <w:pPr>
              <w:rPr>
                <w:rFonts w:hint="eastAsia" w:ascii="仿宋" w:hAnsi="仿宋" w:eastAsia="仿宋" w:cs="仿宋"/>
                <w:b/>
                <w:bCs/>
              </w:rPr>
            </w:pPr>
            <w:r>
              <w:rPr>
                <w:rFonts w:hint="eastAsia" w:ascii="仿宋" w:hAnsi="仿宋" w:eastAsia="仿宋" w:cs="仿宋"/>
                <w:b/>
                <w:bCs/>
              </w:rPr>
              <w:t>★以下（联合体</w:t>
            </w:r>
            <w:r>
              <w:rPr>
                <w:rFonts w:hint="eastAsia" w:ascii="仿宋" w:hAnsi="仿宋" w:eastAsia="仿宋" w:cs="仿宋"/>
                <w:b/>
                <w:bCs/>
                <w:lang w:val="en-US" w:eastAsia="zh-CN"/>
              </w:rPr>
              <w:t>其他</w:t>
            </w:r>
            <w:r>
              <w:rPr>
                <w:rFonts w:hint="eastAsia" w:ascii="仿宋" w:hAnsi="仿宋" w:eastAsia="仿宋" w:cs="仿宋"/>
                <w:b/>
                <w:bCs/>
              </w:rPr>
              <w:t>成员）承担的部分</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如无则可不填写</w:t>
            </w:r>
            <w:r>
              <w:rPr>
                <w:rFonts w:hint="eastAsia" w:ascii="仿宋" w:hAnsi="仿宋" w:eastAsia="仿宋" w:cs="仿宋"/>
                <w:b/>
                <w:bCs/>
                <w:color w:val="auto"/>
                <w:highlight w:val="none"/>
                <w:lang w:eastAsia="zh-CN"/>
              </w:rPr>
              <w:t>）</w:t>
            </w:r>
          </w:p>
        </w:tc>
      </w:tr>
      <w:tr w14:paraId="7B28E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7" w:type="pct"/>
            <w:tcBorders>
              <w:top w:val="single" w:color="auto" w:sz="4" w:space="0"/>
              <w:left w:val="single" w:color="auto" w:sz="4" w:space="0"/>
              <w:bottom w:val="single" w:color="auto" w:sz="4" w:space="0"/>
              <w:right w:val="single" w:color="auto" w:sz="4" w:space="0"/>
            </w:tcBorders>
            <w:shd w:val="clear" w:color="auto" w:fill="auto"/>
            <w:vAlign w:val="center"/>
          </w:tcPr>
          <w:p w14:paraId="1BDFA6B5">
            <w:pPr>
              <w:jc w:val="center"/>
              <w:rPr>
                <w:rFonts w:hint="eastAsia" w:ascii="仿宋" w:hAnsi="仿宋" w:eastAsia="仿宋" w:cs="仿宋"/>
              </w:rPr>
            </w:pP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14:paraId="6A2EE9E9">
            <w:pPr>
              <w:jc w:val="center"/>
              <w:rPr>
                <w:rFonts w:hint="eastAsia" w:ascii="仿宋" w:hAnsi="仿宋" w:eastAsia="仿宋" w:cs="仿宋"/>
              </w:rPr>
            </w:pPr>
          </w:p>
        </w:tc>
        <w:tc>
          <w:tcPr>
            <w:tcW w:w="759" w:type="pct"/>
            <w:tcBorders>
              <w:top w:val="single" w:color="auto" w:sz="4" w:space="0"/>
              <w:left w:val="single" w:color="auto" w:sz="4" w:space="0"/>
              <w:bottom w:val="single" w:color="auto" w:sz="4" w:space="0"/>
              <w:right w:val="single" w:color="auto" w:sz="4" w:space="0"/>
            </w:tcBorders>
            <w:shd w:val="clear" w:color="auto" w:fill="FFFFFF"/>
            <w:vAlign w:val="center"/>
          </w:tcPr>
          <w:p w14:paraId="4205CB18">
            <w:pPr>
              <w:jc w:val="center"/>
              <w:rPr>
                <w:rFonts w:hint="eastAsia" w:ascii="仿宋" w:hAnsi="仿宋" w:eastAsia="仿宋" w:cs="仿宋"/>
              </w:rPr>
            </w:pPr>
          </w:p>
        </w:tc>
        <w:tc>
          <w:tcPr>
            <w:tcW w:w="361" w:type="pct"/>
            <w:tcBorders>
              <w:top w:val="single" w:color="auto" w:sz="4" w:space="0"/>
              <w:left w:val="single" w:color="auto" w:sz="4" w:space="0"/>
              <w:bottom w:val="single" w:color="auto" w:sz="4" w:space="0"/>
              <w:right w:val="single" w:color="auto" w:sz="4" w:space="0"/>
            </w:tcBorders>
            <w:shd w:val="clear" w:color="auto" w:fill="FFFFFF"/>
            <w:vAlign w:val="center"/>
          </w:tcPr>
          <w:p w14:paraId="04D03163">
            <w:pPr>
              <w:jc w:val="center"/>
              <w:rPr>
                <w:rFonts w:hint="eastAsia" w:ascii="仿宋" w:hAnsi="仿宋" w:eastAsia="仿宋" w:cs="仿宋"/>
              </w:rPr>
            </w:pPr>
          </w:p>
        </w:tc>
        <w:tc>
          <w:tcPr>
            <w:tcW w:w="492" w:type="pct"/>
            <w:tcBorders>
              <w:top w:val="single" w:color="auto" w:sz="4" w:space="0"/>
              <w:left w:val="single" w:color="auto" w:sz="4" w:space="0"/>
              <w:bottom w:val="single" w:color="auto" w:sz="4" w:space="0"/>
              <w:right w:val="single" w:color="auto" w:sz="4" w:space="0"/>
            </w:tcBorders>
            <w:shd w:val="clear" w:color="auto" w:fill="FFFFFF"/>
            <w:vAlign w:val="center"/>
          </w:tcPr>
          <w:p w14:paraId="40C95E67">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shd w:val="clear" w:color="auto" w:fill="FFFFFF"/>
            <w:vAlign w:val="center"/>
          </w:tcPr>
          <w:p w14:paraId="5D78EB4F">
            <w:pPr>
              <w:jc w:val="center"/>
              <w:rPr>
                <w:rFonts w:hint="eastAsia" w:ascii="仿宋" w:hAnsi="仿宋" w:eastAsia="仿宋" w:cs="仿宋"/>
              </w:rPr>
            </w:pPr>
          </w:p>
        </w:tc>
        <w:tc>
          <w:tcPr>
            <w:tcW w:w="459" w:type="pct"/>
            <w:tcBorders>
              <w:top w:val="single" w:color="auto" w:sz="4" w:space="0"/>
              <w:left w:val="single" w:color="auto" w:sz="4" w:space="0"/>
              <w:bottom w:val="single" w:color="auto" w:sz="4" w:space="0"/>
              <w:right w:val="single" w:color="auto" w:sz="4" w:space="0"/>
            </w:tcBorders>
            <w:vAlign w:val="center"/>
          </w:tcPr>
          <w:p w14:paraId="78E6431E">
            <w:pPr>
              <w:jc w:val="center"/>
              <w:rPr>
                <w:rFonts w:hint="eastAsia" w:ascii="仿宋" w:hAnsi="仿宋" w:eastAsia="仿宋" w:cs="仿宋"/>
              </w:rPr>
            </w:pPr>
          </w:p>
        </w:tc>
        <w:tc>
          <w:tcPr>
            <w:tcW w:w="524" w:type="pct"/>
            <w:tcBorders>
              <w:top w:val="single" w:color="auto" w:sz="4" w:space="0"/>
              <w:left w:val="single" w:color="auto" w:sz="4" w:space="0"/>
              <w:bottom w:val="single" w:color="auto" w:sz="4" w:space="0"/>
              <w:right w:val="single" w:color="auto" w:sz="4" w:space="0"/>
            </w:tcBorders>
            <w:vAlign w:val="center"/>
          </w:tcPr>
          <w:p w14:paraId="52221E21">
            <w:pPr>
              <w:jc w:val="center"/>
              <w:rPr>
                <w:rFonts w:hint="eastAsia" w:ascii="仿宋" w:hAnsi="仿宋" w:eastAsia="仿宋" w:cs="仿宋"/>
              </w:rPr>
            </w:pPr>
          </w:p>
        </w:tc>
        <w:tc>
          <w:tcPr>
            <w:tcW w:w="574" w:type="pct"/>
            <w:tcBorders>
              <w:top w:val="single" w:color="auto" w:sz="4" w:space="0"/>
              <w:left w:val="single" w:color="auto" w:sz="4" w:space="0"/>
              <w:bottom w:val="single" w:color="auto" w:sz="4" w:space="0"/>
              <w:right w:val="single" w:color="auto" w:sz="4" w:space="0"/>
            </w:tcBorders>
            <w:vAlign w:val="center"/>
          </w:tcPr>
          <w:p w14:paraId="11B0CE4F">
            <w:pPr>
              <w:jc w:val="center"/>
              <w:rPr>
                <w:rFonts w:hint="eastAsia" w:ascii="仿宋" w:hAnsi="仿宋" w:eastAsia="仿宋" w:cs="仿宋"/>
              </w:rPr>
            </w:pPr>
          </w:p>
        </w:tc>
      </w:tr>
      <w:tr w14:paraId="7EAE7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63B3C67A">
            <w:pPr>
              <w:adjustRightInd w:val="0"/>
              <w:snapToGrid w:val="0"/>
              <w:spacing w:line="288" w:lineRule="auto"/>
              <w:jc w:val="center"/>
              <w:rPr>
                <w:rFonts w:hint="eastAsia" w:ascii="仿宋" w:hAnsi="仿宋" w:eastAsia="仿宋" w:cs="仿宋"/>
                <w:b/>
                <w:bCs/>
                <w:szCs w:val="21"/>
              </w:rPr>
            </w:pPr>
          </w:p>
          <w:p w14:paraId="6EA21578">
            <w:pPr>
              <w:adjustRightInd w:val="0"/>
              <w:snapToGrid w:val="0"/>
              <w:spacing w:line="288" w:lineRule="auto"/>
              <w:jc w:val="center"/>
              <w:rPr>
                <w:rFonts w:hint="eastAsia" w:ascii="仿宋" w:hAnsi="仿宋" w:eastAsia="仿宋" w:cs="仿宋"/>
                <w:b/>
                <w:bCs/>
                <w:szCs w:val="21"/>
              </w:rPr>
            </w:pPr>
            <w:r>
              <w:rPr>
                <w:rFonts w:hint="eastAsia" w:ascii="仿宋" w:hAnsi="仿宋" w:eastAsia="仿宋" w:cs="仿宋"/>
                <w:b/>
                <w:bCs/>
                <w:szCs w:val="21"/>
              </w:rPr>
              <w:t>投标总价（人民币元）</w:t>
            </w:r>
          </w:p>
          <w:p w14:paraId="700F7B7F">
            <w:pPr>
              <w:adjustRightInd w:val="0"/>
              <w:snapToGrid w:val="0"/>
              <w:spacing w:line="288" w:lineRule="auto"/>
              <w:rPr>
                <w:rFonts w:hint="eastAsia" w:ascii="仿宋" w:hAnsi="仿宋" w:eastAsia="仿宋" w:cs="仿宋"/>
                <w:b/>
                <w:bCs/>
                <w:szCs w:val="21"/>
              </w:rPr>
            </w:pPr>
          </w:p>
          <w:p w14:paraId="143C16FB">
            <w:pPr>
              <w:adjustRightInd w:val="0"/>
              <w:snapToGrid w:val="0"/>
              <w:spacing w:line="288" w:lineRule="auto"/>
              <w:rPr>
                <w:rFonts w:hint="eastAsia" w:ascii="仿宋" w:hAnsi="仿宋" w:eastAsia="仿宋" w:cs="仿宋"/>
                <w:b/>
                <w:bCs/>
                <w:szCs w:val="21"/>
              </w:rPr>
            </w:pPr>
            <w:r>
              <w:rPr>
                <w:rFonts w:hint="eastAsia" w:ascii="仿宋" w:hAnsi="仿宋" w:eastAsia="仿宋" w:cs="仿宋"/>
                <w:b/>
                <w:bCs/>
                <w:szCs w:val="21"/>
              </w:rPr>
              <w:t>小写：_________________________</w:t>
            </w:r>
          </w:p>
          <w:p w14:paraId="0405F115">
            <w:pPr>
              <w:adjustRightInd w:val="0"/>
              <w:snapToGrid w:val="0"/>
              <w:spacing w:line="288" w:lineRule="auto"/>
              <w:rPr>
                <w:rFonts w:hint="eastAsia" w:ascii="仿宋" w:hAnsi="仿宋" w:eastAsia="仿宋" w:cs="仿宋"/>
                <w:b/>
                <w:bCs/>
                <w:szCs w:val="21"/>
              </w:rPr>
            </w:pPr>
          </w:p>
          <w:p w14:paraId="4A98CEEE">
            <w:pPr>
              <w:adjustRightInd w:val="0"/>
              <w:snapToGrid w:val="0"/>
              <w:spacing w:line="288" w:lineRule="auto"/>
              <w:rPr>
                <w:rFonts w:hint="eastAsia" w:ascii="仿宋" w:hAnsi="仿宋" w:eastAsia="仿宋" w:cs="仿宋"/>
                <w:b/>
                <w:bCs/>
                <w:szCs w:val="21"/>
              </w:rPr>
            </w:pPr>
            <w:r>
              <w:rPr>
                <w:rFonts w:hint="eastAsia" w:ascii="仿宋" w:hAnsi="仿宋" w:eastAsia="仿宋" w:cs="仿宋"/>
                <w:b/>
                <w:bCs/>
                <w:szCs w:val="21"/>
              </w:rPr>
              <w:t>大写：_________________________</w:t>
            </w:r>
          </w:p>
          <w:p w14:paraId="459345F4">
            <w:pPr>
              <w:adjustRightInd w:val="0"/>
              <w:snapToGrid w:val="0"/>
              <w:spacing w:line="288" w:lineRule="auto"/>
              <w:rPr>
                <w:rFonts w:hint="eastAsia" w:ascii="仿宋" w:hAnsi="仿宋" w:eastAsia="仿宋" w:cs="仿宋"/>
                <w:b/>
                <w:bCs/>
                <w:szCs w:val="21"/>
              </w:rPr>
            </w:pPr>
          </w:p>
        </w:tc>
      </w:tr>
    </w:tbl>
    <w:p w14:paraId="064A3ED6">
      <w:pPr>
        <w:adjustRightInd w:val="0"/>
        <w:snapToGrid w:val="0"/>
        <w:spacing w:line="360" w:lineRule="auto"/>
        <w:rPr>
          <w:rFonts w:ascii="仿宋" w:hAnsi="仿宋" w:eastAsia="仿宋" w:cs="仿宋"/>
          <w:color w:val="auto"/>
          <w:spacing w:val="-6"/>
          <w:szCs w:val="21"/>
          <w:highlight w:val="none"/>
        </w:rPr>
      </w:pPr>
    </w:p>
    <w:p w14:paraId="7BC99E94">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14:paraId="7F5F7AA0">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1.开标一览表应按照本招标文件“第三章 投标人须知”关于“投标报价”的规定填写；</w:t>
      </w:r>
    </w:p>
    <w:p w14:paraId="5B9E1051">
      <w:pPr>
        <w:adjustRightInd w:val="0"/>
        <w:snapToGrid w:val="0"/>
        <w:spacing w:line="360" w:lineRule="auto"/>
        <w:jc w:val="left"/>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★2.服务项目不涉及提供货物的，规格型号、品牌、制造商、产地可不填写；</w:t>
      </w:r>
    </w:p>
    <w:p w14:paraId="6823E5DF">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 w:val="18"/>
          <w:szCs w:val="18"/>
          <w:highlight w:val="none"/>
        </w:rPr>
        <w:t>★3.联合体其他成员承担的部分，应在表中列明。</w:t>
      </w:r>
    </w:p>
    <w:p w14:paraId="19E19858">
      <w:pPr>
        <w:adjustRightInd w:val="0"/>
        <w:snapToGrid w:val="0"/>
        <w:spacing w:line="360" w:lineRule="auto"/>
        <w:rPr>
          <w:rFonts w:ascii="仿宋" w:hAnsi="仿宋" w:eastAsia="仿宋" w:cs="仿宋"/>
          <w:color w:val="auto"/>
          <w:szCs w:val="21"/>
          <w:highlight w:val="none"/>
        </w:rPr>
      </w:pPr>
    </w:p>
    <w:p w14:paraId="7ED5294C">
      <w:pPr>
        <w:adjustRightInd w:val="0"/>
        <w:snapToGrid w:val="0"/>
        <w:spacing w:line="360" w:lineRule="auto"/>
        <w:rPr>
          <w:rFonts w:ascii="仿宋" w:hAnsi="仿宋" w:eastAsia="仿宋" w:cs="仿宋"/>
          <w:b/>
          <w:bCs/>
          <w:color w:val="auto"/>
          <w:spacing w:val="-6"/>
          <w:szCs w:val="21"/>
          <w:highlight w:val="none"/>
        </w:rPr>
      </w:pPr>
    </w:p>
    <w:p w14:paraId="4BF14F7B">
      <w:pPr>
        <w:adjustRightInd w:val="0"/>
        <w:snapToGrid w:val="0"/>
        <w:spacing w:line="360" w:lineRule="auto"/>
        <w:rPr>
          <w:rFonts w:ascii="仿宋" w:hAnsi="仿宋" w:eastAsia="仿宋" w:cs="仿宋"/>
          <w:b/>
          <w:bCs/>
          <w:color w:val="auto"/>
          <w:spacing w:val="-6"/>
          <w:szCs w:val="21"/>
          <w:highlight w:val="none"/>
        </w:rPr>
      </w:pPr>
    </w:p>
    <w:p w14:paraId="4F15E316">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投标人名称（电子签名/公章）：</w:t>
      </w:r>
    </w:p>
    <w:p w14:paraId="2AE03A6C">
      <w:pPr>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14:paraId="667BB5C2">
      <w:pPr>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14:paraId="297E2778">
      <w:pPr>
        <w:keepNext w:val="0"/>
        <w:keepLines w:val="0"/>
        <w:pageBreakBefore w:val="0"/>
        <w:widowControl w:val="0"/>
        <w:kinsoku/>
        <w:wordWrap/>
        <w:overflowPunct/>
        <w:topLinePunct w:val="0"/>
        <w:autoSpaceDE/>
        <w:autoSpaceDN/>
        <w:bidi w:val="0"/>
        <w:spacing w:line="360" w:lineRule="auto"/>
        <w:textAlignment w:val="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2765FD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14:paraId="467D359E">
      <w:pPr>
        <w:keepNext w:val="0"/>
        <w:keepLines w:val="0"/>
        <w:pageBreakBefore w:val="0"/>
        <w:widowControl w:val="0"/>
        <w:kinsoku/>
        <w:wordWrap/>
        <w:overflowPunct/>
        <w:topLinePunct w:val="0"/>
        <w:autoSpaceDE/>
        <w:autoSpaceDN/>
        <w:bidi w:val="0"/>
        <w:snapToGrid w:val="0"/>
        <w:spacing w:line="360" w:lineRule="auto"/>
        <w:textAlignment w:val="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lang w:eastAsia="zh-CN"/>
        </w:rPr>
        <w:t>浙江理工大学</w:t>
      </w:r>
      <w:r>
        <w:rPr>
          <w:rFonts w:hint="eastAsia" w:ascii="仿宋" w:hAnsi="仿宋" w:eastAsia="仿宋" w:cs="仿宋"/>
          <w:b/>
          <w:bCs/>
          <w:color w:val="auto"/>
          <w:spacing w:val="-6"/>
          <w:szCs w:val="21"/>
          <w:highlight w:val="none"/>
        </w:rPr>
        <w:t>、浙江求是招标代理有限公司</w:t>
      </w:r>
    </w:p>
    <w:p w14:paraId="02314F6A">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工业互联网工程技术人员培训、实训平台建设</w:t>
      </w:r>
      <w:r>
        <w:rPr>
          <w:rFonts w:hint="eastAsia" w:ascii="仿宋" w:hAnsi="仿宋" w:eastAsia="仿宋" w:cs="仿宋"/>
          <w:color w:val="auto"/>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QSZBH250028ZHGK]</w:t>
      </w:r>
      <w:r>
        <w:rPr>
          <w:rFonts w:hint="eastAsia" w:ascii="仿宋" w:hAnsi="仿宋" w:eastAsia="仿宋" w:cs="仿宋"/>
          <w:bCs/>
          <w:color w:val="auto"/>
          <w:szCs w:val="21"/>
          <w:highlight w:val="none"/>
        </w:rPr>
        <w:t>投标活动中作如下说明：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14:paraId="609EDA55">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14:paraId="32789955">
      <w:pPr>
        <w:snapToGrid w:val="0"/>
        <w:spacing w:line="360" w:lineRule="auto"/>
        <w:ind w:firstLine="424" w:firstLineChars="202"/>
        <w:rPr>
          <w:rFonts w:ascii="仿宋" w:hAnsi="仿宋" w:eastAsia="仿宋" w:cs="仿宋"/>
          <w:color w:val="auto"/>
          <w:szCs w:val="21"/>
          <w:highlight w:val="none"/>
        </w:rPr>
      </w:pPr>
    </w:p>
    <w:p w14:paraId="6C34BB76">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14:paraId="248A0F39">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14:paraId="74867DD6">
      <w:pPr>
        <w:snapToGrid w:val="0"/>
        <w:spacing w:line="360" w:lineRule="auto"/>
        <w:rPr>
          <w:rFonts w:ascii="仿宋" w:hAnsi="仿宋" w:eastAsia="仿宋" w:cs="仿宋"/>
          <w:b/>
          <w:bCs/>
          <w:color w:val="auto"/>
          <w:szCs w:val="21"/>
          <w:highlight w:val="none"/>
        </w:rPr>
      </w:pPr>
    </w:p>
    <w:p w14:paraId="05DCE2D7">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14:paraId="39030237">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tbl>
      <w:tblPr>
        <w:tblStyle w:val="27"/>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5"/>
        <w:gridCol w:w="4706"/>
      </w:tblGrid>
      <w:tr w14:paraId="6888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4" w:type="dxa"/>
            <w:vAlign w:val="top"/>
          </w:tcPr>
          <w:p w14:paraId="31FDF98D">
            <w:pPr>
              <w:snapToGrid w:val="0"/>
              <w:spacing w:line="288" w:lineRule="auto"/>
              <w:rPr>
                <w:rFonts w:hint="eastAsia" w:ascii="宋体" w:hAnsi="宋体" w:eastAsia="宋体" w:cs="宋体"/>
                <w:spacing w:val="0"/>
                <w:kern w:val="2"/>
                <w:szCs w:val="21"/>
                <w:vertAlign w:val="baseline"/>
              </w:rPr>
            </w:pPr>
          </w:p>
        </w:tc>
        <w:tc>
          <w:tcPr>
            <w:tcW w:w="4814" w:type="dxa"/>
          </w:tcPr>
          <w:p w14:paraId="6E2B4F3D">
            <w:pPr>
              <w:snapToGrid w:val="0"/>
              <w:spacing w:line="288" w:lineRule="auto"/>
              <w:rPr>
                <w:rFonts w:hint="eastAsia" w:ascii="宋体" w:hAnsi="宋体" w:eastAsia="宋体" w:cs="宋体"/>
                <w:spacing w:val="0"/>
                <w:kern w:val="2"/>
                <w:szCs w:val="21"/>
                <w:vertAlign w:val="baseline"/>
              </w:rPr>
            </w:pPr>
          </w:p>
        </w:tc>
      </w:tr>
    </w:tbl>
    <w:p w14:paraId="38288A18">
      <w:pPr>
        <w:snapToGrid w:val="0"/>
        <w:spacing w:line="288" w:lineRule="auto"/>
        <w:rPr>
          <w:rFonts w:hint="eastAsia" w:ascii="仿宋" w:hAnsi="仿宋" w:eastAsia="仿宋" w:cs="仿宋"/>
          <w:b/>
          <w:bCs/>
          <w:color w:val="auto"/>
          <w:szCs w:val="21"/>
          <w:highlight w:val="none"/>
        </w:rPr>
      </w:pPr>
    </w:p>
    <w:p w14:paraId="7E424D9F">
      <w:pPr>
        <w:ind w:left="0" w:leftChars="0" w:right="0" w:rightChars="0" w:firstLine="0" w:firstLineChars="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5646AD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附件2</w:t>
      </w:r>
    </w:p>
    <w:p w14:paraId="62B33B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联合协议</w:t>
      </w:r>
    </w:p>
    <w:p w14:paraId="4171A8F8">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（以联合体形式投标的提供联合协议</w:t>
      </w:r>
      <w:r>
        <w:rPr>
          <w:rFonts w:hint="eastAsia" w:ascii="仿宋" w:hAnsi="仿宋" w:eastAsia="仿宋" w:cs="仿宋"/>
          <w:b/>
          <w:color w:val="auto"/>
          <w:sz w:val="18"/>
          <w:szCs w:val="18"/>
          <w:highlight w:val="none"/>
          <w:lang w:eastAsia="zh-CN"/>
        </w:rPr>
        <w:t>，</w:t>
      </w:r>
      <w:r>
        <w:rPr>
          <w:rFonts w:hint="eastAsia" w:ascii="仿宋" w:hAnsi="仿宋" w:eastAsia="仿宋" w:cs="仿宋"/>
          <w:b/>
          <w:color w:val="auto"/>
          <w:sz w:val="18"/>
          <w:szCs w:val="18"/>
          <w:highlight w:val="none"/>
        </w:rPr>
        <w:t>项目不接受联合体投标或投标人不以联合体形式投标的则不需要提供）</w:t>
      </w:r>
    </w:p>
    <w:p w14:paraId="23E5A480">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（联合体所有成员名称）</w:t>
      </w:r>
      <w:r>
        <w:rPr>
          <w:rFonts w:hint="eastAsia" w:ascii="仿宋" w:hAnsi="仿宋" w:eastAsia="仿宋" w:cs="仿宋"/>
          <w:color w:val="auto"/>
          <w:kern w:val="0"/>
          <w:szCs w:val="21"/>
          <w:highlight w:val="none"/>
        </w:rPr>
        <w:t>自愿</w:t>
      </w:r>
      <w:r>
        <w:rPr>
          <w:rFonts w:hint="eastAsia" w:ascii="仿宋" w:hAnsi="仿宋" w:eastAsia="仿宋" w:cs="仿宋"/>
          <w:color w:val="auto"/>
          <w:kern w:val="0"/>
          <w:szCs w:val="21"/>
          <w:highlight w:val="none"/>
          <w:lang w:val="zh-CN"/>
        </w:rPr>
        <w:t>组成一个联合体，以一个投标人的身份</w:t>
      </w:r>
      <w:r>
        <w:rPr>
          <w:rFonts w:hint="eastAsia" w:ascii="仿宋" w:hAnsi="仿宋" w:eastAsia="仿宋" w:cs="仿宋"/>
          <w:color w:val="auto"/>
          <w:kern w:val="0"/>
          <w:szCs w:val="21"/>
          <w:highlight w:val="none"/>
        </w:rPr>
        <w:t>参加</w:t>
      </w:r>
      <w:r>
        <w:rPr>
          <w:rFonts w:hint="eastAsia" w:ascii="仿宋" w:hAnsi="仿宋" w:eastAsia="仿宋" w:cs="仿宋"/>
          <w:color w:val="auto"/>
          <w:kern w:val="0"/>
          <w:szCs w:val="21"/>
          <w:highlight w:val="none"/>
          <w:lang w:eastAsia="zh-CN"/>
        </w:rPr>
        <w:t>工业互联网工程技术人员培训、实训平台建设</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QSZBH250028ZHGK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投标。</w:t>
      </w:r>
    </w:p>
    <w:p w14:paraId="47C9683F">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一、各方一致决定，</w:t>
      </w:r>
      <w:r>
        <w:rPr>
          <w:rFonts w:hint="eastAsia" w:ascii="仿宋" w:hAnsi="仿宋" w:eastAsia="仿宋" w:cs="仿宋"/>
          <w:color w:val="auto"/>
          <w:kern w:val="0"/>
          <w:szCs w:val="21"/>
          <w:highlight w:val="none"/>
          <w:u w:val="single"/>
        </w:rPr>
        <w:t>（某联合体成员名称）</w:t>
      </w:r>
      <w:r>
        <w:rPr>
          <w:rFonts w:hint="eastAsia" w:ascii="仿宋" w:hAnsi="仿宋" w:eastAsia="仿宋" w:cs="仿宋"/>
          <w:color w:val="auto"/>
          <w:kern w:val="0"/>
          <w:szCs w:val="21"/>
          <w:highlight w:val="none"/>
        </w:rPr>
        <w:t>为联合体</w:t>
      </w:r>
      <w:r>
        <w:rPr>
          <w:rFonts w:hint="eastAsia" w:ascii="仿宋" w:hAnsi="仿宋" w:eastAsia="仿宋" w:cs="仿宋"/>
          <w:color w:val="auto"/>
          <w:kern w:val="0"/>
          <w:szCs w:val="21"/>
          <w:highlight w:val="none"/>
          <w:lang w:val="zh-CN"/>
        </w:rPr>
        <w:t>牵头人</w:t>
      </w:r>
      <w:r>
        <w:rPr>
          <w:rFonts w:hint="eastAsia" w:ascii="仿宋" w:hAnsi="仿宋" w:eastAsia="仿宋" w:cs="仿宋"/>
          <w:color w:val="auto"/>
          <w:szCs w:val="21"/>
          <w:highlight w:val="none"/>
        </w:rPr>
        <w:t>，代表所有联合体成员负责投标和合同实施阶段的主办、协调工作</w:t>
      </w:r>
      <w:r>
        <w:rPr>
          <w:rFonts w:hint="eastAsia" w:ascii="仿宋" w:hAnsi="仿宋" w:eastAsia="仿宋" w:cs="仿宋"/>
          <w:color w:val="auto"/>
          <w:kern w:val="0"/>
          <w:szCs w:val="21"/>
          <w:highlight w:val="none"/>
          <w:lang w:val="zh-CN"/>
        </w:rPr>
        <w:t>。</w:t>
      </w:r>
    </w:p>
    <w:p w14:paraId="0D22AB7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w:t>
      </w:r>
      <w:r>
        <w:rPr>
          <w:rFonts w:hint="eastAsia" w:ascii="仿宋" w:hAnsi="仿宋" w:eastAsia="仿宋" w:cs="仿宋"/>
          <w:color w:val="auto"/>
          <w:szCs w:val="21"/>
          <w:highlight w:val="none"/>
        </w:rPr>
        <w:t>所有联合体成员各方签署授权书，授权书载明的</w:t>
      </w:r>
      <w:r>
        <w:rPr>
          <w:rFonts w:hint="eastAsia" w:ascii="仿宋" w:hAnsi="仿宋" w:eastAsia="仿宋" w:cs="仿宋"/>
          <w:color w:val="auto"/>
          <w:kern w:val="0"/>
          <w:szCs w:val="21"/>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Cs w:val="21"/>
          <w:highlight w:val="none"/>
          <w:lang w:val="en-US" w:eastAsia="zh-CN"/>
        </w:rPr>
        <w:t>响应</w:t>
      </w:r>
      <w:r>
        <w:rPr>
          <w:rFonts w:hint="eastAsia" w:ascii="仿宋" w:hAnsi="仿宋" w:eastAsia="仿宋" w:cs="仿宋"/>
          <w:color w:val="auto"/>
          <w:kern w:val="0"/>
          <w:szCs w:val="21"/>
          <w:highlight w:val="none"/>
          <w:lang w:val="zh-CN"/>
        </w:rPr>
        <w:t>等均对联合投标各方产生约束力。</w:t>
      </w:r>
    </w:p>
    <w:p w14:paraId="0F2BADE8">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三、本次联合投标中，分工如下：</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lang w:val="zh-CN"/>
        </w:rPr>
        <w:t>承担的工作和义务为：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kern w:val="0"/>
          <w:szCs w:val="21"/>
          <w:highlight w:val="none"/>
          <w:lang w:val="zh-CN"/>
        </w:rPr>
        <w:t>；……。</w:t>
      </w:r>
    </w:p>
    <w:p w14:paraId="19665B7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w:t>
      </w:r>
      <w:r>
        <w:rPr>
          <w:rFonts w:hint="eastAsia" w:ascii="仿宋" w:hAnsi="仿宋" w:eastAsia="仿宋" w:cs="仿宋"/>
          <w:color w:val="auto"/>
          <w:kern w:val="0"/>
          <w:szCs w:val="21"/>
          <w:highlight w:val="none"/>
          <w:u w:val="single"/>
        </w:rPr>
        <w:t>（联合体其中一方成员名称）</w:t>
      </w:r>
      <w:r>
        <w:rPr>
          <w:rFonts w:hint="eastAsia" w:ascii="仿宋" w:hAnsi="仿宋" w:eastAsia="仿宋" w:cs="仿宋"/>
          <w:color w:val="auto"/>
          <w:kern w:val="0"/>
          <w:szCs w:val="21"/>
          <w:highlight w:val="none"/>
        </w:rPr>
        <w:t>提供的全部货物由小微企业制造，其合同份额占到合同总金额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kern w:val="0"/>
          <w:szCs w:val="21"/>
          <w:highlight w:val="none"/>
          <w:lang w:val="zh-CN"/>
        </w:rPr>
        <w:t>……。</w:t>
      </w:r>
    </w:p>
    <w:p w14:paraId="282C6C36">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五、如果中标，</w:t>
      </w:r>
      <w:r>
        <w:rPr>
          <w:rFonts w:hint="eastAsia" w:ascii="仿宋" w:hAnsi="仿宋" w:eastAsia="仿宋" w:cs="仿宋"/>
          <w:color w:val="auto"/>
          <w:szCs w:val="21"/>
          <w:highlight w:val="none"/>
        </w:rPr>
        <w:t>联合体各成员方共同与采购人签订合同，并就采购合同约定的事项对采购人承担连带责任。</w:t>
      </w:r>
    </w:p>
    <w:p w14:paraId="18E8ACD9">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六、有关本次联合投标的其他事宜：</w:t>
      </w:r>
    </w:p>
    <w:p w14:paraId="1F07D1B9">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1、联合体各方不再单独参加或者与其他供应商另外组成联合体参加同一合同项下的政府采购活动；</w:t>
      </w:r>
    </w:p>
    <w:p w14:paraId="3BD80E3B">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2、联合体中有同类资质的各方按照联合体分工承担相同工作的，按照资质等级较低的供应商确定资质等级；</w:t>
      </w:r>
    </w:p>
    <w:p w14:paraId="2BDED4E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3、本协议提交采购人、采购代理机构后，联合体各方不得以任何形式对上述内容进行修改或撤销。</w:t>
      </w:r>
    </w:p>
    <w:p w14:paraId="53BD9FCC">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29D18BC5">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5E537231">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1"/>
        <w:textAlignment w:val="auto"/>
        <w:outlineLvl w:val="9"/>
        <w:rPr>
          <w:rFonts w:hint="eastAsia" w:ascii="仿宋" w:hAnsi="仿宋" w:eastAsia="仿宋" w:cs="仿宋"/>
          <w:color w:val="auto"/>
          <w:kern w:val="0"/>
          <w:szCs w:val="21"/>
          <w:highlight w:val="none"/>
          <w:lang w:val="zh-CN"/>
        </w:rPr>
      </w:pPr>
    </w:p>
    <w:p w14:paraId="1AC6B82F">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联合体成员名称(电子签名/公章)：</w:t>
      </w:r>
    </w:p>
    <w:p w14:paraId="327270A9">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spacing w:val="-6"/>
          <w:szCs w:val="21"/>
          <w:highlight w:val="none"/>
        </w:rPr>
        <w:t>日期：     年   月   日</w:t>
      </w:r>
    </w:p>
    <w:p w14:paraId="05E16236">
      <w:pPr>
        <w:widowControl/>
        <w:ind w:left="0" w:leftChars="0" w:right="0" w:rightChars="0" w:firstLine="0" w:firstLineChars="0"/>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br w:type="page"/>
      </w:r>
    </w:p>
    <w:p w14:paraId="06F2B1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1"/>
        <w:rPr>
          <w:rFonts w:hint="eastAsia" w:ascii="仿宋" w:hAnsi="仿宋" w:eastAsia="仿宋" w:cs="仿宋"/>
          <w:b/>
          <w:color w:val="auto"/>
          <w:spacing w:val="-6"/>
          <w:sz w:val="24"/>
          <w:highlight w:val="none"/>
          <w:lang w:val="zh-CN"/>
        </w:rPr>
      </w:pPr>
      <w:r>
        <w:rPr>
          <w:rFonts w:hint="eastAsia" w:ascii="仿宋" w:hAnsi="仿宋" w:eastAsia="仿宋" w:cs="仿宋"/>
          <w:b/>
          <w:color w:val="auto"/>
          <w:spacing w:val="-6"/>
          <w:sz w:val="24"/>
          <w:highlight w:val="none"/>
          <w:lang w:val="zh-CN"/>
        </w:rPr>
        <w:t>附件3</w:t>
      </w:r>
    </w:p>
    <w:p w14:paraId="265814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2"/>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分包意向协议</w:t>
      </w:r>
    </w:p>
    <w:p w14:paraId="4F015E74">
      <w:pPr>
        <w:keepNext w:val="0"/>
        <w:keepLines w:val="0"/>
        <w:pageBreakBefore w:val="0"/>
        <w:widowControl/>
        <w:kinsoku/>
        <w:wordWrap/>
        <w:overflowPunct/>
        <w:topLinePunct w:val="0"/>
        <w:autoSpaceDE/>
        <w:autoSpaceDN/>
        <w:bidi w:val="0"/>
        <w:adjustRightInd/>
        <w:snapToGrid w:val="0"/>
        <w:spacing w:line="360" w:lineRule="auto"/>
        <w:ind w:right="0" w:rightChars="0"/>
        <w:jc w:val="center"/>
        <w:textAlignment w:val="auto"/>
        <w:outlineLvl w:val="9"/>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（中标后以分包方式履行合同的提供分包意向协议</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rPr>
        <w:t>采购人不同意分包或中标后不以分包方式履行合同的则不需要提供）</w:t>
      </w:r>
    </w:p>
    <w:p w14:paraId="7A5AFEF8">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若成为</w:t>
      </w:r>
      <w:r>
        <w:rPr>
          <w:rFonts w:hint="eastAsia" w:ascii="仿宋" w:hAnsi="仿宋" w:eastAsia="仿宋" w:cs="仿宋"/>
          <w:color w:val="auto"/>
          <w:kern w:val="0"/>
          <w:szCs w:val="21"/>
          <w:highlight w:val="none"/>
          <w:lang w:eastAsia="zh-CN"/>
        </w:rPr>
        <w:t>工业互联网工程技术人员培训、实训平台建设</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项目编号：</w:t>
      </w:r>
      <w:r>
        <w:rPr>
          <w:rFonts w:hint="eastAsia" w:ascii="仿宋" w:hAnsi="仿宋" w:eastAsia="仿宋" w:cs="仿宋"/>
          <w:bCs/>
          <w:color w:val="auto"/>
          <w:spacing w:val="-6"/>
          <w:szCs w:val="21"/>
          <w:highlight w:val="none"/>
          <w:lang w:eastAsia="zh-CN"/>
        </w:rPr>
        <w:t>QSZBH250028ZHGK</w:t>
      </w:r>
      <w:r>
        <w:rPr>
          <w:rFonts w:hint="eastAsia" w:ascii="仿宋" w:hAnsi="仿宋" w:eastAsia="仿宋" w:cs="仿宋"/>
          <w:color w:val="auto"/>
          <w:szCs w:val="21"/>
          <w:highlight w:val="none"/>
          <w:lang w:eastAsia="zh-CN"/>
        </w:rPr>
        <w:t>]</w:t>
      </w:r>
      <w:r>
        <w:rPr>
          <w:rFonts w:hint="eastAsia" w:ascii="仿宋" w:hAnsi="仿宋" w:eastAsia="仿宋" w:cs="仿宋"/>
          <w:color w:val="auto"/>
          <w:kern w:val="0"/>
          <w:szCs w:val="21"/>
          <w:highlight w:val="none"/>
          <w:lang w:val="zh-CN"/>
        </w:rPr>
        <w:t>的中标</w:t>
      </w:r>
      <w:r>
        <w:rPr>
          <w:rFonts w:hint="eastAsia" w:ascii="仿宋" w:hAnsi="仿宋" w:eastAsia="仿宋" w:cs="仿宋"/>
          <w:color w:val="auto"/>
          <w:kern w:val="0"/>
          <w:szCs w:val="21"/>
          <w:highlight w:val="none"/>
          <w:lang w:val="en-US" w:eastAsia="zh-CN"/>
        </w:rPr>
        <w:t>人</w:t>
      </w:r>
      <w:r>
        <w:rPr>
          <w:rFonts w:hint="eastAsia" w:ascii="仿宋" w:hAnsi="仿宋" w:eastAsia="仿宋" w:cs="仿宋"/>
          <w:color w:val="auto"/>
          <w:kern w:val="0"/>
          <w:szCs w:val="21"/>
          <w:highlight w:val="none"/>
          <w:lang w:val="zh-CN"/>
        </w:rPr>
        <w:t>，将依法采取分包方式履行合同。</w:t>
      </w: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rPr>
        <w:t>与</w:t>
      </w:r>
      <w:r>
        <w:rPr>
          <w:rFonts w:hint="eastAsia" w:ascii="仿宋" w:hAnsi="仿宋" w:eastAsia="仿宋" w:cs="仿宋"/>
          <w:color w:val="auto"/>
          <w:kern w:val="0"/>
          <w:szCs w:val="21"/>
          <w:highlight w:val="none"/>
          <w:u w:val="single"/>
        </w:rPr>
        <w:t>（所有分包供应商名称）</w:t>
      </w:r>
      <w:r>
        <w:rPr>
          <w:rFonts w:hint="eastAsia" w:ascii="仿宋" w:hAnsi="仿宋" w:eastAsia="仿宋" w:cs="仿宋"/>
          <w:color w:val="auto"/>
          <w:kern w:val="0"/>
          <w:szCs w:val="21"/>
          <w:highlight w:val="none"/>
        </w:rPr>
        <w:t>达成分包意向协议</w:t>
      </w:r>
      <w:r>
        <w:rPr>
          <w:rFonts w:hint="eastAsia" w:ascii="仿宋" w:hAnsi="仿宋" w:eastAsia="仿宋" w:cs="仿宋"/>
          <w:color w:val="auto"/>
          <w:kern w:val="0"/>
          <w:szCs w:val="21"/>
          <w:highlight w:val="none"/>
          <w:lang w:val="zh-CN"/>
        </w:rPr>
        <w:t>。</w:t>
      </w:r>
    </w:p>
    <w:p w14:paraId="0134E7BC">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一、分包标的及数量</w:t>
      </w:r>
    </w:p>
    <w:p w14:paraId="72AC7B08">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u w:val="single"/>
        </w:rPr>
        <w:t>（投标人名称）</w:t>
      </w:r>
      <w:r>
        <w:rPr>
          <w:rFonts w:hint="eastAsia" w:ascii="仿宋" w:hAnsi="仿宋" w:eastAsia="仿宋" w:cs="仿宋"/>
          <w:color w:val="auto"/>
          <w:kern w:val="0"/>
          <w:szCs w:val="21"/>
          <w:highlight w:val="none"/>
          <w:lang w:val="zh-CN"/>
        </w:rPr>
        <w:t>将</w:t>
      </w:r>
      <w:r>
        <w:rPr>
          <w:rFonts w:hint="eastAsia" w:ascii="仿宋" w:hAnsi="仿宋" w:eastAsia="仿宋" w:cs="仿宋"/>
          <w:color w:val="auto"/>
          <w:szCs w:val="21"/>
          <w:highlight w:val="none"/>
          <w:u w:val="single"/>
        </w:rPr>
        <w:t>XX工作内容</w:t>
      </w:r>
      <w:r>
        <w:rPr>
          <w:rFonts w:hint="eastAsia" w:ascii="仿宋" w:hAnsi="仿宋" w:eastAsia="仿宋" w:cs="仿宋"/>
          <w:color w:val="auto"/>
          <w:szCs w:val="21"/>
          <w:highlight w:val="none"/>
        </w:rPr>
        <w:t>分包给</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w:t>
      </w: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lang w:val="zh-CN"/>
        </w:rPr>
        <w:t>具备承</w:t>
      </w:r>
      <w:r>
        <w:rPr>
          <w:rFonts w:hint="eastAsia" w:ascii="仿宋" w:hAnsi="仿宋" w:eastAsia="仿宋" w:cs="仿宋"/>
          <w:color w:val="auto"/>
          <w:kern w:val="0"/>
          <w:szCs w:val="21"/>
          <w:highlight w:val="none"/>
        </w:rPr>
        <w:t>担</w:t>
      </w:r>
      <w:r>
        <w:rPr>
          <w:rFonts w:hint="eastAsia" w:ascii="仿宋" w:hAnsi="仿宋" w:eastAsia="仿宋" w:cs="仿宋"/>
          <w:color w:val="auto"/>
          <w:szCs w:val="21"/>
          <w:highlight w:val="none"/>
          <w:u w:val="single"/>
        </w:rPr>
        <w:t>XX工作内容</w:t>
      </w:r>
      <w:r>
        <w:rPr>
          <w:rFonts w:hint="eastAsia" w:ascii="仿宋" w:hAnsi="仿宋" w:eastAsia="仿宋" w:cs="仿宋"/>
          <w:color w:val="auto"/>
          <w:kern w:val="0"/>
          <w:szCs w:val="21"/>
          <w:highlight w:val="none"/>
          <w:lang w:val="zh-CN"/>
        </w:rPr>
        <w:t>相应资质条件且不得再次分包；</w:t>
      </w:r>
    </w:p>
    <w:p w14:paraId="7D06220D">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w:t>
      </w:r>
    </w:p>
    <w:p w14:paraId="14690F81">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二、分包工作履行期限、地点、方式：</w:t>
      </w:r>
    </w:p>
    <w:p w14:paraId="696200C7">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三、质量：</w:t>
      </w:r>
    </w:p>
    <w:p w14:paraId="1EC87CC2">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四、价款或者报酬：</w:t>
      </w:r>
    </w:p>
    <w:p w14:paraId="20EF5913">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五、违约责任：</w:t>
      </w:r>
    </w:p>
    <w:p w14:paraId="5B5DCFF9">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六、争议解决的办法：</w:t>
      </w:r>
    </w:p>
    <w:p w14:paraId="36F008F3">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七、其他：</w:t>
      </w:r>
    </w:p>
    <w:p w14:paraId="0FF68E9B">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u w:val="single"/>
        </w:rPr>
        <w:t>（某分包供应商名称）</w:t>
      </w:r>
      <w:r>
        <w:rPr>
          <w:rFonts w:hint="eastAsia" w:ascii="仿宋" w:hAnsi="仿宋" w:eastAsia="仿宋" w:cs="仿宋"/>
          <w:color w:val="auto"/>
          <w:kern w:val="0"/>
          <w:szCs w:val="21"/>
          <w:highlight w:val="none"/>
          <w:u w:val="none"/>
        </w:rPr>
        <w:t>提供的货物全部由小微企业制造，</w:t>
      </w:r>
      <w:r>
        <w:rPr>
          <w:rFonts w:hint="eastAsia" w:ascii="仿宋" w:hAnsi="仿宋" w:eastAsia="仿宋" w:cs="仿宋"/>
          <w:color w:val="auto"/>
          <w:kern w:val="0"/>
          <w:szCs w:val="21"/>
          <w:highlight w:val="none"/>
        </w:rPr>
        <w:t>其合同份额占到合同总金额</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%以上</w:t>
      </w:r>
      <w:r>
        <w:rPr>
          <w:rFonts w:hint="eastAsia" w:ascii="仿宋" w:hAnsi="仿宋" w:eastAsia="仿宋" w:cs="仿宋"/>
          <w:color w:val="auto"/>
          <w:szCs w:val="21"/>
          <w:highlight w:val="none"/>
        </w:rPr>
        <w:t>。</w:t>
      </w:r>
    </w:p>
    <w:p w14:paraId="0BBC6F70">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仿宋" w:hAnsi="仿宋" w:eastAsia="仿宋" w:cs="仿宋"/>
          <w:color w:val="auto"/>
          <w:kern w:val="0"/>
          <w:szCs w:val="21"/>
          <w:highlight w:val="none"/>
          <w:lang w:val="zh-CN"/>
        </w:rPr>
      </w:pPr>
    </w:p>
    <w:p w14:paraId="62E59179">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4A93F692">
      <w:pPr>
        <w:keepNext w:val="0"/>
        <w:keepLines w:val="0"/>
        <w:pageBreakBefore w:val="0"/>
        <w:kinsoku/>
        <w:wordWrap/>
        <w:overflowPunct/>
        <w:topLinePunct w:val="0"/>
        <w:autoSpaceDE/>
        <w:autoSpaceDN/>
        <w:bidi w:val="0"/>
        <w:adjustRightInd/>
        <w:snapToGrid w:val="0"/>
        <w:spacing w:line="360" w:lineRule="auto"/>
        <w:ind w:left="0" w:leftChars="0" w:right="0" w:rightChars="0" w:firstLine="422" w:firstLineChars="200"/>
        <w:textAlignment w:val="auto"/>
        <w:outlineLvl w:val="9"/>
        <w:rPr>
          <w:rFonts w:hint="eastAsia" w:ascii="仿宋" w:hAnsi="仿宋" w:eastAsia="仿宋" w:cs="仿宋"/>
          <w:b/>
          <w:bCs/>
          <w:color w:val="auto"/>
          <w:kern w:val="0"/>
          <w:szCs w:val="21"/>
          <w:highlight w:val="none"/>
          <w:lang w:val="zh-CN"/>
        </w:rPr>
      </w:pPr>
    </w:p>
    <w:p w14:paraId="4CFFBFAC">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投标人名称（电子签名/公章）：</w:t>
      </w:r>
    </w:p>
    <w:p w14:paraId="6575C2BF">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eastAsia" w:ascii="仿宋" w:hAnsi="仿宋" w:eastAsia="仿宋" w:cs="仿宋"/>
          <w:b/>
          <w:bCs/>
          <w:color w:val="auto"/>
          <w:kern w:val="0"/>
          <w:szCs w:val="21"/>
          <w:highlight w:val="none"/>
          <w:lang w:val="zh-CN"/>
        </w:rPr>
      </w:pPr>
      <w:r>
        <w:rPr>
          <w:rFonts w:hint="eastAsia" w:ascii="仿宋" w:hAnsi="仿宋" w:eastAsia="仿宋" w:cs="仿宋"/>
          <w:b/>
          <w:bCs/>
          <w:color w:val="auto"/>
          <w:kern w:val="0"/>
          <w:szCs w:val="21"/>
          <w:highlight w:val="none"/>
          <w:lang w:val="zh-CN"/>
        </w:rPr>
        <w:t>分包供应商名称：（电子签名/公章）：</w:t>
      </w:r>
    </w:p>
    <w:p w14:paraId="4AADF267">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highlight w:val="none"/>
        </w:rPr>
      </w:pPr>
      <w:r>
        <w:rPr>
          <w:rFonts w:hint="eastAsia" w:ascii="仿宋" w:hAnsi="仿宋" w:eastAsia="仿宋" w:cs="仿宋"/>
          <w:b/>
          <w:bCs/>
          <w:color w:val="auto"/>
          <w:spacing w:val="-6"/>
          <w:szCs w:val="21"/>
          <w:highlight w:val="none"/>
        </w:rPr>
        <w:t>日期：     年   月   日</w:t>
      </w:r>
    </w:p>
    <w:sectPr>
      <w:footerReference r:id="rId5" w:type="default"/>
      <w:pgSz w:w="11906" w:h="16838"/>
      <w:pgMar w:top="1440" w:right="1247" w:bottom="1440" w:left="1247" w:header="340" w:footer="850" w:gutter="0"/>
      <w:pgNumType w:start="1"/>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3013">
    <w:pPr>
      <w:pStyle w:val="19"/>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108D1">
    <w:pPr>
      <w:pStyle w:val="19"/>
      <w:jc w:val="both"/>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74C85">
                          <w:pPr>
                            <w:pStyle w:val="19"/>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174C85">
                    <w:pPr>
                      <w:pStyle w:val="19"/>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09887">
    <w:pPr>
      <w:jc w:val="center"/>
    </w:pPr>
    <w:r>
      <w:rPr>
        <w:rFonts w:hint="eastAsia" w:eastAsiaTheme="minorEastAsia"/>
        <w:lang w:eastAsia="zh-CN"/>
      </w:rPr>
      <w:drawing>
        <wp:inline distT="0" distB="0" distL="114300" distR="114300">
          <wp:extent cx="5906770" cy="676910"/>
          <wp:effectExtent l="0" t="0" r="635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172A27"/>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0D3"/>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D62F4"/>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2CC3"/>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177"/>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17491"/>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8C1267"/>
    <w:rsid w:val="01E81FFF"/>
    <w:rsid w:val="01EB6738"/>
    <w:rsid w:val="01F81427"/>
    <w:rsid w:val="02012A20"/>
    <w:rsid w:val="020E2058"/>
    <w:rsid w:val="02410BBD"/>
    <w:rsid w:val="0255631B"/>
    <w:rsid w:val="025A1D16"/>
    <w:rsid w:val="02675FA2"/>
    <w:rsid w:val="029858A5"/>
    <w:rsid w:val="02B01928"/>
    <w:rsid w:val="02DB66DE"/>
    <w:rsid w:val="030F1581"/>
    <w:rsid w:val="031F2199"/>
    <w:rsid w:val="0367195A"/>
    <w:rsid w:val="03752F2A"/>
    <w:rsid w:val="03E17F2F"/>
    <w:rsid w:val="03F93561"/>
    <w:rsid w:val="041C048B"/>
    <w:rsid w:val="04455AED"/>
    <w:rsid w:val="04543A7E"/>
    <w:rsid w:val="046B3463"/>
    <w:rsid w:val="04932572"/>
    <w:rsid w:val="04933C53"/>
    <w:rsid w:val="05156760"/>
    <w:rsid w:val="052E5413"/>
    <w:rsid w:val="05362D79"/>
    <w:rsid w:val="05702602"/>
    <w:rsid w:val="059E7BA9"/>
    <w:rsid w:val="05D34727"/>
    <w:rsid w:val="05D66602"/>
    <w:rsid w:val="05F3515E"/>
    <w:rsid w:val="06372924"/>
    <w:rsid w:val="06495BAA"/>
    <w:rsid w:val="067A5D0F"/>
    <w:rsid w:val="06887ED4"/>
    <w:rsid w:val="068E57D3"/>
    <w:rsid w:val="06D0191A"/>
    <w:rsid w:val="07023E90"/>
    <w:rsid w:val="07854B6B"/>
    <w:rsid w:val="07B376EB"/>
    <w:rsid w:val="07FD4090"/>
    <w:rsid w:val="085639E7"/>
    <w:rsid w:val="086E55FF"/>
    <w:rsid w:val="08931933"/>
    <w:rsid w:val="08A42702"/>
    <w:rsid w:val="08E550FE"/>
    <w:rsid w:val="09490841"/>
    <w:rsid w:val="09D27E0F"/>
    <w:rsid w:val="09F27F75"/>
    <w:rsid w:val="0A270D93"/>
    <w:rsid w:val="0A6F7309"/>
    <w:rsid w:val="0A754277"/>
    <w:rsid w:val="0A7F2E26"/>
    <w:rsid w:val="0B1110DC"/>
    <w:rsid w:val="0B225DFB"/>
    <w:rsid w:val="0B335263"/>
    <w:rsid w:val="0B4A1776"/>
    <w:rsid w:val="0B71123C"/>
    <w:rsid w:val="0B966D19"/>
    <w:rsid w:val="0C1214DA"/>
    <w:rsid w:val="0C31724E"/>
    <w:rsid w:val="0C525A8C"/>
    <w:rsid w:val="0C786503"/>
    <w:rsid w:val="0CA23AC9"/>
    <w:rsid w:val="0CE9115E"/>
    <w:rsid w:val="0D1A04C9"/>
    <w:rsid w:val="0D3C08AB"/>
    <w:rsid w:val="0D3E3F80"/>
    <w:rsid w:val="0D60217F"/>
    <w:rsid w:val="0D90780B"/>
    <w:rsid w:val="0DB72A31"/>
    <w:rsid w:val="0E0272E3"/>
    <w:rsid w:val="0E3A13A6"/>
    <w:rsid w:val="0E5126E9"/>
    <w:rsid w:val="0F3516D1"/>
    <w:rsid w:val="0F4A286B"/>
    <w:rsid w:val="0F583081"/>
    <w:rsid w:val="0FE92AD8"/>
    <w:rsid w:val="103E7503"/>
    <w:rsid w:val="10757130"/>
    <w:rsid w:val="10951221"/>
    <w:rsid w:val="10C446C9"/>
    <w:rsid w:val="11116365"/>
    <w:rsid w:val="112A7CC0"/>
    <w:rsid w:val="112B34AD"/>
    <w:rsid w:val="116752E1"/>
    <w:rsid w:val="11D33AAC"/>
    <w:rsid w:val="11FF5827"/>
    <w:rsid w:val="12425AC4"/>
    <w:rsid w:val="12532F3F"/>
    <w:rsid w:val="127F1A55"/>
    <w:rsid w:val="13220891"/>
    <w:rsid w:val="13250FB0"/>
    <w:rsid w:val="138933C6"/>
    <w:rsid w:val="13C67CD0"/>
    <w:rsid w:val="13CC23F4"/>
    <w:rsid w:val="140A4210"/>
    <w:rsid w:val="141F7503"/>
    <w:rsid w:val="148B57E4"/>
    <w:rsid w:val="14DF4CF8"/>
    <w:rsid w:val="14E34758"/>
    <w:rsid w:val="156C32AB"/>
    <w:rsid w:val="157E0164"/>
    <w:rsid w:val="15D06A51"/>
    <w:rsid w:val="15D24AB9"/>
    <w:rsid w:val="15E05F5F"/>
    <w:rsid w:val="15E40D35"/>
    <w:rsid w:val="15E74DD8"/>
    <w:rsid w:val="165068A2"/>
    <w:rsid w:val="166938A9"/>
    <w:rsid w:val="166F0578"/>
    <w:rsid w:val="17176AAE"/>
    <w:rsid w:val="177A7EAB"/>
    <w:rsid w:val="179F160C"/>
    <w:rsid w:val="17A11E41"/>
    <w:rsid w:val="17C9089A"/>
    <w:rsid w:val="17CF1B78"/>
    <w:rsid w:val="17F81389"/>
    <w:rsid w:val="18070575"/>
    <w:rsid w:val="18090C43"/>
    <w:rsid w:val="180F13CC"/>
    <w:rsid w:val="18185587"/>
    <w:rsid w:val="181D446E"/>
    <w:rsid w:val="188F1B48"/>
    <w:rsid w:val="1897527F"/>
    <w:rsid w:val="18AA031B"/>
    <w:rsid w:val="18FB0D14"/>
    <w:rsid w:val="18FB5F15"/>
    <w:rsid w:val="192047DE"/>
    <w:rsid w:val="19477B5C"/>
    <w:rsid w:val="19770184"/>
    <w:rsid w:val="19777C04"/>
    <w:rsid w:val="1A027439"/>
    <w:rsid w:val="1A125D01"/>
    <w:rsid w:val="1A7148DF"/>
    <w:rsid w:val="1A996F8F"/>
    <w:rsid w:val="1B066372"/>
    <w:rsid w:val="1B1F63F0"/>
    <w:rsid w:val="1B321622"/>
    <w:rsid w:val="1B4B3B1C"/>
    <w:rsid w:val="1B9D724F"/>
    <w:rsid w:val="1BFE5C7A"/>
    <w:rsid w:val="1CDB6B83"/>
    <w:rsid w:val="1CFE5E04"/>
    <w:rsid w:val="1D102580"/>
    <w:rsid w:val="1D4A6188"/>
    <w:rsid w:val="1D772D50"/>
    <w:rsid w:val="1D805F2A"/>
    <w:rsid w:val="1DAA2193"/>
    <w:rsid w:val="1DAC61B7"/>
    <w:rsid w:val="1DC72953"/>
    <w:rsid w:val="1DEA06D7"/>
    <w:rsid w:val="1E511B62"/>
    <w:rsid w:val="1E7E6E04"/>
    <w:rsid w:val="1E8974FA"/>
    <w:rsid w:val="1EA63FED"/>
    <w:rsid w:val="1EA9678E"/>
    <w:rsid w:val="1EBA3927"/>
    <w:rsid w:val="1F3E36B9"/>
    <w:rsid w:val="1F8B2622"/>
    <w:rsid w:val="1F9C38D3"/>
    <w:rsid w:val="1FAA007F"/>
    <w:rsid w:val="1FCA02F8"/>
    <w:rsid w:val="20767551"/>
    <w:rsid w:val="207945A8"/>
    <w:rsid w:val="209B354C"/>
    <w:rsid w:val="20B803BF"/>
    <w:rsid w:val="214A57C8"/>
    <w:rsid w:val="215A3673"/>
    <w:rsid w:val="21DB64E2"/>
    <w:rsid w:val="221C4C30"/>
    <w:rsid w:val="22A70B6C"/>
    <w:rsid w:val="22C648B8"/>
    <w:rsid w:val="22D60EA6"/>
    <w:rsid w:val="23034503"/>
    <w:rsid w:val="23C14303"/>
    <w:rsid w:val="23CB4DD1"/>
    <w:rsid w:val="23E85099"/>
    <w:rsid w:val="23FF4622"/>
    <w:rsid w:val="24086AFE"/>
    <w:rsid w:val="243F320D"/>
    <w:rsid w:val="2489326F"/>
    <w:rsid w:val="24CD7D3C"/>
    <w:rsid w:val="250138AE"/>
    <w:rsid w:val="257C56A5"/>
    <w:rsid w:val="25BC0CF5"/>
    <w:rsid w:val="26084E8D"/>
    <w:rsid w:val="26096519"/>
    <w:rsid w:val="26612121"/>
    <w:rsid w:val="26786C0C"/>
    <w:rsid w:val="26B15F84"/>
    <w:rsid w:val="270A231C"/>
    <w:rsid w:val="27432BC1"/>
    <w:rsid w:val="275B78A5"/>
    <w:rsid w:val="27791A74"/>
    <w:rsid w:val="27F0275A"/>
    <w:rsid w:val="280E605F"/>
    <w:rsid w:val="281A02BE"/>
    <w:rsid w:val="28580092"/>
    <w:rsid w:val="286071CC"/>
    <w:rsid w:val="28757D97"/>
    <w:rsid w:val="28BC23D4"/>
    <w:rsid w:val="28D03787"/>
    <w:rsid w:val="28F563E3"/>
    <w:rsid w:val="290578B9"/>
    <w:rsid w:val="29172665"/>
    <w:rsid w:val="29293308"/>
    <w:rsid w:val="295977AD"/>
    <w:rsid w:val="29664072"/>
    <w:rsid w:val="29822826"/>
    <w:rsid w:val="29D9700E"/>
    <w:rsid w:val="2A407C2A"/>
    <w:rsid w:val="2AA10ED5"/>
    <w:rsid w:val="2ADA0518"/>
    <w:rsid w:val="2AF05838"/>
    <w:rsid w:val="2B087B04"/>
    <w:rsid w:val="2B1A17A1"/>
    <w:rsid w:val="2B4A2EDD"/>
    <w:rsid w:val="2B4D3342"/>
    <w:rsid w:val="2B7F08E4"/>
    <w:rsid w:val="2B8D1B43"/>
    <w:rsid w:val="2B960845"/>
    <w:rsid w:val="2C104C99"/>
    <w:rsid w:val="2C293EE8"/>
    <w:rsid w:val="2C506C46"/>
    <w:rsid w:val="2C921974"/>
    <w:rsid w:val="2CCA5064"/>
    <w:rsid w:val="2CCF7D4F"/>
    <w:rsid w:val="2D212596"/>
    <w:rsid w:val="2D242B88"/>
    <w:rsid w:val="2D4F21F6"/>
    <w:rsid w:val="2D4F2439"/>
    <w:rsid w:val="2D7B2469"/>
    <w:rsid w:val="2DAE7AA9"/>
    <w:rsid w:val="2DBE14C9"/>
    <w:rsid w:val="2DEC6E42"/>
    <w:rsid w:val="2E084AD9"/>
    <w:rsid w:val="2E251D02"/>
    <w:rsid w:val="2E50003C"/>
    <w:rsid w:val="2E956F82"/>
    <w:rsid w:val="2EB035A9"/>
    <w:rsid w:val="2ECE0839"/>
    <w:rsid w:val="2EE92AF4"/>
    <w:rsid w:val="2F06493E"/>
    <w:rsid w:val="2F1B5E2A"/>
    <w:rsid w:val="2F6A64D8"/>
    <w:rsid w:val="2FA10B9C"/>
    <w:rsid w:val="2FCD0CD6"/>
    <w:rsid w:val="30302139"/>
    <w:rsid w:val="30362265"/>
    <w:rsid w:val="30393F2D"/>
    <w:rsid w:val="30474804"/>
    <w:rsid w:val="30616EA9"/>
    <w:rsid w:val="30777C65"/>
    <w:rsid w:val="30CA6C5F"/>
    <w:rsid w:val="30F2130F"/>
    <w:rsid w:val="30F25AE4"/>
    <w:rsid w:val="31085620"/>
    <w:rsid w:val="3115045E"/>
    <w:rsid w:val="314C115E"/>
    <w:rsid w:val="31A44D82"/>
    <w:rsid w:val="31E66E9E"/>
    <w:rsid w:val="31F950A2"/>
    <w:rsid w:val="320504D2"/>
    <w:rsid w:val="320609C3"/>
    <w:rsid w:val="325B4596"/>
    <w:rsid w:val="326F5337"/>
    <w:rsid w:val="32B70A61"/>
    <w:rsid w:val="32B75C71"/>
    <w:rsid w:val="32BE120D"/>
    <w:rsid w:val="32D2015C"/>
    <w:rsid w:val="33027952"/>
    <w:rsid w:val="330C0EF9"/>
    <w:rsid w:val="33261E23"/>
    <w:rsid w:val="33291024"/>
    <w:rsid w:val="332A7AF8"/>
    <w:rsid w:val="33506DE6"/>
    <w:rsid w:val="336D632F"/>
    <w:rsid w:val="33751688"/>
    <w:rsid w:val="33A273C0"/>
    <w:rsid w:val="33A9206B"/>
    <w:rsid w:val="33FA529D"/>
    <w:rsid w:val="341A4047"/>
    <w:rsid w:val="34336813"/>
    <w:rsid w:val="3517359F"/>
    <w:rsid w:val="351F03F9"/>
    <w:rsid w:val="355F0FC1"/>
    <w:rsid w:val="359615AC"/>
    <w:rsid w:val="359A6216"/>
    <w:rsid w:val="35A54CED"/>
    <w:rsid w:val="35D804D9"/>
    <w:rsid w:val="361D2D86"/>
    <w:rsid w:val="36283A4E"/>
    <w:rsid w:val="366B41F3"/>
    <w:rsid w:val="36717BDF"/>
    <w:rsid w:val="37184804"/>
    <w:rsid w:val="371C0D8B"/>
    <w:rsid w:val="37203345"/>
    <w:rsid w:val="372B0E36"/>
    <w:rsid w:val="375045A6"/>
    <w:rsid w:val="37534CA7"/>
    <w:rsid w:val="379D6B2D"/>
    <w:rsid w:val="37D824F1"/>
    <w:rsid w:val="388A0A03"/>
    <w:rsid w:val="38960FBF"/>
    <w:rsid w:val="38F0685B"/>
    <w:rsid w:val="3923276A"/>
    <w:rsid w:val="392C1E69"/>
    <w:rsid w:val="39331197"/>
    <w:rsid w:val="39431E3F"/>
    <w:rsid w:val="396E5D7C"/>
    <w:rsid w:val="39D04FC4"/>
    <w:rsid w:val="39E42CC8"/>
    <w:rsid w:val="3A082EAC"/>
    <w:rsid w:val="3A172FBE"/>
    <w:rsid w:val="3A29071D"/>
    <w:rsid w:val="3A3F6146"/>
    <w:rsid w:val="3A4C0E33"/>
    <w:rsid w:val="3ABA663B"/>
    <w:rsid w:val="3B0C4DFA"/>
    <w:rsid w:val="3B164F78"/>
    <w:rsid w:val="3B547968"/>
    <w:rsid w:val="3B664276"/>
    <w:rsid w:val="3B972F43"/>
    <w:rsid w:val="3BA93D77"/>
    <w:rsid w:val="3C022D13"/>
    <w:rsid w:val="3C4D26C6"/>
    <w:rsid w:val="3D044EFC"/>
    <w:rsid w:val="3D476A8F"/>
    <w:rsid w:val="3D6C15E5"/>
    <w:rsid w:val="3E062677"/>
    <w:rsid w:val="3E3C3E33"/>
    <w:rsid w:val="3E633745"/>
    <w:rsid w:val="3E6946AD"/>
    <w:rsid w:val="3EB60CB3"/>
    <w:rsid w:val="3EBE0D9B"/>
    <w:rsid w:val="3EC436F9"/>
    <w:rsid w:val="3EC47F7D"/>
    <w:rsid w:val="3EFB063C"/>
    <w:rsid w:val="3F720716"/>
    <w:rsid w:val="3F740895"/>
    <w:rsid w:val="3F7F04F6"/>
    <w:rsid w:val="3FB93DC6"/>
    <w:rsid w:val="400A7A69"/>
    <w:rsid w:val="40253F4D"/>
    <w:rsid w:val="402A691C"/>
    <w:rsid w:val="40AF2ED8"/>
    <w:rsid w:val="40B956E1"/>
    <w:rsid w:val="40C31DD9"/>
    <w:rsid w:val="410A71C0"/>
    <w:rsid w:val="410D4941"/>
    <w:rsid w:val="41200E1E"/>
    <w:rsid w:val="417D6BDB"/>
    <w:rsid w:val="419104D9"/>
    <w:rsid w:val="41B05692"/>
    <w:rsid w:val="41C24ED2"/>
    <w:rsid w:val="41D90132"/>
    <w:rsid w:val="41EF252B"/>
    <w:rsid w:val="422E66F3"/>
    <w:rsid w:val="42381F47"/>
    <w:rsid w:val="42395211"/>
    <w:rsid w:val="425D46BB"/>
    <w:rsid w:val="42664BB1"/>
    <w:rsid w:val="4275164D"/>
    <w:rsid w:val="42C85330"/>
    <w:rsid w:val="42F36125"/>
    <w:rsid w:val="430A3262"/>
    <w:rsid w:val="438A27C8"/>
    <w:rsid w:val="43E47456"/>
    <w:rsid w:val="441309F0"/>
    <w:rsid w:val="44310C44"/>
    <w:rsid w:val="44644583"/>
    <w:rsid w:val="446B6F5D"/>
    <w:rsid w:val="447107A7"/>
    <w:rsid w:val="4484575B"/>
    <w:rsid w:val="44A722AA"/>
    <w:rsid w:val="44AF0CED"/>
    <w:rsid w:val="44BB6771"/>
    <w:rsid w:val="45572A56"/>
    <w:rsid w:val="45675BEC"/>
    <w:rsid w:val="457E42F3"/>
    <w:rsid w:val="45A344CD"/>
    <w:rsid w:val="45C81AEB"/>
    <w:rsid w:val="460E768F"/>
    <w:rsid w:val="46101B39"/>
    <w:rsid w:val="46A824B9"/>
    <w:rsid w:val="46BB170B"/>
    <w:rsid w:val="46C0371F"/>
    <w:rsid w:val="46D15968"/>
    <w:rsid w:val="47105324"/>
    <w:rsid w:val="47462CC7"/>
    <w:rsid w:val="475016C9"/>
    <w:rsid w:val="47510906"/>
    <w:rsid w:val="47567AEE"/>
    <w:rsid w:val="47882EEC"/>
    <w:rsid w:val="478C5485"/>
    <w:rsid w:val="4796785C"/>
    <w:rsid w:val="479E608B"/>
    <w:rsid w:val="47E85B9B"/>
    <w:rsid w:val="48164F15"/>
    <w:rsid w:val="485A61E1"/>
    <w:rsid w:val="495D70F7"/>
    <w:rsid w:val="4985062F"/>
    <w:rsid w:val="4A262AF4"/>
    <w:rsid w:val="4AC64CCA"/>
    <w:rsid w:val="4ADD244D"/>
    <w:rsid w:val="4B0A4380"/>
    <w:rsid w:val="4B414A2E"/>
    <w:rsid w:val="4B4C5A72"/>
    <w:rsid w:val="4B642F54"/>
    <w:rsid w:val="4B7074E5"/>
    <w:rsid w:val="4B716301"/>
    <w:rsid w:val="4B7D5F80"/>
    <w:rsid w:val="4BE0161E"/>
    <w:rsid w:val="4BF3562C"/>
    <w:rsid w:val="4BF40741"/>
    <w:rsid w:val="4C107D48"/>
    <w:rsid w:val="4C411429"/>
    <w:rsid w:val="4C5E019B"/>
    <w:rsid w:val="4C7A3E2A"/>
    <w:rsid w:val="4CB21BD6"/>
    <w:rsid w:val="4E397895"/>
    <w:rsid w:val="4E475085"/>
    <w:rsid w:val="4E6179A5"/>
    <w:rsid w:val="4F54289B"/>
    <w:rsid w:val="4F64249F"/>
    <w:rsid w:val="4F6E1200"/>
    <w:rsid w:val="4FCF3A38"/>
    <w:rsid w:val="4FEE189E"/>
    <w:rsid w:val="4FF5727D"/>
    <w:rsid w:val="50322264"/>
    <w:rsid w:val="504B2FD5"/>
    <w:rsid w:val="505C355C"/>
    <w:rsid w:val="50945995"/>
    <w:rsid w:val="50E02600"/>
    <w:rsid w:val="50EB6E9C"/>
    <w:rsid w:val="50EE3925"/>
    <w:rsid w:val="50F601FD"/>
    <w:rsid w:val="510113CF"/>
    <w:rsid w:val="51070878"/>
    <w:rsid w:val="5148519A"/>
    <w:rsid w:val="51FB1FE6"/>
    <w:rsid w:val="520909A0"/>
    <w:rsid w:val="52121B0D"/>
    <w:rsid w:val="52505342"/>
    <w:rsid w:val="527D4949"/>
    <w:rsid w:val="529E1536"/>
    <w:rsid w:val="52DA5B1C"/>
    <w:rsid w:val="53121571"/>
    <w:rsid w:val="532332A7"/>
    <w:rsid w:val="536B078A"/>
    <w:rsid w:val="536C2F7E"/>
    <w:rsid w:val="539F2EE7"/>
    <w:rsid w:val="53F038EA"/>
    <w:rsid w:val="543F264E"/>
    <w:rsid w:val="548B08B3"/>
    <w:rsid w:val="54984779"/>
    <w:rsid w:val="54E160E1"/>
    <w:rsid w:val="54E23850"/>
    <w:rsid w:val="54E43457"/>
    <w:rsid w:val="55191463"/>
    <w:rsid w:val="55473849"/>
    <w:rsid w:val="554930D2"/>
    <w:rsid w:val="55C15F0B"/>
    <w:rsid w:val="55C43C6A"/>
    <w:rsid w:val="55E15287"/>
    <w:rsid w:val="565E037A"/>
    <w:rsid w:val="56724FD9"/>
    <w:rsid w:val="568807D0"/>
    <w:rsid w:val="56A149DB"/>
    <w:rsid w:val="56AE54C4"/>
    <w:rsid w:val="56C65928"/>
    <w:rsid w:val="56C972A1"/>
    <w:rsid w:val="57045AA2"/>
    <w:rsid w:val="570F6E7F"/>
    <w:rsid w:val="572B7F1B"/>
    <w:rsid w:val="57793602"/>
    <w:rsid w:val="58055B79"/>
    <w:rsid w:val="58C023F9"/>
    <w:rsid w:val="58D41D8A"/>
    <w:rsid w:val="5948194C"/>
    <w:rsid w:val="595A333D"/>
    <w:rsid w:val="596A4D22"/>
    <w:rsid w:val="59BA69E3"/>
    <w:rsid w:val="59EB43CD"/>
    <w:rsid w:val="5A063425"/>
    <w:rsid w:val="5A3B5D1E"/>
    <w:rsid w:val="5A417035"/>
    <w:rsid w:val="5A4B453D"/>
    <w:rsid w:val="5A522A93"/>
    <w:rsid w:val="5A661DF4"/>
    <w:rsid w:val="5A7F74DE"/>
    <w:rsid w:val="5A935F96"/>
    <w:rsid w:val="5ACF0178"/>
    <w:rsid w:val="5B0C5D54"/>
    <w:rsid w:val="5B193F4D"/>
    <w:rsid w:val="5B2402E4"/>
    <w:rsid w:val="5B6273DA"/>
    <w:rsid w:val="5B763444"/>
    <w:rsid w:val="5B9D1978"/>
    <w:rsid w:val="5BA929FE"/>
    <w:rsid w:val="5BCF1086"/>
    <w:rsid w:val="5BD73121"/>
    <w:rsid w:val="5BDB0AF9"/>
    <w:rsid w:val="5C0E6052"/>
    <w:rsid w:val="5C0F2617"/>
    <w:rsid w:val="5C2631D2"/>
    <w:rsid w:val="5C3E17F9"/>
    <w:rsid w:val="5C4C7FFB"/>
    <w:rsid w:val="5C537D21"/>
    <w:rsid w:val="5CAC4C9D"/>
    <w:rsid w:val="5CFA53B0"/>
    <w:rsid w:val="5D3A6920"/>
    <w:rsid w:val="5D4A02A9"/>
    <w:rsid w:val="5D8135CC"/>
    <w:rsid w:val="5DA64C8A"/>
    <w:rsid w:val="5DE501AF"/>
    <w:rsid w:val="5DEB03AE"/>
    <w:rsid w:val="5E002DDD"/>
    <w:rsid w:val="5E071F26"/>
    <w:rsid w:val="5E23788C"/>
    <w:rsid w:val="5E551C67"/>
    <w:rsid w:val="5E566CF4"/>
    <w:rsid w:val="5E6C7908"/>
    <w:rsid w:val="5E812C6D"/>
    <w:rsid w:val="5EB86210"/>
    <w:rsid w:val="5EED05F3"/>
    <w:rsid w:val="5EFD5F0A"/>
    <w:rsid w:val="5F064C35"/>
    <w:rsid w:val="5F3400AD"/>
    <w:rsid w:val="5FBE4115"/>
    <w:rsid w:val="600446EC"/>
    <w:rsid w:val="600D2EE6"/>
    <w:rsid w:val="601E7EAA"/>
    <w:rsid w:val="6091207C"/>
    <w:rsid w:val="60F2100A"/>
    <w:rsid w:val="60F847E0"/>
    <w:rsid w:val="61012548"/>
    <w:rsid w:val="612B4FB0"/>
    <w:rsid w:val="61BD2AE7"/>
    <w:rsid w:val="61BE6360"/>
    <w:rsid w:val="61D0464C"/>
    <w:rsid w:val="61DB5D3A"/>
    <w:rsid w:val="61FF23CB"/>
    <w:rsid w:val="621760F6"/>
    <w:rsid w:val="62246B60"/>
    <w:rsid w:val="62774225"/>
    <w:rsid w:val="62E36EC5"/>
    <w:rsid w:val="62E75EB4"/>
    <w:rsid w:val="62E81FE8"/>
    <w:rsid w:val="62E97B13"/>
    <w:rsid w:val="636F54EC"/>
    <w:rsid w:val="638E6E02"/>
    <w:rsid w:val="63A01BFD"/>
    <w:rsid w:val="644F1ACD"/>
    <w:rsid w:val="64833355"/>
    <w:rsid w:val="64A8372F"/>
    <w:rsid w:val="64C035B4"/>
    <w:rsid w:val="64D76619"/>
    <w:rsid w:val="64E77440"/>
    <w:rsid w:val="64FD6D44"/>
    <w:rsid w:val="65272AB2"/>
    <w:rsid w:val="653F3838"/>
    <w:rsid w:val="658D6058"/>
    <w:rsid w:val="65FC336D"/>
    <w:rsid w:val="66007761"/>
    <w:rsid w:val="662D19F1"/>
    <w:rsid w:val="66A53123"/>
    <w:rsid w:val="66F85BDC"/>
    <w:rsid w:val="66F97F7F"/>
    <w:rsid w:val="66FF2EE4"/>
    <w:rsid w:val="671F2FEE"/>
    <w:rsid w:val="672E57FA"/>
    <w:rsid w:val="67446448"/>
    <w:rsid w:val="675E1AFC"/>
    <w:rsid w:val="67861401"/>
    <w:rsid w:val="67897CFE"/>
    <w:rsid w:val="679F25C0"/>
    <w:rsid w:val="67A212D9"/>
    <w:rsid w:val="67D6545D"/>
    <w:rsid w:val="67EA44FC"/>
    <w:rsid w:val="67FF1998"/>
    <w:rsid w:val="680C374A"/>
    <w:rsid w:val="680D1D99"/>
    <w:rsid w:val="681A7759"/>
    <w:rsid w:val="681D6A52"/>
    <w:rsid w:val="6840613C"/>
    <w:rsid w:val="6876068B"/>
    <w:rsid w:val="68B50149"/>
    <w:rsid w:val="68C97848"/>
    <w:rsid w:val="68D75A1D"/>
    <w:rsid w:val="68E7433A"/>
    <w:rsid w:val="68E86ABE"/>
    <w:rsid w:val="69056BF9"/>
    <w:rsid w:val="691E67B1"/>
    <w:rsid w:val="69431270"/>
    <w:rsid w:val="69A43715"/>
    <w:rsid w:val="69BA078D"/>
    <w:rsid w:val="69C37723"/>
    <w:rsid w:val="6A0505C6"/>
    <w:rsid w:val="6A766361"/>
    <w:rsid w:val="6A7F4F75"/>
    <w:rsid w:val="6ACA16F9"/>
    <w:rsid w:val="6AFF00CA"/>
    <w:rsid w:val="6B16774A"/>
    <w:rsid w:val="6B494446"/>
    <w:rsid w:val="6BAB2FCD"/>
    <w:rsid w:val="6BFF5D3A"/>
    <w:rsid w:val="6C305B70"/>
    <w:rsid w:val="6C321536"/>
    <w:rsid w:val="6C474C68"/>
    <w:rsid w:val="6C492D55"/>
    <w:rsid w:val="6C7E3126"/>
    <w:rsid w:val="6C8178B4"/>
    <w:rsid w:val="6C84727C"/>
    <w:rsid w:val="6E02353D"/>
    <w:rsid w:val="6E2D30BE"/>
    <w:rsid w:val="6E2F78A7"/>
    <w:rsid w:val="6E8509EA"/>
    <w:rsid w:val="6EA72C59"/>
    <w:rsid w:val="6EB54E50"/>
    <w:rsid w:val="6ECE2681"/>
    <w:rsid w:val="6EF77006"/>
    <w:rsid w:val="6F48335E"/>
    <w:rsid w:val="6F656567"/>
    <w:rsid w:val="6F9441FC"/>
    <w:rsid w:val="6FB9715F"/>
    <w:rsid w:val="6FC96403"/>
    <w:rsid w:val="700D4ACD"/>
    <w:rsid w:val="705E30C9"/>
    <w:rsid w:val="708A3C8C"/>
    <w:rsid w:val="70A12054"/>
    <w:rsid w:val="70EF77CB"/>
    <w:rsid w:val="71030383"/>
    <w:rsid w:val="71197B42"/>
    <w:rsid w:val="713D1393"/>
    <w:rsid w:val="71600CB0"/>
    <w:rsid w:val="720811E2"/>
    <w:rsid w:val="72340F9C"/>
    <w:rsid w:val="72686EF1"/>
    <w:rsid w:val="729965A8"/>
    <w:rsid w:val="72B65B08"/>
    <w:rsid w:val="72F52C2C"/>
    <w:rsid w:val="72FA70AF"/>
    <w:rsid w:val="73087812"/>
    <w:rsid w:val="731E5707"/>
    <w:rsid w:val="737238D8"/>
    <w:rsid w:val="73A94EF7"/>
    <w:rsid w:val="73AB63BB"/>
    <w:rsid w:val="73C623CD"/>
    <w:rsid w:val="73D4787E"/>
    <w:rsid w:val="73F22348"/>
    <w:rsid w:val="745325C6"/>
    <w:rsid w:val="746F4A04"/>
    <w:rsid w:val="7478277B"/>
    <w:rsid w:val="74BD630E"/>
    <w:rsid w:val="74CB259B"/>
    <w:rsid w:val="7599056E"/>
    <w:rsid w:val="75EF44CC"/>
    <w:rsid w:val="76056734"/>
    <w:rsid w:val="762D38BA"/>
    <w:rsid w:val="76363181"/>
    <w:rsid w:val="76741247"/>
    <w:rsid w:val="76F21D7B"/>
    <w:rsid w:val="774152C9"/>
    <w:rsid w:val="77751EE2"/>
    <w:rsid w:val="777759EB"/>
    <w:rsid w:val="77D2110D"/>
    <w:rsid w:val="78194B43"/>
    <w:rsid w:val="78C15396"/>
    <w:rsid w:val="793070F8"/>
    <w:rsid w:val="79347CC6"/>
    <w:rsid w:val="79620D19"/>
    <w:rsid w:val="796F195D"/>
    <w:rsid w:val="797E1901"/>
    <w:rsid w:val="79C711CC"/>
    <w:rsid w:val="79CE7F67"/>
    <w:rsid w:val="79D825C1"/>
    <w:rsid w:val="7A3F6AB2"/>
    <w:rsid w:val="7A5769BE"/>
    <w:rsid w:val="7A5D1027"/>
    <w:rsid w:val="7A8555FE"/>
    <w:rsid w:val="7A8F318B"/>
    <w:rsid w:val="7A971B46"/>
    <w:rsid w:val="7ADC408A"/>
    <w:rsid w:val="7AE606AF"/>
    <w:rsid w:val="7AE75F94"/>
    <w:rsid w:val="7AF409AB"/>
    <w:rsid w:val="7B133128"/>
    <w:rsid w:val="7B1959FC"/>
    <w:rsid w:val="7B1C502C"/>
    <w:rsid w:val="7B2457D4"/>
    <w:rsid w:val="7B2E72CD"/>
    <w:rsid w:val="7B3202D1"/>
    <w:rsid w:val="7B52681B"/>
    <w:rsid w:val="7B5D131E"/>
    <w:rsid w:val="7BB34580"/>
    <w:rsid w:val="7BC44ABA"/>
    <w:rsid w:val="7BD26CFC"/>
    <w:rsid w:val="7BF60D85"/>
    <w:rsid w:val="7CA13F21"/>
    <w:rsid w:val="7CC66E39"/>
    <w:rsid w:val="7D533E21"/>
    <w:rsid w:val="7D7C4AB4"/>
    <w:rsid w:val="7D7D75C8"/>
    <w:rsid w:val="7DB41B16"/>
    <w:rsid w:val="7DEB79E2"/>
    <w:rsid w:val="7DEF19CE"/>
    <w:rsid w:val="7DFC5027"/>
    <w:rsid w:val="7E002D54"/>
    <w:rsid w:val="7E1A04DD"/>
    <w:rsid w:val="7E74358B"/>
    <w:rsid w:val="7E7F7F16"/>
    <w:rsid w:val="7F0F534D"/>
    <w:rsid w:val="7F1046BF"/>
    <w:rsid w:val="7F524FAC"/>
    <w:rsid w:val="7F600D62"/>
    <w:rsid w:val="7FB563F9"/>
    <w:rsid w:val="7FCC305D"/>
    <w:rsid w:val="7FE0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5"/>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6"/>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62"/>
    <w:qFormat/>
    <w:uiPriority w:val="99"/>
    <w:pPr>
      <w:spacing w:before="156" w:beforeLines="50" w:after="156" w:afterLines="50" w:line="400" w:lineRule="atLeast"/>
    </w:pPr>
    <w:rPr>
      <w:rFonts w:ascii="宋体" w:hAnsi="Courier New"/>
      <w:sz w:val="24"/>
      <w:szCs w:val="24"/>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next w:val="2"/>
    <w:link w:val="53"/>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50"/>
    <w:unhideWhenUsed/>
    <w:qFormat/>
    <w:uiPriority w:val="99"/>
    <w:rPr>
      <w:rFonts w:ascii="宋体"/>
      <w:sz w:val="18"/>
      <w:szCs w:val="18"/>
    </w:rPr>
  </w:style>
  <w:style w:type="paragraph" w:styleId="11">
    <w:name w:val="annotation text"/>
    <w:basedOn w:val="1"/>
    <w:link w:val="85"/>
    <w:unhideWhenUsed/>
    <w:qFormat/>
    <w:uiPriority w:val="99"/>
    <w:pPr>
      <w:jc w:val="left"/>
    </w:pPr>
  </w:style>
  <w:style w:type="paragraph" w:styleId="12">
    <w:name w:val="Body Text"/>
    <w:basedOn w:val="1"/>
    <w:link w:val="88"/>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14"/>
    <w:link w:val="77"/>
    <w:qFormat/>
    <w:uiPriority w:val="0"/>
    <w:pPr>
      <w:spacing w:line="200" w:lineRule="atLeast"/>
      <w:ind w:firstLine="301"/>
    </w:pPr>
    <w:rPr>
      <w:rFonts w:ascii="宋体" w:hAnsi="Courier New"/>
      <w:spacing w:val="-4"/>
      <w:sz w:val="18"/>
    </w:rPr>
  </w:style>
  <w:style w:type="paragraph" w:styleId="14">
    <w:name w:val="Body Text First Indent 2"/>
    <w:basedOn w:val="13"/>
    <w:link w:val="93"/>
    <w:unhideWhenUsed/>
    <w:qFormat/>
    <w:uiPriority w:val="99"/>
    <w:pPr>
      <w:ind w:firstLine="420"/>
    </w:pPr>
  </w:style>
  <w:style w:type="paragraph" w:styleId="15">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6">
    <w:name w:val="Block Text"/>
    <w:basedOn w:val="1"/>
    <w:qFormat/>
    <w:uiPriority w:val="0"/>
    <w:pPr>
      <w:spacing w:after="120"/>
      <w:ind w:left="1440" w:leftChars="700" w:right="700" w:rightChars="700"/>
    </w:pPr>
  </w:style>
  <w:style w:type="paragraph" w:styleId="17">
    <w:name w:val="Date"/>
    <w:basedOn w:val="1"/>
    <w:next w:val="1"/>
    <w:link w:val="91"/>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9"/>
    <w:qFormat/>
    <w:uiPriority w:val="0"/>
    <w:rPr>
      <w:rFonts w:ascii="Times New Roman" w:hAnsi="Times New Roman" w:eastAsia="宋体" w:cs="Times New Roman"/>
      <w:sz w:val="18"/>
      <w:szCs w:val="18"/>
    </w:rPr>
  </w:style>
  <w:style w:type="paragraph" w:styleId="19">
    <w:name w:val="footer"/>
    <w:basedOn w:val="1"/>
    <w:link w:val="43"/>
    <w:unhideWhenUsed/>
    <w:qFormat/>
    <w:uiPriority w:val="99"/>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9"/>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1"/>
    <w:next w:val="11"/>
    <w:link w:val="63"/>
    <w:unhideWhenUsed/>
    <w:qFormat/>
    <w:uiPriority w:val="99"/>
    <w:rPr>
      <w:b/>
      <w:bCs/>
      <w:sz w:val="28"/>
      <w:szCs w:val="24"/>
    </w:rPr>
  </w:style>
  <w:style w:type="paragraph" w:styleId="25">
    <w:name w:val="Body Text First Indent"/>
    <w:basedOn w:val="12"/>
    <w:qFormat/>
    <w:uiPriority w:val="0"/>
    <w:pPr>
      <w:ind w:firstLine="420" w:firstLineChars="100"/>
    </w:pPr>
    <w:rPr>
      <w:rFonts w:ascii="Times New Roman" w:hAnsi="Times New Roman" w:eastAsia="宋体" w:cs="Times New Roman"/>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Emphasis"/>
    <w:basedOn w:val="28"/>
    <w:qFormat/>
    <w:uiPriority w:val="20"/>
    <w:rPr>
      <w:i/>
    </w:rPr>
  </w:style>
  <w:style w:type="character" w:styleId="33">
    <w:name w:val="HTML Definition"/>
    <w:unhideWhenUsed/>
    <w:qFormat/>
    <w:uiPriority w:val="99"/>
    <w:rPr>
      <w:i/>
    </w:rPr>
  </w:style>
  <w:style w:type="character" w:styleId="34">
    <w:name w:val="Hyperlink"/>
    <w:qFormat/>
    <w:uiPriority w:val="0"/>
    <w:rPr>
      <w:color w:val="5579A7"/>
      <w:u w:val="none"/>
    </w:rPr>
  </w:style>
  <w:style w:type="character" w:styleId="35">
    <w:name w:val="HTML Code"/>
    <w:unhideWhenUsed/>
    <w:qFormat/>
    <w:uiPriority w:val="99"/>
    <w:rPr>
      <w:rFonts w:ascii="-apple-system" w:hAnsi="-apple-system" w:eastAsia="-apple-system" w:cs="-apple-system"/>
      <w:sz w:val="21"/>
      <w:szCs w:val="21"/>
    </w:rPr>
  </w:style>
  <w:style w:type="character" w:styleId="36">
    <w:name w:val="annotation reference"/>
    <w:unhideWhenUsed/>
    <w:qFormat/>
    <w:uiPriority w:val="99"/>
    <w:rPr>
      <w:sz w:val="21"/>
      <w:szCs w:val="21"/>
    </w:rPr>
  </w:style>
  <w:style w:type="character" w:styleId="37">
    <w:name w:val="HTML Keyboard"/>
    <w:unhideWhenUsed/>
    <w:qFormat/>
    <w:uiPriority w:val="99"/>
    <w:rPr>
      <w:rFonts w:hint="default" w:ascii="-apple-system" w:hAnsi="-apple-system" w:eastAsia="-apple-system" w:cs="-apple-system"/>
      <w:sz w:val="21"/>
      <w:szCs w:val="21"/>
    </w:rPr>
  </w:style>
  <w:style w:type="character" w:styleId="38">
    <w:name w:val="HTML Sample"/>
    <w:unhideWhenUsed/>
    <w:qFormat/>
    <w:uiPriority w:val="99"/>
    <w:rPr>
      <w:rFonts w:hint="default" w:ascii="-apple-system" w:hAnsi="-apple-system" w:eastAsia="-apple-system" w:cs="-apple-system"/>
      <w:sz w:val="21"/>
      <w:szCs w:val="21"/>
    </w:rPr>
  </w:style>
  <w:style w:type="paragraph" w:customStyle="1" w:styleId="39">
    <w:name w:val="Default"/>
    <w:next w:val="4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2">
    <w:name w:val="页眉 字符"/>
    <w:basedOn w:val="28"/>
    <w:link w:val="20"/>
    <w:qFormat/>
    <w:uiPriority w:val="99"/>
    <w:rPr>
      <w:sz w:val="18"/>
      <w:szCs w:val="18"/>
    </w:rPr>
  </w:style>
  <w:style w:type="character" w:customStyle="1" w:styleId="43">
    <w:name w:val="页脚 字符"/>
    <w:basedOn w:val="28"/>
    <w:link w:val="19"/>
    <w:qFormat/>
    <w:uiPriority w:val="99"/>
    <w:rPr>
      <w:sz w:val="18"/>
      <w:szCs w:val="18"/>
    </w:rPr>
  </w:style>
  <w:style w:type="character" w:customStyle="1" w:styleId="44">
    <w:name w:val="标题 1 字符"/>
    <w:basedOn w:val="28"/>
    <w:link w:val="3"/>
    <w:qFormat/>
    <w:uiPriority w:val="9"/>
    <w:rPr>
      <w:rFonts w:ascii="Times New Roman" w:hAnsi="Times New Roman" w:eastAsia="宋体" w:cs="Times New Roman"/>
      <w:b/>
      <w:bCs/>
      <w:kern w:val="44"/>
      <w:sz w:val="44"/>
      <w:szCs w:val="44"/>
    </w:rPr>
  </w:style>
  <w:style w:type="character" w:customStyle="1" w:styleId="45">
    <w:name w:val="标题 2 字符"/>
    <w:basedOn w:val="28"/>
    <w:link w:val="4"/>
    <w:qFormat/>
    <w:uiPriority w:val="9"/>
    <w:rPr>
      <w:rFonts w:ascii="Cambria" w:hAnsi="Cambria" w:eastAsia="宋体" w:cs="Times New Roman"/>
      <w:b/>
      <w:bCs/>
      <w:sz w:val="32"/>
      <w:szCs w:val="32"/>
    </w:rPr>
  </w:style>
  <w:style w:type="character" w:customStyle="1" w:styleId="46">
    <w:name w:val="标题 3 字符"/>
    <w:basedOn w:val="28"/>
    <w:link w:val="5"/>
    <w:qFormat/>
    <w:uiPriority w:val="9"/>
    <w:rPr>
      <w:rFonts w:ascii="Times New Roman" w:hAnsi="Times New Roman" w:eastAsia="宋体" w:cs="Times New Roman"/>
      <w:b/>
      <w:bCs/>
      <w:sz w:val="32"/>
      <w:szCs w:val="32"/>
    </w:rPr>
  </w:style>
  <w:style w:type="character" w:customStyle="1" w:styleId="47">
    <w:name w:val="jbox-icon-none"/>
    <w:qFormat/>
    <w:uiPriority w:val="0"/>
    <w:rPr>
      <w:vanish/>
    </w:rPr>
  </w:style>
  <w:style w:type="character" w:customStyle="1" w:styleId="48">
    <w:name w:val="z-窗体底端 字符"/>
    <w:link w:val="49"/>
    <w:qFormat/>
    <w:uiPriority w:val="99"/>
    <w:rPr>
      <w:rFonts w:ascii="Arial" w:hAnsi="Arial"/>
      <w:vanish/>
      <w:sz w:val="16"/>
      <w:szCs w:val="16"/>
    </w:rPr>
  </w:style>
  <w:style w:type="paragraph" w:customStyle="1" w:styleId="49">
    <w:name w:val="z-窗体底端1"/>
    <w:basedOn w:val="1"/>
    <w:next w:val="1"/>
    <w:link w:val="48"/>
    <w:unhideWhenUsed/>
    <w:qFormat/>
    <w:uiPriority w:val="99"/>
    <w:pPr>
      <w:widowControl/>
      <w:pBdr>
        <w:top w:val="single" w:color="auto" w:sz="6" w:space="1"/>
      </w:pBdr>
      <w:jc w:val="center"/>
    </w:pPr>
    <w:rPr>
      <w:rFonts w:ascii="Arial" w:hAnsi="Arial"/>
      <w:vanish/>
      <w:sz w:val="16"/>
      <w:szCs w:val="16"/>
    </w:rPr>
  </w:style>
  <w:style w:type="character" w:customStyle="1" w:styleId="50">
    <w:name w:val="文档结构图 字符"/>
    <w:link w:val="10"/>
    <w:qFormat/>
    <w:uiPriority w:val="99"/>
    <w:rPr>
      <w:rFonts w:ascii="宋体"/>
      <w:sz w:val="18"/>
      <w:szCs w:val="18"/>
    </w:rPr>
  </w:style>
  <w:style w:type="character" w:customStyle="1" w:styleId="51">
    <w:name w:val="black601"/>
    <w:qFormat/>
    <w:uiPriority w:val="0"/>
    <w:rPr>
      <w:color w:val="666666"/>
    </w:rPr>
  </w:style>
  <w:style w:type="character" w:customStyle="1" w:styleId="52">
    <w:name w:val="hour_pm"/>
    <w:basedOn w:val="28"/>
    <w:qFormat/>
    <w:uiPriority w:val="0"/>
  </w:style>
  <w:style w:type="character" w:customStyle="1" w:styleId="53">
    <w:name w:val="正文缩进 字符"/>
    <w:link w:val="8"/>
    <w:qFormat/>
    <w:uiPriority w:val="0"/>
    <w:rPr>
      <w:rFonts w:eastAsia="宋体"/>
    </w:rPr>
  </w:style>
  <w:style w:type="character" w:customStyle="1" w:styleId="54">
    <w:name w:val="标题 1 Char Char"/>
    <w:qFormat/>
    <w:uiPriority w:val="0"/>
    <w:rPr>
      <w:rFonts w:eastAsia="宋体"/>
      <w:b/>
      <w:spacing w:val="-2"/>
      <w:sz w:val="24"/>
      <w:lang w:val="en-US" w:eastAsia="zh-CN" w:bidi="ar-SA"/>
    </w:rPr>
  </w:style>
  <w:style w:type="character" w:customStyle="1" w:styleId="55">
    <w:name w:val="jbox-icon-info"/>
    <w:basedOn w:val="28"/>
    <w:qFormat/>
    <w:uiPriority w:val="0"/>
  </w:style>
  <w:style w:type="character" w:customStyle="1" w:styleId="56">
    <w:name w:val="hover9"/>
    <w:qFormat/>
    <w:uiPriority w:val="0"/>
    <w:rPr>
      <w:shd w:val="clear" w:color="auto" w:fill="EEEEEE"/>
    </w:rPr>
  </w:style>
  <w:style w:type="character" w:customStyle="1" w:styleId="57">
    <w:name w:val="maywed421"/>
    <w:qFormat/>
    <w:uiPriority w:val="0"/>
    <w:rPr>
      <w:color w:val="366FB6"/>
      <w:u w:val="none"/>
    </w:rPr>
  </w:style>
  <w:style w:type="character" w:customStyle="1" w:styleId="58">
    <w:name w:val="old"/>
    <w:qFormat/>
    <w:uiPriority w:val="0"/>
    <w:rPr>
      <w:color w:val="999999"/>
    </w:rPr>
  </w:style>
  <w:style w:type="character" w:customStyle="1" w:styleId="59">
    <w:name w:val="jbox-icon-warning"/>
    <w:basedOn w:val="28"/>
    <w:qFormat/>
    <w:uiPriority w:val="0"/>
  </w:style>
  <w:style w:type="character" w:customStyle="1" w:styleId="60">
    <w:name w:val="z-窗体顶端 字符"/>
    <w:link w:val="61"/>
    <w:qFormat/>
    <w:uiPriority w:val="99"/>
    <w:rPr>
      <w:rFonts w:ascii="Arial" w:hAnsi="Arial"/>
      <w:vanish/>
      <w:sz w:val="16"/>
      <w:szCs w:val="16"/>
    </w:rPr>
  </w:style>
  <w:style w:type="paragraph" w:customStyle="1" w:styleId="61">
    <w:name w:val="z-窗体顶端1"/>
    <w:basedOn w:val="1"/>
    <w:next w:val="1"/>
    <w:link w:val="60"/>
    <w:unhideWhenUsed/>
    <w:qFormat/>
    <w:uiPriority w:val="99"/>
    <w:pPr>
      <w:widowControl/>
      <w:pBdr>
        <w:bottom w:val="single" w:color="auto" w:sz="6" w:space="1"/>
      </w:pBdr>
      <w:jc w:val="center"/>
    </w:pPr>
    <w:rPr>
      <w:rFonts w:ascii="Arial" w:hAnsi="Arial"/>
      <w:vanish/>
      <w:sz w:val="16"/>
      <w:szCs w:val="16"/>
    </w:rPr>
  </w:style>
  <w:style w:type="character" w:customStyle="1" w:styleId="62">
    <w:name w:val="纯文本 字符1"/>
    <w:link w:val="2"/>
    <w:qFormat/>
    <w:uiPriority w:val="99"/>
    <w:rPr>
      <w:rFonts w:ascii="宋体" w:hAnsi="Courier New"/>
      <w:sz w:val="24"/>
      <w:szCs w:val="24"/>
    </w:rPr>
  </w:style>
  <w:style w:type="character" w:customStyle="1" w:styleId="63">
    <w:name w:val="批注主题 字符"/>
    <w:link w:val="24"/>
    <w:qFormat/>
    <w:uiPriority w:val="99"/>
    <w:rPr>
      <w:b/>
      <w:bCs/>
      <w:sz w:val="28"/>
      <w:szCs w:val="24"/>
    </w:rPr>
  </w:style>
  <w:style w:type="character" w:customStyle="1" w:styleId="64">
    <w:name w:val="jbox-icon-loading"/>
    <w:basedOn w:val="28"/>
    <w:qFormat/>
    <w:uiPriority w:val="0"/>
  </w:style>
  <w:style w:type="character" w:customStyle="1" w:styleId="65">
    <w:name w:val="正文文本缩进 字符"/>
    <w:qFormat/>
    <w:uiPriority w:val="0"/>
    <w:rPr>
      <w:rFonts w:ascii="宋体" w:hAnsi="Courier New"/>
      <w:spacing w:val="-4"/>
      <w:kern w:val="2"/>
      <w:sz w:val="18"/>
    </w:rPr>
  </w:style>
  <w:style w:type="character" w:customStyle="1" w:styleId="66">
    <w:name w:val="正文文本缩进 字符1"/>
    <w:qFormat/>
    <w:uiPriority w:val="0"/>
    <w:rPr>
      <w:rFonts w:ascii="宋体" w:hAnsi="Courier New"/>
      <w:spacing w:val="-4"/>
      <w:kern w:val="2"/>
      <w:sz w:val="18"/>
    </w:rPr>
  </w:style>
  <w:style w:type="character" w:customStyle="1" w:styleId="67">
    <w:name w:val="纯文本 字符"/>
    <w:qFormat/>
    <w:uiPriority w:val="99"/>
    <w:rPr>
      <w:rFonts w:ascii="宋体" w:hAnsi="Courier New"/>
      <w:kern w:val="2"/>
      <w:sz w:val="24"/>
      <w:szCs w:val="24"/>
    </w:rPr>
  </w:style>
  <w:style w:type="character" w:customStyle="1" w:styleId="68">
    <w:name w:val="jbox-icon-question"/>
    <w:basedOn w:val="28"/>
    <w:qFormat/>
    <w:uiPriority w:val="0"/>
  </w:style>
  <w:style w:type="character" w:customStyle="1" w:styleId="69">
    <w:name w:val="jbox-icon"/>
    <w:basedOn w:val="28"/>
    <w:qFormat/>
    <w:uiPriority w:val="0"/>
  </w:style>
  <w:style w:type="character" w:customStyle="1" w:styleId="70">
    <w:name w:val="纯文本 字符2"/>
    <w:qFormat/>
    <w:uiPriority w:val="99"/>
    <w:rPr>
      <w:rFonts w:ascii="宋体" w:hAnsi="Courier New"/>
      <w:kern w:val="2"/>
      <w:sz w:val="24"/>
      <w:szCs w:val="24"/>
    </w:rPr>
  </w:style>
  <w:style w:type="character" w:customStyle="1" w:styleId="71">
    <w:name w:val="hour_am"/>
    <w:basedOn w:val="28"/>
    <w:qFormat/>
    <w:uiPriority w:val="0"/>
  </w:style>
  <w:style w:type="character" w:customStyle="1" w:styleId="72">
    <w:name w:val="jbox-icon-success"/>
    <w:basedOn w:val="28"/>
    <w:qFormat/>
    <w:uiPriority w:val="0"/>
  </w:style>
  <w:style w:type="character" w:customStyle="1" w:styleId="73">
    <w:name w:val="批注文字 字符"/>
    <w:qFormat/>
    <w:uiPriority w:val="99"/>
    <w:rPr>
      <w:kern w:val="2"/>
      <w:sz w:val="28"/>
      <w:szCs w:val="24"/>
    </w:rPr>
  </w:style>
  <w:style w:type="character" w:customStyle="1" w:styleId="74">
    <w:name w:val="纯文本 Char1"/>
    <w:qFormat/>
    <w:uiPriority w:val="0"/>
    <w:rPr>
      <w:rFonts w:ascii="宋体" w:hAnsi="Courier New"/>
      <w:kern w:val="2"/>
      <w:sz w:val="21"/>
    </w:rPr>
  </w:style>
  <w:style w:type="character" w:customStyle="1" w:styleId="75">
    <w:name w:val="纯文本 Char"/>
    <w:qFormat/>
    <w:uiPriority w:val="99"/>
    <w:rPr>
      <w:rFonts w:ascii="宋体" w:hAnsi="Courier New"/>
      <w:kern w:val="2"/>
      <w:sz w:val="24"/>
      <w:szCs w:val="24"/>
    </w:rPr>
  </w:style>
  <w:style w:type="character" w:customStyle="1" w:styleId="76">
    <w:name w:val="sub_title s0"/>
    <w:basedOn w:val="28"/>
    <w:qFormat/>
    <w:uiPriority w:val="0"/>
  </w:style>
  <w:style w:type="character" w:customStyle="1" w:styleId="77">
    <w:name w:val="正文文本缩进 字符2"/>
    <w:link w:val="13"/>
    <w:qFormat/>
    <w:uiPriority w:val="0"/>
    <w:rPr>
      <w:rFonts w:ascii="宋体" w:hAnsi="Courier New"/>
      <w:spacing w:val="-4"/>
      <w:sz w:val="18"/>
    </w:rPr>
  </w:style>
  <w:style w:type="character" w:customStyle="1" w:styleId="78">
    <w:name w:val="jbox-icon-error"/>
    <w:basedOn w:val="28"/>
    <w:qFormat/>
    <w:uiPriority w:val="0"/>
  </w:style>
  <w:style w:type="character" w:customStyle="1" w:styleId="79">
    <w:name w:val="正文文本 2 字符"/>
    <w:basedOn w:val="28"/>
    <w:link w:val="22"/>
    <w:qFormat/>
    <w:uiPriority w:val="0"/>
    <w:rPr>
      <w:rFonts w:ascii="宋体" w:hAnsi="宋体" w:eastAsia="宋体" w:cs="Times New Roman"/>
      <w:color w:val="000000"/>
      <w:sz w:val="24"/>
      <w:szCs w:val="24"/>
    </w:rPr>
  </w:style>
  <w:style w:type="paragraph" w:customStyle="1" w:styleId="80">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1">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2">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3">
    <w:name w:val="z-窗体顶端 字符1"/>
    <w:basedOn w:val="28"/>
    <w:semiHidden/>
    <w:qFormat/>
    <w:uiPriority w:val="99"/>
    <w:rPr>
      <w:rFonts w:ascii="Arial" w:hAnsi="Arial" w:cs="Arial"/>
      <w:vanish/>
      <w:sz w:val="16"/>
      <w:szCs w:val="16"/>
    </w:rPr>
  </w:style>
  <w:style w:type="paragraph" w:customStyle="1" w:styleId="84">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5">
    <w:name w:val="批注文字 字符1"/>
    <w:basedOn w:val="28"/>
    <w:link w:val="11"/>
    <w:semiHidden/>
    <w:qFormat/>
    <w:uiPriority w:val="99"/>
  </w:style>
  <w:style w:type="character" w:customStyle="1" w:styleId="86">
    <w:name w:val="批注主题 字符1"/>
    <w:basedOn w:val="85"/>
    <w:semiHidden/>
    <w:qFormat/>
    <w:uiPriority w:val="99"/>
    <w:rPr>
      <w:b/>
      <w:bCs/>
    </w:rPr>
  </w:style>
  <w:style w:type="character" w:customStyle="1" w:styleId="87">
    <w:name w:val="文档结构图 字符1"/>
    <w:basedOn w:val="28"/>
    <w:semiHidden/>
    <w:qFormat/>
    <w:uiPriority w:val="99"/>
    <w:rPr>
      <w:rFonts w:ascii="Microsoft YaHei UI" w:eastAsia="Microsoft YaHei UI"/>
      <w:sz w:val="18"/>
      <w:szCs w:val="18"/>
    </w:rPr>
  </w:style>
  <w:style w:type="character" w:customStyle="1" w:styleId="88">
    <w:name w:val="正文文本 字符"/>
    <w:basedOn w:val="28"/>
    <w:link w:val="12"/>
    <w:qFormat/>
    <w:uiPriority w:val="99"/>
    <w:rPr>
      <w:rFonts w:ascii="Times New Roman" w:hAnsi="Times New Roman" w:eastAsia="宋体" w:cs="Times New Roman"/>
      <w:sz w:val="28"/>
      <w:szCs w:val="24"/>
    </w:rPr>
  </w:style>
  <w:style w:type="character" w:customStyle="1" w:styleId="89">
    <w:name w:val="批注框文本 字符"/>
    <w:basedOn w:val="28"/>
    <w:link w:val="18"/>
    <w:qFormat/>
    <w:uiPriority w:val="0"/>
    <w:rPr>
      <w:rFonts w:ascii="Times New Roman" w:hAnsi="Times New Roman" w:eastAsia="宋体" w:cs="Times New Roman"/>
      <w:sz w:val="18"/>
      <w:szCs w:val="18"/>
    </w:rPr>
  </w:style>
  <w:style w:type="character" w:customStyle="1" w:styleId="90">
    <w:name w:val="正文文本缩进 字符3"/>
    <w:basedOn w:val="28"/>
    <w:semiHidden/>
    <w:qFormat/>
    <w:uiPriority w:val="99"/>
  </w:style>
  <w:style w:type="character" w:customStyle="1" w:styleId="91">
    <w:name w:val="日期 字符"/>
    <w:basedOn w:val="28"/>
    <w:link w:val="17"/>
    <w:qFormat/>
    <w:uiPriority w:val="0"/>
    <w:rPr>
      <w:rFonts w:ascii="Times New Roman" w:hAnsi="Times New Roman" w:eastAsia="楷体_GB2312" w:cs="Times New Roman"/>
      <w:sz w:val="32"/>
      <w:szCs w:val="20"/>
    </w:rPr>
  </w:style>
  <w:style w:type="character" w:customStyle="1" w:styleId="92">
    <w:name w:val="纯文本 字符3"/>
    <w:basedOn w:val="28"/>
    <w:semiHidden/>
    <w:qFormat/>
    <w:uiPriority w:val="99"/>
    <w:rPr>
      <w:rFonts w:hAnsi="Courier New" w:cs="Courier New" w:asciiTheme="minorEastAsia"/>
    </w:rPr>
  </w:style>
  <w:style w:type="character" w:customStyle="1" w:styleId="93">
    <w:name w:val="正文文本首行缩进 2 字符"/>
    <w:basedOn w:val="90"/>
    <w:link w:val="14"/>
    <w:qFormat/>
    <w:uiPriority w:val="99"/>
    <w:rPr>
      <w:rFonts w:ascii="宋体" w:hAnsi="Courier New"/>
      <w:spacing w:val="-4"/>
      <w:sz w:val="18"/>
    </w:rPr>
  </w:style>
  <w:style w:type="character" w:customStyle="1" w:styleId="94">
    <w:name w:val="z-窗体底端 字符1"/>
    <w:basedOn w:val="28"/>
    <w:semiHidden/>
    <w:qFormat/>
    <w:uiPriority w:val="99"/>
    <w:rPr>
      <w:rFonts w:ascii="Arial" w:hAnsi="Arial" w:cs="Arial"/>
      <w:vanish/>
      <w:sz w:val="16"/>
      <w:szCs w:val="16"/>
    </w:rPr>
  </w:style>
  <w:style w:type="paragraph" w:customStyle="1" w:styleId="95">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6">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7">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qFormat/>
    <w:uiPriority w:val="0"/>
    <w:rPr>
      <w:rFonts w:ascii="Tahoma" w:hAnsi="Tahoma" w:eastAsia="宋体" w:cs="Times New Roman"/>
      <w:sz w:val="24"/>
      <w:szCs w:val="20"/>
    </w:rPr>
  </w:style>
  <w:style w:type="paragraph" w:customStyle="1" w:styleId="100">
    <w:name w:val="彩色列表 - 强调文字颜色 11"/>
    <w:basedOn w:val="1"/>
    <w:qFormat/>
    <w:uiPriority w:val="34"/>
    <w:pPr>
      <w:ind w:firstLine="420" w:firstLineChars="200"/>
    </w:pPr>
    <w:rPr>
      <w:rFonts w:ascii="Calibri" w:hAnsi="Calibri" w:eastAsia="宋体" w:cs="Times New Roman"/>
    </w:rPr>
  </w:style>
  <w:style w:type="paragraph" w:customStyle="1" w:styleId="101">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5">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6">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7">
    <w:name w:val="标题 10"/>
    <w:basedOn w:val="4"/>
    <w:qFormat/>
    <w:uiPriority w:val="0"/>
    <w:pPr>
      <w:jc w:val="center"/>
    </w:pPr>
    <w:rPr>
      <w:kern w:val="0"/>
    </w:rPr>
  </w:style>
  <w:style w:type="character" w:customStyle="1" w:styleId="108">
    <w:name w:val="未处理的提及1"/>
    <w:semiHidden/>
    <w:unhideWhenUsed/>
    <w:qFormat/>
    <w:uiPriority w:val="99"/>
    <w:rPr>
      <w:color w:val="605E5C"/>
      <w:shd w:val="clear" w:color="auto" w:fill="E1DFDD"/>
    </w:rPr>
  </w:style>
  <w:style w:type="character" w:customStyle="1" w:styleId="109">
    <w:name w:val="未处理的提及2"/>
    <w:basedOn w:val="28"/>
    <w:semiHidden/>
    <w:unhideWhenUsed/>
    <w:qFormat/>
    <w:uiPriority w:val="99"/>
    <w:rPr>
      <w:color w:val="605E5C"/>
      <w:shd w:val="clear" w:color="auto" w:fill="E1DFDD"/>
    </w:rPr>
  </w:style>
  <w:style w:type="character" w:customStyle="1" w:styleId="110">
    <w:name w:val="未处理的提及3"/>
    <w:basedOn w:val="28"/>
    <w:semiHidden/>
    <w:unhideWhenUsed/>
    <w:qFormat/>
    <w:uiPriority w:val="99"/>
    <w:rPr>
      <w:color w:val="605E5C"/>
      <w:shd w:val="clear" w:color="auto" w:fill="E1DFDD"/>
    </w:rPr>
  </w:style>
  <w:style w:type="character" w:customStyle="1" w:styleId="111">
    <w:name w:val="正文2 Char Char"/>
    <w:link w:val="102"/>
    <w:qFormat/>
    <w:uiPriority w:val="0"/>
    <w:rPr>
      <w:kern w:val="2"/>
      <w:sz w:val="24"/>
    </w:rPr>
  </w:style>
  <w:style w:type="paragraph" w:customStyle="1" w:styleId="112">
    <w:name w:val="TOC 72"/>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13">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1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1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3184</Words>
  <Characters>3688</Characters>
  <Lines>32</Lines>
  <Paragraphs>64</Paragraphs>
  <TotalTime>2</TotalTime>
  <ScaleCrop>false</ScaleCrop>
  <LinksUpToDate>false</LinksUpToDate>
  <CharactersWithSpaces>3713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冥灵有叶</cp:lastModifiedBy>
  <dcterms:modified xsi:type="dcterms:W3CDTF">2025-07-04T02:32:20Z</dcterms:modified>
  <cp:revision>771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B363B45C01FF4C5A8AB2573BD522DAF7</vt:lpwstr>
  </property>
  <property fmtid="{D5CDD505-2E9C-101B-9397-08002B2CF9AE}" pid="4" name="KSOTemplateDocerSaveRecord">
    <vt:lpwstr>eyJoZGlkIjoiNDUwMTFkMDI3ZjBmZjczM2Q3M2EwOGI5M2VjYzUzMDkiLCJ1c2VySWQiOiI2MjY2ODE2NTEifQ==</vt:lpwstr>
  </property>
</Properties>
</file>