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121D5">
      <w:pPr>
        <w:adjustRightInd w:val="0"/>
        <w:snapToGrid w:val="0"/>
        <w:spacing w:line="288" w:lineRule="auto"/>
        <w:rPr>
          <w:rFonts w:ascii="楷体" w:hAnsi="楷体" w:eastAsia="楷体" w:cs="Times New Roman"/>
          <w:b/>
          <w:spacing w:val="-6"/>
          <w:sz w:val="44"/>
          <w:szCs w:val="44"/>
        </w:rPr>
      </w:pPr>
    </w:p>
    <w:p w14:paraId="0289E2F7">
      <w:pPr>
        <w:adjustRightInd w:val="0"/>
        <w:snapToGrid w:val="0"/>
        <w:spacing w:line="288" w:lineRule="auto"/>
        <w:rPr>
          <w:rFonts w:ascii="楷体" w:hAnsi="楷体" w:eastAsia="楷体" w:cs="Times New Roman"/>
          <w:b/>
          <w:spacing w:val="-6"/>
          <w:sz w:val="44"/>
          <w:szCs w:val="44"/>
        </w:rPr>
      </w:pPr>
    </w:p>
    <w:p w14:paraId="7230094F">
      <w:pPr>
        <w:adjustRightInd w:val="0"/>
        <w:snapToGrid w:val="0"/>
        <w:spacing w:line="288" w:lineRule="auto"/>
        <w:rPr>
          <w:rFonts w:ascii="楷体" w:hAnsi="楷体" w:eastAsia="楷体" w:cs="Times New Roman"/>
          <w:b/>
          <w:spacing w:val="-6"/>
          <w:sz w:val="44"/>
          <w:szCs w:val="44"/>
        </w:rPr>
      </w:pPr>
    </w:p>
    <w:p w14:paraId="12C9B939">
      <w:pPr>
        <w:adjustRightInd w:val="0"/>
        <w:snapToGrid w:val="0"/>
        <w:spacing w:line="288"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浙江工商大学2025-2027年无线网络及数据中心运维服务</w:t>
      </w:r>
    </w:p>
    <w:p w14:paraId="47C8DDDC">
      <w:pPr>
        <w:adjustRightInd w:val="0"/>
        <w:snapToGrid w:val="0"/>
        <w:spacing w:line="288" w:lineRule="auto"/>
        <w:jc w:val="center"/>
        <w:rPr>
          <w:rFonts w:ascii="楷体" w:hAnsi="楷体" w:eastAsia="楷体" w:cs="Times New Roman"/>
          <w:b/>
          <w:spacing w:val="-6"/>
          <w:sz w:val="48"/>
          <w:szCs w:val="48"/>
        </w:rPr>
      </w:pPr>
    </w:p>
    <w:p w14:paraId="5C5AFDCF">
      <w:pPr>
        <w:adjustRightInd w:val="0"/>
        <w:snapToGrid w:val="0"/>
        <w:spacing w:line="288" w:lineRule="auto"/>
        <w:jc w:val="center"/>
        <w:rPr>
          <w:rFonts w:ascii="楷体" w:hAnsi="楷体" w:eastAsia="楷体" w:cs="Times New Roman"/>
          <w:b/>
          <w:spacing w:val="-6"/>
          <w:sz w:val="48"/>
          <w:szCs w:val="48"/>
        </w:rPr>
      </w:pPr>
    </w:p>
    <w:p w14:paraId="734BF602">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1C570823">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14:paraId="35A824A5">
      <w:pPr>
        <w:adjustRightInd w:val="0"/>
        <w:snapToGrid w:val="0"/>
        <w:spacing w:line="288" w:lineRule="auto"/>
        <w:jc w:val="center"/>
        <w:rPr>
          <w:rFonts w:ascii="楷体" w:hAnsi="楷体" w:eastAsia="楷体" w:cs="Times New Roman"/>
          <w:sz w:val="44"/>
          <w:szCs w:val="44"/>
        </w:rPr>
      </w:pPr>
    </w:p>
    <w:p w14:paraId="587F8703">
      <w:pPr>
        <w:adjustRightInd w:val="0"/>
        <w:snapToGrid w:val="0"/>
        <w:spacing w:line="288" w:lineRule="auto"/>
        <w:jc w:val="center"/>
        <w:rPr>
          <w:rFonts w:ascii="楷体" w:hAnsi="楷体" w:eastAsia="楷体" w:cs="Times New Roman"/>
          <w:sz w:val="44"/>
          <w:szCs w:val="44"/>
        </w:rPr>
      </w:pPr>
    </w:p>
    <w:p w14:paraId="70E16207">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项目名称：浙江工商大学2025-2027年无线网络及数据中心运维服务</w:t>
      </w:r>
    </w:p>
    <w:p w14:paraId="57B77715">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项目编号：QSZBC250056ZFGK</w:t>
      </w:r>
    </w:p>
    <w:p w14:paraId="25DE0DFE">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 购 人：浙江工商大学</w:t>
      </w:r>
    </w:p>
    <w:p w14:paraId="2D192D8A">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14:paraId="4F806F26">
      <w:pPr>
        <w:adjustRightInd w:val="0"/>
        <w:snapToGrid w:val="0"/>
        <w:spacing w:line="288" w:lineRule="auto"/>
        <w:rPr>
          <w:rFonts w:ascii="楷体" w:hAnsi="楷体" w:eastAsia="楷体" w:cs="Times New Roman"/>
          <w:b/>
          <w:spacing w:val="-6"/>
          <w:sz w:val="30"/>
          <w:szCs w:val="30"/>
        </w:rPr>
      </w:pPr>
      <w:r>
        <w:rPr>
          <w:rFonts w:ascii="楷体" w:hAnsi="楷体" w:eastAsia="楷体" w:cs="Times New Roman"/>
          <w:b/>
          <w:spacing w:val="-6"/>
          <w:sz w:val="30"/>
          <w:szCs w:val="30"/>
        </w:rPr>
        <w:t>采购计划文号：</w:t>
      </w:r>
      <w:r>
        <w:rPr>
          <w:rFonts w:hint="eastAsia" w:ascii="楷体" w:hAnsi="楷体" w:eastAsia="楷体" w:cs="Times New Roman"/>
          <w:b/>
          <w:spacing w:val="-6"/>
          <w:sz w:val="30"/>
          <w:szCs w:val="30"/>
        </w:rPr>
        <w:t>临[2025]39368号</w:t>
      </w:r>
    </w:p>
    <w:p w14:paraId="4E9F8498">
      <w:pPr>
        <w:adjustRightInd w:val="0"/>
        <w:snapToGrid w:val="0"/>
        <w:spacing w:line="288" w:lineRule="auto"/>
        <w:rPr>
          <w:rFonts w:ascii="楷体" w:hAnsi="楷体" w:eastAsia="楷体" w:cs="Times New Roman"/>
          <w:b/>
          <w:szCs w:val="21"/>
        </w:rPr>
      </w:pPr>
    </w:p>
    <w:p w14:paraId="3B75BD88">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69C32C81">
      <w:pPr>
        <w:adjustRightInd w:val="0"/>
        <w:snapToGrid w:val="0"/>
        <w:spacing w:line="288" w:lineRule="auto"/>
        <w:rPr>
          <w:rFonts w:ascii="楷体" w:hAnsi="楷体" w:eastAsia="楷体" w:cs="Times New Roman"/>
          <w:b/>
          <w:sz w:val="30"/>
          <w:szCs w:val="30"/>
        </w:rPr>
      </w:pPr>
    </w:p>
    <w:p w14:paraId="60CD18D8">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35C669CF">
      <w:pPr>
        <w:adjustRightInd w:val="0"/>
        <w:snapToGrid w:val="0"/>
        <w:spacing w:line="288" w:lineRule="auto"/>
        <w:rPr>
          <w:rFonts w:ascii="楷体" w:hAnsi="楷体" w:eastAsia="楷体" w:cs="Times New Roman"/>
          <w:b/>
          <w:sz w:val="30"/>
          <w:szCs w:val="30"/>
        </w:rPr>
      </w:pPr>
    </w:p>
    <w:p w14:paraId="223A1E33">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2D59A985">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4C8B3CC6">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6ED2FBE0">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125645C4">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7E365D42">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16D89389">
      <w:pPr>
        <w:widowControl/>
        <w:adjustRightInd w:val="0"/>
        <w:snapToGrid w:val="0"/>
        <w:spacing w:line="288" w:lineRule="auto"/>
        <w:jc w:val="left"/>
        <w:rPr>
          <w:rFonts w:ascii="宋体" w:hAnsi="宋体" w:eastAsia="宋体" w:cs="Times New Roman"/>
          <w:szCs w:val="21"/>
        </w:rPr>
      </w:pPr>
    </w:p>
    <w:p w14:paraId="6A2E1AD5">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701F082B">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762C9318">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710FED86">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 xml:space="preserve"> 浙江工商大学2025-2027年无线网络及数据中心运维服务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u w:val="single"/>
          <w:lang w:eastAsia="zh-CN"/>
        </w:rPr>
        <w:t>2025年8月4日9:30:00</w:t>
      </w:r>
      <w:r>
        <w:rPr>
          <w:rFonts w:hint="eastAsia" w:ascii="宋体" w:hAnsi="宋体" w:eastAsia="宋体" w:cs="Times New Roman"/>
          <w:b/>
          <w:szCs w:val="21"/>
          <w:u w:val="single"/>
        </w:rPr>
        <w:t>（北京时间）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2873DF4F">
      <w:pPr>
        <w:adjustRightInd w:val="0"/>
        <w:snapToGrid w:val="0"/>
        <w:spacing w:line="288" w:lineRule="auto"/>
        <w:rPr>
          <w:rFonts w:ascii="宋体" w:hAnsi="宋体" w:eastAsia="宋体" w:cs="宋体"/>
          <w:b/>
          <w:szCs w:val="21"/>
        </w:rPr>
      </w:pPr>
      <w:bookmarkStart w:id="0" w:name="_Toc28359002"/>
      <w:bookmarkStart w:id="1" w:name="_Toc28359079"/>
      <w:bookmarkStart w:id="2" w:name="_Toc35393790"/>
      <w:bookmarkStart w:id="3" w:name="_Toc35393621"/>
      <w:bookmarkStart w:id="4" w:name="_Hlk24379207"/>
      <w:r>
        <w:rPr>
          <w:rFonts w:hint="eastAsia" w:ascii="宋体" w:hAnsi="宋体" w:eastAsia="宋体" w:cs="宋体"/>
          <w:b/>
          <w:szCs w:val="21"/>
        </w:rPr>
        <w:t>一、项目基本情况</w:t>
      </w:r>
      <w:bookmarkEnd w:id="0"/>
      <w:bookmarkEnd w:id="1"/>
      <w:bookmarkEnd w:id="2"/>
      <w:bookmarkEnd w:id="3"/>
    </w:p>
    <w:p w14:paraId="3EF4141C">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1.项目编号：QSZBC250056ZFGK</w:t>
      </w:r>
    </w:p>
    <w:p w14:paraId="3B32CCC4">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.项目名称：浙江工商大学2025-2027年无线网络及数据中心运维服务</w:t>
      </w:r>
    </w:p>
    <w:bookmarkEnd w:id="4"/>
    <w:p w14:paraId="317D8D09">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.预算金额：58.00万元</w:t>
      </w:r>
    </w:p>
    <w:p w14:paraId="6DE8AD07">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.最高限价：58.00万元</w:t>
      </w:r>
    </w:p>
    <w:p w14:paraId="5B602D44">
      <w:pPr>
        <w:adjustRightInd w:val="0"/>
        <w:snapToGrid w:val="0"/>
        <w:spacing w:line="288" w:lineRule="auto"/>
        <w:ind w:firstLine="420" w:firstLineChars="200"/>
        <w:rPr>
          <w:rFonts w:ascii="宋体" w:hAnsi="宋体" w:eastAsia="宋体" w:cs="Times New Roman"/>
          <w:szCs w:val="21"/>
          <w:u w:val="single"/>
        </w:rPr>
      </w:pPr>
      <w:r>
        <w:rPr>
          <w:rFonts w:ascii="宋体" w:hAnsi="宋体" w:eastAsia="宋体" w:cs="Times New Roman"/>
          <w:szCs w:val="21"/>
        </w:rPr>
        <w:t>5</w:t>
      </w:r>
      <w:r>
        <w:rPr>
          <w:rFonts w:hint="eastAsia" w:ascii="宋体" w:hAnsi="宋体" w:eastAsia="宋体" w:cs="Times New Roman"/>
          <w:szCs w:val="21"/>
        </w:rPr>
        <w:t>.合同履约期限：服务期限：2025年9月1日-2027年8月31日</w:t>
      </w:r>
    </w:p>
    <w:p w14:paraId="5EC8CCD0">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.本项目（是）接受联合体投标。</w:t>
      </w:r>
    </w:p>
    <w:p w14:paraId="52CEBDD6">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51D12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1105D7C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29" w:type="pct"/>
            <w:tcBorders>
              <w:right w:val="single" w:color="auto" w:sz="4" w:space="0"/>
              <w:tl2br w:val="nil"/>
              <w:tr2bl w:val="nil"/>
            </w:tcBorders>
            <w:vAlign w:val="center"/>
          </w:tcPr>
          <w:p w14:paraId="1635973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430" w:type="pct"/>
            <w:tcBorders>
              <w:tl2br w:val="nil"/>
              <w:tr2bl w:val="nil"/>
            </w:tcBorders>
            <w:vAlign w:val="center"/>
          </w:tcPr>
          <w:p w14:paraId="6513643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431" w:type="pct"/>
            <w:tcBorders>
              <w:tl2br w:val="nil"/>
              <w:tr2bl w:val="nil"/>
            </w:tcBorders>
            <w:vAlign w:val="center"/>
          </w:tcPr>
          <w:p w14:paraId="3AA3A19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1898" w:type="pct"/>
            <w:tcBorders>
              <w:right w:val="single" w:color="auto" w:sz="4" w:space="0"/>
              <w:tl2br w:val="nil"/>
              <w:tr2bl w:val="nil"/>
            </w:tcBorders>
            <w:vAlign w:val="center"/>
          </w:tcPr>
          <w:p w14:paraId="6DB9AF9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简要技术需求或服务要求</w:t>
            </w:r>
          </w:p>
        </w:tc>
      </w:tr>
      <w:tr w14:paraId="43703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165BF19C">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1829" w:type="pct"/>
            <w:tcBorders>
              <w:right w:val="single" w:color="auto" w:sz="4" w:space="0"/>
              <w:tl2br w:val="nil"/>
              <w:tr2bl w:val="nil"/>
            </w:tcBorders>
            <w:vAlign w:val="center"/>
          </w:tcPr>
          <w:p w14:paraId="46605D42">
            <w:pPr>
              <w:adjustRightInd w:val="0"/>
              <w:snapToGrid w:val="0"/>
              <w:spacing w:line="288" w:lineRule="auto"/>
              <w:jc w:val="center"/>
              <w:rPr>
                <w:rFonts w:ascii="宋体" w:hAnsi="宋体" w:eastAsia="宋体" w:cs="宋体"/>
                <w:bCs/>
                <w:szCs w:val="21"/>
              </w:rPr>
            </w:pPr>
            <w:r>
              <w:rPr>
                <w:rFonts w:ascii="宋体" w:hAnsi="宋体" w:eastAsia="宋体" w:cs="宋体"/>
                <w:bCs/>
                <w:szCs w:val="21"/>
              </w:rPr>
              <w:t>无线网络及数据中心运维服务</w:t>
            </w:r>
          </w:p>
        </w:tc>
        <w:tc>
          <w:tcPr>
            <w:tcW w:w="430" w:type="pct"/>
            <w:tcBorders>
              <w:tl2br w:val="nil"/>
              <w:tr2bl w:val="nil"/>
            </w:tcBorders>
            <w:vAlign w:val="center"/>
          </w:tcPr>
          <w:p w14:paraId="0DA80D70">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2</w:t>
            </w:r>
          </w:p>
        </w:tc>
        <w:tc>
          <w:tcPr>
            <w:tcW w:w="431" w:type="pct"/>
            <w:tcBorders>
              <w:tl2br w:val="nil"/>
              <w:tr2bl w:val="nil"/>
            </w:tcBorders>
            <w:vAlign w:val="center"/>
          </w:tcPr>
          <w:p w14:paraId="347AAF85">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年</w:t>
            </w:r>
          </w:p>
        </w:tc>
        <w:tc>
          <w:tcPr>
            <w:tcW w:w="1898" w:type="pct"/>
            <w:tcBorders>
              <w:right w:val="single" w:color="auto" w:sz="4" w:space="0"/>
              <w:tl2br w:val="nil"/>
              <w:tr2bl w:val="nil"/>
            </w:tcBorders>
            <w:vAlign w:val="center"/>
          </w:tcPr>
          <w:p w14:paraId="6B1BBEDB">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详见采购需求</w:t>
            </w:r>
          </w:p>
        </w:tc>
      </w:tr>
    </w:tbl>
    <w:p w14:paraId="5B2A60BD">
      <w:pPr>
        <w:adjustRightInd w:val="0"/>
        <w:snapToGrid w:val="0"/>
        <w:spacing w:line="288" w:lineRule="auto"/>
        <w:rPr>
          <w:rFonts w:ascii="宋体" w:hAnsi="宋体" w:eastAsia="宋体" w:cs="宋体"/>
          <w:b/>
          <w:szCs w:val="21"/>
        </w:rPr>
      </w:pPr>
      <w:bookmarkStart w:id="5" w:name="_Toc28359080"/>
      <w:bookmarkStart w:id="6" w:name="_Toc35393622"/>
      <w:bookmarkStart w:id="7" w:name="_Toc35393791"/>
      <w:bookmarkStart w:id="8" w:name="_Toc28359003"/>
      <w:r>
        <w:rPr>
          <w:rFonts w:hint="eastAsia" w:ascii="宋体" w:hAnsi="宋体" w:eastAsia="宋体" w:cs="宋体"/>
          <w:b/>
          <w:szCs w:val="21"/>
        </w:rPr>
        <w:t>二、申请人的资格要求</w:t>
      </w:r>
      <w:bookmarkEnd w:id="5"/>
      <w:bookmarkEnd w:id="6"/>
      <w:bookmarkEnd w:id="7"/>
      <w:bookmarkEnd w:id="8"/>
    </w:p>
    <w:p w14:paraId="1712B898">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55FE6880">
      <w:pPr>
        <w:adjustRightInd w:val="0"/>
        <w:snapToGrid w:val="0"/>
        <w:spacing w:line="288" w:lineRule="auto"/>
        <w:ind w:firstLine="420" w:firstLineChars="200"/>
        <w:rPr>
          <w:rFonts w:ascii="宋体" w:hAnsi="宋体" w:eastAsia="宋体" w:cs="Times New Roman"/>
          <w:szCs w:val="21"/>
        </w:rPr>
      </w:pPr>
      <w:bookmarkStart w:id="9" w:name="_Toc28359081"/>
      <w:bookmarkStart w:id="10" w:name="_Toc28359004"/>
      <w:r>
        <w:rPr>
          <w:rFonts w:hint="eastAsia" w:ascii="宋体" w:hAnsi="宋体" w:eastAsia="宋体" w:cs="Times New Roman"/>
          <w:szCs w:val="21"/>
        </w:rPr>
        <w:t>2.落实政府采购政策需满足的资格要求：本项目专门面向中小企业采购，需按要求提交《中小企业声明函》</w:t>
      </w:r>
    </w:p>
    <w:p w14:paraId="39865CD9">
      <w:pPr>
        <w:adjustRightInd w:val="0"/>
        <w:snapToGrid w:val="0"/>
        <w:spacing w:line="288"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服务全部由符合政策要求的中小企业承接，提供《中小企业声明函》；</w:t>
      </w:r>
    </w:p>
    <w:p w14:paraId="660808DC">
      <w:pPr>
        <w:adjustRightInd w:val="0"/>
        <w:snapToGrid w:val="0"/>
        <w:spacing w:line="288"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本项目属性为：</w:t>
      </w:r>
      <w:r>
        <w:rPr>
          <w:rFonts w:ascii="宋体" w:hAnsi="宋体" w:eastAsia="宋体" w:cs="Times New Roman"/>
          <w:color w:val="000000" w:themeColor="text1"/>
          <w:szCs w:val="21"/>
          <w14:textFill>
            <w14:solidFill>
              <w14:schemeClr w14:val="tx1"/>
            </w14:solidFill>
          </w14:textFill>
        </w:rPr>
        <w:t>服务</w:t>
      </w:r>
    </w:p>
    <w:p w14:paraId="65BDBDD7">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采购标的对应的中小企业划分标准所属行业：软件和信息技术服务业。</w:t>
      </w:r>
    </w:p>
    <w:p w14:paraId="7C021CEB">
      <w:pPr>
        <w:adjustRightInd w:val="0"/>
        <w:snapToGrid w:val="0"/>
        <w:spacing w:line="288" w:lineRule="auto"/>
        <w:ind w:firstLine="420" w:firstLineChars="200"/>
        <w:rPr>
          <w:rFonts w:ascii="宋体" w:hAnsi="宋体" w:eastAsia="宋体" w:cs="宋体"/>
          <w:color w:val="FF0000"/>
          <w:kern w:val="0"/>
          <w:szCs w:val="21"/>
        </w:rPr>
      </w:pPr>
      <w:r>
        <w:rPr>
          <w:rFonts w:hint="eastAsia" w:ascii="宋体" w:hAnsi="宋体" w:eastAsia="宋体" w:cs="Times New Roman"/>
          <w:szCs w:val="21"/>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E630240">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3.本项目的特定资格要求：无</w:t>
      </w:r>
    </w:p>
    <w:p w14:paraId="1B96E534">
      <w:pPr>
        <w:adjustRightInd w:val="0"/>
        <w:snapToGrid w:val="0"/>
        <w:spacing w:line="288" w:lineRule="auto"/>
        <w:rPr>
          <w:rFonts w:ascii="宋体" w:hAnsi="宋体" w:eastAsia="宋体" w:cs="宋体"/>
          <w:b/>
          <w:szCs w:val="21"/>
        </w:rPr>
      </w:pPr>
      <w:bookmarkStart w:id="11" w:name="_Toc35393623"/>
      <w:bookmarkStart w:id="12" w:name="_Toc35393792"/>
      <w:r>
        <w:rPr>
          <w:rFonts w:hint="eastAsia" w:ascii="宋体" w:hAnsi="宋体" w:eastAsia="宋体" w:cs="宋体"/>
          <w:b/>
          <w:szCs w:val="21"/>
        </w:rPr>
        <w:t>三、获取招标文件</w:t>
      </w:r>
      <w:bookmarkEnd w:id="9"/>
      <w:bookmarkEnd w:id="10"/>
      <w:bookmarkEnd w:id="11"/>
      <w:bookmarkEnd w:id="12"/>
    </w:p>
    <w:p w14:paraId="610385DD">
      <w:pPr>
        <w:adjustRightInd w:val="0"/>
        <w:snapToGrid w:val="0"/>
        <w:spacing w:line="288" w:lineRule="auto"/>
        <w:ind w:firstLine="420" w:firstLineChars="200"/>
        <w:rPr>
          <w:rFonts w:ascii="宋体" w:hAnsi="宋体" w:eastAsia="宋体" w:cs="Times New Roman"/>
          <w:szCs w:val="21"/>
        </w:rPr>
      </w:pPr>
      <w:bookmarkStart w:id="13" w:name="_Toc28359005"/>
      <w:bookmarkStart w:id="14" w:name="_Toc28359082"/>
      <w:bookmarkStart w:id="15" w:name="_Toc35393624"/>
      <w:bookmarkStart w:id="16" w:name="_Toc35393793"/>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时间：2025年</w:t>
      </w:r>
      <w:r>
        <w:rPr>
          <w:rFonts w:hint="eastAsia" w:ascii="宋体" w:hAnsi="宋体" w:eastAsia="宋体" w:cs="Times New Roman"/>
          <w:szCs w:val="21"/>
          <w:lang w:val="en-US" w:eastAsia="zh-CN"/>
        </w:rPr>
        <w:t>7</w:t>
      </w:r>
      <w:r>
        <w:rPr>
          <w:rFonts w:hint="eastAsia" w:ascii="宋体" w:hAnsi="宋体" w:eastAsia="宋体" w:cs="Times New Roman"/>
          <w:szCs w:val="21"/>
        </w:rPr>
        <w:t>月</w:t>
      </w:r>
      <w:r>
        <w:rPr>
          <w:rFonts w:hint="eastAsia" w:ascii="宋体" w:hAnsi="宋体" w:eastAsia="宋体" w:cs="Times New Roman"/>
          <w:szCs w:val="21"/>
          <w:lang w:val="en-US" w:eastAsia="zh-CN"/>
        </w:rPr>
        <w:t>11</w:t>
      </w:r>
      <w:r>
        <w:rPr>
          <w:rFonts w:hint="eastAsia" w:ascii="宋体" w:hAnsi="宋体" w:eastAsia="宋体" w:cs="Times New Roman"/>
          <w:szCs w:val="21"/>
        </w:rPr>
        <w:t>日至2025年</w:t>
      </w:r>
      <w:r>
        <w:rPr>
          <w:rFonts w:hint="eastAsia" w:ascii="宋体" w:hAnsi="宋体" w:eastAsia="宋体" w:cs="Times New Roman"/>
          <w:szCs w:val="21"/>
          <w:lang w:val="en-US" w:eastAsia="zh-CN"/>
        </w:rPr>
        <w:t>8</w:t>
      </w:r>
      <w:r>
        <w:rPr>
          <w:rFonts w:hint="eastAsia" w:ascii="宋体" w:hAnsi="宋体" w:eastAsia="宋体" w:cs="Times New Roman"/>
          <w:szCs w:val="21"/>
        </w:rPr>
        <w:t>月</w:t>
      </w:r>
      <w:r>
        <w:rPr>
          <w:rFonts w:hint="eastAsia" w:ascii="宋体" w:hAnsi="宋体" w:eastAsia="宋体" w:cs="Times New Roman"/>
          <w:szCs w:val="21"/>
          <w:lang w:val="en-US" w:eastAsia="zh-CN"/>
        </w:rPr>
        <w:t>4</w:t>
      </w:r>
      <w:r>
        <w:rPr>
          <w:rFonts w:hint="eastAsia" w:ascii="宋体" w:hAnsi="宋体" w:eastAsia="宋体" w:cs="Times New Roman"/>
          <w:szCs w:val="21"/>
        </w:rPr>
        <w:t>日，上午</w:t>
      </w:r>
      <w:r>
        <w:rPr>
          <w:rFonts w:hint="eastAsia" w:ascii="宋体" w:hAnsi="宋体" w:eastAsia="宋体" w:cs="Times New Roman"/>
          <w:bCs/>
          <w:szCs w:val="21"/>
        </w:rPr>
        <w:t>00:00至12:00，下午12:00至23:59（北京时间，线上获取法定节假日均可，线下获取文件法定节假日除外）</w:t>
      </w:r>
    </w:p>
    <w:p w14:paraId="4D02718A">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14:paraId="7D1B49BA">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14:paraId="24C4A7C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14:paraId="1F58B2FF">
      <w:pPr>
        <w:adjustRightInd w:val="0"/>
        <w:snapToGrid w:val="0"/>
        <w:spacing w:line="288" w:lineRule="auto"/>
        <w:rPr>
          <w:rFonts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14:paraId="076DB50B">
      <w:pPr>
        <w:adjustRightInd w:val="0"/>
        <w:snapToGrid w:val="0"/>
        <w:spacing w:line="288" w:lineRule="auto"/>
        <w:ind w:firstLine="420" w:firstLineChars="200"/>
        <w:rPr>
          <w:rFonts w:ascii="宋体" w:hAnsi="宋体" w:eastAsia="宋体" w:cs="Times New Roman"/>
          <w:bCs/>
          <w:szCs w:val="21"/>
        </w:rPr>
      </w:pPr>
      <w:bookmarkStart w:id="17" w:name="_Hlk81212057"/>
      <w:r>
        <w:rPr>
          <w:rFonts w:hint="eastAsia" w:ascii="宋体" w:hAnsi="宋体" w:eastAsia="宋体" w:cs="Times New Roman"/>
          <w:bCs/>
          <w:szCs w:val="21"/>
        </w:rPr>
        <w:t>提交投标文件截止时间：</w:t>
      </w:r>
      <w:r>
        <w:rPr>
          <w:rFonts w:hint="eastAsia" w:ascii="宋体" w:hAnsi="宋体" w:eastAsia="宋体" w:cs="Times New Roman"/>
          <w:bCs/>
          <w:szCs w:val="21"/>
          <w:lang w:eastAsia="zh-CN"/>
        </w:rPr>
        <w:t>2025年8月4日9:30:00</w:t>
      </w:r>
      <w:r>
        <w:rPr>
          <w:rFonts w:hint="eastAsia" w:ascii="宋体" w:hAnsi="宋体" w:eastAsia="宋体" w:cs="Times New Roman"/>
          <w:bCs/>
          <w:szCs w:val="21"/>
        </w:rPr>
        <w:t>（北京时间）</w:t>
      </w:r>
    </w:p>
    <w:p w14:paraId="08B1DC0D">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政府采购云平台（https://www.zcygov.cn）</w:t>
      </w:r>
    </w:p>
    <w:p w14:paraId="4CF6AE59">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Cs/>
          <w:szCs w:val="21"/>
          <w:lang w:eastAsia="zh-CN"/>
        </w:rPr>
        <w:t>2025年8月4日9:30:00</w:t>
      </w:r>
      <w:r>
        <w:rPr>
          <w:rFonts w:hint="eastAsia" w:ascii="宋体" w:hAnsi="宋体" w:eastAsia="宋体" w:cs="Times New Roman"/>
          <w:bCs/>
          <w:szCs w:val="21"/>
        </w:rPr>
        <w:t>（北京时间）</w:t>
      </w:r>
    </w:p>
    <w:p w14:paraId="5B35F97E">
      <w:pPr>
        <w:adjustRightInd w:val="0"/>
        <w:snapToGrid w:val="0"/>
        <w:spacing w:line="288" w:lineRule="auto"/>
        <w:ind w:firstLine="420" w:firstLineChars="200"/>
        <w:rPr>
          <w:rFonts w:hint="eastAsia" w:ascii="宋体" w:hAnsi="宋体" w:eastAsia="宋体" w:cs="Times New Roman"/>
          <w:bCs/>
          <w:szCs w:val="21"/>
          <w:lang w:eastAsia="zh-CN"/>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bookmarkStart w:id="18" w:name="_Hlk81212131"/>
      <w:r>
        <w:rPr>
          <w:rFonts w:hint="eastAsia" w:ascii="宋体" w:hAnsi="宋体" w:eastAsia="宋体" w:cs="Times New Roman"/>
          <w:szCs w:val="21"/>
        </w:rPr>
        <w:t>/</w:t>
      </w:r>
      <w:bookmarkEnd w:id="18"/>
      <w:r>
        <w:rPr>
          <w:rFonts w:hint="eastAsia" w:ascii="宋体" w:hAnsi="宋体" w:eastAsia="宋体" w:cs="Times New Roman"/>
          <w:szCs w:val="21"/>
          <w:lang w:eastAsia="zh-CN"/>
        </w:rPr>
        <w:t>杭州市西湖区玉古路173号中田大厦16楼（求是招标会议室7）</w:t>
      </w:r>
    </w:p>
    <w:bookmarkEnd w:id="17"/>
    <w:p w14:paraId="161C60FB">
      <w:pPr>
        <w:adjustRightInd w:val="0"/>
        <w:snapToGrid w:val="0"/>
        <w:spacing w:line="288" w:lineRule="auto"/>
        <w:rPr>
          <w:rFonts w:ascii="宋体" w:hAnsi="宋体" w:eastAsia="宋体" w:cs="宋体"/>
          <w:b/>
          <w:szCs w:val="21"/>
        </w:rPr>
      </w:pPr>
      <w:bookmarkStart w:id="19" w:name="_Toc28359007"/>
      <w:bookmarkStart w:id="20" w:name="_Toc35393625"/>
      <w:bookmarkStart w:id="21" w:name="_Toc28359084"/>
      <w:bookmarkStart w:id="22" w:name="_Toc35393794"/>
      <w:r>
        <w:rPr>
          <w:rFonts w:hint="eastAsia" w:ascii="宋体" w:hAnsi="宋体" w:eastAsia="宋体" w:cs="宋体"/>
          <w:b/>
          <w:szCs w:val="21"/>
        </w:rPr>
        <w:t>五、公告期限</w:t>
      </w:r>
      <w:bookmarkEnd w:id="19"/>
      <w:bookmarkEnd w:id="20"/>
      <w:bookmarkEnd w:id="21"/>
      <w:bookmarkEnd w:id="22"/>
    </w:p>
    <w:p w14:paraId="7D987342">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14:paraId="0DB9A123">
      <w:pPr>
        <w:adjustRightInd w:val="0"/>
        <w:snapToGrid w:val="0"/>
        <w:spacing w:line="288" w:lineRule="auto"/>
        <w:rPr>
          <w:rFonts w:ascii="宋体" w:hAnsi="宋体" w:eastAsia="宋体" w:cs="宋体"/>
          <w:b/>
          <w:szCs w:val="21"/>
        </w:rPr>
      </w:pPr>
      <w:bookmarkStart w:id="23" w:name="_Toc35393795"/>
      <w:bookmarkStart w:id="24" w:name="_Toc35393626"/>
      <w:r>
        <w:rPr>
          <w:rFonts w:hint="eastAsia" w:ascii="宋体" w:hAnsi="宋体" w:eastAsia="宋体" w:cs="宋体"/>
          <w:b/>
          <w:szCs w:val="21"/>
        </w:rPr>
        <w:t>六、其他补充事宜</w:t>
      </w:r>
      <w:bookmarkEnd w:id="23"/>
      <w:bookmarkEnd w:id="24"/>
    </w:p>
    <w:p w14:paraId="411E017C">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78B2F6C">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A0176D">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81410A1">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14:paraId="5C8B7718">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0795CB67">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51517173">
      <w:pPr>
        <w:adjustRightInd w:val="0"/>
        <w:snapToGrid w:val="0"/>
        <w:spacing w:line="288" w:lineRule="auto"/>
        <w:rPr>
          <w:rFonts w:ascii="宋体" w:hAnsi="宋体" w:eastAsia="宋体" w:cs="Times New Roman"/>
          <w:b/>
          <w:szCs w:val="21"/>
        </w:rPr>
      </w:pPr>
      <w:bookmarkStart w:id="29" w:name="_Toc35393796"/>
      <w:bookmarkStart w:id="30" w:name="_Toc35393627"/>
      <w:bookmarkStart w:id="31" w:name="_Toc28359085"/>
      <w:bookmarkStart w:id="32" w:name="_Toc28359008"/>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3966CD85">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57693D42">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名称：浙江工商大学</w:t>
      </w:r>
    </w:p>
    <w:p w14:paraId="2B30B575">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地址：浙江省杭州市下沙高教园区学正街18号</w:t>
      </w:r>
    </w:p>
    <w:p w14:paraId="5E104405">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14:paraId="625037B0">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项目联系人（询问）：汤老师</w:t>
      </w:r>
    </w:p>
    <w:p w14:paraId="0937AF81">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项目联系方式（询问）：0571-28877699</w:t>
      </w:r>
    </w:p>
    <w:p w14:paraId="61C242A4">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质疑联系人：连老师</w:t>
      </w:r>
    </w:p>
    <w:p w14:paraId="2CD69C31">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质疑联系方式：0571-28872303</w:t>
      </w:r>
    </w:p>
    <w:p w14:paraId="7466239B">
      <w:pPr>
        <w:adjustRightInd w:val="0"/>
        <w:snapToGrid w:val="0"/>
        <w:spacing w:line="288" w:lineRule="auto"/>
        <w:ind w:firstLine="424" w:firstLineChars="202"/>
        <w:rPr>
          <w:rFonts w:ascii="宋体" w:hAnsi="宋体" w:eastAsia="宋体" w:cs="Times New Roman"/>
          <w:szCs w:val="21"/>
        </w:rPr>
      </w:pPr>
    </w:p>
    <w:p w14:paraId="51BA2F35">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61471DC1">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14:paraId="48FE8FA1">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地址：杭州市西湖区玉古路173号中田大厦21楼</w:t>
      </w:r>
    </w:p>
    <w:p w14:paraId="3CD68E71">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14:paraId="26FFB0E2">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李聪、温瑶、陈培特、杜伟波</w:t>
      </w:r>
    </w:p>
    <w:p w14:paraId="2A366982">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项目联系方式（询问）：0571-87666115</w:t>
      </w:r>
    </w:p>
    <w:p w14:paraId="6DC38B4B">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质疑联系人：周安琪</w:t>
      </w:r>
    </w:p>
    <w:p w14:paraId="0332C990">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14:paraId="044CB413">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4C0CFB42">
      <w:pPr>
        <w:adjustRightInd w:val="0"/>
        <w:snapToGrid w:val="0"/>
        <w:spacing w:line="288" w:lineRule="auto"/>
        <w:ind w:firstLine="424" w:firstLineChars="202"/>
        <w:rPr>
          <w:rFonts w:ascii="宋体" w:hAnsi="宋体" w:eastAsia="宋体" w:cs="Times New Roman"/>
          <w:szCs w:val="21"/>
        </w:rPr>
      </w:pPr>
      <w:bookmarkStart w:id="33" w:name="_Hlk124147873"/>
    </w:p>
    <w:p w14:paraId="77473283">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3.同级政府采购监督管理部门</w:t>
      </w:r>
    </w:p>
    <w:p w14:paraId="0184F568">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名称：浙江省财政厅政府采购监管处、浙江省政府采购行政裁决服务中心（杭州）</w:t>
      </w:r>
    </w:p>
    <w:p w14:paraId="0D4CC97D">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地址：</w:t>
      </w:r>
      <w:r>
        <w:rPr>
          <w:rFonts w:hint="eastAsia" w:ascii="宋体" w:hAnsi="宋体" w:eastAsia="宋体" w:cs="Times New Roman"/>
          <w:spacing w:val="-6"/>
          <w:szCs w:val="21"/>
        </w:rPr>
        <w:t>杭州市上城区清泰街549号城建综合大楼11楼（快递仅限ems或顺丰）</w:t>
      </w:r>
    </w:p>
    <w:p w14:paraId="6DE13A4A">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传真：/</w:t>
      </w:r>
    </w:p>
    <w:p w14:paraId="0FF6FD39">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联系人：</w:t>
      </w:r>
      <w:r>
        <w:rPr>
          <w:rFonts w:hint="eastAsia" w:ascii="宋体" w:hAnsi="宋体" w:eastAsia="宋体" w:cs="Times New Roman"/>
          <w:spacing w:val="-6"/>
          <w:szCs w:val="21"/>
        </w:rPr>
        <w:t>朱老师、王老师、匡老师</w:t>
      </w:r>
    </w:p>
    <w:p w14:paraId="4EC7090C">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监督投诉电话：</w:t>
      </w:r>
      <w:r>
        <w:rPr>
          <w:rFonts w:hint="eastAsia" w:ascii="宋体" w:hAnsi="宋体" w:eastAsia="宋体" w:cs="Times New Roman"/>
          <w:spacing w:val="-6"/>
          <w:szCs w:val="21"/>
        </w:rPr>
        <w:t>0571-87227671,0571-87800218</w:t>
      </w:r>
    </w:p>
    <w:p w14:paraId="242CF3D1">
      <w:pPr>
        <w:adjustRightInd w:val="0"/>
        <w:snapToGrid w:val="0"/>
        <w:spacing w:line="288" w:lineRule="auto"/>
        <w:ind w:firstLine="425" w:firstLineChars="215"/>
        <w:rPr>
          <w:rFonts w:ascii="宋体" w:hAnsi="宋体" w:eastAsia="宋体" w:cs="Times New Roman"/>
          <w:spacing w:val="-6"/>
          <w:szCs w:val="21"/>
        </w:rPr>
      </w:pPr>
    </w:p>
    <w:p w14:paraId="0F795979">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政策咨询：何一平、冯华，0571-87058424、87055741</w:t>
      </w:r>
    </w:p>
    <w:p w14:paraId="2D4220D8">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预算金额未达100万元的采购项目，由采购人处理采购争议。</w:t>
      </w:r>
    </w:p>
    <w:p w14:paraId="35315B10">
      <w:pPr>
        <w:adjustRightInd w:val="0"/>
        <w:snapToGrid w:val="0"/>
        <w:spacing w:line="288" w:lineRule="auto"/>
        <w:ind w:firstLine="370"/>
        <w:rPr>
          <w:rFonts w:ascii="宋体" w:hAnsi="宋体" w:eastAsia="宋体" w:cs="Times New Roman"/>
          <w:spacing w:val="-6"/>
          <w:szCs w:val="21"/>
        </w:rPr>
      </w:pPr>
    </w:p>
    <w:p w14:paraId="366D795C">
      <w:pPr>
        <w:adjustRightInd w:val="0"/>
        <w:snapToGrid w:val="0"/>
        <w:spacing w:line="288" w:lineRule="auto"/>
        <w:ind w:firstLine="420" w:firstLineChars="200"/>
        <w:rPr>
          <w:rFonts w:ascii="宋体" w:hAnsi="宋体" w:eastAsia="宋体" w:cs="Times New Roman"/>
          <w:szCs w:val="21"/>
        </w:rPr>
      </w:pPr>
      <w:bookmarkStart w:id="34" w:name="_Hlk143604927"/>
      <w:r>
        <w:rPr>
          <w:rFonts w:hint="eastAsia" w:ascii="宋体" w:hAnsi="宋体" w:eastAsia="宋体" w:cs="Times New Roman"/>
          <w:szCs w:val="21"/>
        </w:rPr>
        <w:t>若对项目采购电子交易系统操作有疑问，可登录政采云（</w:t>
      </w:r>
      <w:r>
        <w:rPr>
          <w:rFonts w:ascii="宋体" w:hAnsi="宋体" w:eastAsia="宋体" w:cs="Times New Roman"/>
          <w:szCs w:val="21"/>
        </w:rPr>
        <w:t>https://www.zcygov.cn/），点击右侧咨询小采，获取采小蜜智能服务管家帮助，或拨打政采云服务热线95763获取热线服务帮助。</w:t>
      </w:r>
    </w:p>
    <w:p w14:paraId="28EFA519">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CA问题联系电话（人工）：汇信CA 400-888-4636；天谷CA 400-087-8198。</w:t>
      </w:r>
    </w:p>
    <w:bookmarkEnd w:id="33"/>
    <w:bookmarkEnd w:id="34"/>
    <w:p w14:paraId="51F9E1E8">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0638A024">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1DC4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D5B629C">
            <w:pPr>
              <w:adjustRightInd w:val="0"/>
              <w:snapToGrid w:val="0"/>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099C2594">
            <w:pPr>
              <w:adjustRightInd w:val="0"/>
              <w:snapToGrid w:val="0"/>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7C33ABE3">
            <w:pPr>
              <w:adjustRightInd w:val="0"/>
              <w:snapToGrid w:val="0"/>
              <w:jc w:val="center"/>
              <w:rPr>
                <w:rFonts w:ascii="宋体" w:hAnsi="宋体" w:eastAsia="宋体" w:cs="宋体"/>
                <w:b/>
                <w:bCs/>
                <w:szCs w:val="21"/>
              </w:rPr>
            </w:pPr>
            <w:r>
              <w:rPr>
                <w:rFonts w:hint="eastAsia" w:ascii="宋体" w:hAnsi="宋体" w:eastAsia="宋体" w:cs="宋体"/>
                <w:b/>
                <w:bCs/>
                <w:szCs w:val="21"/>
              </w:rPr>
              <w:t>内容</w:t>
            </w:r>
          </w:p>
        </w:tc>
      </w:tr>
      <w:tr w14:paraId="1303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E8E89C7">
            <w:pPr>
              <w:adjustRightInd w:val="0"/>
              <w:snapToGrid w:val="0"/>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33D7FB56">
            <w:pPr>
              <w:adjustRightInd w:val="0"/>
              <w:snapToGrid w:val="0"/>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0141C226">
            <w:pPr>
              <w:adjustRightInd w:val="0"/>
              <w:snapToGrid w:val="0"/>
              <w:jc w:val="left"/>
              <w:rPr>
                <w:rFonts w:ascii="宋体" w:hAnsi="宋体" w:eastAsia="宋体" w:cs="宋体"/>
                <w:b/>
                <w:bCs/>
                <w:szCs w:val="21"/>
              </w:rPr>
            </w:pPr>
            <w:r>
              <w:rPr>
                <w:rFonts w:hint="eastAsia" w:ascii="宋体" w:hAnsi="宋体" w:eastAsia="宋体" w:cs="宋体"/>
                <w:szCs w:val="21"/>
              </w:rPr>
              <w:t>不适用</w:t>
            </w:r>
          </w:p>
        </w:tc>
      </w:tr>
      <w:tr w14:paraId="6511B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BB24366">
            <w:pPr>
              <w:adjustRightInd w:val="0"/>
              <w:snapToGrid w:val="0"/>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316E13C3">
            <w:pPr>
              <w:adjustRightInd w:val="0"/>
              <w:snapToGrid w:val="0"/>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4B681002">
            <w:pPr>
              <w:adjustRightInd w:val="0"/>
              <w:snapToGrid w:val="0"/>
              <w:jc w:val="left"/>
              <w:rPr>
                <w:rFonts w:ascii="宋体" w:hAnsi="宋体" w:eastAsia="宋体" w:cs="宋体"/>
                <w:b/>
                <w:bCs/>
                <w:szCs w:val="21"/>
              </w:rPr>
            </w:pPr>
            <w:r>
              <w:rPr>
                <w:rFonts w:hint="eastAsia" w:ascii="宋体" w:hAnsi="宋体" w:eastAsia="宋体" w:cs="宋体"/>
                <w:szCs w:val="21"/>
              </w:rPr>
              <w:t>不适用</w:t>
            </w:r>
          </w:p>
        </w:tc>
      </w:tr>
      <w:tr w14:paraId="2216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CD88ED4">
            <w:pPr>
              <w:adjustRightInd w:val="0"/>
              <w:snapToGrid w:val="0"/>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7F40B476">
            <w:pPr>
              <w:adjustRightInd w:val="0"/>
              <w:snapToGrid w:val="0"/>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1105AF56">
            <w:pPr>
              <w:adjustRightInd w:val="0"/>
              <w:snapToGrid w:val="0"/>
              <w:jc w:val="left"/>
              <w:rPr>
                <w:rFonts w:ascii="宋体" w:hAnsi="宋体" w:eastAsia="宋体" w:cs="宋体"/>
                <w:b/>
                <w:bCs/>
                <w:szCs w:val="21"/>
              </w:rPr>
            </w:pPr>
            <w:r>
              <w:rPr>
                <w:rFonts w:hint="eastAsia" w:ascii="宋体" w:hAnsi="宋体" w:eastAsia="宋体" w:cs="宋体"/>
                <w:szCs w:val="21"/>
              </w:rPr>
              <w:t>不适用</w:t>
            </w:r>
          </w:p>
        </w:tc>
      </w:tr>
      <w:tr w14:paraId="2022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C0228FB">
            <w:pPr>
              <w:adjustRightInd w:val="0"/>
              <w:snapToGrid w:val="0"/>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1326E89A">
            <w:pPr>
              <w:adjustRightInd w:val="0"/>
              <w:snapToGrid w:val="0"/>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28FB2A75">
            <w:pPr>
              <w:adjustRightInd w:val="0"/>
              <w:snapToGrid w:val="0"/>
              <w:jc w:val="left"/>
              <w:rPr>
                <w:rFonts w:ascii="宋体" w:hAnsi="宋体" w:eastAsia="宋体" w:cs="宋体"/>
                <w:szCs w:val="21"/>
              </w:rPr>
            </w:pPr>
            <w:r>
              <w:rPr>
                <w:rFonts w:hint="eastAsia" w:ascii="宋体" w:hAnsi="宋体" w:eastAsia="宋体" w:cs="宋体"/>
                <w:szCs w:val="21"/>
              </w:rPr>
              <w:t>不适用</w:t>
            </w:r>
          </w:p>
        </w:tc>
      </w:tr>
      <w:tr w14:paraId="1FB9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C8C099F">
            <w:pPr>
              <w:adjustRightInd w:val="0"/>
              <w:snapToGrid w:val="0"/>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18935F0C">
            <w:pPr>
              <w:adjustRightInd w:val="0"/>
              <w:snapToGrid w:val="0"/>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14:paraId="1E83A35C">
            <w:pPr>
              <w:adjustRightInd w:val="0"/>
              <w:snapToGrid w:val="0"/>
              <w:jc w:val="left"/>
              <w:rPr>
                <w:rFonts w:ascii="宋体" w:hAnsi="宋体" w:eastAsia="宋体" w:cs="宋体"/>
                <w:b/>
                <w:bCs/>
                <w:color w:val="FF0000"/>
                <w:szCs w:val="21"/>
              </w:rPr>
            </w:pPr>
            <w:r>
              <w:rPr>
                <w:rFonts w:hint="eastAsia" w:ascii="宋体" w:hAnsi="宋体" w:eastAsia="宋体" w:cs="宋体"/>
                <w:szCs w:val="21"/>
              </w:rPr>
              <w:t>提供材料详见招标文件第六章“资格文件”</w:t>
            </w:r>
          </w:p>
        </w:tc>
      </w:tr>
      <w:tr w14:paraId="442F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5BB29F4">
            <w:pPr>
              <w:adjustRightInd w:val="0"/>
              <w:snapToGrid w:val="0"/>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34EC734C">
            <w:pPr>
              <w:adjustRightInd w:val="0"/>
              <w:snapToGrid w:val="0"/>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235E1006">
            <w:pPr>
              <w:adjustRightInd w:val="0"/>
              <w:snapToGrid w:val="0"/>
              <w:jc w:val="left"/>
              <w:rPr>
                <w:rFonts w:ascii="宋体" w:hAnsi="宋体" w:eastAsia="宋体" w:cs="Times New Roman"/>
                <w:b/>
                <w:bCs/>
                <w:szCs w:val="21"/>
              </w:rPr>
            </w:pPr>
            <w:r>
              <w:rPr>
                <w:rFonts w:hint="eastAsia" w:ascii="宋体" w:hAnsi="宋体" w:eastAsia="宋体" w:cs="宋体"/>
                <w:szCs w:val="21"/>
              </w:rPr>
              <w:t>提供材料详见招标文件第六章“资格文件”</w:t>
            </w:r>
          </w:p>
        </w:tc>
      </w:tr>
      <w:tr w14:paraId="6E66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510CBEA0">
            <w:pPr>
              <w:adjustRightInd w:val="0"/>
              <w:snapToGrid w:val="0"/>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2DCE0F52">
            <w:pPr>
              <w:adjustRightInd w:val="0"/>
              <w:snapToGrid w:val="0"/>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55273A80">
            <w:pPr>
              <w:adjustRightInd w:val="0"/>
              <w:snapToGrid w:val="0"/>
              <w:jc w:val="left"/>
              <w:rPr>
                <w:rFonts w:ascii="宋体" w:hAnsi="宋体" w:eastAsia="宋体" w:cs="宋体"/>
                <w:szCs w:val="21"/>
              </w:rPr>
            </w:pPr>
            <w:r>
              <w:rPr>
                <w:rFonts w:hint="eastAsia" w:ascii="宋体" w:hAnsi="宋体" w:eastAsia="宋体" w:cs="宋体"/>
                <w:szCs w:val="21"/>
              </w:rPr>
              <w:t>提供材料详见招标文件第六章“资格文件”</w:t>
            </w:r>
          </w:p>
        </w:tc>
      </w:tr>
      <w:bookmarkEnd w:id="35"/>
    </w:tbl>
    <w:p w14:paraId="002DA5C8">
      <w:pPr>
        <w:adjustRightInd w:val="0"/>
        <w:snapToGrid w:val="0"/>
        <w:spacing w:line="288" w:lineRule="auto"/>
        <w:rPr>
          <w:rFonts w:ascii="宋体" w:hAnsi="宋体" w:eastAsia="宋体" w:cs="Times New Roman"/>
          <w:b/>
          <w:spacing w:val="-4"/>
          <w:szCs w:val="21"/>
        </w:rPr>
      </w:pPr>
    </w:p>
    <w:p w14:paraId="49CC462E">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20222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1BCC9994">
            <w:pPr>
              <w:spacing w:line="360" w:lineRule="auto"/>
              <w:jc w:val="center"/>
              <w:rPr>
                <w:rFonts w:ascii="宋体" w:hAnsi="宋体" w:eastAsia="宋体" w:cs="宋体"/>
                <w:b/>
                <w:spacing w:val="-6"/>
                <w:szCs w:val="21"/>
                <w:highlight w:val="yellow"/>
              </w:rPr>
            </w:pPr>
            <w:bookmarkStart w:id="36" w:name="_Hlk45005608"/>
            <w:r>
              <w:rPr>
                <w:rFonts w:hint="eastAsia" w:ascii="宋体" w:hAnsi="宋体" w:eastAsia="宋体" w:cs="宋体"/>
                <w:szCs w:val="21"/>
              </w:rPr>
              <w:t>▲</w:t>
            </w:r>
            <w:r>
              <w:rPr>
                <w:rFonts w:hint="eastAsia" w:ascii="宋体" w:hAnsi="宋体" w:eastAsia="宋体" w:cs="宋体"/>
                <w:snapToGrid w:val="0"/>
                <w:kern w:val="0"/>
                <w:szCs w:val="21"/>
              </w:rPr>
              <w:t>付款条件</w:t>
            </w:r>
          </w:p>
        </w:tc>
        <w:tc>
          <w:tcPr>
            <w:tcW w:w="7650" w:type="dxa"/>
            <w:tcBorders>
              <w:top w:val="single" w:color="auto" w:sz="4" w:space="0"/>
              <w:left w:val="single" w:color="auto" w:sz="4" w:space="0"/>
              <w:bottom w:val="single" w:color="auto" w:sz="4" w:space="0"/>
              <w:right w:val="single" w:color="auto" w:sz="4" w:space="0"/>
            </w:tcBorders>
            <w:vAlign w:val="center"/>
          </w:tcPr>
          <w:p w14:paraId="11604712">
            <w:pPr>
              <w:rPr>
                <w:rFonts w:ascii="宋体" w:hAnsi="宋体" w:eastAsia="宋体" w:cs="宋体"/>
                <w:szCs w:val="21"/>
              </w:rPr>
            </w:pPr>
            <w:r>
              <w:rPr>
                <w:rFonts w:hint="eastAsia" w:ascii="宋体" w:hAnsi="宋体" w:eastAsia="宋体" w:cs="宋体"/>
                <w:szCs w:val="21"/>
              </w:rPr>
              <w:t>1.供应商提交银行、保险公司等金融机构出具的预付款保函（保函数额与预付款金额相同，保函有效期在后期支付金额可以抵扣预付款总额之后）；合同生效并具备实施条件后7个工作日内，采购人向供应商支付合同金额20%的预付款（分年度支付，12个月为1年度）。剩余合同款项分2次支付：第1年度服务期结束后，采购人支付第1年度的费用（预付款扣除优先）；项目验收合格后，供应商凭验收合格证明材料、发票到采购人处结算，采购人在7个工作日内向成交供应商支付全部合同余款。</w:t>
            </w:r>
          </w:p>
          <w:p w14:paraId="27220F7B">
            <w:pPr>
              <w:rPr>
                <w:rFonts w:ascii="宋体" w:hAnsi="宋体" w:eastAsia="宋体" w:cs="宋体"/>
                <w:spacing w:val="-6"/>
                <w:kern w:val="0"/>
                <w:szCs w:val="21"/>
                <w:highlight w:val="yellow"/>
              </w:rPr>
            </w:pPr>
            <w:r>
              <w:rPr>
                <w:rFonts w:hint="eastAsia" w:ascii="宋体" w:hAnsi="宋体" w:eastAsia="宋体" w:cs="宋体"/>
                <w:szCs w:val="21"/>
              </w:rPr>
              <w:t>2.在签订合同前，供应商主动要求降低预付款比例的，按实际比例计。供应商明确表示无需预付款的，采用下述付款方式：第1年度服务期结束后，采购人支付第1年度的费用；项目验收合格后，供应商凭验收合格证明材料、发票到采购人处结算，采购人在7个工作日内向成交供应商支付全部合同余款。</w:t>
            </w:r>
          </w:p>
        </w:tc>
      </w:tr>
      <w:tr w14:paraId="7B255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A865ACF">
            <w:pPr>
              <w:jc w:val="center"/>
              <w:rPr>
                <w:rFonts w:ascii="宋体" w:hAnsi="宋体" w:eastAsia="宋体" w:cs="宋体"/>
                <w:b/>
                <w:spacing w:val="-6"/>
                <w:szCs w:val="21"/>
                <w:highlight w:val="yellow"/>
              </w:rPr>
            </w:pPr>
            <w:r>
              <w:rPr>
                <w:rFonts w:hint="eastAsia" w:ascii="宋体" w:hAnsi="宋体" w:eastAsia="宋体" w:cs="宋体"/>
                <w:snapToGrid w:val="0"/>
                <w:kern w:val="0"/>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2F56503C">
            <w:pPr>
              <w:rPr>
                <w:rFonts w:ascii="宋体" w:hAnsi="宋体" w:eastAsia="宋体" w:cs="宋体"/>
                <w:spacing w:val="-6"/>
                <w:kern w:val="0"/>
                <w:szCs w:val="21"/>
              </w:rPr>
            </w:pPr>
            <w:r>
              <w:rPr>
                <w:rFonts w:hint="eastAsia" w:ascii="宋体" w:hAnsi="宋体" w:eastAsia="宋体" w:cs="宋体"/>
                <w:szCs w:val="21"/>
              </w:rPr>
              <w:t>无</w:t>
            </w:r>
          </w:p>
        </w:tc>
      </w:tr>
      <w:bookmarkEnd w:id="36"/>
    </w:tbl>
    <w:p w14:paraId="7E410213">
      <w:pPr>
        <w:adjustRightInd w:val="0"/>
        <w:snapToGrid w:val="0"/>
        <w:spacing w:line="288" w:lineRule="auto"/>
        <w:rPr>
          <w:rFonts w:ascii="宋体" w:hAnsi="宋体" w:eastAsia="宋体" w:cs="Times New Roman"/>
          <w:szCs w:val="21"/>
        </w:rPr>
      </w:pPr>
      <w:bookmarkStart w:id="37" w:name="_Hlk45005556"/>
    </w:p>
    <w:bookmarkEnd w:id="37"/>
    <w:p w14:paraId="2643A85C">
      <w:pPr>
        <w:adjustRightInd w:val="0"/>
        <w:snapToGrid w:val="0"/>
        <w:spacing w:line="288" w:lineRule="auto"/>
        <w:outlineLvl w:val="1"/>
        <w:rPr>
          <w:rFonts w:ascii="宋体" w:hAnsi="宋体" w:eastAsia="宋体" w:cs="Times New Roman"/>
          <w:b/>
          <w:szCs w:val="21"/>
        </w:rPr>
      </w:pPr>
      <w:bookmarkStart w:id="38" w:name="_Hlk92271413"/>
      <w:r>
        <w:rPr>
          <w:rFonts w:hint="eastAsia" w:ascii="宋体" w:hAnsi="宋体" w:eastAsia="宋体" w:cs="Times New Roman"/>
          <w:b/>
          <w:szCs w:val="21"/>
        </w:rPr>
        <w:t>三、需执行的国家相关标准、行业标准、地方标准或者其他标准、规范：</w:t>
      </w:r>
      <w:bookmarkStart w:id="39" w:name="_Hlk94018176"/>
      <w:r>
        <w:rPr>
          <w:rFonts w:hint="eastAsia" w:ascii="宋体" w:hAnsi="宋体" w:eastAsia="宋体" w:cs="Times New Roman"/>
          <w:b/>
          <w:szCs w:val="21"/>
        </w:rPr>
        <w:t>如技术要求中未注明需执行的国家相关标准、行业标准、地方标准或者其他标准、规范的，执行最新标准、规范。</w:t>
      </w:r>
      <w:bookmarkEnd w:id="39"/>
    </w:p>
    <w:bookmarkEnd w:id="38"/>
    <w:p w14:paraId="442061DC">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四、需实现的功能或者目标：满足浙江工商大学2025-2027年无线网络及数据中心运维服务采购要求</w:t>
      </w:r>
    </w:p>
    <w:p w14:paraId="072DCF2A">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五、技术要求（包括服务内容和标准等）：</w:t>
      </w:r>
    </w:p>
    <w:p w14:paraId="2C6FA896">
      <w:pPr>
        <w:pStyle w:val="10"/>
        <w:spacing w:after="0" w:line="288" w:lineRule="auto"/>
        <w:rPr>
          <w:rFonts w:ascii="宋体" w:hAnsi="宋体" w:cs="宋体"/>
          <w:b/>
          <w:bCs/>
          <w:sz w:val="21"/>
          <w:szCs w:val="21"/>
        </w:rPr>
      </w:pPr>
      <w:r>
        <w:rPr>
          <w:rFonts w:hint="eastAsia" w:ascii="宋体" w:hAnsi="宋体" w:cs="宋体"/>
          <w:b/>
          <w:bCs/>
          <w:sz w:val="21"/>
          <w:szCs w:val="21"/>
        </w:rPr>
        <w:t>（一）项目背景</w:t>
      </w:r>
    </w:p>
    <w:p w14:paraId="33E4C990">
      <w:pPr>
        <w:spacing w:line="288" w:lineRule="auto"/>
        <w:ind w:firstLine="420" w:firstLineChars="200"/>
        <w:rPr>
          <w:rFonts w:ascii="宋体" w:hAnsi="宋体" w:eastAsia="宋体" w:cs="宋体"/>
          <w:szCs w:val="21"/>
        </w:rPr>
      </w:pPr>
      <w:r>
        <w:rPr>
          <w:rFonts w:hint="eastAsia" w:ascii="宋体" w:hAnsi="宋体" w:eastAsia="宋体" w:cs="宋体"/>
          <w:szCs w:val="21"/>
        </w:rPr>
        <w:t>当下学校信息化建设正加速推进，各类教学、科研与管理系统深度融入日常运作，数据中心作为支撑这些业务的核心枢纽，重要性不言而喻。但伴随网络覆盖范围扩大、无线应用场景增多以及数据中心承载业务愈发繁杂，其规模与复杂程度呈指数级增长，网络架构复杂、无线信号不稳定、设备故障频发等问题接踵而至。为保障数据中心网络畅通无阻、无线服务优质稳定、整体系统可靠运行，进而确保教学科研工作顺利推进、校园信息安全无忧、信息化建设可持续发展，高校需采购专业、全面且具备高效响应能力的数据中心运维服务，以应对日益复杂的运维挑战。</w:t>
      </w:r>
    </w:p>
    <w:p w14:paraId="31CA5D8C">
      <w:pPr>
        <w:pStyle w:val="10"/>
        <w:spacing w:after="0" w:line="288" w:lineRule="auto"/>
        <w:rPr>
          <w:rFonts w:ascii="宋体" w:hAnsi="宋体" w:cs="宋体"/>
          <w:b/>
          <w:bCs/>
          <w:sz w:val="21"/>
          <w:szCs w:val="21"/>
        </w:rPr>
      </w:pPr>
      <w:r>
        <w:rPr>
          <w:rFonts w:hint="eastAsia" w:ascii="宋体" w:hAnsi="宋体" w:cs="宋体"/>
          <w:b/>
          <w:bCs/>
          <w:sz w:val="21"/>
          <w:szCs w:val="21"/>
        </w:rPr>
        <w:t>（二）服务内容与要求（包含但不限于）</w:t>
      </w:r>
    </w:p>
    <w:p w14:paraId="13CB3ABE">
      <w:pPr>
        <w:spacing w:line="288" w:lineRule="auto"/>
        <w:rPr>
          <w:rFonts w:ascii="宋体" w:hAnsi="宋体" w:eastAsia="宋体" w:cs="宋体"/>
          <w:szCs w:val="21"/>
        </w:rPr>
      </w:pPr>
      <w:r>
        <w:rPr>
          <w:rFonts w:hint="eastAsia" w:ascii="宋体" w:hAnsi="宋体" w:eastAsia="宋体" w:cs="宋体"/>
          <w:szCs w:val="21"/>
        </w:rPr>
        <w:t>1  数字高校基础设施服务器网络接入运维服务</w:t>
      </w:r>
    </w:p>
    <w:p w14:paraId="4D198787">
      <w:pPr>
        <w:spacing w:line="288" w:lineRule="auto"/>
        <w:rPr>
          <w:rFonts w:ascii="宋体" w:hAnsi="宋体" w:eastAsia="宋体" w:cs="宋体"/>
          <w:szCs w:val="21"/>
        </w:rPr>
      </w:pPr>
      <w:r>
        <w:rPr>
          <w:rFonts w:hint="eastAsia" w:ascii="宋体" w:hAnsi="宋体" w:eastAsia="宋体" w:cs="宋体"/>
          <w:szCs w:val="21"/>
        </w:rPr>
        <w:t>1.1 网络设备配置</w:t>
      </w:r>
    </w:p>
    <w:p w14:paraId="13E6EF59">
      <w:pPr>
        <w:spacing w:line="288" w:lineRule="auto"/>
        <w:ind w:firstLine="420" w:firstLineChars="200"/>
        <w:rPr>
          <w:rFonts w:ascii="宋体" w:hAnsi="宋体" w:eastAsia="宋体" w:cs="宋体"/>
          <w:szCs w:val="21"/>
        </w:rPr>
      </w:pPr>
      <w:r>
        <w:rPr>
          <w:rFonts w:hint="eastAsia" w:ascii="宋体" w:hAnsi="宋体" w:eastAsia="宋体" w:cs="宋体"/>
          <w:szCs w:val="21"/>
        </w:rPr>
        <w:t>根据需求变更网络设备具体配置信息，及时更新网络设备软件版本，网络设备配置文件的定期备份。</w:t>
      </w:r>
    </w:p>
    <w:p w14:paraId="48F9359E">
      <w:pPr>
        <w:pStyle w:val="101"/>
        <w:numPr>
          <w:ilvl w:val="1"/>
          <w:numId w:val="2"/>
        </w:numPr>
        <w:spacing w:line="288" w:lineRule="auto"/>
        <w:rPr>
          <w:rFonts w:ascii="宋体" w:hAnsi="宋体" w:cs="宋体"/>
          <w:sz w:val="21"/>
          <w:szCs w:val="21"/>
        </w:rPr>
      </w:pPr>
      <w:r>
        <w:rPr>
          <w:rFonts w:hint="eastAsia" w:ascii="宋体" w:hAnsi="宋体" w:cs="宋体"/>
          <w:sz w:val="21"/>
          <w:szCs w:val="21"/>
        </w:rPr>
        <w:t xml:space="preserve"> 协助新设备入网</w:t>
      </w:r>
    </w:p>
    <w:p w14:paraId="719411EC">
      <w:pPr>
        <w:spacing w:line="288" w:lineRule="auto"/>
        <w:ind w:firstLine="420" w:firstLineChars="200"/>
        <w:rPr>
          <w:rFonts w:ascii="宋体" w:hAnsi="宋体" w:eastAsia="宋体" w:cs="宋体"/>
          <w:szCs w:val="21"/>
        </w:rPr>
      </w:pPr>
      <w:r>
        <w:rPr>
          <w:rFonts w:hint="eastAsia" w:ascii="宋体" w:hAnsi="宋体" w:eastAsia="宋体" w:cs="宋体"/>
          <w:szCs w:val="21"/>
        </w:rPr>
        <w:t>服务器等新入网设备软硬件版本核查，风险评估，协助新加入网络的设备配置工作，保障网络设备连接稳定性和安全性。</w:t>
      </w:r>
    </w:p>
    <w:p w14:paraId="39DADBBA">
      <w:pPr>
        <w:spacing w:line="288" w:lineRule="auto"/>
        <w:rPr>
          <w:rFonts w:ascii="宋体" w:hAnsi="宋体" w:eastAsia="宋体" w:cs="宋体"/>
          <w:szCs w:val="21"/>
        </w:rPr>
      </w:pPr>
      <w:r>
        <w:rPr>
          <w:rFonts w:hint="eastAsia" w:ascii="宋体" w:hAnsi="宋体" w:eastAsia="宋体" w:cs="宋体"/>
          <w:szCs w:val="21"/>
        </w:rPr>
        <w:t>1.3 架构调优</w:t>
      </w:r>
    </w:p>
    <w:p w14:paraId="4C185992">
      <w:pPr>
        <w:spacing w:line="288" w:lineRule="auto"/>
        <w:ind w:firstLine="420" w:firstLineChars="200"/>
        <w:rPr>
          <w:rFonts w:ascii="宋体" w:hAnsi="宋体" w:eastAsia="宋体" w:cs="宋体"/>
          <w:szCs w:val="21"/>
        </w:rPr>
      </w:pPr>
      <w:r>
        <w:rPr>
          <w:rFonts w:hint="eastAsia" w:ascii="宋体" w:hAnsi="宋体" w:eastAsia="宋体" w:cs="宋体"/>
          <w:szCs w:val="21"/>
        </w:rPr>
        <w:t>优化网络架构，调整不合适的链路和设备，通过各种硬件或软件技术使网络性能达到最佳平衡点。</w:t>
      </w:r>
    </w:p>
    <w:p w14:paraId="0CA4A983">
      <w:pPr>
        <w:pStyle w:val="101"/>
        <w:numPr>
          <w:ilvl w:val="1"/>
          <w:numId w:val="3"/>
        </w:numPr>
        <w:tabs>
          <w:tab w:val="left" w:pos="312"/>
        </w:tabs>
        <w:spacing w:line="288" w:lineRule="auto"/>
        <w:rPr>
          <w:rFonts w:ascii="宋体" w:hAnsi="宋体" w:cs="宋体"/>
          <w:sz w:val="21"/>
          <w:szCs w:val="21"/>
        </w:rPr>
      </w:pPr>
      <w:r>
        <w:rPr>
          <w:rFonts w:hint="eastAsia" w:ascii="宋体" w:hAnsi="宋体" w:cs="宋体"/>
          <w:sz w:val="21"/>
          <w:szCs w:val="21"/>
        </w:rPr>
        <w:t xml:space="preserve"> 网络认证服务</w:t>
      </w:r>
    </w:p>
    <w:p w14:paraId="2C50C707">
      <w:pPr>
        <w:spacing w:line="288" w:lineRule="auto"/>
        <w:ind w:firstLine="420" w:firstLineChars="200"/>
        <w:rPr>
          <w:rFonts w:ascii="宋体" w:hAnsi="宋体" w:eastAsia="宋体" w:cs="宋体"/>
          <w:szCs w:val="21"/>
        </w:rPr>
      </w:pPr>
      <w:r>
        <w:rPr>
          <w:rFonts w:hint="eastAsia" w:ascii="宋体" w:hAnsi="宋体" w:eastAsia="宋体" w:cs="宋体"/>
          <w:szCs w:val="21"/>
        </w:rPr>
        <w:t>校园认证平台对接，认证策略配置，人员账号信息维护。</w:t>
      </w:r>
    </w:p>
    <w:p w14:paraId="7E779E24">
      <w:pPr>
        <w:pStyle w:val="101"/>
        <w:numPr>
          <w:ilvl w:val="1"/>
          <w:numId w:val="3"/>
        </w:numPr>
        <w:tabs>
          <w:tab w:val="left" w:pos="312"/>
        </w:tabs>
        <w:spacing w:line="288" w:lineRule="auto"/>
        <w:rPr>
          <w:rFonts w:ascii="宋体" w:hAnsi="宋体" w:cs="宋体"/>
          <w:sz w:val="21"/>
          <w:szCs w:val="21"/>
        </w:rPr>
      </w:pPr>
      <w:r>
        <w:rPr>
          <w:rFonts w:hint="eastAsia" w:ascii="宋体" w:hAnsi="宋体" w:cs="宋体"/>
          <w:sz w:val="21"/>
          <w:szCs w:val="21"/>
        </w:rPr>
        <w:t xml:space="preserve"> 多出口调整及优化</w:t>
      </w:r>
    </w:p>
    <w:p w14:paraId="0069352E">
      <w:pPr>
        <w:spacing w:line="288" w:lineRule="auto"/>
        <w:ind w:firstLine="420" w:firstLineChars="200"/>
        <w:rPr>
          <w:rFonts w:ascii="宋体" w:hAnsi="宋体" w:eastAsia="宋体" w:cs="宋体"/>
          <w:szCs w:val="21"/>
        </w:rPr>
      </w:pPr>
      <w:r>
        <w:rPr>
          <w:rFonts w:hint="eastAsia" w:ascii="宋体" w:hAnsi="宋体" w:eastAsia="宋体" w:cs="宋体"/>
          <w:szCs w:val="21"/>
        </w:rPr>
        <w:t>校园网多网络出口的流量负载优化，根据实际需求以及公网资源的访问质量灵活调整负载策略。</w:t>
      </w:r>
    </w:p>
    <w:p w14:paraId="709E8719">
      <w:pPr>
        <w:pStyle w:val="101"/>
        <w:numPr>
          <w:ilvl w:val="1"/>
          <w:numId w:val="3"/>
        </w:numPr>
        <w:tabs>
          <w:tab w:val="left" w:pos="312"/>
        </w:tabs>
        <w:spacing w:line="288" w:lineRule="auto"/>
        <w:rPr>
          <w:rFonts w:ascii="宋体" w:hAnsi="宋体" w:cs="宋体"/>
          <w:sz w:val="21"/>
          <w:szCs w:val="21"/>
        </w:rPr>
      </w:pPr>
      <w:r>
        <w:rPr>
          <w:rFonts w:hint="eastAsia" w:ascii="宋体" w:hAnsi="宋体" w:cs="宋体"/>
          <w:sz w:val="21"/>
          <w:szCs w:val="21"/>
        </w:rPr>
        <w:t xml:space="preserve"> 无线故障定位分析及处理</w:t>
      </w:r>
    </w:p>
    <w:p w14:paraId="6480059F">
      <w:pPr>
        <w:spacing w:line="288" w:lineRule="auto"/>
        <w:ind w:firstLine="420" w:firstLineChars="200"/>
        <w:rPr>
          <w:rFonts w:ascii="宋体" w:hAnsi="宋体" w:eastAsia="宋体" w:cs="宋体"/>
          <w:szCs w:val="21"/>
        </w:rPr>
      </w:pPr>
      <w:r>
        <w:rPr>
          <w:rFonts w:hint="eastAsia" w:ascii="宋体" w:hAnsi="宋体" w:eastAsia="宋体" w:cs="宋体"/>
          <w:szCs w:val="21"/>
        </w:rPr>
        <w:t>通过无线控制器和无线AP日志等分析，及时发现无线设备故障，第一时间定位故障点，分析故障原因，并根据故障原因采取相应的处理措施。</w:t>
      </w:r>
    </w:p>
    <w:p w14:paraId="004EF9F7">
      <w:pPr>
        <w:pStyle w:val="101"/>
        <w:numPr>
          <w:ilvl w:val="1"/>
          <w:numId w:val="3"/>
        </w:numPr>
        <w:tabs>
          <w:tab w:val="left" w:pos="312"/>
        </w:tabs>
        <w:spacing w:line="288" w:lineRule="auto"/>
        <w:rPr>
          <w:rFonts w:ascii="宋体" w:hAnsi="宋体" w:cs="宋体"/>
          <w:sz w:val="21"/>
          <w:szCs w:val="21"/>
        </w:rPr>
      </w:pPr>
      <w:r>
        <w:rPr>
          <w:rFonts w:hint="eastAsia" w:ascii="宋体" w:hAnsi="宋体" w:cs="宋体"/>
          <w:sz w:val="21"/>
          <w:szCs w:val="21"/>
        </w:rPr>
        <w:t xml:space="preserve"> 网络安全设备管理</w:t>
      </w:r>
    </w:p>
    <w:p w14:paraId="10CF5EEA">
      <w:pPr>
        <w:spacing w:line="288" w:lineRule="auto"/>
        <w:ind w:firstLine="420" w:firstLineChars="200"/>
        <w:rPr>
          <w:rFonts w:ascii="宋体" w:hAnsi="宋体" w:eastAsia="宋体" w:cs="宋体"/>
          <w:szCs w:val="21"/>
        </w:rPr>
      </w:pPr>
      <w:r>
        <w:rPr>
          <w:rFonts w:hint="eastAsia" w:ascii="宋体" w:hAnsi="宋体" w:eastAsia="宋体" w:cs="宋体"/>
          <w:szCs w:val="21"/>
        </w:rPr>
        <w:t>协助数字化办公室老师对网络安全设备进行配置调整，优化及日常运维工作。</w:t>
      </w:r>
    </w:p>
    <w:p w14:paraId="4065FFD8">
      <w:pPr>
        <w:pStyle w:val="101"/>
        <w:numPr>
          <w:ilvl w:val="1"/>
          <w:numId w:val="3"/>
        </w:numPr>
        <w:tabs>
          <w:tab w:val="left" w:pos="312"/>
        </w:tabs>
        <w:spacing w:line="288" w:lineRule="auto"/>
        <w:rPr>
          <w:rFonts w:ascii="宋体" w:hAnsi="宋体" w:cs="宋体"/>
          <w:sz w:val="21"/>
          <w:szCs w:val="21"/>
        </w:rPr>
      </w:pPr>
      <w:r>
        <w:rPr>
          <w:rFonts w:hint="eastAsia" w:ascii="宋体" w:hAnsi="宋体" w:cs="宋体"/>
          <w:sz w:val="21"/>
          <w:szCs w:val="21"/>
        </w:rPr>
        <w:t xml:space="preserve"> 网络保障服务</w:t>
      </w:r>
    </w:p>
    <w:p w14:paraId="501D32A3">
      <w:pPr>
        <w:spacing w:line="288" w:lineRule="auto"/>
        <w:ind w:firstLine="420" w:firstLineChars="200"/>
        <w:rPr>
          <w:rFonts w:ascii="宋体" w:hAnsi="宋体" w:eastAsia="宋体" w:cs="宋体"/>
          <w:szCs w:val="21"/>
        </w:rPr>
      </w:pPr>
      <w:r>
        <w:rPr>
          <w:rFonts w:hint="eastAsia" w:ascii="宋体" w:hAnsi="宋体" w:eastAsia="宋体" w:cs="宋体"/>
          <w:szCs w:val="21"/>
        </w:rPr>
        <w:t>学校重大活动时（如学校开学、校庆、国庆前后、国家级会议等）的网络保障；包括测试网络稳定性，网络设备的网络限速调整，网络紧急情况处理。</w:t>
      </w:r>
    </w:p>
    <w:p w14:paraId="20F295B0">
      <w:pPr>
        <w:spacing w:line="288" w:lineRule="auto"/>
        <w:rPr>
          <w:rFonts w:ascii="宋体" w:hAnsi="宋体" w:eastAsia="宋体" w:cs="宋体"/>
          <w:szCs w:val="21"/>
        </w:rPr>
      </w:pPr>
      <w:r>
        <w:rPr>
          <w:rFonts w:hint="eastAsia" w:ascii="宋体" w:hAnsi="宋体" w:eastAsia="宋体" w:cs="宋体"/>
          <w:szCs w:val="21"/>
        </w:rPr>
        <w:t>2  数字高校基础设施服务器及其虚拟化运维服务</w:t>
      </w:r>
    </w:p>
    <w:p w14:paraId="590FD462">
      <w:pPr>
        <w:spacing w:line="288" w:lineRule="auto"/>
        <w:rPr>
          <w:rFonts w:ascii="宋体" w:hAnsi="宋体" w:eastAsia="宋体" w:cs="宋体"/>
          <w:szCs w:val="21"/>
        </w:rPr>
      </w:pPr>
      <w:r>
        <w:rPr>
          <w:rFonts w:hint="eastAsia" w:ascii="宋体" w:hAnsi="宋体" w:eastAsia="宋体" w:cs="宋体"/>
          <w:szCs w:val="21"/>
        </w:rPr>
        <w:t>2.1私有云平台整体维护</w:t>
      </w:r>
    </w:p>
    <w:p w14:paraId="6BD843E6">
      <w:pPr>
        <w:spacing w:line="288" w:lineRule="auto"/>
        <w:ind w:firstLine="480"/>
        <w:rPr>
          <w:rFonts w:ascii="宋体" w:hAnsi="宋体" w:eastAsia="宋体" w:cs="宋体"/>
          <w:szCs w:val="21"/>
        </w:rPr>
      </w:pPr>
      <w:r>
        <w:rPr>
          <w:rFonts w:hint="eastAsia" w:ascii="宋体" w:hAnsi="宋体" w:eastAsia="宋体" w:cs="宋体"/>
          <w:szCs w:val="21"/>
        </w:rPr>
        <w:t>平台控制中心状态监控，及时获取控制中心运行状态信息，平台告警信息。</w:t>
      </w:r>
    </w:p>
    <w:p w14:paraId="717844EF">
      <w:pPr>
        <w:spacing w:line="288" w:lineRule="auto"/>
        <w:ind w:firstLine="420" w:firstLineChars="200"/>
        <w:rPr>
          <w:rFonts w:ascii="宋体" w:hAnsi="宋体" w:eastAsia="宋体" w:cs="宋体"/>
          <w:szCs w:val="21"/>
        </w:rPr>
      </w:pPr>
      <w:r>
        <w:rPr>
          <w:rFonts w:hint="eastAsia" w:ascii="宋体" w:hAnsi="宋体" w:eastAsia="宋体" w:cs="宋体"/>
          <w:szCs w:val="21"/>
        </w:rPr>
        <w:t>私有云管理套件安装，网络安全环境部署，性能监控套件安装。</w:t>
      </w:r>
    </w:p>
    <w:p w14:paraId="37405CD4">
      <w:pPr>
        <w:spacing w:line="288" w:lineRule="auto"/>
        <w:ind w:firstLine="420" w:firstLineChars="200"/>
        <w:rPr>
          <w:rFonts w:ascii="宋体" w:hAnsi="宋体" w:eastAsia="宋体" w:cs="宋体"/>
          <w:szCs w:val="21"/>
        </w:rPr>
      </w:pPr>
      <w:r>
        <w:rPr>
          <w:rFonts w:hint="eastAsia" w:ascii="宋体" w:hAnsi="宋体" w:eastAsia="宋体" w:cs="宋体"/>
          <w:szCs w:val="21"/>
        </w:rPr>
        <w:t>云平台软件产品的补丁和设置，云平台升级。</w:t>
      </w:r>
    </w:p>
    <w:p w14:paraId="090B684E">
      <w:pPr>
        <w:spacing w:line="288" w:lineRule="auto"/>
        <w:ind w:firstLine="420" w:firstLineChars="200"/>
        <w:rPr>
          <w:rFonts w:ascii="宋体" w:hAnsi="宋体" w:eastAsia="宋体" w:cs="宋体"/>
          <w:szCs w:val="21"/>
        </w:rPr>
      </w:pPr>
      <w:r>
        <w:rPr>
          <w:rFonts w:hint="eastAsia" w:ascii="宋体" w:hAnsi="宋体" w:eastAsia="宋体" w:cs="宋体"/>
          <w:szCs w:val="21"/>
        </w:rPr>
        <w:t>私有云平台数据备份与恢复。</w:t>
      </w:r>
    </w:p>
    <w:p w14:paraId="5DEA7BC3">
      <w:pPr>
        <w:spacing w:line="288" w:lineRule="auto"/>
        <w:ind w:firstLine="420" w:firstLineChars="200"/>
        <w:rPr>
          <w:rFonts w:ascii="宋体" w:hAnsi="宋体" w:eastAsia="宋体" w:cs="宋体"/>
          <w:szCs w:val="21"/>
        </w:rPr>
      </w:pPr>
      <w:r>
        <w:rPr>
          <w:rFonts w:hint="eastAsia" w:ascii="宋体" w:hAnsi="宋体" w:eastAsia="宋体" w:cs="宋体"/>
          <w:szCs w:val="21"/>
        </w:rPr>
        <w:t>私有云平台巡检及巡检报告，平台规划调整。</w:t>
      </w:r>
    </w:p>
    <w:p w14:paraId="0262125A">
      <w:pPr>
        <w:pStyle w:val="101"/>
        <w:numPr>
          <w:ilvl w:val="1"/>
          <w:numId w:val="4"/>
        </w:numPr>
        <w:spacing w:line="288" w:lineRule="auto"/>
        <w:rPr>
          <w:rFonts w:ascii="宋体" w:hAnsi="宋体" w:cs="宋体"/>
          <w:sz w:val="21"/>
          <w:szCs w:val="21"/>
        </w:rPr>
      </w:pPr>
      <w:r>
        <w:rPr>
          <w:rFonts w:hint="eastAsia" w:ascii="宋体" w:hAnsi="宋体" w:cs="宋体"/>
          <w:sz w:val="21"/>
          <w:szCs w:val="21"/>
        </w:rPr>
        <w:t>系统虚拟机日常运维</w:t>
      </w:r>
    </w:p>
    <w:p w14:paraId="23DB5E8E">
      <w:pPr>
        <w:spacing w:line="288" w:lineRule="auto"/>
        <w:ind w:firstLine="420" w:firstLineChars="200"/>
        <w:rPr>
          <w:rFonts w:ascii="宋体" w:hAnsi="宋体" w:eastAsia="宋体" w:cs="宋体"/>
          <w:szCs w:val="21"/>
        </w:rPr>
      </w:pPr>
      <w:r>
        <w:rPr>
          <w:rFonts w:hint="eastAsia" w:ascii="宋体" w:hAnsi="宋体" w:eastAsia="宋体" w:cs="宋体"/>
          <w:szCs w:val="21"/>
        </w:rPr>
        <w:t>虚拟主机的当前实时流量、资源使用率、链路状态监控，虚拟主机的病毒查杀，漏洞封堵，虚拟主机的系统迁移。</w:t>
      </w:r>
    </w:p>
    <w:p w14:paraId="7AF2D3CC">
      <w:pPr>
        <w:spacing w:line="288" w:lineRule="auto"/>
        <w:ind w:firstLine="420" w:firstLineChars="200"/>
        <w:rPr>
          <w:rFonts w:ascii="宋体" w:hAnsi="宋体" w:eastAsia="宋体" w:cs="宋体"/>
          <w:szCs w:val="21"/>
        </w:rPr>
      </w:pPr>
      <w:r>
        <w:rPr>
          <w:rFonts w:hint="eastAsia" w:ascii="宋体" w:hAnsi="宋体" w:eastAsia="宋体" w:cs="宋体"/>
          <w:szCs w:val="21"/>
        </w:rPr>
        <w:t>虚拟化管理程序、计算、存储、网络资源以及虚拟机的日常管理。</w:t>
      </w:r>
    </w:p>
    <w:p w14:paraId="49A2543E">
      <w:pPr>
        <w:spacing w:line="288" w:lineRule="auto"/>
        <w:ind w:firstLine="420" w:firstLineChars="200"/>
        <w:rPr>
          <w:rFonts w:ascii="宋体" w:hAnsi="宋体" w:eastAsia="宋体" w:cs="宋体"/>
          <w:szCs w:val="21"/>
        </w:rPr>
      </w:pPr>
      <w:r>
        <w:rPr>
          <w:rFonts w:hint="eastAsia" w:ascii="宋体" w:hAnsi="宋体" w:eastAsia="宋体" w:cs="宋体"/>
          <w:szCs w:val="21"/>
        </w:rPr>
        <w:t>虚拟化性能监控，数据分析，性能调优，容量管理。</w:t>
      </w:r>
    </w:p>
    <w:p w14:paraId="4236AA7A">
      <w:pPr>
        <w:spacing w:line="288" w:lineRule="auto"/>
        <w:ind w:firstLine="420" w:firstLineChars="200"/>
        <w:rPr>
          <w:rFonts w:ascii="宋体" w:hAnsi="宋体" w:eastAsia="宋体" w:cs="宋体"/>
          <w:szCs w:val="21"/>
        </w:rPr>
      </w:pPr>
      <w:r>
        <w:rPr>
          <w:rFonts w:hint="eastAsia" w:ascii="宋体" w:hAnsi="宋体" w:eastAsia="宋体" w:cs="宋体"/>
          <w:szCs w:val="21"/>
        </w:rPr>
        <w:t>虚拟机部署、环境搭建、测试。</w:t>
      </w:r>
    </w:p>
    <w:p w14:paraId="239D3DBE">
      <w:pPr>
        <w:spacing w:line="288" w:lineRule="auto"/>
        <w:ind w:firstLine="420" w:firstLineChars="200"/>
        <w:rPr>
          <w:rFonts w:ascii="宋体" w:hAnsi="宋体" w:eastAsia="宋体" w:cs="宋体"/>
          <w:szCs w:val="21"/>
        </w:rPr>
      </w:pPr>
      <w:r>
        <w:rPr>
          <w:rFonts w:hint="eastAsia" w:ascii="宋体" w:hAnsi="宋体" w:eastAsia="宋体" w:cs="宋体"/>
          <w:szCs w:val="21"/>
        </w:rPr>
        <w:t>虚拟化平台补丁修复、版本升级。</w:t>
      </w:r>
    </w:p>
    <w:p w14:paraId="01B50373">
      <w:pPr>
        <w:spacing w:line="288" w:lineRule="auto"/>
        <w:ind w:firstLine="420" w:firstLineChars="200"/>
        <w:rPr>
          <w:rFonts w:ascii="宋体" w:hAnsi="宋体" w:eastAsia="宋体" w:cs="宋体"/>
          <w:szCs w:val="21"/>
        </w:rPr>
      </w:pPr>
      <w:r>
        <w:rPr>
          <w:rFonts w:hint="eastAsia" w:ascii="宋体" w:hAnsi="宋体" w:eastAsia="宋体" w:cs="宋体"/>
          <w:szCs w:val="21"/>
        </w:rPr>
        <w:t>重要业务虚拟机备份、验证，高危补丁修复。</w:t>
      </w:r>
    </w:p>
    <w:p w14:paraId="35F231EC">
      <w:pPr>
        <w:spacing w:line="288" w:lineRule="auto"/>
        <w:rPr>
          <w:rFonts w:ascii="宋体" w:hAnsi="宋体" w:eastAsia="宋体" w:cs="宋体"/>
          <w:szCs w:val="21"/>
        </w:rPr>
      </w:pPr>
      <w:r>
        <w:rPr>
          <w:rFonts w:hint="eastAsia" w:ascii="宋体" w:hAnsi="宋体" w:eastAsia="宋体" w:cs="宋体"/>
          <w:szCs w:val="21"/>
        </w:rPr>
        <w:t>2.3 系统分区的扩容</w:t>
      </w:r>
    </w:p>
    <w:p w14:paraId="2DCB4E6B">
      <w:pPr>
        <w:spacing w:line="288" w:lineRule="auto"/>
        <w:ind w:firstLine="420" w:firstLineChars="200"/>
        <w:rPr>
          <w:rFonts w:ascii="宋体" w:hAnsi="宋体" w:eastAsia="宋体" w:cs="宋体"/>
          <w:szCs w:val="21"/>
        </w:rPr>
      </w:pPr>
      <w:r>
        <w:rPr>
          <w:rFonts w:hint="eastAsia" w:ascii="宋体" w:hAnsi="宋体" w:eastAsia="宋体" w:cs="宋体"/>
          <w:szCs w:val="21"/>
        </w:rPr>
        <w:t>配置底层服务器磁盘RAID策略，保障数据冗余备份。</w:t>
      </w:r>
    </w:p>
    <w:p w14:paraId="62A12D6C">
      <w:pPr>
        <w:spacing w:line="288" w:lineRule="auto"/>
        <w:ind w:firstLine="420" w:firstLineChars="200"/>
        <w:rPr>
          <w:rFonts w:ascii="宋体" w:hAnsi="宋体" w:eastAsia="宋体" w:cs="宋体"/>
          <w:szCs w:val="21"/>
        </w:rPr>
      </w:pPr>
      <w:r>
        <w:rPr>
          <w:rFonts w:hint="eastAsia" w:ascii="宋体" w:hAnsi="宋体" w:eastAsia="宋体" w:cs="宋体"/>
          <w:szCs w:val="21"/>
        </w:rPr>
        <w:t>系统主机硬盘空间或者分区按需扩容。</w:t>
      </w:r>
    </w:p>
    <w:p w14:paraId="796B4636">
      <w:pPr>
        <w:spacing w:line="288" w:lineRule="auto"/>
        <w:rPr>
          <w:rFonts w:ascii="宋体" w:hAnsi="宋体" w:eastAsia="宋体" w:cs="宋体"/>
          <w:szCs w:val="21"/>
        </w:rPr>
      </w:pPr>
      <w:r>
        <w:rPr>
          <w:rFonts w:hint="eastAsia" w:ascii="宋体" w:hAnsi="宋体" w:eastAsia="宋体" w:cs="宋体"/>
          <w:szCs w:val="21"/>
        </w:rPr>
        <w:t>2.4 服务器的备份还原</w:t>
      </w:r>
    </w:p>
    <w:p w14:paraId="4073F2C5">
      <w:pPr>
        <w:spacing w:line="288" w:lineRule="auto"/>
        <w:ind w:firstLine="420" w:firstLineChars="200"/>
        <w:rPr>
          <w:rFonts w:ascii="宋体" w:hAnsi="宋体" w:eastAsia="宋体" w:cs="宋体"/>
          <w:szCs w:val="21"/>
        </w:rPr>
      </w:pPr>
      <w:r>
        <w:rPr>
          <w:rFonts w:hint="eastAsia" w:ascii="宋体" w:hAnsi="宋体" w:eastAsia="宋体" w:cs="宋体"/>
          <w:szCs w:val="21"/>
        </w:rPr>
        <w:t>识别并梳理学校不同业务信息、操作系统、软件系统，并对其进行分类。</w:t>
      </w:r>
    </w:p>
    <w:p w14:paraId="16F8086F">
      <w:pPr>
        <w:spacing w:line="288" w:lineRule="auto"/>
        <w:ind w:firstLine="420" w:firstLineChars="200"/>
        <w:rPr>
          <w:rFonts w:ascii="宋体" w:hAnsi="宋体" w:eastAsia="宋体" w:cs="宋体"/>
          <w:szCs w:val="21"/>
        </w:rPr>
      </w:pPr>
      <w:r>
        <w:rPr>
          <w:rFonts w:hint="eastAsia" w:ascii="宋体" w:hAnsi="宋体" w:eastAsia="宋体" w:cs="宋体"/>
          <w:szCs w:val="21"/>
        </w:rPr>
        <w:t>同学校一起建立备份与恢复管理制度，对不同分类的业务执行针对性的备份方案、备份频率、备份介质及备份副本保存份数。</w:t>
      </w:r>
    </w:p>
    <w:p w14:paraId="1B47B99B">
      <w:pPr>
        <w:spacing w:line="288" w:lineRule="auto"/>
        <w:ind w:firstLine="420" w:firstLineChars="200"/>
        <w:rPr>
          <w:rFonts w:ascii="宋体" w:hAnsi="宋体" w:eastAsia="宋体" w:cs="宋体"/>
          <w:szCs w:val="21"/>
        </w:rPr>
      </w:pPr>
      <w:r>
        <w:rPr>
          <w:rFonts w:hint="eastAsia" w:ascii="宋体" w:hAnsi="宋体" w:eastAsia="宋体" w:cs="宋体"/>
          <w:szCs w:val="21"/>
        </w:rPr>
        <w:t>根据业务的重要性，制定业务恢复策略、恢复站点。</w:t>
      </w:r>
    </w:p>
    <w:p w14:paraId="56C8AF28">
      <w:pPr>
        <w:spacing w:line="288" w:lineRule="auto"/>
        <w:ind w:firstLine="420" w:firstLineChars="200"/>
        <w:rPr>
          <w:rFonts w:ascii="宋体" w:hAnsi="宋体" w:eastAsia="宋体" w:cs="宋体"/>
          <w:szCs w:val="21"/>
        </w:rPr>
      </w:pPr>
      <w:r>
        <w:rPr>
          <w:rFonts w:hint="eastAsia" w:ascii="宋体" w:hAnsi="宋体" w:eastAsia="宋体" w:cs="宋体"/>
          <w:szCs w:val="21"/>
        </w:rPr>
        <w:t>定期执行恢复程序，检查和测试备份作业的有效性，确保可以在要求的时间完成业务恢复。</w:t>
      </w:r>
    </w:p>
    <w:p w14:paraId="51237253">
      <w:pPr>
        <w:spacing w:line="288" w:lineRule="auto"/>
        <w:ind w:firstLine="420" w:firstLineChars="200"/>
        <w:rPr>
          <w:rFonts w:ascii="宋体" w:hAnsi="宋体" w:eastAsia="宋体" w:cs="宋体"/>
          <w:szCs w:val="21"/>
        </w:rPr>
      </w:pPr>
      <w:r>
        <w:rPr>
          <w:rFonts w:hint="eastAsia" w:ascii="宋体" w:hAnsi="宋体" w:eastAsia="宋体" w:cs="宋体"/>
          <w:szCs w:val="21"/>
        </w:rPr>
        <w:t>制定相关的灾难恢复计划，并对其进行测试，包括系统恢复、人员协调、备用系统性能测试、网络测试，定期执行容灾演练，并针对演练结果调整备份策略。</w:t>
      </w:r>
    </w:p>
    <w:p w14:paraId="4D75CC6F">
      <w:pPr>
        <w:spacing w:line="288" w:lineRule="auto"/>
        <w:rPr>
          <w:rFonts w:ascii="宋体" w:hAnsi="宋体" w:eastAsia="宋体" w:cs="宋体"/>
          <w:szCs w:val="21"/>
        </w:rPr>
      </w:pPr>
      <w:r>
        <w:rPr>
          <w:rFonts w:hint="eastAsia" w:ascii="宋体" w:hAnsi="宋体" w:eastAsia="宋体" w:cs="宋体"/>
          <w:szCs w:val="21"/>
        </w:rPr>
        <w:t>3 运维服务人员相关要求</w:t>
      </w:r>
    </w:p>
    <w:p w14:paraId="05BD5F92">
      <w:pPr>
        <w:spacing w:line="288" w:lineRule="auto"/>
        <w:ind w:firstLine="480"/>
        <w:rPr>
          <w:rFonts w:ascii="宋体" w:hAnsi="宋体" w:eastAsia="宋体" w:cs="宋体"/>
          <w:szCs w:val="21"/>
        </w:rPr>
      </w:pPr>
      <w:r>
        <w:rPr>
          <w:rFonts w:hint="eastAsia" w:ascii="宋体" w:hAnsi="宋体" w:eastAsia="宋体" w:cs="宋体"/>
          <w:szCs w:val="21"/>
        </w:rPr>
        <w:t>3.1 本项目中需提供不少于1名工程师驻点在浙江工商大学下沙校区提供数字高校基础设施运维服务，具体要求如下：</w:t>
      </w:r>
    </w:p>
    <w:p w14:paraId="56D947F6">
      <w:pPr>
        <w:spacing w:line="288" w:lineRule="auto"/>
        <w:ind w:firstLine="420" w:firstLineChars="20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1 \* GB2 </w:instrText>
      </w:r>
      <w:r>
        <w:rPr>
          <w:rFonts w:hint="eastAsia" w:ascii="宋体" w:hAnsi="宋体" w:eastAsia="宋体" w:cs="宋体"/>
          <w:szCs w:val="21"/>
        </w:rPr>
        <w:fldChar w:fldCharType="separate"/>
      </w:r>
      <w:r>
        <w:rPr>
          <w:rFonts w:hint="eastAsia" w:ascii="宋体" w:hAnsi="宋体" w:eastAsia="宋体" w:cs="宋体"/>
          <w:szCs w:val="21"/>
        </w:rPr>
        <w:t>⑴</w:t>
      </w:r>
      <w:r>
        <w:rPr>
          <w:rFonts w:hint="eastAsia" w:ascii="宋体" w:hAnsi="宋体" w:eastAsia="宋体" w:cs="宋体"/>
          <w:szCs w:val="21"/>
        </w:rPr>
        <w:fldChar w:fldCharType="end"/>
      </w:r>
      <w:r>
        <w:rPr>
          <w:rFonts w:hint="eastAsia" w:ascii="宋体" w:hAnsi="宋体" w:eastAsia="宋体" w:cs="宋体"/>
          <w:szCs w:val="21"/>
        </w:rPr>
        <w:t>驻点工程师须是网络、安全和数据中心方面的工程师，具有网络工程师或网络规划设计师</w:t>
      </w:r>
      <w:r>
        <w:rPr>
          <w:rFonts w:hint="eastAsia" w:ascii="Times New Roman" w:hAnsi="Times New Roman" w:eastAsia="宋体" w:cs="Times New Roman"/>
        </w:rPr>
        <w:t>证书</w:t>
      </w:r>
      <w:r>
        <w:rPr>
          <w:rFonts w:hint="eastAsia" w:ascii="宋体" w:hAnsi="宋体" w:eastAsia="宋体" w:cs="宋体"/>
          <w:szCs w:val="21"/>
        </w:rPr>
        <w:t>（</w:t>
      </w:r>
      <w:r>
        <w:rPr>
          <w:rFonts w:hint="eastAsia" w:ascii="Times New Roman" w:hAnsi="Times New Roman" w:eastAsia="宋体" w:cs="Times New Roman"/>
        </w:rPr>
        <w:t>计算机技术与软件专业技术资格证书</w:t>
      </w:r>
      <w:r>
        <w:rPr>
          <w:rFonts w:hint="eastAsia" w:ascii="宋体" w:hAnsi="宋体" w:eastAsia="宋体" w:cs="宋体"/>
          <w:szCs w:val="21"/>
        </w:rPr>
        <w:t>），</w:t>
      </w:r>
      <w:r>
        <w:rPr>
          <w:rFonts w:hint="eastAsia" w:ascii="Times New Roman" w:hAnsi="Times New Roman" w:eastAsia="宋体" w:cs="Times New Roman"/>
        </w:rPr>
        <w:t>并拥有5年以上系统集成项目建设或运维工作经验。</w:t>
      </w:r>
      <w:r>
        <w:rPr>
          <w:rFonts w:hint="eastAsia" w:ascii="宋体" w:hAnsi="宋体" w:eastAsia="宋体" w:cs="宋体"/>
          <w:szCs w:val="21"/>
        </w:rPr>
        <w:t xml:space="preserve">  </w:t>
      </w:r>
    </w:p>
    <w:p w14:paraId="276EE6E8">
      <w:pPr>
        <w:spacing w:line="288" w:lineRule="auto"/>
        <w:ind w:firstLine="420" w:firstLineChars="20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2 \* GB2 </w:instrText>
      </w:r>
      <w:r>
        <w:rPr>
          <w:rFonts w:hint="eastAsia" w:ascii="宋体" w:hAnsi="宋体" w:eastAsia="宋体" w:cs="宋体"/>
          <w:szCs w:val="21"/>
        </w:rPr>
        <w:fldChar w:fldCharType="separate"/>
      </w:r>
      <w:r>
        <w:rPr>
          <w:rFonts w:hint="eastAsia" w:ascii="宋体" w:hAnsi="宋体" w:eastAsia="宋体" w:cs="宋体"/>
          <w:szCs w:val="21"/>
        </w:rPr>
        <w:t>⑵</w:t>
      </w:r>
      <w:r>
        <w:rPr>
          <w:rFonts w:hint="eastAsia" w:ascii="宋体" w:hAnsi="宋体" w:eastAsia="宋体" w:cs="宋体"/>
          <w:szCs w:val="21"/>
        </w:rPr>
        <w:fldChar w:fldCharType="end"/>
      </w:r>
      <w:r>
        <w:rPr>
          <w:rFonts w:hint="eastAsia" w:ascii="宋体" w:hAnsi="宋体" w:eastAsia="宋体" w:cs="宋体"/>
          <w:szCs w:val="21"/>
        </w:rPr>
        <w:t>驻点服务期间，工程师工作时间应与学校工作时间一致，非工作时间出现故障须进行解决，寒暑假期间须按照学校要求进行值班，节假日及双休日期间出现故障优先远程处理，若远程无法处理，须在故障发生后1小时内赶到现场进行解决，工作时间不得做与学校系统运维工作无关的工作。</w:t>
      </w:r>
    </w:p>
    <w:p w14:paraId="7B2FB15C">
      <w:pPr>
        <w:spacing w:line="288" w:lineRule="auto"/>
        <w:ind w:firstLine="420" w:firstLineChars="20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3 \* GB2 </w:instrText>
      </w:r>
      <w:r>
        <w:rPr>
          <w:rFonts w:hint="eastAsia" w:ascii="宋体" w:hAnsi="宋体" w:eastAsia="宋体" w:cs="宋体"/>
          <w:szCs w:val="21"/>
        </w:rPr>
        <w:fldChar w:fldCharType="separate"/>
      </w:r>
      <w:r>
        <w:rPr>
          <w:rFonts w:hint="eastAsia" w:ascii="宋体" w:hAnsi="宋体" w:eastAsia="宋体" w:cs="宋体"/>
          <w:szCs w:val="21"/>
        </w:rPr>
        <w:t>⑶</w:t>
      </w:r>
      <w:r>
        <w:rPr>
          <w:rFonts w:hint="eastAsia" w:ascii="宋体" w:hAnsi="宋体" w:eastAsia="宋体" w:cs="宋体"/>
          <w:szCs w:val="21"/>
        </w:rPr>
        <w:fldChar w:fldCharType="end"/>
      </w:r>
      <w:r>
        <w:rPr>
          <w:rFonts w:hint="eastAsia" w:ascii="宋体" w:hAnsi="宋体" w:eastAsia="宋体" w:cs="宋体"/>
          <w:szCs w:val="21"/>
        </w:rPr>
        <w:t>工程师信息需在学校进行备案，服务期间，未经学校同意不得随意更换人员。</w:t>
      </w:r>
    </w:p>
    <w:p w14:paraId="04674988">
      <w:pPr>
        <w:spacing w:line="288" w:lineRule="auto"/>
        <w:ind w:firstLine="420" w:firstLineChars="20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4 \* GB2 </w:instrText>
      </w:r>
      <w:r>
        <w:rPr>
          <w:rFonts w:hint="eastAsia" w:ascii="宋体" w:hAnsi="宋体" w:eastAsia="宋体" w:cs="宋体"/>
          <w:szCs w:val="21"/>
        </w:rPr>
        <w:fldChar w:fldCharType="separate"/>
      </w:r>
      <w:r>
        <w:rPr>
          <w:rFonts w:hint="eastAsia" w:ascii="宋体" w:hAnsi="宋体" w:eastAsia="宋体" w:cs="宋体"/>
          <w:szCs w:val="21"/>
        </w:rPr>
        <w:t>⑷</w:t>
      </w:r>
      <w:r>
        <w:rPr>
          <w:rFonts w:hint="eastAsia" w:ascii="宋体" w:hAnsi="宋体" w:eastAsia="宋体" w:cs="宋体"/>
          <w:szCs w:val="21"/>
        </w:rPr>
        <w:fldChar w:fldCharType="end"/>
      </w:r>
      <w:r>
        <w:rPr>
          <w:rFonts w:hint="eastAsia" w:ascii="宋体" w:hAnsi="宋体" w:eastAsia="宋体" w:cs="宋体"/>
          <w:szCs w:val="21"/>
        </w:rPr>
        <w:t>为保证服务具备可持续性，驻点工程师应设立AB岗，工程师因病因事短期请假，需提前一天向学校申请，学校同意后可临时更换人员，更换人员要求熟悉学校环境、与原驻点工程师技术相当（具有网络工程师或网络规划设计师</w:t>
      </w:r>
      <w:r>
        <w:rPr>
          <w:rFonts w:hint="eastAsia" w:ascii="Times New Roman" w:hAnsi="Times New Roman" w:eastAsia="宋体" w:cs="Times New Roman"/>
        </w:rPr>
        <w:t>证书</w:t>
      </w:r>
      <w:r>
        <w:rPr>
          <w:rFonts w:hint="eastAsia" w:ascii="宋体" w:hAnsi="宋体" w:eastAsia="宋体" w:cs="宋体"/>
          <w:szCs w:val="21"/>
        </w:rPr>
        <w:t>（</w:t>
      </w:r>
      <w:r>
        <w:rPr>
          <w:rFonts w:hint="eastAsia" w:ascii="Times New Roman" w:hAnsi="Times New Roman" w:eastAsia="宋体" w:cs="Times New Roman"/>
        </w:rPr>
        <w:t>计算机技术与软件专业技术资格证书</w:t>
      </w:r>
      <w:r>
        <w:rPr>
          <w:rFonts w:hint="eastAsia" w:ascii="宋体" w:hAnsi="宋体" w:eastAsia="宋体" w:cs="宋体"/>
          <w:szCs w:val="21"/>
        </w:rPr>
        <w:t>））。</w:t>
      </w:r>
    </w:p>
    <w:p w14:paraId="1E1C6B51">
      <w:pPr>
        <w:spacing w:line="288" w:lineRule="auto"/>
        <w:ind w:firstLine="420" w:firstLineChars="20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5 \* GB2 </w:instrText>
      </w:r>
      <w:r>
        <w:rPr>
          <w:rFonts w:hint="eastAsia" w:ascii="宋体" w:hAnsi="宋体" w:eastAsia="宋体" w:cs="宋体"/>
          <w:szCs w:val="21"/>
        </w:rPr>
        <w:fldChar w:fldCharType="separate"/>
      </w:r>
      <w:r>
        <w:rPr>
          <w:rFonts w:hint="eastAsia" w:ascii="宋体" w:hAnsi="宋体" w:eastAsia="宋体" w:cs="宋体"/>
          <w:szCs w:val="21"/>
        </w:rPr>
        <w:t>⑸</w:t>
      </w:r>
      <w:r>
        <w:rPr>
          <w:rFonts w:hint="eastAsia" w:ascii="宋体" w:hAnsi="宋体" w:eastAsia="宋体" w:cs="宋体"/>
          <w:szCs w:val="21"/>
        </w:rPr>
        <w:fldChar w:fldCharType="end"/>
      </w:r>
      <w:r>
        <w:rPr>
          <w:rFonts w:hint="eastAsia" w:ascii="宋体" w:hAnsi="宋体" w:eastAsia="宋体" w:cs="宋体"/>
          <w:szCs w:val="21"/>
        </w:rPr>
        <w:t>工程师若遇无法解决的故障问题，其所在公司需无条件提供其他技术骨干现场协同解决，直至问题解决。</w:t>
      </w:r>
    </w:p>
    <w:p w14:paraId="41BA4321">
      <w:pPr>
        <w:spacing w:line="288" w:lineRule="auto"/>
        <w:ind w:firstLine="420" w:firstLineChars="20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6 \* GB2 </w:instrText>
      </w:r>
      <w:r>
        <w:rPr>
          <w:rFonts w:hint="eastAsia" w:ascii="宋体" w:hAnsi="宋体" w:eastAsia="宋体" w:cs="宋体"/>
          <w:szCs w:val="21"/>
        </w:rPr>
        <w:fldChar w:fldCharType="separate"/>
      </w:r>
      <w:r>
        <w:rPr>
          <w:rFonts w:hint="eastAsia" w:ascii="宋体" w:hAnsi="宋体" w:eastAsia="宋体" w:cs="宋体"/>
          <w:szCs w:val="21"/>
        </w:rPr>
        <w:t>⑹</w:t>
      </w:r>
      <w:r>
        <w:rPr>
          <w:rFonts w:hint="eastAsia" w:ascii="宋体" w:hAnsi="宋体" w:eastAsia="宋体" w:cs="宋体"/>
          <w:szCs w:val="21"/>
        </w:rPr>
        <w:fldChar w:fldCharType="end"/>
      </w:r>
      <w:r>
        <w:rPr>
          <w:rFonts w:hint="eastAsia" w:ascii="宋体" w:hAnsi="宋体" w:eastAsia="宋体" w:cs="宋体"/>
          <w:szCs w:val="21"/>
        </w:rPr>
        <w:t>在其他学校业务高峰期（如开学、重要活动等）根据学校需要额外再增加1至2名技术相当的服务工程师。</w:t>
      </w:r>
    </w:p>
    <w:p w14:paraId="5F05B509">
      <w:pPr>
        <w:spacing w:line="288" w:lineRule="auto"/>
        <w:ind w:firstLine="420" w:firstLineChars="20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7 \* GB2 </w:instrText>
      </w:r>
      <w:r>
        <w:rPr>
          <w:rFonts w:hint="eastAsia" w:ascii="宋体" w:hAnsi="宋体" w:eastAsia="宋体" w:cs="宋体"/>
          <w:szCs w:val="21"/>
        </w:rPr>
        <w:fldChar w:fldCharType="separate"/>
      </w:r>
      <w:r>
        <w:rPr>
          <w:rFonts w:hint="eastAsia" w:ascii="宋体" w:hAnsi="宋体" w:eastAsia="宋体" w:cs="宋体"/>
          <w:szCs w:val="21"/>
        </w:rPr>
        <w:t>⑺</w:t>
      </w:r>
      <w:r>
        <w:rPr>
          <w:rFonts w:hint="eastAsia" w:ascii="宋体" w:hAnsi="宋体" w:eastAsia="宋体" w:cs="宋体"/>
          <w:szCs w:val="21"/>
        </w:rPr>
        <w:fldChar w:fldCharType="end"/>
      </w:r>
      <w:r>
        <w:rPr>
          <w:rFonts w:hint="eastAsia" w:ascii="宋体" w:hAnsi="宋体" w:eastAsia="宋体" w:cs="宋体"/>
          <w:szCs w:val="21"/>
        </w:rPr>
        <w:t>根据要求</w:t>
      </w:r>
      <w:r>
        <w:rPr>
          <w:rFonts w:hint="eastAsia" w:ascii="宋体" w:hAnsi="宋体" w:eastAsia="宋体" w:cs="宋体"/>
          <w:szCs w:val="21"/>
        </w:rPr>
        <w:fldChar w:fldCharType="begin"/>
      </w:r>
      <w:r>
        <w:rPr>
          <w:rFonts w:hint="eastAsia" w:ascii="宋体" w:hAnsi="宋体" w:eastAsia="宋体" w:cs="宋体"/>
          <w:szCs w:val="21"/>
        </w:rPr>
        <w:instrText xml:space="preserve"> = 5 \* GB2 </w:instrText>
      </w:r>
      <w:r>
        <w:rPr>
          <w:rFonts w:hint="eastAsia" w:ascii="宋体" w:hAnsi="宋体" w:eastAsia="宋体" w:cs="宋体"/>
          <w:szCs w:val="21"/>
        </w:rPr>
        <w:fldChar w:fldCharType="separate"/>
      </w:r>
      <w:r>
        <w:rPr>
          <w:rFonts w:hint="eastAsia" w:ascii="宋体" w:hAnsi="宋体" w:eastAsia="宋体" w:cs="宋体"/>
          <w:szCs w:val="21"/>
        </w:rPr>
        <w:t>⑸</w:t>
      </w:r>
      <w:r>
        <w:rPr>
          <w:rFonts w:hint="eastAsia" w:ascii="宋体" w:hAnsi="宋体" w:eastAsia="宋体" w:cs="宋体"/>
          <w:szCs w:val="21"/>
        </w:rPr>
        <w:fldChar w:fldCharType="end"/>
      </w:r>
      <w:r>
        <w:rPr>
          <w:rFonts w:hint="eastAsia" w:ascii="宋体" w:hAnsi="宋体" w:eastAsia="宋体" w:cs="宋体"/>
          <w:szCs w:val="21"/>
        </w:rPr>
        <w:t>和</w:t>
      </w:r>
      <w:r>
        <w:rPr>
          <w:rFonts w:hint="eastAsia" w:ascii="宋体" w:hAnsi="宋体" w:eastAsia="宋体" w:cs="宋体"/>
          <w:szCs w:val="21"/>
        </w:rPr>
        <w:fldChar w:fldCharType="begin"/>
      </w:r>
      <w:r>
        <w:rPr>
          <w:rFonts w:hint="eastAsia" w:ascii="宋体" w:hAnsi="宋体" w:eastAsia="宋体" w:cs="宋体"/>
          <w:szCs w:val="21"/>
        </w:rPr>
        <w:instrText xml:space="preserve"> = 6 \* GB2 </w:instrText>
      </w:r>
      <w:r>
        <w:rPr>
          <w:rFonts w:hint="eastAsia" w:ascii="宋体" w:hAnsi="宋体" w:eastAsia="宋体" w:cs="宋体"/>
          <w:szCs w:val="21"/>
        </w:rPr>
        <w:fldChar w:fldCharType="separate"/>
      </w:r>
      <w:r>
        <w:rPr>
          <w:rFonts w:hint="eastAsia" w:ascii="宋体" w:hAnsi="宋体" w:eastAsia="宋体" w:cs="宋体"/>
          <w:szCs w:val="21"/>
        </w:rPr>
        <w:t>⑹</w:t>
      </w:r>
      <w:r>
        <w:rPr>
          <w:rFonts w:hint="eastAsia" w:ascii="宋体" w:hAnsi="宋体" w:eastAsia="宋体" w:cs="宋体"/>
          <w:szCs w:val="21"/>
        </w:rPr>
        <w:fldChar w:fldCharType="end"/>
      </w:r>
      <w:r>
        <w:rPr>
          <w:rFonts w:hint="eastAsia" w:ascii="宋体" w:hAnsi="宋体" w:eastAsia="宋体" w:cs="宋体"/>
          <w:szCs w:val="21"/>
        </w:rPr>
        <w:t>，公司需具有其他网络方面的工程师不少于1人，具有网络工程师或网络规划设计师</w:t>
      </w:r>
      <w:r>
        <w:rPr>
          <w:rFonts w:hint="eastAsia" w:ascii="Times New Roman" w:hAnsi="Times New Roman" w:eastAsia="宋体" w:cs="Times New Roman"/>
        </w:rPr>
        <w:t>证书</w:t>
      </w:r>
      <w:r>
        <w:rPr>
          <w:rFonts w:hint="eastAsia" w:ascii="宋体" w:hAnsi="宋体" w:eastAsia="宋体" w:cs="宋体"/>
          <w:szCs w:val="21"/>
        </w:rPr>
        <w:t>（</w:t>
      </w:r>
      <w:r>
        <w:rPr>
          <w:rFonts w:hint="eastAsia" w:ascii="Times New Roman" w:hAnsi="Times New Roman" w:eastAsia="宋体" w:cs="Times New Roman"/>
        </w:rPr>
        <w:t>计算机技术与软件专业技术资格证书</w:t>
      </w:r>
      <w:r>
        <w:rPr>
          <w:rFonts w:hint="eastAsia" w:ascii="宋体" w:hAnsi="宋体" w:eastAsia="宋体" w:cs="宋体"/>
          <w:szCs w:val="21"/>
        </w:rPr>
        <w:t>），并拥有3年以上系统集成或运维工作经验。</w:t>
      </w:r>
    </w:p>
    <w:p w14:paraId="065D3E03">
      <w:pPr>
        <w:pStyle w:val="10"/>
        <w:spacing w:after="0" w:line="288" w:lineRule="auto"/>
        <w:ind w:firstLine="480"/>
        <w:rPr>
          <w:rFonts w:hint="eastAsia" w:ascii="宋体" w:hAnsi="宋体" w:cs="宋体"/>
          <w:sz w:val="21"/>
          <w:szCs w:val="21"/>
        </w:rPr>
      </w:pPr>
      <w:r>
        <w:rPr>
          <w:rFonts w:hint="eastAsia" w:ascii="宋体" w:hAnsi="宋体" w:cs="宋体"/>
          <w:color w:val="000000" w:themeColor="text1"/>
          <w:sz w:val="21"/>
          <w:szCs w:val="21"/>
          <w14:textFill>
            <w14:solidFill>
              <w14:schemeClr w14:val="tx1"/>
            </w14:solidFill>
          </w14:textFill>
        </w:rPr>
        <w:fldChar w:fldCharType="begin"/>
      </w:r>
      <w:r>
        <w:rPr>
          <w:rFonts w:hint="eastAsia" w:ascii="宋体" w:hAnsi="宋体" w:cs="宋体"/>
          <w:color w:val="000000" w:themeColor="text1"/>
          <w:sz w:val="21"/>
          <w:szCs w:val="21"/>
          <w14:textFill>
            <w14:solidFill>
              <w14:schemeClr w14:val="tx1"/>
            </w14:solidFill>
          </w14:textFill>
        </w:rPr>
        <w:instrText xml:space="preserve"> = 8 \* GB2 </w:instrText>
      </w:r>
      <w:r>
        <w:rPr>
          <w:rFonts w:hint="eastAsia" w:ascii="宋体" w:hAnsi="宋体" w:cs="宋体"/>
          <w:color w:val="000000" w:themeColor="text1"/>
          <w:sz w:val="21"/>
          <w:szCs w:val="21"/>
          <w14:textFill>
            <w14:solidFill>
              <w14:schemeClr w14:val="tx1"/>
            </w14:solidFill>
          </w14:textFill>
        </w:rPr>
        <w:fldChar w:fldCharType="separate"/>
      </w:r>
      <w:r>
        <w:rPr>
          <w:rFonts w:hint="eastAsia" w:ascii="宋体" w:hAnsi="宋体" w:cs="宋体"/>
          <w:color w:val="000000" w:themeColor="text1"/>
          <w:sz w:val="21"/>
          <w:szCs w:val="21"/>
          <w14:textFill>
            <w14:solidFill>
              <w14:schemeClr w14:val="tx1"/>
            </w14:solidFill>
          </w14:textFill>
        </w:rPr>
        <w:t>⑻</w:t>
      </w:r>
      <w:r>
        <w:rPr>
          <w:rFonts w:hint="eastAsia" w:ascii="宋体" w:hAnsi="宋体" w:cs="宋体"/>
          <w:color w:val="000000" w:themeColor="text1"/>
          <w:sz w:val="21"/>
          <w:szCs w:val="21"/>
          <w14:textFill>
            <w14:solidFill>
              <w14:schemeClr w14:val="tx1"/>
            </w14:solidFill>
          </w14:textFill>
        </w:rPr>
        <w:fldChar w:fldCharType="end"/>
      </w:r>
      <w:r>
        <w:rPr>
          <w:rFonts w:hint="eastAsia" w:ascii="宋体" w:hAnsi="宋体" w:cs="宋体"/>
          <w:color w:val="000000" w:themeColor="text1"/>
          <w:sz w:val="21"/>
          <w:szCs w:val="21"/>
          <w14:textFill>
            <w14:solidFill>
              <w14:schemeClr w14:val="tx1"/>
            </w14:solidFill>
          </w14:textFill>
        </w:rPr>
        <w:t>服</w:t>
      </w:r>
      <w:r>
        <w:rPr>
          <w:rFonts w:hint="eastAsia" w:ascii="宋体" w:hAnsi="宋体" w:cs="宋体"/>
          <w:sz w:val="21"/>
          <w:szCs w:val="21"/>
        </w:rPr>
        <w:t>务期间，所产生的人力、交通、食宿、材料等相关资源，费用包含在本次报价中，采购人不另外支付。</w:t>
      </w:r>
    </w:p>
    <w:p w14:paraId="7FB143B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pPr>
      <w:r>
        <w:rPr>
          <w:rFonts w:hint="eastAsia" w:ascii="Times New Roman" w:hAnsi="Times New Roman" w:eastAsia="宋体" w:cs="Times New Roman"/>
        </w:rPr>
        <w:t>服务团队</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不含驻点工程师</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人员要求</w:t>
      </w:r>
      <w:r>
        <w:rPr>
          <w:rFonts w:hint="eastAsia" w:ascii="Times New Roman" w:hAnsi="Times New Roman" w:eastAsia="宋体" w:cs="Times New Roman"/>
          <w:lang w:eastAsia="zh-CN"/>
        </w:rPr>
        <w:t>：</w:t>
      </w:r>
      <w:r>
        <w:rPr>
          <w:rFonts w:hint="eastAsia" w:ascii="Times New Roman" w:hAnsi="Times New Roman" w:eastAsia="宋体" w:cs="Times New Roman"/>
        </w:rPr>
        <w:t>具备</w:t>
      </w:r>
      <w:r>
        <w:rPr>
          <w:rFonts w:ascii="Times New Roman" w:hAnsi="Times New Roman" w:eastAsia="宋体" w:cs="Times New Roman"/>
        </w:rPr>
        <w:t>3年及以上运维服务工作经历，</w:t>
      </w:r>
      <w:r>
        <w:rPr>
          <w:rFonts w:hint="eastAsia" w:ascii="Times New Roman" w:hAnsi="Times New Roman" w:eastAsia="宋体" w:cs="Times New Roman"/>
        </w:rPr>
        <w:t>并</w:t>
      </w:r>
      <w:r>
        <w:rPr>
          <w:rFonts w:ascii="Times New Roman" w:hAnsi="Times New Roman" w:eastAsia="宋体" w:cs="Times New Roman"/>
        </w:rPr>
        <w:t>具</w:t>
      </w:r>
      <w:r>
        <w:rPr>
          <w:rFonts w:hint="eastAsia" w:ascii="Times New Roman" w:hAnsi="Times New Roman" w:eastAsia="宋体" w:cs="Times New Roman"/>
        </w:rPr>
        <w:t>有</w:t>
      </w:r>
      <w:r>
        <w:rPr>
          <w:rFonts w:ascii="Times New Roman" w:hAnsi="Times New Roman" w:eastAsia="宋体" w:cs="Times New Roman"/>
        </w:rPr>
        <w:t>网络工程师</w:t>
      </w:r>
      <w:r>
        <w:rPr>
          <w:rFonts w:hint="eastAsia" w:ascii="Times New Roman" w:hAnsi="Times New Roman" w:eastAsia="宋体" w:cs="Times New Roman"/>
          <w:lang w:val="en-US" w:eastAsia="zh-CN"/>
        </w:rPr>
        <w:t>或</w:t>
      </w:r>
      <w:r>
        <w:rPr>
          <w:rFonts w:ascii="Times New Roman" w:hAnsi="Times New Roman" w:eastAsia="宋体" w:cs="Times New Roman"/>
        </w:rPr>
        <w:t>信息安全工程师</w:t>
      </w:r>
      <w:r>
        <w:rPr>
          <w:rFonts w:hint="eastAsia" w:ascii="Times New Roman" w:hAnsi="Times New Roman" w:eastAsia="宋体" w:cs="Times New Roman"/>
          <w:lang w:val="en-US" w:eastAsia="zh-CN"/>
        </w:rPr>
        <w:t>或</w:t>
      </w:r>
      <w:r>
        <w:rPr>
          <w:rFonts w:ascii="Times New Roman" w:hAnsi="Times New Roman" w:eastAsia="宋体" w:cs="Times New Roman"/>
        </w:rPr>
        <w:t>系统集成项目管理</w:t>
      </w:r>
      <w:r>
        <w:rPr>
          <w:rFonts w:hint="eastAsia" w:ascii="Times New Roman" w:hAnsi="Times New Roman" w:eastAsia="宋体" w:cs="Times New Roman"/>
          <w:lang w:val="en-US" w:eastAsia="zh-CN"/>
        </w:rPr>
        <w:t>工程</w:t>
      </w:r>
      <w:r>
        <w:rPr>
          <w:rFonts w:ascii="Times New Roman" w:hAnsi="Times New Roman" w:eastAsia="宋体" w:cs="Times New Roman"/>
        </w:rPr>
        <w:t>师</w:t>
      </w:r>
      <w:r>
        <w:rPr>
          <w:rFonts w:hint="eastAsia" w:ascii="Times New Roman" w:hAnsi="Times New Roman" w:eastAsia="宋体" w:cs="Times New Roman"/>
          <w:lang w:val="en-US" w:eastAsia="zh-CN"/>
        </w:rPr>
        <w:t>或</w:t>
      </w:r>
      <w:r>
        <w:rPr>
          <w:rFonts w:ascii="Times New Roman" w:hAnsi="Times New Roman" w:eastAsia="宋体" w:cs="Times New Roman"/>
        </w:rPr>
        <w:t>系统分析师</w:t>
      </w:r>
      <w:r>
        <w:rPr>
          <w:rFonts w:hint="eastAsia" w:ascii="Times New Roman" w:hAnsi="Times New Roman" w:eastAsia="宋体" w:cs="Times New Roman"/>
          <w:lang w:val="en-US" w:eastAsia="zh-CN"/>
        </w:rPr>
        <w:t>或</w:t>
      </w:r>
      <w:r>
        <w:rPr>
          <w:rFonts w:ascii="Times New Roman" w:hAnsi="Times New Roman" w:eastAsia="宋体" w:cs="Times New Roman"/>
        </w:rPr>
        <w:t>系统架构设计师</w:t>
      </w:r>
      <w:r>
        <w:rPr>
          <w:rFonts w:hint="eastAsia" w:ascii="Times New Roman" w:hAnsi="Times New Roman" w:eastAsia="宋体" w:cs="Times New Roman"/>
          <w:lang w:val="en-US" w:eastAsia="zh-CN"/>
        </w:rPr>
        <w:t>或</w:t>
      </w:r>
      <w:r>
        <w:rPr>
          <w:rFonts w:ascii="Times New Roman" w:hAnsi="Times New Roman" w:eastAsia="宋体" w:cs="Times New Roman"/>
        </w:rPr>
        <w:t>网络规划设计师</w:t>
      </w:r>
      <w:r>
        <w:rPr>
          <w:rFonts w:hint="eastAsia" w:ascii="Times New Roman" w:hAnsi="Times New Roman" w:eastAsia="宋体" w:cs="Times New Roman"/>
          <w:lang w:val="en-US" w:eastAsia="zh-CN"/>
        </w:rPr>
        <w:t>或</w:t>
      </w:r>
      <w:r>
        <w:rPr>
          <w:rFonts w:ascii="Times New Roman" w:hAnsi="Times New Roman" w:eastAsia="宋体" w:cs="Times New Roman"/>
        </w:rPr>
        <w:t>系统规划与管理师（计算机技术与软件专业技术资格）证书。</w:t>
      </w:r>
    </w:p>
    <w:p w14:paraId="6689CA5C">
      <w:pPr>
        <w:spacing w:line="288" w:lineRule="auto"/>
        <w:rPr>
          <w:rFonts w:ascii="宋体" w:hAnsi="宋体" w:eastAsia="宋体" w:cs="宋体"/>
          <w:szCs w:val="21"/>
        </w:rPr>
      </w:pPr>
      <w:r>
        <w:rPr>
          <w:rFonts w:hint="eastAsia" w:ascii="宋体" w:hAnsi="宋体" w:eastAsia="宋体" w:cs="宋体"/>
          <w:szCs w:val="21"/>
        </w:rPr>
        <w:t>3.2 提供不少于1名服务经理：</w:t>
      </w:r>
    </w:p>
    <w:p w14:paraId="769083DE">
      <w:pPr>
        <w:spacing w:line="288" w:lineRule="auto"/>
        <w:ind w:firstLine="420" w:firstLineChars="20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1 \* GB2 </w:instrText>
      </w:r>
      <w:r>
        <w:rPr>
          <w:rFonts w:hint="eastAsia" w:ascii="宋体" w:hAnsi="宋体" w:eastAsia="宋体" w:cs="宋体"/>
          <w:szCs w:val="21"/>
        </w:rPr>
        <w:fldChar w:fldCharType="separate"/>
      </w:r>
      <w:r>
        <w:rPr>
          <w:rFonts w:hint="eastAsia" w:ascii="宋体" w:hAnsi="宋体" w:eastAsia="宋体" w:cs="宋体"/>
          <w:szCs w:val="21"/>
        </w:rPr>
        <w:t>⑴</w:t>
      </w:r>
      <w:r>
        <w:rPr>
          <w:rFonts w:hint="eastAsia" w:ascii="宋体" w:hAnsi="宋体" w:eastAsia="宋体" w:cs="宋体"/>
          <w:szCs w:val="21"/>
        </w:rPr>
        <w:fldChar w:fldCharType="end"/>
      </w:r>
      <w:r>
        <w:rPr>
          <w:rFonts w:hint="eastAsia" w:ascii="宋体" w:hAnsi="宋体" w:eastAsia="宋体" w:cs="宋体"/>
          <w:szCs w:val="21"/>
        </w:rPr>
        <w:t>每个月对浙江工商大学的整体运维服务进行分析评估，对运维中存在的不足进行服务的提升，及时了解用户的运维需求，并修改运维服务的内容，保障运维服务的高可靠性和高质量性。</w:t>
      </w:r>
    </w:p>
    <w:p w14:paraId="44A3BD81">
      <w:pPr>
        <w:spacing w:line="288" w:lineRule="auto"/>
        <w:ind w:firstLine="420" w:firstLineChars="20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2 \* GB2 </w:instrText>
      </w:r>
      <w:r>
        <w:rPr>
          <w:rFonts w:hint="eastAsia" w:ascii="宋体" w:hAnsi="宋体" w:eastAsia="宋体" w:cs="宋体"/>
          <w:szCs w:val="21"/>
        </w:rPr>
        <w:fldChar w:fldCharType="separate"/>
      </w:r>
      <w:r>
        <w:rPr>
          <w:rFonts w:hint="eastAsia" w:ascii="宋体" w:hAnsi="宋体" w:eastAsia="宋体" w:cs="宋体"/>
          <w:szCs w:val="21"/>
        </w:rPr>
        <w:t>⑵</w:t>
      </w:r>
      <w:r>
        <w:rPr>
          <w:rFonts w:hint="eastAsia" w:ascii="宋体" w:hAnsi="宋体" w:eastAsia="宋体" w:cs="宋体"/>
          <w:szCs w:val="21"/>
        </w:rPr>
        <w:fldChar w:fldCharType="end"/>
      </w:r>
      <w:r>
        <w:rPr>
          <w:rFonts w:hint="eastAsia" w:ascii="宋体" w:hAnsi="宋体" w:eastAsia="宋体" w:cs="宋体"/>
          <w:szCs w:val="21"/>
        </w:rPr>
        <w:t>每季度出具一份运维故障工单的明细表以及报告，用于分析近期出现问题的原因以及解决方案。</w:t>
      </w:r>
    </w:p>
    <w:p w14:paraId="019D0C83">
      <w:pPr>
        <w:spacing w:line="288" w:lineRule="auto"/>
        <w:ind w:firstLine="420" w:firstLineChars="20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3 \* GB2 </w:instrText>
      </w:r>
      <w:r>
        <w:rPr>
          <w:rFonts w:hint="eastAsia" w:ascii="宋体" w:hAnsi="宋体" w:eastAsia="宋体" w:cs="宋体"/>
          <w:szCs w:val="21"/>
        </w:rPr>
        <w:fldChar w:fldCharType="separate"/>
      </w:r>
      <w:r>
        <w:rPr>
          <w:rFonts w:hint="eastAsia" w:ascii="宋体" w:hAnsi="宋体" w:eastAsia="宋体" w:cs="宋体"/>
          <w:szCs w:val="21"/>
        </w:rPr>
        <w:t>⑶</w:t>
      </w:r>
      <w:r>
        <w:rPr>
          <w:rFonts w:hint="eastAsia" w:ascii="宋体" w:hAnsi="宋体" w:eastAsia="宋体" w:cs="宋体"/>
          <w:szCs w:val="21"/>
        </w:rPr>
        <w:fldChar w:fldCharType="end"/>
      </w:r>
      <w:r>
        <w:rPr>
          <w:rFonts w:hint="eastAsia" w:ascii="宋体" w:hAnsi="宋体" w:eastAsia="宋体" w:cs="宋体"/>
          <w:szCs w:val="21"/>
        </w:rPr>
        <w:t>驻点服务期间，服务经理应每月不少于4天在采购人现场办公，汇报近期服务情况及需配合整改工作。</w:t>
      </w:r>
    </w:p>
    <w:p w14:paraId="6D2023E1">
      <w:pPr>
        <w:spacing w:line="288" w:lineRule="auto"/>
        <w:rPr>
          <w:rFonts w:ascii="宋体" w:hAnsi="宋体" w:eastAsia="宋体" w:cs="宋体"/>
          <w:szCs w:val="21"/>
        </w:rPr>
      </w:pPr>
      <w:r>
        <w:rPr>
          <w:rFonts w:hint="eastAsia" w:ascii="宋体" w:hAnsi="宋体" w:eastAsia="宋体" w:cs="宋体"/>
          <w:szCs w:val="21"/>
        </w:rPr>
        <w:t>4 网络与数据中心运维监控平台</w:t>
      </w:r>
    </w:p>
    <w:p w14:paraId="0110BB9E">
      <w:pPr>
        <w:spacing w:line="288" w:lineRule="auto"/>
        <w:ind w:firstLine="420" w:firstLineChars="200"/>
        <w:rPr>
          <w:rFonts w:ascii="宋体" w:hAnsi="宋体" w:eastAsia="宋体" w:cs="宋体"/>
          <w:szCs w:val="21"/>
        </w:rPr>
      </w:pPr>
      <w:r>
        <w:rPr>
          <w:rFonts w:hint="eastAsia" w:ascii="宋体" w:hAnsi="宋体" w:eastAsia="宋体" w:cs="宋体"/>
          <w:szCs w:val="21"/>
        </w:rPr>
        <w:t>服务期间提供运维监控平台及技术服务，运维监控平台须满足以下要求：实现对学校网络设备硬件状态、端口状态、端口流量、端口错误包，以及动态路由状态（ospf等）和异常事件/状态的监控及告警（须支持主流厂家设备，华三、华为、锐捷、迪普等）；实现对学校网络设备自动备份；实现对学校私有云平台的监控及告警，并且支持自定义告警项；实现对服务器主机的监控及告警；实现对业务系统、API接口的监控及告警；支持对数据库的监控及告警。服务期内需根据学校要求，完成对学校交换机、无线设备、网络安全设备、服务器、存储、物联网边缘计算等设备的资产盘点和系统录入；支持对终端设备的主动探测，实现对设备在线情况的监控；支持对内网、公网的网站访问质量的持续监测；支持监控可视化呈现；运维监控平台应支持故障分级告警，并且支持多种告警方式，服务期内须根据用户要求实现邮件告警、企业微信告警、短信告警、电话告警等。通过运维监控平台提升运维质量，及时发现并解决问题，同时实现运维过程的可回溯。</w:t>
      </w:r>
    </w:p>
    <w:p w14:paraId="226B7E49">
      <w:pPr>
        <w:spacing w:line="288" w:lineRule="auto"/>
        <w:rPr>
          <w:rFonts w:ascii="宋体" w:hAnsi="宋体" w:eastAsia="宋体" w:cs="宋体"/>
          <w:szCs w:val="21"/>
        </w:rPr>
      </w:pPr>
      <w:r>
        <w:rPr>
          <w:rFonts w:hint="eastAsia" w:ascii="宋体" w:hAnsi="宋体" w:eastAsia="宋体" w:cs="宋体"/>
          <w:szCs w:val="21"/>
        </w:rPr>
        <w:t>5服务考核与验收</w:t>
      </w:r>
    </w:p>
    <w:p w14:paraId="3940C463">
      <w:pPr>
        <w:spacing w:line="288" w:lineRule="auto"/>
        <w:ind w:firstLine="420" w:firstLineChars="200"/>
        <w:rPr>
          <w:rFonts w:ascii="宋体" w:hAnsi="宋体" w:eastAsia="宋体" w:cs="宋体"/>
          <w:szCs w:val="21"/>
        </w:rPr>
      </w:pPr>
      <w:r>
        <w:rPr>
          <w:rFonts w:hint="eastAsia" w:ascii="宋体" w:hAnsi="宋体" w:eastAsia="宋体" w:cs="宋体"/>
          <w:szCs w:val="21"/>
        </w:rPr>
        <w:t>采购方按照运维服务的相关标准，每一年对运维服务的服务质量进行考核，供应商需提供年度运维服务报告和运维清单。服务考评合格并且运维问题解决率达到90%以上视为服务达标。如服务考评不合格或运维问题解决率达到90%以下，或一年内如有因供应商工作失职而造成的重大责任事故和用户投诉的重要事件5次以上，经采购方查证后，采购方有权解除合同，并不承担任何赔偿责任。</w:t>
      </w:r>
    </w:p>
    <w:p w14:paraId="2D3D3879">
      <w:pPr>
        <w:adjustRightInd w:val="0"/>
        <w:snapToGrid w:val="0"/>
        <w:spacing w:line="288" w:lineRule="auto"/>
        <w:rPr>
          <w:rFonts w:ascii="宋体" w:hAnsi="宋体" w:eastAsia="宋体" w:cs="Times New Roman"/>
          <w:b/>
          <w:bCs/>
          <w:szCs w:val="21"/>
        </w:rPr>
      </w:pPr>
      <w:r>
        <w:rPr>
          <w:rFonts w:hint="eastAsia" w:ascii="宋体" w:hAnsi="宋体" w:eastAsia="宋体" w:cs="Times New Roman"/>
          <w:b/>
          <w:bCs/>
          <w:szCs w:val="21"/>
        </w:rPr>
        <w:t>注：现场勘察：供应商可自行前往。联系人：汤老师，联系电话：28877699</w:t>
      </w:r>
    </w:p>
    <w:p w14:paraId="785E7DB1">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14:paraId="6D647A3D">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0ED5EFAD">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7B4B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24AEE6D">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0BD3F26A">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3E71CCD0">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05F0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63A14E2">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70C50170">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480D284F">
            <w:pPr>
              <w:adjustRightInd w:val="0"/>
              <w:snapToGrid w:val="0"/>
              <w:spacing w:line="288" w:lineRule="auto"/>
              <w:rPr>
                <w:rFonts w:ascii="宋体" w:hAnsi="宋体" w:eastAsia="宋体"/>
                <w:szCs w:val="21"/>
              </w:rPr>
            </w:pPr>
            <w:r>
              <w:rPr>
                <w:rFonts w:hint="eastAsia" w:ascii="宋体" w:hAnsi="宋体" w:eastAsia="宋体"/>
                <w:szCs w:val="21"/>
              </w:rPr>
              <w:t>本招标文件适用于浙江工商大学2025-2027年无线网络及数据中心运维服务的招标、评标、定标、验收、合同履约、付款等（法律、法规另有规定的，从其规定）。</w:t>
            </w:r>
          </w:p>
        </w:tc>
      </w:tr>
      <w:tr w14:paraId="55EF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6962548">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3A6251B7">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35F59123">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40C6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F4DDB07">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74708D97">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56D11671">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60957E48">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（格式详见招标文件第六章）和授权代表社保缴纳证明（2025年1月（含）</w:t>
            </w:r>
            <w:r>
              <w:rPr>
                <w:rFonts w:ascii="宋体" w:hAnsi="宋体" w:eastAsia="宋体"/>
                <w:szCs w:val="21"/>
              </w:rPr>
              <w:t>以后任意一月）</w:t>
            </w:r>
            <w:r>
              <w:rPr>
                <w:rFonts w:hint="eastAsia" w:ascii="宋体" w:hAnsi="宋体" w:eastAsia="宋体"/>
                <w:szCs w:val="21"/>
              </w:rPr>
              <w:t>；</w:t>
            </w:r>
          </w:p>
          <w:p w14:paraId="16C576C6">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712F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ED8A7B6">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6C7BE144">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310E860E">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18A5E273">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1117FCB3">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A533F9B">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72AED5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932D977">
                  <w:pPr>
                    <w:adjustRightInd w:val="0"/>
                    <w:snapToGrid w:val="0"/>
                    <w:spacing w:line="288" w:lineRule="auto"/>
                    <w:jc w:val="center"/>
                    <w:rPr>
                      <w:rFonts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14:paraId="28B06078">
                  <w:pPr>
                    <w:adjustRightInd w:val="0"/>
                    <w:snapToGrid w:val="0"/>
                    <w:spacing w:line="288" w:lineRule="auto"/>
                    <w:jc w:val="center"/>
                    <w:rPr>
                      <w:rFonts w:ascii="宋体" w:hAnsi="宋体" w:eastAsia="宋体"/>
                      <w:szCs w:val="21"/>
                    </w:rPr>
                  </w:pPr>
                  <w:r>
                    <w:rPr>
                      <w:rFonts w:hint="eastAsia" w:ascii="宋体" w:hAnsi="宋体" w:eastAsia="宋体"/>
                      <w:szCs w:val="21"/>
                    </w:rPr>
                    <w:t>收费标准（费率，%）</w:t>
                  </w:r>
                </w:p>
              </w:tc>
            </w:tr>
            <w:tr w14:paraId="61C829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DCB263B">
                  <w:pPr>
                    <w:adjustRightInd w:val="0"/>
                    <w:snapToGrid w:val="0"/>
                    <w:spacing w:line="288" w:lineRule="auto"/>
                    <w:jc w:val="center"/>
                    <w:rPr>
                      <w:rFonts w:ascii="宋体" w:hAnsi="宋体" w:eastAsia="宋体"/>
                      <w:szCs w:val="21"/>
                    </w:rPr>
                  </w:pPr>
                  <w:r>
                    <w:rPr>
                      <w:rFonts w:hint="eastAsia" w:ascii="宋体" w:hAnsi="宋体" w:eastAsia="宋体"/>
                      <w:szCs w:val="21"/>
                    </w:rPr>
                    <w:t>100以下</w:t>
                  </w:r>
                </w:p>
              </w:tc>
              <w:tc>
                <w:tcPr>
                  <w:tcW w:w="3070" w:type="dxa"/>
                  <w:tcMar>
                    <w:top w:w="0" w:type="dxa"/>
                    <w:left w:w="108" w:type="dxa"/>
                    <w:bottom w:w="0" w:type="dxa"/>
                    <w:right w:w="108" w:type="dxa"/>
                  </w:tcMar>
                  <w:vAlign w:val="center"/>
                </w:tcPr>
                <w:p w14:paraId="5B911A20">
                  <w:pPr>
                    <w:adjustRightInd w:val="0"/>
                    <w:snapToGrid w:val="0"/>
                    <w:spacing w:line="288" w:lineRule="auto"/>
                    <w:jc w:val="center"/>
                    <w:rPr>
                      <w:rFonts w:ascii="宋体" w:hAnsi="宋体" w:eastAsia="宋体"/>
                      <w:szCs w:val="21"/>
                    </w:rPr>
                  </w:pPr>
                  <w:r>
                    <w:rPr>
                      <w:rFonts w:hint="eastAsia" w:ascii="宋体" w:hAnsi="宋体" w:eastAsia="宋体"/>
                      <w:szCs w:val="21"/>
                    </w:rPr>
                    <w:t>1.05%</w:t>
                  </w:r>
                </w:p>
                <w:p w14:paraId="6942CD6C">
                  <w:pPr>
                    <w:adjustRightInd w:val="0"/>
                    <w:snapToGrid w:val="0"/>
                    <w:spacing w:line="288" w:lineRule="auto"/>
                    <w:jc w:val="center"/>
                    <w:rPr>
                      <w:rFonts w:ascii="宋体" w:hAnsi="宋体" w:eastAsia="宋体"/>
                      <w:szCs w:val="21"/>
                    </w:rPr>
                  </w:pPr>
                  <w:r>
                    <w:rPr>
                      <w:rFonts w:hint="eastAsia" w:ascii="宋体" w:hAnsi="宋体" w:eastAsia="宋体"/>
                      <w:szCs w:val="21"/>
                    </w:rPr>
                    <w:t>（不足2000元按2000元计）</w:t>
                  </w:r>
                </w:p>
              </w:tc>
            </w:tr>
          </w:tbl>
          <w:p w14:paraId="7A9B1685">
            <w:pPr>
              <w:adjustRightInd w:val="0"/>
              <w:snapToGrid w:val="0"/>
              <w:spacing w:line="288" w:lineRule="auto"/>
              <w:rPr>
                <w:rFonts w:ascii="宋体" w:hAnsi="宋体" w:eastAsia="宋体"/>
                <w:szCs w:val="21"/>
              </w:rPr>
            </w:pPr>
          </w:p>
        </w:tc>
      </w:tr>
      <w:tr w14:paraId="679B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E97C921">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66D6744D">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2388CCE7">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4B20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E6ECBB1">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1864DD02">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06DA37BE">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4FB9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8D16CE">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66548FBB">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14:paraId="7EEFD939">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48C4DDDC">
            <w:pPr>
              <w:adjustRightInd w:val="0"/>
              <w:snapToGrid w:val="0"/>
              <w:spacing w:line="288" w:lineRule="auto"/>
              <w:rPr>
                <w:rFonts w:ascii="宋体" w:hAnsi="宋体" w:eastAsia="宋体"/>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允许</w:t>
            </w:r>
            <w:r>
              <w:rPr>
                <w:rFonts w:hint="eastAsia" w:ascii="宋体" w:hAnsi="宋体" w:eastAsia="宋体"/>
                <w:szCs w:val="21"/>
              </w:rPr>
              <w:t>分包，</w:t>
            </w:r>
            <w:r>
              <w:rPr>
                <w:rFonts w:ascii="宋体" w:hAnsi="宋体" w:eastAsia="宋体"/>
                <w:szCs w:val="21"/>
              </w:rPr>
              <w:t>可以分包履行的（非主体、非关键性的工作）具体内容、金额或者比例：服务内容中的1.1网络设备配置。</w:t>
            </w:r>
          </w:p>
          <w:p w14:paraId="6F9343F8">
            <w:pPr>
              <w:adjustRightInd w:val="0"/>
              <w:snapToGrid w:val="0"/>
              <w:spacing w:line="288" w:lineRule="auto"/>
              <w:rPr>
                <w:rFonts w:ascii="宋体" w:hAnsi="宋体" w:eastAsia="宋体"/>
                <w:szCs w:val="21"/>
              </w:rPr>
            </w:pPr>
            <w:r>
              <w:rPr>
                <w:rFonts w:hint="eastAsia" w:ascii="宋体" w:hAnsi="宋体" w:eastAsia="宋体"/>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2A2E8B20">
            <w:pPr>
              <w:adjustRightInd w:val="0"/>
              <w:snapToGrid w:val="0"/>
              <w:spacing w:line="288" w:lineRule="auto"/>
              <w:rPr>
                <w:rFonts w:ascii="宋体" w:hAnsi="宋体" w:eastAsia="宋体" w:cs="Times New Roman"/>
                <w:spacing w:val="-6"/>
                <w:szCs w:val="21"/>
              </w:rPr>
            </w:pPr>
            <w:r>
              <w:rPr>
                <w:rFonts w:hint="eastAsia" w:ascii="宋体" w:hAnsi="宋体" w:eastAsia="宋体"/>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p>
        </w:tc>
      </w:tr>
      <w:tr w14:paraId="15F4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5775CF">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39D43C35">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5F136685">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747196EC">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7B6E7F91">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3FC5A6F3">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4AD0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6F8C63B">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794ABB6E">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000DC4BE">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19006346">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52DF7FB7">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4A32379F">
            <w:pPr>
              <w:adjustRightInd w:val="0"/>
              <w:snapToGrid w:val="0"/>
              <w:spacing w:line="288" w:lineRule="auto"/>
              <w:rPr>
                <w:rFonts w:ascii="宋体" w:hAnsi="宋体" w:eastAsia="宋体"/>
                <w:bCs/>
                <w:szCs w:val="21"/>
              </w:rPr>
            </w:pP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w:t>
            </w:r>
            <w:r>
              <w:rPr>
                <w:rFonts w:ascii="宋体" w:hAnsi="宋体" w:eastAsia="宋体"/>
                <w:bCs/>
                <w:szCs w:val="21"/>
              </w:rPr>
              <w:t>落实政府采购政策需满足的资格要求：</w:t>
            </w:r>
          </w:p>
          <w:p w14:paraId="37C9CB5B">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中小企业声明函（若属于中小企业）</w:t>
            </w:r>
          </w:p>
          <w:p w14:paraId="45AD23E5">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属于监狱企业的证明文件（若属于监狱企业）</w:t>
            </w:r>
          </w:p>
          <w:p w14:paraId="4F1B1279">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残疾人福利性单位声明函（若属于残疾人福利性单位）</w:t>
            </w:r>
          </w:p>
          <w:p w14:paraId="2E57CA87">
            <w:pPr>
              <w:adjustRightInd w:val="0"/>
              <w:snapToGrid w:val="0"/>
              <w:spacing w:line="288" w:lineRule="auto"/>
              <w:rPr>
                <w:rFonts w:ascii="宋体" w:hAnsi="宋体" w:eastAsia="宋体"/>
                <w:bCs/>
                <w:szCs w:val="21"/>
              </w:rPr>
            </w:pPr>
          </w:p>
          <w:p w14:paraId="578B3F57">
            <w:pPr>
              <w:adjustRightInd w:val="0"/>
              <w:snapToGrid w:val="0"/>
              <w:spacing w:line="288" w:lineRule="auto"/>
              <w:rPr>
                <w:rFonts w:ascii="宋体" w:hAnsi="宋体" w:eastAsia="宋体"/>
                <w:bCs/>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本项目的特定资格要求</w:t>
            </w:r>
            <w:r>
              <w:rPr>
                <w:rFonts w:ascii="宋体" w:hAnsi="宋体" w:eastAsia="宋体"/>
                <w:szCs w:val="21"/>
              </w:rPr>
              <w:t>证明材料</w:t>
            </w:r>
            <w:r>
              <w:rPr>
                <w:rFonts w:ascii="宋体" w:hAnsi="宋体" w:eastAsia="宋体"/>
                <w:bCs/>
                <w:szCs w:val="21"/>
              </w:rPr>
              <w:t>：</w:t>
            </w:r>
            <w:r>
              <w:rPr>
                <w:rFonts w:hint="eastAsia" w:ascii="宋体" w:hAnsi="宋体" w:eastAsia="宋体"/>
                <w:bCs/>
                <w:szCs w:val="21"/>
              </w:rPr>
              <w:t>无</w:t>
            </w:r>
          </w:p>
        </w:tc>
      </w:tr>
      <w:tr w14:paraId="2CBD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A42A08">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48B83052">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4DBA1875">
            <w:pPr>
              <w:adjustRightInd w:val="0"/>
              <w:snapToGrid w:val="0"/>
              <w:spacing w:line="288"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0F6489BC">
            <w:pPr>
              <w:adjustRightInd w:val="0"/>
              <w:snapToGrid w:val="0"/>
              <w:spacing w:line="288" w:lineRule="auto"/>
              <w:ind w:firstLine="396" w:firstLineChars="200"/>
              <w:jc w:val="left"/>
              <w:rPr>
                <w:rFonts w:ascii="宋体" w:hAnsi="宋体" w:eastAsia="宋体" w:cs="宋体"/>
                <w:bCs/>
                <w:szCs w:val="21"/>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杭州市西湖区玉古路173号中田大厦21楼H室，浙江求是招标代理有限公司（温瑶）收，电话：0571-87666115，寄出后将（快递单号、项目名称、公司名称、联系方式等相关信息）发至：zb03@qszb.net，以便查收）。</w:t>
            </w:r>
          </w:p>
          <w:p w14:paraId="7BDDCC42">
            <w:pPr>
              <w:adjustRightInd w:val="0"/>
              <w:snapToGrid w:val="0"/>
              <w:spacing w:line="288" w:lineRule="auto"/>
              <w:ind w:firstLine="422" w:firstLineChars="200"/>
              <w:jc w:val="left"/>
              <w:rPr>
                <w:rFonts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14:paraId="226D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6872D9">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27BE63FB">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14:paraId="1AC79119">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14:paraId="555B4261">
            <w:pPr>
              <w:adjustRightInd w:val="0"/>
              <w:snapToGrid w:val="0"/>
              <w:spacing w:line="288" w:lineRule="auto"/>
              <w:rPr>
                <w:rFonts w:ascii="宋体" w:hAnsi="宋体" w:eastAsia="宋体"/>
                <w:szCs w:val="21"/>
              </w:rPr>
            </w:pPr>
            <w:r>
              <w:rPr>
                <w:rFonts w:hint="eastAsia" w:ascii="宋体" w:hAnsi="宋体" w:eastAsia="宋体"/>
                <w:szCs w:val="21"/>
              </w:rPr>
              <w:t>2.以人民币报价；</w:t>
            </w:r>
          </w:p>
          <w:p w14:paraId="6531886A">
            <w:pPr>
              <w:adjustRightInd w:val="0"/>
              <w:snapToGrid w:val="0"/>
              <w:spacing w:line="288" w:lineRule="auto"/>
              <w:rPr>
                <w:rFonts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14:paraId="589A87D5">
            <w:pPr>
              <w:adjustRightInd w:val="0"/>
              <w:snapToGrid w:val="0"/>
              <w:spacing w:line="288" w:lineRule="auto"/>
              <w:rPr>
                <w:rFonts w:ascii="宋体" w:hAnsi="宋体" w:eastAsia="宋体"/>
                <w:szCs w:val="21"/>
              </w:rPr>
            </w:pPr>
            <w:r>
              <w:rPr>
                <w:rFonts w:hint="eastAsia" w:ascii="宋体" w:hAnsi="宋体" w:eastAsia="宋体"/>
                <w:szCs w:val="21"/>
              </w:rPr>
              <w:t>4.投标文件只允许有一个报价，有选择的报价将不予接受。</w:t>
            </w:r>
          </w:p>
          <w:p w14:paraId="7D6ED6E9">
            <w:pPr>
              <w:pStyle w:val="13"/>
              <w:adjustRightInd w:val="0"/>
              <w:snapToGrid w:val="0"/>
              <w:spacing w:before="0" w:beforeLines="0" w:after="0" w:afterLines="0" w:line="288" w:lineRule="auto"/>
              <w:jc w:val="left"/>
              <w:rPr>
                <w:rFonts w:hAnsi="宋体" w:eastAsia="宋体" w:cs="宋体"/>
                <w:sz w:val="21"/>
                <w:szCs w:val="21"/>
                <w:highlight w:val="cyan"/>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tc>
      </w:tr>
      <w:tr w14:paraId="4A84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CC93172">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188DDAB3">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26403933">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382D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EB0826">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0835D919">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06DA418C">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483F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8D08DF6">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0D723343">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206CBDCE">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14:paraId="0A3D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04FF960">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05006416">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220CBF7E">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6C2CB74C">
      <w:pPr>
        <w:adjustRightInd w:val="0"/>
        <w:snapToGrid w:val="0"/>
        <w:spacing w:line="288" w:lineRule="auto"/>
        <w:rPr>
          <w:rFonts w:ascii="宋体" w:hAnsi="宋体" w:eastAsia="宋体"/>
          <w:szCs w:val="21"/>
        </w:rPr>
      </w:pPr>
    </w:p>
    <w:p w14:paraId="11828BA8">
      <w:pPr>
        <w:adjustRightInd w:val="0"/>
        <w:snapToGrid w:val="0"/>
        <w:spacing w:line="288" w:lineRule="auto"/>
        <w:rPr>
          <w:rFonts w:ascii="宋体" w:hAnsi="宋体" w:eastAsia="宋体"/>
          <w:szCs w:val="21"/>
        </w:rPr>
      </w:pPr>
      <w:r>
        <w:rPr>
          <w:rFonts w:ascii="宋体" w:hAnsi="宋体" w:eastAsia="宋体"/>
          <w:szCs w:val="21"/>
        </w:rPr>
        <w:br w:type="page"/>
      </w:r>
    </w:p>
    <w:p w14:paraId="7D6AB7B5">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7EE4355B">
      <w:pPr>
        <w:adjustRightInd w:val="0"/>
        <w:snapToGrid w:val="0"/>
        <w:spacing w:line="288" w:lineRule="auto"/>
        <w:ind w:firstLine="396" w:firstLineChars="200"/>
        <w:jc w:val="left"/>
        <w:rPr>
          <w:rFonts w:ascii="宋体" w:hAnsi="宋体" w:eastAsia="宋体" w:cs="Times New Roman"/>
          <w:spacing w:val="-6"/>
          <w:szCs w:val="21"/>
        </w:rPr>
      </w:pPr>
      <w:bookmarkStart w:id="40"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0"/>
    <w:p w14:paraId="361CF0E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4958572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本招标文件适用于浙江工商大学2025-2027年无线网络及数据中心运维服务的招标、评标、定标、验收、合同履约、付款等（法律、法规另有规定的，从其规定）。</w:t>
      </w:r>
    </w:p>
    <w:p w14:paraId="072700ED">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7E8ACBB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”系指浙江工商大学；</w:t>
      </w:r>
    </w:p>
    <w:p w14:paraId="531506A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2880A48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646B4F3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488DD4D9">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1"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4CE381A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1"/>
    <w:p w14:paraId="1CC32DFA">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46DBBAB7">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49DC894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21F2129C">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756C46E6">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75A58BFB">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097C1B06">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2F57CC5">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0530DD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BA21893">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中标金额（万元）</w:t>
            </w:r>
          </w:p>
        </w:tc>
        <w:tc>
          <w:tcPr>
            <w:tcW w:w="2833" w:type="dxa"/>
            <w:tcMar>
              <w:top w:w="0" w:type="dxa"/>
              <w:left w:w="108" w:type="dxa"/>
              <w:bottom w:w="0" w:type="dxa"/>
              <w:right w:w="108" w:type="dxa"/>
            </w:tcMar>
            <w:vAlign w:val="center"/>
          </w:tcPr>
          <w:p w14:paraId="10889FD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收费标准（费率，%）</w:t>
            </w:r>
          </w:p>
        </w:tc>
      </w:tr>
      <w:tr w14:paraId="0CC11C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F7EAC8A">
            <w:pPr>
              <w:adjustRightInd w:val="0"/>
              <w:snapToGrid w:val="0"/>
              <w:spacing w:line="288" w:lineRule="auto"/>
              <w:jc w:val="center"/>
              <w:rPr>
                <w:rFonts w:ascii="宋体" w:hAnsi="宋体" w:eastAsia="宋体" w:cs="宋体"/>
                <w:szCs w:val="21"/>
              </w:rPr>
            </w:pPr>
            <w:r>
              <w:rPr>
                <w:rFonts w:hint="eastAsia" w:ascii="宋体" w:hAnsi="宋体" w:eastAsia="宋体" w:cs="Times New Roman"/>
                <w:szCs w:val="21"/>
              </w:rPr>
              <w:t>100以下</w:t>
            </w:r>
          </w:p>
        </w:tc>
        <w:tc>
          <w:tcPr>
            <w:tcW w:w="2833" w:type="dxa"/>
            <w:tcMar>
              <w:top w:w="0" w:type="dxa"/>
              <w:left w:w="108" w:type="dxa"/>
              <w:bottom w:w="0" w:type="dxa"/>
              <w:right w:w="108" w:type="dxa"/>
            </w:tcMar>
            <w:vAlign w:val="center"/>
          </w:tcPr>
          <w:p w14:paraId="24A65D47">
            <w:pPr>
              <w:adjustRightInd w:val="0"/>
              <w:snapToGrid w:val="0"/>
              <w:spacing w:line="288" w:lineRule="auto"/>
              <w:jc w:val="center"/>
              <w:rPr>
                <w:rFonts w:ascii="宋体" w:hAnsi="宋体" w:eastAsia="宋体" w:cs="Times New Roman"/>
                <w:szCs w:val="21"/>
              </w:rPr>
            </w:pPr>
            <w:r>
              <w:rPr>
                <w:rFonts w:hint="eastAsia" w:ascii="宋体" w:hAnsi="宋体" w:eastAsia="宋体" w:cs="Times New Roman"/>
                <w:szCs w:val="21"/>
              </w:rPr>
              <w:t>1.05%</w:t>
            </w:r>
          </w:p>
          <w:p w14:paraId="705493D5">
            <w:pPr>
              <w:adjustRightInd w:val="0"/>
              <w:snapToGrid w:val="0"/>
              <w:spacing w:line="288" w:lineRule="auto"/>
              <w:jc w:val="center"/>
              <w:rPr>
                <w:rFonts w:ascii="宋体" w:hAnsi="宋体" w:eastAsia="宋体" w:cs="宋体"/>
                <w:szCs w:val="21"/>
              </w:rPr>
            </w:pPr>
            <w:r>
              <w:rPr>
                <w:rFonts w:hint="eastAsia" w:ascii="宋体" w:hAnsi="宋体" w:eastAsia="宋体" w:cs="Times New Roman"/>
                <w:szCs w:val="21"/>
              </w:rPr>
              <w:t>（不足2000元按2000元计）</w:t>
            </w:r>
          </w:p>
        </w:tc>
      </w:tr>
    </w:tbl>
    <w:p w14:paraId="7542A855">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226AB262">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14:paraId="0C3B3B8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3E7ED7D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rPr>
        <w:t>2025年1月（含）</w:t>
      </w:r>
      <w:r>
        <w:rPr>
          <w:rFonts w:ascii="宋体" w:hAnsi="宋体" w:eastAsia="宋体" w:cs="Times New Roman"/>
          <w:spacing w:val="-6"/>
          <w:szCs w:val="21"/>
        </w:rPr>
        <w:t>以后任意一月）；</w:t>
      </w:r>
    </w:p>
    <w:p w14:paraId="615E30F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5671EBEC">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14:paraId="05BB8C66">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14:paraId="745C819F">
      <w:pPr>
        <w:spacing w:line="288" w:lineRule="auto"/>
        <w:ind w:firstLine="420" w:firstLineChars="200"/>
        <w:rPr>
          <w:rFonts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14:paraId="57343B67">
      <w:pPr>
        <w:adjustRightInd w:val="0"/>
        <w:snapToGrid w:val="0"/>
        <w:spacing w:line="288" w:lineRule="auto"/>
        <w:ind w:firstLine="420" w:firstLineChars="200"/>
        <w:rPr>
          <w:rFonts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285095A0">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14:paraId="454DB74A">
      <w:pPr>
        <w:adjustRightInd w:val="0"/>
        <w:snapToGrid w:val="0"/>
        <w:spacing w:line="288" w:lineRule="auto"/>
        <w:ind w:firstLine="424" w:firstLineChars="202"/>
        <w:jc w:val="left"/>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57566498">
      <w:pPr>
        <w:adjustRightInd w:val="0"/>
        <w:snapToGrid w:val="0"/>
        <w:spacing w:line="288" w:lineRule="auto"/>
        <w:ind w:firstLine="424" w:firstLineChars="202"/>
        <w:jc w:val="left"/>
        <w:rPr>
          <w:rFonts w:ascii="宋体" w:hAnsi="宋体" w:eastAsia="宋体"/>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允许</w:t>
      </w:r>
      <w:r>
        <w:rPr>
          <w:rFonts w:hint="eastAsia" w:ascii="宋体" w:hAnsi="宋体" w:eastAsia="宋体"/>
          <w:szCs w:val="21"/>
        </w:rPr>
        <w:t>分包，</w:t>
      </w:r>
      <w:r>
        <w:rPr>
          <w:rFonts w:ascii="宋体" w:hAnsi="宋体" w:eastAsia="宋体"/>
          <w:szCs w:val="21"/>
        </w:rPr>
        <w:t>可以分包履行的（非主体、非关键性的工作）具体内容、金额或者比例：</w:t>
      </w:r>
    </w:p>
    <w:p w14:paraId="07B9549F">
      <w:pPr>
        <w:adjustRightInd w:val="0"/>
        <w:snapToGrid w:val="0"/>
        <w:spacing w:line="288" w:lineRule="auto"/>
        <w:ind w:firstLine="424" w:firstLineChars="202"/>
        <w:jc w:val="left"/>
        <w:rPr>
          <w:rFonts w:ascii="宋体" w:hAnsi="宋体" w:eastAsia="宋体"/>
          <w:szCs w:val="21"/>
        </w:rPr>
      </w:pPr>
      <w:r>
        <w:rPr>
          <w:rFonts w:ascii="宋体" w:hAnsi="宋体" w:eastAsia="宋体"/>
          <w:szCs w:val="21"/>
        </w:rPr>
        <w:t>服务内容中的1.1网络设备配置。</w:t>
      </w:r>
    </w:p>
    <w:p w14:paraId="298579C8">
      <w:pPr>
        <w:adjustRightInd w:val="0"/>
        <w:snapToGrid w:val="0"/>
        <w:spacing w:line="288" w:lineRule="auto"/>
        <w:ind w:firstLine="424" w:firstLineChars="202"/>
        <w:jc w:val="left"/>
        <w:rPr>
          <w:rFonts w:ascii="宋体" w:hAnsi="宋体" w:eastAsia="宋体"/>
          <w:szCs w:val="21"/>
        </w:rPr>
      </w:pPr>
      <w:r>
        <w:rPr>
          <w:rFonts w:hint="eastAsia" w:ascii="宋体" w:hAnsi="宋体" w:eastAsia="宋体"/>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09FE0A41">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14:paraId="6263CCBC">
      <w:pPr>
        <w:adjustRightInd w:val="0"/>
        <w:snapToGrid w:val="0"/>
        <w:spacing w:line="288" w:lineRule="auto"/>
        <w:ind w:firstLine="396" w:firstLineChars="200"/>
        <w:jc w:val="left"/>
        <w:rPr>
          <w:rFonts w:ascii="宋体" w:hAnsi="宋体" w:eastAsia="宋体" w:cs="Times New Roman"/>
          <w:spacing w:val="-6"/>
          <w:szCs w:val="21"/>
        </w:rPr>
      </w:pPr>
      <w:bookmarkStart w:id="42"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2"/>
    <w:p w14:paraId="074E69D1">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4F6AD7B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2D835C4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6CBF8DF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0C396CB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5B66F1F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5AD773E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22D9C5F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452081C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5E6FF03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5A65FE3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17BD501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36AC8B2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2C22ED0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26FA6545">
      <w:pPr>
        <w:adjustRightInd w:val="0"/>
        <w:snapToGrid w:val="0"/>
        <w:spacing w:line="288" w:lineRule="auto"/>
        <w:outlineLvl w:val="2"/>
        <w:rPr>
          <w:rFonts w:ascii="宋体" w:hAnsi="宋体" w:eastAsia="宋体" w:cs="宋体"/>
          <w:b/>
          <w:spacing w:val="-6"/>
          <w:kern w:val="0"/>
          <w:szCs w:val="21"/>
        </w:rPr>
      </w:pPr>
      <w:bookmarkStart w:id="43" w:name="_Hlk92273111"/>
      <w:bookmarkStart w:id="44"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3"/>
    <w:bookmarkEnd w:id="44"/>
    <w:p w14:paraId="17D4E8FE">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1.进口产品</w:t>
      </w:r>
    </w:p>
    <w:p w14:paraId="2D1B6696">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本项目原则上采购本国生产的货物、服务，不允许采购进口产品。优先采购向我国企业转让技术、与我国企业签订消化吸收再创新方案的供应商的进口产品。</w:t>
      </w:r>
    </w:p>
    <w:p w14:paraId="608B134E">
      <w:pPr>
        <w:shd w:val="clear" w:color="auto" w:fill="FFFFFF"/>
        <w:adjustRightInd w:val="0"/>
        <w:snapToGrid w:val="0"/>
        <w:spacing w:line="288" w:lineRule="auto"/>
        <w:ind w:firstLine="369" w:firstLineChars="176"/>
        <w:jc w:val="left"/>
        <w:rPr>
          <w:rFonts w:ascii="宋体" w:hAnsi="宋体" w:eastAsia="宋体" w:cs="宋体"/>
          <w:szCs w:val="21"/>
        </w:rPr>
      </w:pPr>
      <w:r>
        <w:rPr>
          <w:rFonts w:hint="eastAsia" w:ascii="宋体" w:hAnsi="宋体" w:eastAsia="宋体" w:cs="宋体"/>
          <w:szCs w:val="21"/>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7BE6D917">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00537E92">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2.支持绿色发展</w:t>
      </w:r>
    </w:p>
    <w:p w14:paraId="08001F95">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7E1AD664">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采购人拟采购产品属于节能产品政府采购清单规定必须强制采购的，将在招标文件中明确载明，供应商相应的投标产品须提供国家确定的认证机构出具的、处于有效期之内的节能产品认证证书。</w:t>
      </w:r>
    </w:p>
    <w:p w14:paraId="1AD08C77">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3.支持中小企业发展</w:t>
      </w:r>
    </w:p>
    <w:p w14:paraId="390EBF6B">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7138788">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3.2 在政府采购活动中，供应商提供的货物或者服务符合下列情形的，享受中小企业扶持政策：</w:t>
      </w:r>
    </w:p>
    <w:p w14:paraId="4028EDA9">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在货物采购项目中，货物由中小企业制造，即货物由</w:t>
      </w:r>
      <w:r>
        <w:rPr>
          <w:rFonts w:hint="eastAsia" w:ascii="宋体" w:hAnsi="宋体" w:eastAsia="宋体" w:cs="宋体"/>
          <w:szCs w:val="21"/>
          <w:u w:val="single"/>
        </w:rPr>
        <w:t>中小企业生产且使用该中小企业商号或者注册商标</w:t>
      </w:r>
      <w:r>
        <w:rPr>
          <w:rFonts w:hint="eastAsia" w:ascii="宋体" w:hAnsi="宋体" w:eastAsia="宋体" w:cs="宋体"/>
          <w:szCs w:val="21"/>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1C321911">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83293A0">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中小企业享受扶持政策获得政府采购合同的，小微企业不得将合同分包给大中型企业，中型企业不得将合同分包给大型企业。</w:t>
      </w:r>
    </w:p>
    <w:p w14:paraId="1ADC21D8">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3.4 以联合体形式参加政府采购活动，联合体各方均为中小企业的，联合体视同中小企业。其中，联合体各方均为小微企业的，联合体视同小微企业。</w:t>
      </w:r>
    </w:p>
    <w:p w14:paraId="0397F5BE">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3AC8096D">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组成联合体或者接受分包合同的中小企业与联合体内其他企业、分包企业之间不得存在直接控股、管理关系。</w:t>
      </w:r>
    </w:p>
    <w:p w14:paraId="208E2B2F">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专门面向中小企业采购的项目或者采购包，不再执行价格评审优惠的扶持政策。</w:t>
      </w:r>
    </w:p>
    <w:p w14:paraId="753A4A68">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3.6 未预留份额专门面向中小企业采购的采购项目，以及预留份额项目中的非预留部分采购包，对符合《政府采购促进中小企业发展管理办法》规定的小微企业报价给予10%-20%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60158D1">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3.7 中小企业参加政府采购活动，应当出具本办法规定的《中小企业声明函》，否则不得享受相关中小企业扶持政策。</w:t>
      </w:r>
    </w:p>
    <w:p w14:paraId="580DA86D">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《中小企业声明函》由参加政府采购活动的供应商出具。以联合体形式参加政府采购活动或者合同分包的，《中小企业声明函》中需填写联合体中的中小企业或签订分包意向协议的中小企业相关信息。</w:t>
      </w:r>
    </w:p>
    <w:p w14:paraId="0CD58A92">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3.8 供应商提供《中小企业声明函》内容不实的，属于提供虚假材料谋取中标、成交，依照《中华人民共和国政府采购法》等国家有关规定追究相应责任。</w:t>
      </w:r>
    </w:p>
    <w:p w14:paraId="56DBC553">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1C95AD4D">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u w:val="single"/>
        </w:rPr>
        <w:t>（1）内容未包括全部采购标的；</w:t>
      </w:r>
    </w:p>
    <w:p w14:paraId="3F82A66C">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u w:val="single"/>
        </w:rPr>
        <w:t>（2）未填写标的所属行业，或者填写的所属行业与招标文件明确的所属行业不一致；</w:t>
      </w:r>
    </w:p>
    <w:p w14:paraId="2E112419">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u w:val="single"/>
        </w:rPr>
        <w:t>（3）未填写企业类型、填写的企业类型不明确或填写的企业类型与实际不符（即：企业类型（中型企业、小型企业或微型企业）填写错误）；</w:t>
      </w:r>
    </w:p>
    <w:p w14:paraId="2ED98115">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u w:val="single"/>
        </w:rPr>
        <w:t>（4）未填写标的承建(承接)企业名称的。</w:t>
      </w:r>
    </w:p>
    <w:p w14:paraId="6FC38669">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u w:val="single"/>
        </w:rPr>
        <w:t>供应商声明的类型获得了本不应获得的利益（价格扣除或者资格审查通过），属于提供虚假材料。构成“提供虚假材料谋取中标的”，依法承担法律责任。</w:t>
      </w:r>
    </w:p>
    <w:p w14:paraId="17D3B5B1">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4.支持监狱企业发展</w:t>
      </w:r>
    </w:p>
    <w:p w14:paraId="582E6A04">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361B9B6">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5.促进残疾人就业</w:t>
      </w:r>
    </w:p>
    <w:p w14:paraId="102F0EDC">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符合《关于促进残疾人就业政府采购政策的通知》（财库[2017]141号）规定的条件并提供《残疾人福利性单位声明函》的残疾人福利性单位视同小型、微型企业。</w:t>
      </w:r>
    </w:p>
    <w:p w14:paraId="327BE172">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6.支持创新发展</w:t>
      </w:r>
    </w:p>
    <w:p w14:paraId="05F4E913">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采购人优先采购被认定为首台套产品和“制造精品”的自主创新产品。</w:t>
      </w:r>
    </w:p>
    <w:p w14:paraId="5CF6D49C">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对省级以上主管部门认定的首台套产品，自纳入《省推广应用指导目录》起3年内参加政府采购活动，视同已具备相应销售业绩，业绩分为满分。</w:t>
      </w:r>
    </w:p>
    <w:p w14:paraId="108370AC">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产品核心技术高于国内领先水平，并具有明晰自主知识产权的“制造精品”产品，自认定之日起2年内视同已具备相应销售业绩，参加政府采购活动时业绩分值为满分。</w:t>
      </w:r>
    </w:p>
    <w:p w14:paraId="1F9EB253">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091A9DF7">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22F849B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269F647E">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68D344C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31C4E3B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090BAF3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4D28844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0C95CBE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40D1DFE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75586FB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0C6C70ED">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400C697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4499DA2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4E32ED1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1B8B400F">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7A9AAEA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33DD62B1">
      <w:pPr>
        <w:adjustRightInd w:val="0"/>
        <w:snapToGrid w:val="0"/>
        <w:spacing w:line="288" w:lineRule="auto"/>
        <w:ind w:firstLine="396" w:firstLineChars="200"/>
        <w:jc w:val="left"/>
        <w:rPr>
          <w:rFonts w:ascii="宋体" w:hAnsi="宋体" w:eastAsia="宋体" w:cs="Times New Roman"/>
          <w:spacing w:val="-6"/>
          <w:szCs w:val="21"/>
        </w:rPr>
      </w:pPr>
      <w:bookmarkStart w:id="45"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015ADDA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bookmarkEnd w:id="45"/>
    <w:p w14:paraId="695702B5">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14:paraId="741FB9B8">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45290AC6">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6" w:name="_Hlk96329183"/>
      <w:r>
        <w:rPr>
          <w:rFonts w:hint="eastAsia" w:ascii="宋体" w:hAnsi="宋体" w:eastAsia="宋体"/>
          <w:spacing w:val="-6"/>
          <w:szCs w:val="21"/>
        </w:rPr>
        <w:t>加盖公章</w:t>
      </w:r>
      <w:bookmarkEnd w:id="46"/>
      <w:r>
        <w:rPr>
          <w:rFonts w:hint="eastAsia" w:ascii="宋体" w:hAnsi="宋体" w:eastAsia="宋体"/>
          <w:spacing w:val="-6"/>
          <w:szCs w:val="21"/>
        </w:rPr>
        <w:t>，投标人应写全称。</w:t>
      </w:r>
    </w:p>
    <w:p w14:paraId="73A055A4">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069452F1">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14:paraId="19E6A7C8">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781E4C89">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杭州市西湖区玉古路173号中田大厦21楼H室，浙江求是招标代理有限公司（温瑶）收，电话：0571-87666115，寄出后将（快递单号、项目名称、公司名称、联系方式等相关信息）发至：zb03@qszb.net，以便查收）。</w:t>
      </w:r>
    </w:p>
    <w:p w14:paraId="4834226E">
      <w:pPr>
        <w:adjustRightInd w:val="0"/>
        <w:snapToGrid w:val="0"/>
        <w:spacing w:line="288" w:lineRule="auto"/>
        <w:ind w:firstLine="422" w:firstLineChars="200"/>
        <w:jc w:val="left"/>
        <w:rPr>
          <w:rFonts w:ascii="宋体" w:hAnsi="宋体" w:eastAsia="宋体" w:cs="Times New Roman"/>
          <w:b/>
          <w:bCs/>
          <w:spacing w:val="-6"/>
          <w:szCs w:val="21"/>
        </w:rPr>
      </w:pPr>
      <w:r>
        <w:rPr>
          <w:rFonts w:hint="eastAsia" w:ascii="宋体" w:hAnsi="宋体" w:eastAsia="宋体" w:cs="宋体"/>
          <w:b/>
          <w:szCs w:val="21"/>
        </w:rPr>
        <w:t>特别说明：双休日和法定节假日不收件，投标人自行承担邮寄风险。</w:t>
      </w:r>
    </w:p>
    <w:p w14:paraId="57DE418A">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14:paraId="2558BDA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14:paraId="1815FB7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14:paraId="2E1068D7">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429C305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1ABD6BB6">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1674CDCA">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08DA089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项目名称、投标人名称</w:t>
      </w:r>
      <w:r>
        <w:rPr>
          <w:rFonts w:hint="eastAsia" w:ascii="宋体" w:hAnsi="宋体" w:eastAsia="宋体"/>
          <w:spacing w:val="-6"/>
          <w:szCs w:val="21"/>
        </w:rPr>
        <w:t>并加盖公章（非电子签章），投标人逾期送达或者未密封包装的备份投标文件采购代理机构将予以拒收；</w:t>
      </w:r>
    </w:p>
    <w:p w14:paraId="73866260">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00D5C4A8">
      <w:pPr>
        <w:adjustRightInd w:val="0"/>
        <w:snapToGrid w:val="0"/>
        <w:spacing w:line="288" w:lineRule="auto"/>
        <w:ind w:firstLine="396" w:firstLineChars="200"/>
        <w:jc w:val="left"/>
        <w:rPr>
          <w:rFonts w:ascii="宋体" w:hAnsi="宋体" w:eastAsia="宋体"/>
          <w:spacing w:val="-6"/>
          <w:szCs w:val="21"/>
        </w:rPr>
      </w:pPr>
      <w:bookmarkStart w:id="47" w:name="_Hlk94018616"/>
      <w:r>
        <w:rPr>
          <w:rFonts w:hint="eastAsia" w:ascii="宋体" w:hAnsi="宋体" w:eastAsia="宋体"/>
          <w:spacing w:val="-6"/>
          <w:szCs w:val="21"/>
        </w:rPr>
        <w:t>▲d.投标人仅递交备份投标文件而未将电子加密投标文件成功上传至政府采购云平台的，投标无效。</w:t>
      </w:r>
    </w:p>
    <w:bookmarkEnd w:id="47"/>
    <w:p w14:paraId="7B6D424D">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5AC6058F">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5F25E074">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11A8945A">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0"/>
          <w:rFonts w:hint="eastAsia" w:ascii="宋体" w:hAnsi="宋体" w:eastAsia="宋体"/>
          <w:b/>
          <w:bCs/>
          <w:szCs w:val="21"/>
        </w:rPr>
        <w:t>https://edu.zcygov.cn/luban/e-biding</w:t>
      </w:r>
      <w:r>
        <w:rPr>
          <w:rStyle w:val="30"/>
          <w:rFonts w:hint="eastAsia" w:ascii="宋体" w:hAnsi="宋体" w:eastAsia="宋体"/>
          <w:b/>
          <w:bCs/>
          <w:szCs w:val="21"/>
        </w:rPr>
        <w:fldChar w:fldCharType="end"/>
      </w:r>
      <w:r>
        <w:rPr>
          <w:rFonts w:hint="eastAsia" w:ascii="宋体" w:hAnsi="宋体" w:eastAsia="宋体"/>
          <w:b/>
          <w:bCs/>
          <w:szCs w:val="21"/>
        </w:rPr>
        <w:t>）。</w:t>
      </w:r>
    </w:p>
    <w:p w14:paraId="4F7C51B3">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5A871E2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7ED85574">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4E603F83">
      <w:pPr>
        <w:adjustRightInd w:val="0"/>
        <w:snapToGrid w:val="0"/>
        <w:spacing w:line="288" w:lineRule="auto"/>
        <w:ind w:firstLine="420" w:firstLineChars="200"/>
        <w:rPr>
          <w:rFonts w:ascii="宋体" w:hAnsi="宋体" w:eastAsia="宋体"/>
          <w:szCs w:val="21"/>
        </w:rPr>
      </w:pPr>
      <w:bookmarkStart w:id="48" w:name="_Hlk94018664"/>
      <w:r>
        <w:rPr>
          <w:rFonts w:hint="eastAsia" w:ascii="宋体" w:hAnsi="宋体" w:eastAsia="宋体"/>
          <w:szCs w:val="21"/>
        </w:rPr>
        <w:t>1.报价应按招标文件要求的格式编制、填写报价内容（可自行增行），未按招标文件要求编制、填写的投标文件可能被拒绝；</w:t>
      </w:r>
    </w:p>
    <w:p w14:paraId="50D3C944">
      <w:pPr>
        <w:adjustRightInd w:val="0"/>
        <w:snapToGrid w:val="0"/>
        <w:spacing w:line="288" w:lineRule="auto"/>
        <w:ind w:firstLine="420" w:firstLineChars="200"/>
        <w:rPr>
          <w:rFonts w:ascii="宋体" w:hAnsi="宋体" w:eastAsia="宋体"/>
          <w:szCs w:val="21"/>
        </w:rPr>
      </w:pPr>
      <w:r>
        <w:rPr>
          <w:rFonts w:hint="eastAsia" w:ascii="宋体" w:hAnsi="宋体" w:eastAsia="宋体"/>
          <w:szCs w:val="21"/>
        </w:rPr>
        <w:t>2.以人民币报价；</w:t>
      </w:r>
    </w:p>
    <w:p w14:paraId="27E16BD6">
      <w:pPr>
        <w:adjustRightInd w:val="0"/>
        <w:snapToGrid w:val="0"/>
        <w:spacing w:line="288" w:lineRule="auto"/>
        <w:ind w:firstLine="420" w:firstLineChars="200"/>
        <w:rPr>
          <w:rFonts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14:paraId="37AF32AC">
      <w:pPr>
        <w:adjustRightInd w:val="0"/>
        <w:snapToGrid w:val="0"/>
        <w:spacing w:line="288" w:lineRule="auto"/>
        <w:ind w:firstLine="420" w:firstLineChars="200"/>
        <w:rPr>
          <w:rFonts w:ascii="宋体" w:hAnsi="宋体" w:eastAsia="宋体"/>
          <w:szCs w:val="21"/>
        </w:rPr>
      </w:pPr>
      <w:r>
        <w:rPr>
          <w:rFonts w:hint="eastAsia" w:ascii="宋体" w:hAnsi="宋体" w:eastAsia="宋体"/>
          <w:szCs w:val="21"/>
        </w:rPr>
        <w:t>4.投标文件只允许有一个报价，有选择的报价将不予接受。</w:t>
      </w:r>
    </w:p>
    <w:p w14:paraId="6B30461F">
      <w:pPr>
        <w:pStyle w:val="13"/>
        <w:adjustRightInd w:val="0"/>
        <w:snapToGrid w:val="0"/>
        <w:spacing w:before="0" w:beforeLines="0" w:after="0" w:afterLines="0" w:line="288" w:lineRule="auto"/>
        <w:ind w:firstLine="420" w:firstLineChars="200"/>
        <w:jc w:val="left"/>
        <w:rPr>
          <w:rFonts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bookmarkEnd w:id="48"/>
    <w:p w14:paraId="5523F227">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（六）投标有效期</w:t>
      </w:r>
    </w:p>
    <w:p w14:paraId="17D8F9CB">
      <w:pPr>
        <w:pStyle w:val="13"/>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409E7706">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0C35FC75">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610D9497">
      <w:pPr>
        <w:adjustRightInd w:val="0"/>
        <w:snapToGrid w:val="0"/>
        <w:spacing w:line="288" w:lineRule="auto"/>
        <w:ind w:firstLine="420" w:firstLineChars="200"/>
        <w:rPr>
          <w:rFonts w:ascii="宋体" w:hAnsi="宋体" w:eastAsia="宋体" w:cs="宋体"/>
          <w:szCs w:val="21"/>
        </w:rPr>
      </w:pPr>
      <w:bookmarkStart w:id="49" w:name="_Hlk94018682"/>
      <w:r>
        <w:rPr>
          <w:rFonts w:hint="eastAsia" w:ascii="宋体" w:hAnsi="宋体" w:eastAsia="宋体" w:cs="宋体"/>
          <w:szCs w:val="21"/>
        </w:rPr>
        <w:t>未响应招标文件“▲”标记条款要求的，投标无效。</w:t>
      </w:r>
    </w:p>
    <w:bookmarkEnd w:id="49"/>
    <w:p w14:paraId="6655002D">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0D82E78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6B14006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2F0E82F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C30D403">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29CFCFD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1808368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14:paraId="41EBB23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14:paraId="563328C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14:paraId="524CCE6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14:paraId="72A1FD6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14:paraId="1C9D365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32B7CE18">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7BE4D028">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003E8426">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EBCE375">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5D657D99">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50E8F4AD">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7B0545BC">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14:paraId="0DA157C3">
      <w:pPr>
        <w:widowControl/>
        <w:adjustRightInd w:val="0"/>
        <w:snapToGrid w:val="0"/>
        <w:spacing w:line="288" w:lineRule="auto"/>
        <w:ind w:firstLine="396" w:firstLineChars="200"/>
        <w:jc w:val="left"/>
        <w:rPr>
          <w:rFonts w:ascii="宋体" w:hAnsi="宋体" w:eastAsia="宋体" w:cs="Times New Roman"/>
          <w:spacing w:val="-6"/>
          <w:szCs w:val="21"/>
        </w:rPr>
      </w:pPr>
      <w:bookmarkStart w:id="50"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0"/>
    <w:p w14:paraId="499C260A">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2F18D004">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3F428260">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61233F5E">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7A1AFBB3">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1FF3F35C">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497ECD8C">
      <w:pPr>
        <w:widowControl/>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5.参与同一个采购包（标项）的供应商存在下列情形之一且无法合理解释的，其投标文件无效：</w:t>
      </w:r>
    </w:p>
    <w:p w14:paraId="48C214F8">
      <w:pPr>
        <w:widowControl/>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（1）不同供应商的电子投标文件上传计算机的网卡MAC地址或硬盘序列号等硬件信息相同的；</w:t>
      </w:r>
    </w:p>
    <w:p w14:paraId="61F42DF0">
      <w:pPr>
        <w:widowControl/>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（2）上传的电子投标文件若出现使用本项目其他投标供应商的数字证书加密的，或者加盖本项目其他投标供应商的电子印章的；</w:t>
      </w:r>
    </w:p>
    <w:p w14:paraId="55DDD554">
      <w:pPr>
        <w:widowControl/>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（3）不同供应商的投标文件的内容存在3处（含）以上错误一致的；</w:t>
      </w:r>
    </w:p>
    <w:p w14:paraId="71529763">
      <w:pPr>
        <w:widowControl/>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（4）不同供应商联系人为同一人或不同联系人的联系电话一致的。</w:t>
      </w:r>
    </w:p>
    <w:p w14:paraId="5DB5675D">
      <w:pPr>
        <w:widowControl/>
        <w:adjustRightInd w:val="0"/>
        <w:snapToGrid w:val="0"/>
        <w:spacing w:line="288" w:lineRule="auto"/>
        <w:ind w:firstLine="396" w:firstLineChars="200"/>
        <w:jc w:val="left"/>
        <w:rPr>
          <w:rFonts w:ascii="宋体" w:hAnsi="宋体" w:eastAsia="宋体" w:cs="Times New Roman"/>
          <w:spacing w:val="-6"/>
          <w:szCs w:val="21"/>
        </w:rPr>
      </w:pPr>
    </w:p>
    <w:p w14:paraId="58E32579">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2D990779">
      <w:pPr>
        <w:pStyle w:val="99"/>
        <w:snapToGrid w:val="0"/>
        <w:spacing w:before="0" w:line="288" w:lineRule="auto"/>
        <w:ind w:left="0" w:firstLine="424" w:firstLineChars="201"/>
        <w:rPr>
          <w:rFonts w:ascii="宋体" w:hAnsi="宋体"/>
          <w:szCs w:val="21"/>
        </w:rPr>
      </w:pPr>
      <w:bookmarkStart w:id="51" w:name="_Hlk94018775"/>
      <w:r>
        <w:rPr>
          <w:rFonts w:hint="eastAsia" w:ascii="宋体" w:hAnsi="宋体" w:cs="仿宋_GB2312"/>
          <w:b/>
          <w:szCs w:val="21"/>
        </w:rPr>
        <w:t>（一）</w:t>
      </w:r>
      <w:r>
        <w:rPr>
          <w:rFonts w:ascii="宋体" w:hAnsi="宋体" w:cs="仿宋_GB2312"/>
          <w:b/>
          <w:szCs w:val="21"/>
        </w:rPr>
        <w:t>开标</w:t>
      </w:r>
    </w:p>
    <w:p w14:paraId="0DC37FA1">
      <w:pPr>
        <w:pStyle w:val="99"/>
        <w:snapToGrid w:val="0"/>
        <w:spacing w:before="0" w:line="288" w:lineRule="auto"/>
        <w:ind w:left="0" w:firstLine="422" w:firstLineChars="201"/>
        <w:rPr>
          <w:rFonts w:ascii="宋体" w:hAnsi="宋体" w:cs="仿宋_GB2312"/>
          <w:szCs w:val="21"/>
        </w:rPr>
      </w:pPr>
      <w:r>
        <w:rPr>
          <w:rFonts w:hint="eastAsia" w:ascii="宋体" w:hAnsi="宋体" w:cs="仿宋_GB2312"/>
          <w:szCs w:val="21"/>
        </w:rPr>
        <w:t>采购代理机构</w:t>
      </w:r>
      <w:r>
        <w:rPr>
          <w:rFonts w:ascii="宋体" w:hAnsi="宋体" w:cs="仿宋_GB2312"/>
          <w:szCs w:val="21"/>
        </w:rPr>
        <w:t>按照招标文件规定的时间通过电子交易平台组织开标，所有投标人均应当准时在线参加。投标人不足3家的，不得开标。</w:t>
      </w:r>
    </w:p>
    <w:p w14:paraId="001BBEBA">
      <w:pPr>
        <w:pStyle w:val="99"/>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3AA6C943">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29A98183">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20BB7D00">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采购人或采购代理机构依据法律法规和招标文件的规定，对投标人的资格条件进行审查。</w:t>
      </w:r>
    </w:p>
    <w:p w14:paraId="7966B69F">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rPr>
        <w:t>采购代理机构</w:t>
      </w:r>
      <w:r>
        <w:rPr>
          <w:rFonts w:ascii="宋体" w:hAnsi="宋体" w:cs="仿宋_GB2312"/>
          <w:sz w:val="21"/>
          <w:szCs w:val="21"/>
        </w:rPr>
        <w:t>告知其未通过的原因。</w:t>
      </w:r>
    </w:p>
    <w:p w14:paraId="7414BA5F">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5AFB5000">
      <w:pPr>
        <w:pStyle w:val="98"/>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3505E99D">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4949DBE0">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3A61D944">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0BE2C699">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5A597AC3">
      <w:pPr>
        <w:pStyle w:val="98"/>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3E423FB2">
      <w:pPr>
        <w:adjustRightInd w:val="0"/>
        <w:snapToGrid w:val="0"/>
        <w:spacing w:line="288" w:lineRule="auto"/>
        <w:ind w:firstLine="398" w:firstLineChars="200"/>
        <w:rPr>
          <w:rFonts w:ascii="宋体" w:hAnsi="宋体" w:eastAsia="宋体" w:cs="Times New Roman"/>
          <w:b/>
          <w:bCs/>
          <w:color w:val="FF0000"/>
          <w:spacing w:val="-6"/>
          <w:szCs w:val="21"/>
        </w:rPr>
      </w:pPr>
    </w:p>
    <w:p w14:paraId="258544AA">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1"/>
    <w:p w14:paraId="6FBB48F3">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1D560A57">
      <w:pPr>
        <w:adjustRightInd w:val="0"/>
        <w:snapToGrid w:val="0"/>
        <w:spacing w:line="288" w:lineRule="auto"/>
        <w:ind w:firstLine="420" w:firstLineChars="200"/>
        <w:rPr>
          <w:rFonts w:ascii="宋体" w:hAnsi="宋体" w:eastAsia="宋体" w:cs="宋体"/>
          <w:kern w:val="0"/>
          <w:szCs w:val="21"/>
        </w:rPr>
      </w:pPr>
      <w:bookmarkStart w:id="52"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13C66D4">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2"/>
    <w:p w14:paraId="2AB17AF0">
      <w:pPr>
        <w:adjustRightInd w:val="0"/>
        <w:snapToGrid w:val="0"/>
        <w:spacing w:line="288" w:lineRule="auto"/>
        <w:ind w:firstLine="426" w:firstLineChars="202"/>
        <w:rPr>
          <w:rFonts w:ascii="宋体" w:hAnsi="宋体" w:eastAsia="宋体" w:cs="Arial"/>
          <w:b/>
          <w:kern w:val="0"/>
          <w:szCs w:val="21"/>
        </w:rPr>
      </w:pPr>
      <w:bookmarkStart w:id="53"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18EBF6A7">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09B187E9">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7631F670">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2CC57212">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3D9093D5">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00D385FC">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045B1534">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73AEF0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政府采购云平台上传的电子投标文件报价与政府采购云平台录入报价不一致的，以上传的电子投标文件报价为准。</w:t>
      </w:r>
    </w:p>
    <w:p w14:paraId="173265B9">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7E47557F">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0DD8C1A9">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4A33FD69">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29556F22">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3139523A">
      <w:pPr>
        <w:pStyle w:val="98"/>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28144078">
      <w:pPr>
        <w:pStyle w:val="98"/>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14:paraId="508C6E6A">
      <w:pPr>
        <w:pStyle w:val="98"/>
        <w:adjustRightInd w:val="0"/>
        <w:snapToGrid w:val="0"/>
        <w:spacing w:before="0" w:line="288" w:lineRule="auto"/>
        <w:ind w:firstLine="424" w:firstLineChars="202"/>
        <w:rPr>
          <w:rFonts w:ascii="宋体" w:hAnsi="宋体" w:cs="仿宋"/>
          <w:kern w:val="0"/>
          <w:sz w:val="21"/>
          <w:szCs w:val="21"/>
        </w:rPr>
      </w:pPr>
    </w:p>
    <w:p w14:paraId="44770AAA">
      <w:pPr>
        <w:widowControl/>
        <w:adjustRightInd w:val="0"/>
        <w:snapToGrid w:val="0"/>
        <w:spacing w:line="288" w:lineRule="auto"/>
        <w:ind w:firstLine="414" w:firstLineChars="200"/>
        <w:rPr>
          <w:rFonts w:ascii="宋体" w:hAnsi="宋体" w:eastAsia="宋体" w:cs="宋体"/>
          <w:b/>
          <w:bCs/>
          <w:spacing w:val="-2"/>
          <w:kern w:val="0"/>
          <w:szCs w:val="21"/>
          <w:shd w:val="clear" w:color="auto" w:fill="FFFFFF"/>
          <w:lang w:bidi="ar"/>
        </w:rPr>
      </w:pPr>
      <w:r>
        <w:rPr>
          <w:rFonts w:hint="eastAsia" w:ascii="宋体" w:hAnsi="宋体" w:eastAsia="宋体" w:cs="宋体"/>
          <w:b/>
          <w:bCs/>
          <w:spacing w:val="-2"/>
          <w:kern w:val="0"/>
          <w:szCs w:val="21"/>
          <w:shd w:val="clear" w:color="auto" w:fill="FFFFFF"/>
          <w:lang w:bidi="ar"/>
        </w:rPr>
        <w:t>评审中出现下列情形之一的，评标委员会应当启动异常低价投标审查程序：</w:t>
      </w:r>
    </w:p>
    <w:p w14:paraId="7441156F">
      <w:pPr>
        <w:widowControl/>
        <w:adjustRightInd w:val="0"/>
        <w:snapToGrid w:val="0"/>
        <w:spacing w:line="288" w:lineRule="auto"/>
        <w:ind w:firstLine="412" w:firstLineChars="200"/>
        <w:rPr>
          <w:rFonts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1.投标报价低于全部通过符合性审查供应商投标报价平均值50%的，即投标报价&lt;全部通过符合性审查供应商投标报价平均值×50%；</w:t>
      </w:r>
    </w:p>
    <w:p w14:paraId="73894E0D">
      <w:pPr>
        <w:widowControl/>
        <w:adjustRightInd w:val="0"/>
        <w:snapToGrid w:val="0"/>
        <w:spacing w:line="288" w:lineRule="auto"/>
        <w:ind w:firstLine="412" w:firstLineChars="200"/>
        <w:rPr>
          <w:rFonts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2.投标报价低于通过符合性审查且报价次低供应商投标报价50%的，即投标报价&lt;通过符合性审查且报价次低供应商投标报价×50%；</w:t>
      </w:r>
    </w:p>
    <w:p w14:paraId="09B66DF3">
      <w:pPr>
        <w:widowControl/>
        <w:adjustRightInd w:val="0"/>
        <w:snapToGrid w:val="0"/>
        <w:spacing w:line="288" w:lineRule="auto"/>
        <w:ind w:firstLine="412" w:firstLineChars="200"/>
        <w:rPr>
          <w:rFonts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3.投标报价低于采购项目最高限价45%的，即投标报价&lt;采购项目最高限价×45%；</w:t>
      </w:r>
    </w:p>
    <w:p w14:paraId="0710DA86">
      <w:pPr>
        <w:widowControl/>
        <w:adjustRightInd w:val="0"/>
        <w:snapToGrid w:val="0"/>
        <w:spacing w:line="288" w:lineRule="auto"/>
        <w:ind w:firstLine="412" w:firstLineChars="200"/>
        <w:rPr>
          <w:rFonts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4.其他评标委员会认为供应商报价过低，有可能影响产品质量或者不能诚信履约的情形。</w:t>
      </w:r>
    </w:p>
    <w:p w14:paraId="00F88A5A">
      <w:pPr>
        <w:widowControl/>
        <w:adjustRightInd w:val="0"/>
        <w:snapToGrid w:val="0"/>
        <w:spacing w:line="288" w:lineRule="auto"/>
        <w:ind w:firstLine="412" w:firstLineChars="200"/>
        <w:rPr>
          <w:rFonts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评标委员会启动异常低价投标审查后，</w:t>
      </w:r>
      <w:r>
        <w:rPr>
          <w:rFonts w:hint="eastAsia" w:ascii="宋体" w:hAnsi="宋体" w:eastAsia="宋体" w:cs="宋体"/>
          <w:spacing w:val="-2"/>
          <w:kern w:val="0"/>
          <w:szCs w:val="21"/>
          <w:u w:val="single"/>
          <w:shd w:val="clear" w:color="auto" w:fill="FFFFFF"/>
          <w:lang w:bidi="ar"/>
        </w:rPr>
        <w:t>应当要求相关供应商在评审现场合理的时间内提供书面说明及必要的证明材料，对投标价格作出解释。</w:t>
      </w:r>
      <w:r>
        <w:rPr>
          <w:rFonts w:hint="eastAsia" w:ascii="宋体" w:hAnsi="宋体" w:eastAsia="宋体" w:cs="宋体"/>
          <w:spacing w:val="-2"/>
          <w:kern w:val="0"/>
          <w:szCs w:val="21"/>
          <w:shd w:val="clear" w:color="auto" w:fill="FFFFFF"/>
          <w:lang w:bidi="ar"/>
        </w:rPr>
        <w:t>书面说明、证明材料主要是</w:t>
      </w:r>
      <w:r>
        <w:rPr>
          <w:rFonts w:hint="eastAsia" w:ascii="宋体" w:hAnsi="宋体" w:eastAsia="宋体" w:cs="宋体"/>
          <w:b/>
          <w:bCs/>
          <w:spacing w:val="-2"/>
          <w:kern w:val="0"/>
          <w:szCs w:val="21"/>
          <w:shd w:val="clear" w:color="auto" w:fill="FFFFFF"/>
          <w:lang w:bidi="ar"/>
        </w:rPr>
        <w:t>项目具体成本测算等与报价合理性相关的说明、材料</w:t>
      </w:r>
      <w:r>
        <w:rPr>
          <w:rFonts w:hint="eastAsia" w:ascii="宋体" w:hAnsi="宋体" w:eastAsia="宋体" w:cs="宋体"/>
          <w:spacing w:val="-2"/>
          <w:kern w:val="0"/>
          <w:szCs w:val="21"/>
          <w:shd w:val="clear" w:color="auto" w:fill="FFFFFF"/>
          <w:lang w:bidi="ar"/>
        </w:rPr>
        <w:t>。</w:t>
      </w:r>
    </w:p>
    <w:p w14:paraId="33ED2883">
      <w:pPr>
        <w:adjustRightInd w:val="0"/>
        <w:snapToGrid w:val="0"/>
        <w:spacing w:line="288" w:lineRule="auto"/>
        <w:ind w:firstLine="416" w:firstLineChars="202"/>
        <w:rPr>
          <w:rFonts w:ascii="宋体" w:hAnsi="宋体" w:cs="仿宋"/>
          <w:kern w:val="0"/>
          <w:szCs w:val="21"/>
        </w:rPr>
      </w:pPr>
      <w:r>
        <w:rPr>
          <w:rFonts w:hint="eastAsia" w:ascii="宋体" w:hAnsi="宋体" w:eastAsia="宋体" w:cs="宋体"/>
          <w:spacing w:val="-2"/>
          <w:kern w:val="0"/>
          <w:szCs w:val="21"/>
          <w:shd w:val="clear" w:color="auto" w:fill="FFFFFF"/>
          <w:lang w:bidi="ar"/>
        </w:rPr>
        <w:t>评标委员会应当</w:t>
      </w:r>
      <w:r>
        <w:rPr>
          <w:rFonts w:hint="eastAsia" w:ascii="宋体" w:hAnsi="宋体" w:eastAsia="宋体" w:cs="宋体"/>
          <w:spacing w:val="-2"/>
          <w:kern w:val="0"/>
          <w:szCs w:val="21"/>
          <w:u w:val="single"/>
          <w:shd w:val="clear" w:color="auto" w:fill="FFFFFF"/>
          <w:lang w:bidi="ar"/>
        </w:rPr>
        <w:t>结合同类产品在主要电商平台的价格、该行业当地薪资水平等情况，依据专业经验对报价合理性进行判断。</w:t>
      </w:r>
      <w:r>
        <w:rPr>
          <w:rFonts w:hint="eastAsia" w:ascii="宋体" w:hAnsi="宋体" w:eastAsia="宋体" w:cs="宋体"/>
          <w:spacing w:val="-2"/>
          <w:kern w:val="0"/>
          <w:szCs w:val="21"/>
          <w:shd w:val="clear" w:color="auto" w:fill="FFFFFF"/>
          <w:lang w:bidi="ar"/>
        </w:rPr>
        <w:t>如果投标供应商不提供书面说明、证明材料，或者提供的书面说明、证明材料不能证明其报价合理性的，应当将其作为无效投标处理。审查相关情况应当在评审报告中记录。</w:t>
      </w:r>
    </w:p>
    <w:p w14:paraId="060E4298">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14:paraId="29F2BABA">
      <w:pPr>
        <w:pStyle w:val="98"/>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1629661">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投标人的书面澄清、说明或者补正无法通过政府采购云平台上传的，可在规定时间内（不少于半小时）通过指定的电子邮箱（zb03@qszb.net</w:t>
      </w:r>
      <w:r>
        <w:rPr>
          <w:rFonts w:ascii="宋体" w:hAnsi="宋体" w:eastAsia="宋体" w:cs="宋体"/>
          <w:kern w:val="0"/>
          <w:szCs w:val="21"/>
        </w:rPr>
        <w:t>）或传真号码（0571-87666116）提交。</w:t>
      </w:r>
    </w:p>
    <w:p w14:paraId="7DD01AF5">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14:paraId="7B3591A1">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4FC555B8">
      <w:pPr>
        <w:adjustRightInd w:val="0"/>
        <w:snapToGrid w:val="0"/>
        <w:spacing w:line="288" w:lineRule="auto"/>
        <w:ind w:firstLine="424" w:firstLineChars="202"/>
        <w:rPr>
          <w:rFonts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。本项目推荐3名中标候选人。</w:t>
      </w:r>
    </w:p>
    <w:p w14:paraId="08CD9318">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250BEE0A">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3"/>
    <w:p w14:paraId="3590E8A7">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5E3276EF">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507CAA4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4EE2D36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，也可以书面授权评标委员会直接确定中标人。</w:t>
      </w:r>
    </w:p>
    <w:p w14:paraId="1DCDB76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14:paraId="34569E4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14:paraId="2C022057">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14:paraId="196252D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5F75DF3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400DBB4">
      <w:pPr>
        <w:adjustRightInd w:val="0"/>
        <w:snapToGrid w:val="0"/>
        <w:spacing w:line="288" w:lineRule="auto"/>
        <w:ind w:firstLine="396" w:firstLineChars="200"/>
        <w:rPr>
          <w:rFonts w:ascii="宋体" w:hAnsi="宋体" w:eastAsia="宋体" w:cs="Times New Roman"/>
          <w:spacing w:val="-6"/>
          <w:szCs w:val="21"/>
        </w:rPr>
      </w:pPr>
    </w:p>
    <w:p w14:paraId="6A5587CA">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5B68A28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053E93C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4E5AF89C">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1DAB410">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1E9C137">
      <w:pPr>
        <w:tabs>
          <w:tab w:val="left" w:pos="0"/>
        </w:tabs>
        <w:adjustRightInd w:val="0"/>
        <w:snapToGrid w:val="0"/>
        <w:spacing w:line="288" w:lineRule="auto"/>
        <w:ind w:firstLine="400" w:firstLineChars="201"/>
        <w:rPr>
          <w:rFonts w:ascii="宋体" w:hAnsi="宋体" w:eastAsia="宋体" w:cs="Times New Roman"/>
          <w:b/>
          <w:spacing w:val="-6"/>
          <w:szCs w:val="21"/>
        </w:rPr>
      </w:pPr>
    </w:p>
    <w:p w14:paraId="7614FD38">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6448563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6EE79A7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4C85860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2AE5601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47B14F7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20AF013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DC00D07">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0D61FDAE">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3B6CBC7E">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14:paraId="762160D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14:paraId="7EF42781">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43F492B8">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476C94D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7296B19E">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3"/>
        <w:tblW w:w="9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654"/>
        <w:gridCol w:w="7072"/>
      </w:tblGrid>
      <w:tr w14:paraId="48DB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1" w:type="dxa"/>
            <w:vAlign w:val="center"/>
          </w:tcPr>
          <w:p w14:paraId="0AA542B1">
            <w:pPr>
              <w:keepNext w:val="0"/>
              <w:keepLines w:val="0"/>
              <w:pageBreakBefore w:val="0"/>
              <w:widowControl w:val="0"/>
              <w:kinsoku/>
              <w:wordWrap/>
              <w:overflowPunct/>
              <w:topLinePunct w:val="0"/>
              <w:bidi w:val="0"/>
              <w:adjustRightInd w:val="0"/>
              <w:snapToGrid w:val="0"/>
              <w:spacing w:line="288" w:lineRule="auto"/>
              <w:jc w:val="center"/>
              <w:textAlignment w:val="auto"/>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14:paraId="5B196B2B">
            <w:pPr>
              <w:keepNext w:val="0"/>
              <w:keepLines w:val="0"/>
              <w:pageBreakBefore w:val="0"/>
              <w:widowControl w:val="0"/>
              <w:kinsoku/>
              <w:wordWrap/>
              <w:overflowPunct/>
              <w:topLinePunct w:val="0"/>
              <w:bidi w:val="0"/>
              <w:adjustRightInd w:val="0"/>
              <w:snapToGrid w:val="0"/>
              <w:spacing w:line="288" w:lineRule="auto"/>
              <w:jc w:val="center"/>
              <w:textAlignment w:val="auto"/>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14:paraId="222F9C75">
            <w:pPr>
              <w:keepNext w:val="0"/>
              <w:keepLines w:val="0"/>
              <w:pageBreakBefore w:val="0"/>
              <w:widowControl w:val="0"/>
              <w:kinsoku/>
              <w:wordWrap/>
              <w:overflowPunct/>
              <w:topLinePunct w:val="0"/>
              <w:bidi w:val="0"/>
              <w:adjustRightInd w:val="0"/>
              <w:snapToGrid w:val="0"/>
              <w:spacing w:line="288" w:lineRule="auto"/>
              <w:jc w:val="center"/>
              <w:textAlignment w:val="auto"/>
              <w:rPr>
                <w:rFonts w:ascii="宋体" w:hAnsi="宋体" w:eastAsia="宋体" w:cs="Times New Roman"/>
                <w:b/>
                <w:bCs/>
                <w:szCs w:val="21"/>
              </w:rPr>
            </w:pPr>
            <w:r>
              <w:rPr>
                <w:rFonts w:ascii="宋体" w:hAnsi="宋体" w:eastAsia="宋体" w:cs="Times New Roman"/>
                <w:b/>
                <w:bCs/>
                <w:szCs w:val="21"/>
              </w:rPr>
              <w:t>评分标准</w:t>
            </w:r>
          </w:p>
        </w:tc>
      </w:tr>
      <w:tr w14:paraId="65B7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387" w:type="dxa"/>
            <w:gridSpan w:val="3"/>
            <w:vAlign w:val="center"/>
          </w:tcPr>
          <w:p w14:paraId="668F44F0">
            <w:pPr>
              <w:keepNext w:val="0"/>
              <w:keepLines w:val="0"/>
              <w:pageBreakBefore w:val="0"/>
              <w:widowControl w:val="0"/>
              <w:kinsoku/>
              <w:wordWrap/>
              <w:overflowPunct/>
              <w:topLinePunct w:val="0"/>
              <w:bidi w:val="0"/>
              <w:adjustRightInd w:val="0"/>
              <w:snapToGrid w:val="0"/>
              <w:spacing w:line="288" w:lineRule="auto"/>
              <w:jc w:val="left"/>
              <w:textAlignment w:val="auto"/>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w:t>
            </w:r>
          </w:p>
        </w:tc>
      </w:tr>
      <w:tr w14:paraId="3917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1" w:type="dxa"/>
            <w:tcBorders>
              <w:top w:val="single" w:color="auto" w:sz="4" w:space="0"/>
              <w:left w:val="single" w:color="auto" w:sz="4" w:space="0"/>
              <w:bottom w:val="single" w:color="auto" w:sz="4" w:space="0"/>
              <w:right w:val="single" w:color="auto" w:sz="4" w:space="0"/>
            </w:tcBorders>
            <w:vAlign w:val="center"/>
          </w:tcPr>
          <w:p w14:paraId="4C4999C5">
            <w:pPr>
              <w:keepNext w:val="0"/>
              <w:keepLines w:val="0"/>
              <w:pageBreakBefore w:val="0"/>
              <w:widowControl w:val="0"/>
              <w:kinsoku/>
              <w:wordWrap/>
              <w:overflowPunct/>
              <w:topLinePunct w:val="0"/>
              <w:bidi w:val="0"/>
              <w:adjustRightInd w:val="0"/>
              <w:snapToGrid w:val="0"/>
              <w:spacing w:line="288" w:lineRule="auto"/>
              <w:jc w:val="center"/>
              <w:textAlignment w:val="auto"/>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0A68A5CF">
            <w:pPr>
              <w:keepNext w:val="0"/>
              <w:keepLines w:val="0"/>
              <w:pageBreakBefore w:val="0"/>
              <w:widowControl w:val="0"/>
              <w:kinsoku/>
              <w:wordWrap/>
              <w:overflowPunct/>
              <w:topLinePunct w:val="0"/>
              <w:bidi w:val="0"/>
              <w:adjustRightInd w:val="0"/>
              <w:snapToGrid w:val="0"/>
              <w:spacing w:line="288" w:lineRule="auto"/>
              <w:jc w:val="center"/>
              <w:textAlignment w:val="auto"/>
              <w:rPr>
                <w:rFonts w:ascii="宋体" w:hAnsi="宋体" w:eastAsia="宋体" w:cs="宋体"/>
                <w:b/>
                <w:bCs/>
                <w:szCs w:val="21"/>
              </w:rPr>
            </w:pPr>
            <w:r>
              <w:rPr>
                <w:rFonts w:hint="eastAsia" w:ascii="宋体" w:hAnsi="宋体" w:eastAsia="宋体" w:cs="宋体"/>
                <w:b/>
                <w:bCs/>
                <w:szCs w:val="21"/>
              </w:rPr>
              <w:t>10</w:t>
            </w:r>
          </w:p>
        </w:tc>
        <w:tc>
          <w:tcPr>
            <w:tcW w:w="7072" w:type="dxa"/>
            <w:tcBorders>
              <w:top w:val="single" w:color="auto" w:sz="4" w:space="0"/>
              <w:left w:val="single" w:color="auto" w:sz="4" w:space="0"/>
              <w:bottom w:val="single" w:color="auto" w:sz="4" w:space="0"/>
              <w:right w:val="single" w:color="auto" w:sz="4" w:space="0"/>
            </w:tcBorders>
            <w:vAlign w:val="center"/>
          </w:tcPr>
          <w:p w14:paraId="027CE9BA">
            <w:pPr>
              <w:keepNext w:val="0"/>
              <w:keepLines w:val="0"/>
              <w:pageBreakBefore w:val="0"/>
              <w:widowControl w:val="0"/>
              <w:kinsoku/>
              <w:wordWrap/>
              <w:overflowPunct/>
              <w:topLinePunct w:val="0"/>
              <w:bidi w:val="0"/>
              <w:adjustRightInd w:val="0"/>
              <w:snapToGrid w:val="0"/>
              <w:spacing w:line="288" w:lineRule="auto"/>
              <w:textAlignment w:val="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6E103E28">
            <w:pPr>
              <w:keepNext w:val="0"/>
              <w:keepLines w:val="0"/>
              <w:pageBreakBefore w:val="0"/>
              <w:widowControl w:val="0"/>
              <w:kinsoku/>
              <w:wordWrap/>
              <w:overflowPunct/>
              <w:topLinePunct w:val="0"/>
              <w:bidi w:val="0"/>
              <w:adjustRightInd w:val="0"/>
              <w:snapToGrid w:val="0"/>
              <w:spacing w:line="288" w:lineRule="auto"/>
              <w:textAlignment w:val="auto"/>
              <w:rPr>
                <w:rFonts w:ascii="宋体" w:hAnsi="宋体" w:eastAsia="宋体" w:cs="宋体"/>
                <w:szCs w:val="21"/>
              </w:rPr>
            </w:pPr>
            <w:r>
              <w:rPr>
                <w:rFonts w:hint="eastAsia" w:ascii="宋体" w:hAnsi="宋体" w:eastAsia="宋体" w:cs="宋体"/>
                <w:szCs w:val="21"/>
              </w:rPr>
              <w:t>价格分=（评标基准价/投标报价）×10%×100</w:t>
            </w:r>
          </w:p>
          <w:p w14:paraId="57DFA208">
            <w:pPr>
              <w:keepNext w:val="0"/>
              <w:keepLines w:val="0"/>
              <w:pageBreakBefore w:val="0"/>
              <w:widowControl w:val="0"/>
              <w:kinsoku/>
              <w:wordWrap/>
              <w:overflowPunct/>
              <w:topLinePunct w:val="0"/>
              <w:bidi w:val="0"/>
              <w:adjustRightInd w:val="0"/>
              <w:snapToGrid w:val="0"/>
              <w:spacing w:line="288" w:lineRule="auto"/>
              <w:jc w:val="left"/>
              <w:textAlignment w:val="auto"/>
              <w:rPr>
                <w:rFonts w:ascii="宋体" w:hAnsi="宋体" w:eastAsia="宋体" w:cs="宋体"/>
                <w:szCs w:val="21"/>
              </w:rPr>
            </w:pPr>
            <w:r>
              <w:rPr>
                <w:rFonts w:hint="eastAsia" w:ascii="宋体" w:hAnsi="宋体" w:eastAsia="宋体" w:cs="Times New Roman"/>
                <w:spacing w:val="-6"/>
                <w:szCs w:val="21"/>
              </w:rPr>
              <w:t>（本项目专门面向中小企业采购，不再执行价格评审优惠的扶持政策）</w:t>
            </w:r>
          </w:p>
        </w:tc>
      </w:tr>
      <w:tr w14:paraId="5E6C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387" w:type="dxa"/>
            <w:gridSpan w:val="3"/>
            <w:vAlign w:val="center"/>
          </w:tcPr>
          <w:p w14:paraId="28C4FF3D">
            <w:pPr>
              <w:keepNext w:val="0"/>
              <w:keepLines w:val="0"/>
              <w:pageBreakBefore w:val="0"/>
              <w:widowControl w:val="0"/>
              <w:kinsoku/>
              <w:wordWrap/>
              <w:overflowPunct/>
              <w:topLinePunct w:val="0"/>
              <w:bidi w:val="0"/>
              <w:adjustRightInd w:val="0"/>
              <w:snapToGrid w:val="0"/>
              <w:spacing w:line="288" w:lineRule="auto"/>
              <w:jc w:val="left"/>
              <w:textAlignment w:val="auto"/>
              <w:rPr>
                <w:rFonts w:ascii="宋体" w:hAnsi="宋体" w:eastAsia="宋体" w:cs="Times New Roman"/>
                <w:b/>
                <w:bCs/>
                <w:szCs w:val="21"/>
              </w:rPr>
            </w:pPr>
            <w:r>
              <w:rPr>
                <w:rFonts w:ascii="宋体" w:hAnsi="宋体" w:eastAsia="宋体" w:cs="Times New Roman"/>
                <w:b/>
                <w:bCs/>
                <w:szCs w:val="21"/>
              </w:rPr>
              <w:t>商务分</w:t>
            </w:r>
          </w:p>
        </w:tc>
      </w:tr>
      <w:tr w14:paraId="6AD5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1" w:type="dxa"/>
            <w:vAlign w:val="center"/>
          </w:tcPr>
          <w:p w14:paraId="1A79D434">
            <w:pPr>
              <w:keepNext w:val="0"/>
              <w:keepLines w:val="0"/>
              <w:pageBreakBefore w:val="0"/>
              <w:widowControl w:val="0"/>
              <w:kinsoku/>
              <w:wordWrap/>
              <w:overflowPunct/>
              <w:topLinePunct w:val="0"/>
              <w:bidi w:val="0"/>
              <w:adjustRightInd w:val="0"/>
              <w:snapToGrid w:val="0"/>
              <w:spacing w:line="288" w:lineRule="auto"/>
              <w:jc w:val="center"/>
              <w:textAlignment w:val="auto"/>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5DE45779">
            <w:pPr>
              <w:keepNext w:val="0"/>
              <w:keepLines w:val="0"/>
              <w:pageBreakBefore w:val="0"/>
              <w:widowControl w:val="0"/>
              <w:kinsoku/>
              <w:wordWrap/>
              <w:overflowPunct/>
              <w:topLinePunct w:val="0"/>
              <w:bidi w:val="0"/>
              <w:adjustRightInd w:val="0"/>
              <w:snapToGrid w:val="0"/>
              <w:spacing w:line="288" w:lineRule="auto"/>
              <w:jc w:val="center"/>
              <w:textAlignment w:val="auto"/>
              <w:rPr>
                <w:rFonts w:ascii="宋体" w:hAnsi="宋体" w:eastAsia="宋体" w:cs="宋体"/>
                <w:b/>
                <w:bCs/>
                <w:szCs w:val="21"/>
              </w:rPr>
            </w:pPr>
            <w:r>
              <w:rPr>
                <w:rFonts w:hint="eastAsia" w:ascii="宋体" w:hAnsi="宋体" w:eastAsia="宋体" w:cs="宋体"/>
                <w:b/>
                <w:bCs/>
                <w:szCs w:val="21"/>
              </w:rPr>
              <w:t>1</w:t>
            </w:r>
          </w:p>
        </w:tc>
        <w:tc>
          <w:tcPr>
            <w:tcW w:w="7072" w:type="dxa"/>
            <w:vAlign w:val="center"/>
          </w:tcPr>
          <w:p w14:paraId="6D79D8D1">
            <w:pPr>
              <w:keepNext w:val="0"/>
              <w:keepLines w:val="0"/>
              <w:pageBreakBefore w:val="0"/>
              <w:widowControl w:val="0"/>
              <w:kinsoku/>
              <w:wordWrap/>
              <w:overflowPunct/>
              <w:topLinePunct w:val="0"/>
              <w:bidi w:val="0"/>
              <w:adjustRightInd w:val="0"/>
              <w:snapToGrid w:val="0"/>
              <w:spacing w:line="288" w:lineRule="auto"/>
              <w:textAlignment w:val="auto"/>
              <w:rPr>
                <w:rFonts w:ascii="宋体" w:hAnsi="宋体" w:eastAsia="宋体" w:cs="宋体"/>
                <w:szCs w:val="21"/>
              </w:rPr>
            </w:pPr>
            <w:r>
              <w:rPr>
                <w:rFonts w:hint="eastAsia" w:ascii="宋体" w:hAnsi="宋体" w:eastAsia="宋体" w:cs="宋体"/>
                <w:szCs w:val="21"/>
              </w:rPr>
              <w:t>【客观分】</w:t>
            </w:r>
          </w:p>
          <w:p w14:paraId="0B7ADE29">
            <w:pPr>
              <w:keepNext w:val="0"/>
              <w:keepLines w:val="0"/>
              <w:pageBreakBefore w:val="0"/>
              <w:widowControl w:val="0"/>
              <w:kinsoku/>
              <w:wordWrap/>
              <w:overflowPunct/>
              <w:topLinePunct w:val="0"/>
              <w:bidi w:val="0"/>
              <w:adjustRightInd w:val="0"/>
              <w:snapToGrid w:val="0"/>
              <w:spacing w:line="288" w:lineRule="auto"/>
              <w:textAlignment w:val="auto"/>
              <w:rPr>
                <w:rFonts w:ascii="宋体" w:hAnsi="宋体" w:eastAsia="宋体" w:cs="宋体"/>
                <w:szCs w:val="21"/>
              </w:rPr>
            </w:pPr>
            <w:r>
              <w:rPr>
                <w:rFonts w:hint="eastAsia" w:ascii="宋体" w:hAnsi="宋体" w:eastAsia="宋体" w:cs="宋体"/>
                <w:szCs w:val="21"/>
              </w:rPr>
              <w:t>投标人自2022年1月1日以来（以合同签订时间为准）同类合同业绩（以提供的合同扫描件为准）：每提供1份合同业绩得</w:t>
            </w:r>
            <w:r>
              <w:rPr>
                <w:rFonts w:ascii="宋体" w:hAnsi="宋体" w:eastAsia="宋体" w:cs="宋体"/>
                <w:szCs w:val="21"/>
              </w:rPr>
              <w:t>1</w:t>
            </w:r>
            <w:r>
              <w:rPr>
                <w:rFonts w:hint="eastAsia" w:ascii="宋体" w:hAnsi="宋体" w:eastAsia="宋体" w:cs="宋体"/>
                <w:szCs w:val="21"/>
              </w:rPr>
              <w:t>分，最高得1分。</w:t>
            </w:r>
          </w:p>
        </w:tc>
      </w:tr>
      <w:tr w14:paraId="2984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387" w:type="dxa"/>
            <w:gridSpan w:val="3"/>
            <w:vAlign w:val="center"/>
          </w:tcPr>
          <w:p w14:paraId="70B02180">
            <w:pPr>
              <w:keepNext w:val="0"/>
              <w:keepLines w:val="0"/>
              <w:pageBreakBefore w:val="0"/>
              <w:widowControl w:val="0"/>
              <w:kinsoku/>
              <w:wordWrap/>
              <w:overflowPunct/>
              <w:topLinePunct w:val="0"/>
              <w:bidi w:val="0"/>
              <w:adjustRightInd w:val="0"/>
              <w:snapToGrid w:val="0"/>
              <w:spacing w:line="288" w:lineRule="auto"/>
              <w:jc w:val="left"/>
              <w:textAlignment w:val="auto"/>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p>
        </w:tc>
      </w:tr>
      <w:tr w14:paraId="6DE2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1" w:type="dxa"/>
            <w:vMerge w:val="restart"/>
            <w:vAlign w:val="center"/>
          </w:tcPr>
          <w:p w14:paraId="46D4DE52">
            <w:pPr>
              <w:keepNext w:val="0"/>
              <w:keepLines w:val="0"/>
              <w:pageBreakBefore w:val="0"/>
              <w:widowControl w:val="0"/>
              <w:kinsoku/>
              <w:wordWrap/>
              <w:overflowPunct/>
              <w:topLinePunct w:val="0"/>
              <w:bidi w:val="0"/>
              <w:adjustRightInd w:val="0"/>
              <w:snapToGrid w:val="0"/>
              <w:spacing w:line="288" w:lineRule="auto"/>
              <w:jc w:val="center"/>
              <w:textAlignment w:val="auto"/>
              <w:rPr>
                <w:rFonts w:ascii="宋体" w:hAnsi="宋体" w:eastAsia="宋体" w:cs="宋体"/>
                <w:b/>
                <w:bCs/>
                <w:szCs w:val="21"/>
              </w:rPr>
            </w:pPr>
            <w:r>
              <w:rPr>
                <w:rFonts w:hint="eastAsia" w:ascii="宋体" w:hAnsi="宋体" w:eastAsia="宋体" w:cs="宋体"/>
                <w:b/>
                <w:bCs/>
                <w:szCs w:val="21"/>
              </w:rPr>
              <w:t>服务团队</w:t>
            </w:r>
          </w:p>
        </w:tc>
        <w:tc>
          <w:tcPr>
            <w:tcW w:w="654" w:type="dxa"/>
            <w:shd w:val="clear" w:color="auto" w:fill="auto"/>
            <w:vAlign w:val="center"/>
          </w:tcPr>
          <w:p w14:paraId="563FBF05">
            <w:pPr>
              <w:keepNext w:val="0"/>
              <w:keepLines w:val="0"/>
              <w:pageBreakBefore w:val="0"/>
              <w:widowControl w:val="0"/>
              <w:kinsoku/>
              <w:wordWrap/>
              <w:overflowPunct/>
              <w:topLinePunct w:val="0"/>
              <w:bidi w:val="0"/>
              <w:adjustRightInd w:val="0"/>
              <w:snapToGrid w:val="0"/>
              <w:spacing w:line="288" w:lineRule="auto"/>
              <w:jc w:val="center"/>
              <w:textAlignment w:val="auto"/>
              <w:rPr>
                <w:rFonts w:ascii="宋体" w:hAnsi="宋体" w:eastAsia="宋体" w:cs="宋体"/>
                <w:b/>
                <w:bCs/>
                <w:szCs w:val="21"/>
              </w:rPr>
            </w:pPr>
            <w:r>
              <w:rPr>
                <w:rFonts w:hint="eastAsia" w:ascii="宋体" w:hAnsi="宋体" w:eastAsia="宋体" w:cs="宋体"/>
                <w:b/>
                <w:bCs/>
                <w:szCs w:val="21"/>
              </w:rPr>
              <w:t>5</w:t>
            </w:r>
          </w:p>
        </w:tc>
        <w:tc>
          <w:tcPr>
            <w:tcW w:w="7072" w:type="dxa"/>
            <w:shd w:val="clear" w:color="auto" w:fill="auto"/>
            <w:vAlign w:val="center"/>
          </w:tcPr>
          <w:p w14:paraId="04118431">
            <w:pPr>
              <w:keepNext w:val="0"/>
              <w:keepLines w:val="0"/>
              <w:pageBreakBefore w:val="0"/>
              <w:widowControl w:val="0"/>
              <w:kinsoku/>
              <w:wordWrap/>
              <w:overflowPunct/>
              <w:topLinePunct w:val="0"/>
              <w:bidi w:val="0"/>
              <w:adjustRightInd w:val="0"/>
              <w:snapToGrid w:val="0"/>
              <w:spacing w:line="288" w:lineRule="auto"/>
              <w:textAlignment w:val="auto"/>
              <w:rPr>
                <w:rFonts w:ascii="宋体" w:hAnsi="宋体" w:eastAsia="宋体" w:cs="宋体"/>
                <w:szCs w:val="21"/>
              </w:rPr>
            </w:pPr>
            <w:r>
              <w:rPr>
                <w:rFonts w:hint="eastAsia" w:ascii="宋体" w:hAnsi="宋体" w:eastAsia="宋体" w:cs="宋体"/>
                <w:szCs w:val="21"/>
              </w:rPr>
              <w:t>【客观分】</w:t>
            </w:r>
          </w:p>
          <w:p w14:paraId="5F6C1576">
            <w:pPr>
              <w:keepNext w:val="0"/>
              <w:keepLines w:val="0"/>
              <w:pageBreakBefore w:val="0"/>
              <w:widowControl w:val="0"/>
              <w:kinsoku/>
              <w:wordWrap/>
              <w:overflowPunct/>
              <w:topLinePunct w:val="0"/>
              <w:bidi w:val="0"/>
              <w:adjustRightInd w:val="0"/>
              <w:snapToGrid w:val="0"/>
              <w:spacing w:line="288" w:lineRule="auto"/>
              <w:textAlignment w:val="auto"/>
              <w:rPr>
                <w:rFonts w:ascii="宋体" w:hAnsi="宋体" w:eastAsia="宋体" w:cs="宋体"/>
                <w:szCs w:val="21"/>
              </w:rPr>
            </w:pPr>
            <w:r>
              <w:rPr>
                <w:rFonts w:hint="eastAsia" w:ascii="宋体" w:hAnsi="宋体" w:eastAsia="宋体" w:cs="宋体"/>
                <w:szCs w:val="21"/>
              </w:rPr>
              <w:t>驻点服务期间，工程师工作时间应与学校工作时间一致，非工作时间出现故障须进行解决，寒暑假期间须按照学校要求进行值班，节假日及双休日期间出现故障优先远程处理，若远程无法处理，须在故障发生后1小时内赶到现场进行解决，工作时间不得做与学校系统运维工作无关的工作。</w:t>
            </w:r>
          </w:p>
          <w:p w14:paraId="4D49B2EA">
            <w:pPr>
              <w:keepNext w:val="0"/>
              <w:keepLines w:val="0"/>
              <w:pageBreakBefore w:val="0"/>
              <w:widowControl w:val="0"/>
              <w:kinsoku/>
              <w:wordWrap/>
              <w:overflowPunct/>
              <w:topLinePunct w:val="0"/>
              <w:bidi w:val="0"/>
              <w:adjustRightInd w:val="0"/>
              <w:snapToGrid w:val="0"/>
              <w:spacing w:line="288" w:lineRule="auto"/>
              <w:textAlignment w:val="auto"/>
              <w:rPr>
                <w:rFonts w:ascii="宋体" w:hAnsi="宋体" w:eastAsia="宋体" w:cs="宋体"/>
                <w:szCs w:val="21"/>
              </w:rPr>
            </w:pPr>
            <w:r>
              <w:rPr>
                <w:rFonts w:hint="eastAsia" w:ascii="宋体" w:hAnsi="宋体" w:eastAsia="宋体" w:cs="宋体"/>
                <w:b/>
                <w:bCs/>
                <w:szCs w:val="21"/>
              </w:rPr>
              <w:t>投标人承诺满足上述内容的得5分，不满足或未提供承诺函（格式自拟）的不得分。</w:t>
            </w:r>
          </w:p>
        </w:tc>
      </w:tr>
      <w:tr w14:paraId="7A1F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1" w:type="dxa"/>
            <w:vMerge w:val="continue"/>
            <w:vAlign w:val="center"/>
          </w:tcPr>
          <w:p w14:paraId="7CFC1722">
            <w:pPr>
              <w:keepNext w:val="0"/>
              <w:keepLines w:val="0"/>
              <w:pageBreakBefore w:val="0"/>
              <w:widowControl w:val="0"/>
              <w:kinsoku/>
              <w:wordWrap/>
              <w:overflowPunct/>
              <w:topLinePunct w:val="0"/>
              <w:bidi w:val="0"/>
              <w:adjustRightInd w:val="0"/>
              <w:snapToGrid w:val="0"/>
              <w:spacing w:line="288" w:lineRule="auto"/>
              <w:jc w:val="center"/>
              <w:textAlignment w:val="auto"/>
              <w:rPr>
                <w:rFonts w:ascii="宋体" w:hAnsi="宋体" w:eastAsia="宋体" w:cs="宋体"/>
                <w:b/>
                <w:bCs/>
                <w:szCs w:val="21"/>
              </w:rPr>
            </w:pPr>
          </w:p>
        </w:tc>
        <w:tc>
          <w:tcPr>
            <w:tcW w:w="654" w:type="dxa"/>
            <w:shd w:val="clear" w:color="auto" w:fill="auto"/>
            <w:vAlign w:val="center"/>
          </w:tcPr>
          <w:p w14:paraId="192324CF">
            <w:pPr>
              <w:keepNext w:val="0"/>
              <w:keepLines w:val="0"/>
              <w:pageBreakBefore w:val="0"/>
              <w:widowControl w:val="0"/>
              <w:kinsoku/>
              <w:wordWrap/>
              <w:overflowPunct/>
              <w:topLinePunct w:val="0"/>
              <w:bidi w:val="0"/>
              <w:adjustRightInd w:val="0"/>
              <w:snapToGrid w:val="0"/>
              <w:spacing w:line="288" w:lineRule="auto"/>
              <w:jc w:val="center"/>
              <w:textAlignment w:val="auto"/>
              <w:rPr>
                <w:rFonts w:ascii="宋体" w:hAnsi="宋体" w:eastAsia="宋体" w:cs="宋体"/>
                <w:b/>
                <w:bCs/>
                <w:szCs w:val="21"/>
              </w:rPr>
            </w:pPr>
            <w:r>
              <w:rPr>
                <w:rFonts w:hint="eastAsia" w:ascii="宋体" w:hAnsi="宋体" w:eastAsia="宋体" w:cs="宋体"/>
                <w:b/>
                <w:bCs/>
                <w:szCs w:val="21"/>
              </w:rPr>
              <w:t>5</w:t>
            </w:r>
          </w:p>
        </w:tc>
        <w:tc>
          <w:tcPr>
            <w:tcW w:w="7072" w:type="dxa"/>
            <w:shd w:val="clear" w:color="auto" w:fill="auto"/>
            <w:vAlign w:val="center"/>
          </w:tcPr>
          <w:p w14:paraId="7E04FD07">
            <w:pPr>
              <w:keepNext w:val="0"/>
              <w:keepLines w:val="0"/>
              <w:pageBreakBefore w:val="0"/>
              <w:widowControl w:val="0"/>
              <w:kinsoku/>
              <w:wordWrap/>
              <w:overflowPunct/>
              <w:topLinePunct w:val="0"/>
              <w:bidi w:val="0"/>
              <w:adjustRightInd w:val="0"/>
              <w:snapToGrid w:val="0"/>
              <w:spacing w:line="288" w:lineRule="auto"/>
              <w:textAlignment w:val="auto"/>
              <w:rPr>
                <w:rFonts w:ascii="宋体" w:hAnsi="宋体" w:eastAsia="宋体" w:cs="宋体"/>
                <w:szCs w:val="21"/>
              </w:rPr>
            </w:pPr>
            <w:r>
              <w:rPr>
                <w:rFonts w:hint="eastAsia" w:ascii="宋体" w:hAnsi="宋体" w:eastAsia="宋体" w:cs="宋体"/>
                <w:szCs w:val="21"/>
              </w:rPr>
              <w:t>【客观分】</w:t>
            </w:r>
          </w:p>
          <w:p w14:paraId="05DDD19C">
            <w:pPr>
              <w:keepNext w:val="0"/>
              <w:keepLines w:val="0"/>
              <w:pageBreakBefore w:val="0"/>
              <w:widowControl w:val="0"/>
              <w:numPr>
                <w:ilvl w:val="0"/>
                <w:numId w:val="5"/>
              </w:numPr>
              <w:kinsoku/>
              <w:wordWrap/>
              <w:overflowPunct/>
              <w:topLinePunct w:val="0"/>
              <w:bidi w:val="0"/>
              <w:adjustRightInd w:val="0"/>
              <w:snapToGrid w:val="0"/>
              <w:spacing w:line="288" w:lineRule="auto"/>
              <w:textAlignment w:val="auto"/>
              <w:rPr>
                <w:rFonts w:ascii="宋体" w:hAnsi="宋体" w:eastAsia="宋体" w:cs="宋体"/>
                <w:szCs w:val="21"/>
              </w:rPr>
            </w:pPr>
            <w:r>
              <w:rPr>
                <w:rFonts w:ascii="宋体" w:hAnsi="宋体" w:eastAsia="宋体" w:cs="宋体"/>
                <w:szCs w:val="21"/>
              </w:rPr>
              <w:t>工程师信息需在学校进行备案，服务期间，未经学校同意不得随意更换人员。</w:t>
            </w:r>
          </w:p>
          <w:p w14:paraId="3D5CBF0B">
            <w:pPr>
              <w:keepNext w:val="0"/>
              <w:keepLines w:val="0"/>
              <w:pageBreakBefore w:val="0"/>
              <w:widowControl w:val="0"/>
              <w:numPr>
                <w:ilvl w:val="0"/>
                <w:numId w:val="5"/>
              </w:numPr>
              <w:kinsoku/>
              <w:wordWrap/>
              <w:overflowPunct/>
              <w:topLinePunct w:val="0"/>
              <w:bidi w:val="0"/>
              <w:adjustRightInd w:val="0"/>
              <w:snapToGrid w:val="0"/>
              <w:spacing w:line="288" w:lineRule="auto"/>
              <w:textAlignment w:val="auto"/>
              <w:rPr>
                <w:rFonts w:ascii="宋体" w:hAnsi="宋体" w:eastAsia="宋体" w:cs="宋体"/>
                <w:szCs w:val="21"/>
              </w:rPr>
            </w:pPr>
            <w:r>
              <w:rPr>
                <w:rFonts w:ascii="宋体" w:hAnsi="宋体" w:eastAsia="宋体" w:cs="宋体"/>
                <w:szCs w:val="21"/>
              </w:rPr>
              <w:t>为保证服务具备可持续性，驻点工程师应设立AB岗，工程师因病因事短期请假，需提前一天向学校申请，学校同意后可临时更换人员，更换人员要求熟悉学校环境、与原驻点工程师技术相当</w:t>
            </w:r>
            <w:r>
              <w:rPr>
                <w:rFonts w:hint="eastAsia" w:ascii="宋体" w:hAnsi="宋体" w:eastAsia="宋体" w:cs="宋体"/>
                <w:szCs w:val="21"/>
              </w:rPr>
              <w:t>。</w:t>
            </w:r>
          </w:p>
          <w:p w14:paraId="3195FA76">
            <w:pPr>
              <w:keepNext w:val="0"/>
              <w:keepLines w:val="0"/>
              <w:pageBreakBefore w:val="0"/>
              <w:widowControl w:val="0"/>
              <w:kinsoku/>
              <w:wordWrap/>
              <w:overflowPunct/>
              <w:topLinePunct w:val="0"/>
              <w:bidi w:val="0"/>
              <w:adjustRightInd w:val="0"/>
              <w:snapToGrid w:val="0"/>
              <w:spacing w:line="288" w:lineRule="auto"/>
              <w:textAlignment w:val="auto"/>
              <w:rPr>
                <w:rFonts w:ascii="宋体" w:hAnsi="宋体" w:eastAsia="宋体" w:cs="宋体"/>
                <w:szCs w:val="21"/>
              </w:rPr>
            </w:pPr>
            <w:r>
              <w:rPr>
                <w:rFonts w:hint="eastAsia" w:ascii="宋体" w:hAnsi="宋体" w:eastAsia="宋体" w:cs="宋体"/>
                <w:b/>
                <w:bCs/>
                <w:szCs w:val="21"/>
              </w:rPr>
              <w:t>投标人承诺满足上述内容的得5分，不满足或未提供承诺函（格式自拟）的不得分。</w:t>
            </w:r>
          </w:p>
        </w:tc>
      </w:tr>
      <w:tr w14:paraId="3B9E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1" w:type="dxa"/>
            <w:vMerge w:val="continue"/>
            <w:vAlign w:val="center"/>
          </w:tcPr>
          <w:p w14:paraId="66C1D666">
            <w:pPr>
              <w:keepNext w:val="0"/>
              <w:keepLines w:val="0"/>
              <w:pageBreakBefore w:val="0"/>
              <w:widowControl w:val="0"/>
              <w:kinsoku/>
              <w:wordWrap/>
              <w:overflowPunct/>
              <w:topLinePunct w:val="0"/>
              <w:bidi w:val="0"/>
              <w:adjustRightInd w:val="0"/>
              <w:snapToGrid w:val="0"/>
              <w:spacing w:line="288" w:lineRule="auto"/>
              <w:jc w:val="center"/>
              <w:textAlignment w:val="auto"/>
              <w:rPr>
                <w:rFonts w:ascii="宋体" w:hAnsi="宋体" w:eastAsia="宋体" w:cs="宋体"/>
                <w:b/>
                <w:bCs/>
                <w:szCs w:val="21"/>
              </w:rPr>
            </w:pPr>
          </w:p>
        </w:tc>
        <w:tc>
          <w:tcPr>
            <w:tcW w:w="654" w:type="dxa"/>
            <w:shd w:val="clear" w:color="auto" w:fill="auto"/>
            <w:vAlign w:val="center"/>
          </w:tcPr>
          <w:p w14:paraId="57B73098">
            <w:pPr>
              <w:keepNext w:val="0"/>
              <w:keepLines w:val="0"/>
              <w:pageBreakBefore w:val="0"/>
              <w:widowControl w:val="0"/>
              <w:kinsoku/>
              <w:wordWrap/>
              <w:overflowPunct/>
              <w:topLinePunct w:val="0"/>
              <w:bidi w:val="0"/>
              <w:adjustRightInd w:val="0"/>
              <w:snapToGrid w:val="0"/>
              <w:spacing w:line="288" w:lineRule="auto"/>
              <w:jc w:val="center"/>
              <w:textAlignment w:val="auto"/>
              <w:rPr>
                <w:rFonts w:ascii="宋体" w:hAnsi="宋体" w:eastAsia="宋体" w:cs="宋体"/>
                <w:b/>
                <w:bCs/>
                <w:szCs w:val="21"/>
              </w:rPr>
            </w:pPr>
            <w:r>
              <w:rPr>
                <w:rFonts w:hint="eastAsia" w:ascii="宋体" w:hAnsi="宋体" w:eastAsia="宋体" w:cs="宋体"/>
                <w:b/>
                <w:bCs/>
                <w:szCs w:val="21"/>
              </w:rPr>
              <w:t>5</w:t>
            </w:r>
          </w:p>
        </w:tc>
        <w:tc>
          <w:tcPr>
            <w:tcW w:w="7072" w:type="dxa"/>
            <w:shd w:val="clear" w:color="auto" w:fill="auto"/>
            <w:vAlign w:val="center"/>
          </w:tcPr>
          <w:p w14:paraId="3AFF7A47">
            <w:pPr>
              <w:keepNext w:val="0"/>
              <w:keepLines w:val="0"/>
              <w:pageBreakBefore w:val="0"/>
              <w:widowControl w:val="0"/>
              <w:kinsoku/>
              <w:wordWrap/>
              <w:overflowPunct/>
              <w:topLinePunct w:val="0"/>
              <w:bidi w:val="0"/>
              <w:adjustRightInd w:val="0"/>
              <w:snapToGrid w:val="0"/>
              <w:spacing w:line="288" w:lineRule="auto"/>
              <w:textAlignment w:val="auto"/>
              <w:rPr>
                <w:rFonts w:ascii="宋体" w:hAnsi="宋体" w:eastAsia="宋体" w:cs="宋体"/>
                <w:szCs w:val="21"/>
              </w:rPr>
            </w:pPr>
            <w:r>
              <w:rPr>
                <w:rFonts w:hint="eastAsia" w:ascii="宋体" w:hAnsi="宋体" w:eastAsia="宋体" w:cs="宋体"/>
                <w:szCs w:val="21"/>
              </w:rPr>
              <w:t>【客观分】</w:t>
            </w:r>
          </w:p>
          <w:p w14:paraId="7FE99A00">
            <w:pPr>
              <w:keepNext w:val="0"/>
              <w:keepLines w:val="0"/>
              <w:pageBreakBefore w:val="0"/>
              <w:widowControl w:val="0"/>
              <w:kinsoku/>
              <w:wordWrap/>
              <w:overflowPunct/>
              <w:topLinePunct w:val="0"/>
              <w:bidi w:val="0"/>
              <w:adjustRightInd w:val="0"/>
              <w:snapToGrid w:val="0"/>
              <w:spacing w:line="288" w:lineRule="auto"/>
              <w:textAlignment w:val="auto"/>
              <w:rPr>
                <w:rFonts w:ascii="宋体" w:hAnsi="宋体" w:eastAsia="宋体" w:cs="宋体"/>
                <w:szCs w:val="21"/>
              </w:rPr>
            </w:pPr>
            <w:r>
              <w:rPr>
                <w:rFonts w:ascii="宋体" w:hAnsi="宋体" w:eastAsia="宋体" w:cs="宋体"/>
                <w:szCs w:val="21"/>
              </w:rPr>
              <w:t>在其他学校业务高峰期（如开学、重要活动等）根据学校需要额外再增加1至2名技术相当的服务工程师。</w:t>
            </w:r>
          </w:p>
          <w:p w14:paraId="01FB331B">
            <w:pPr>
              <w:keepNext w:val="0"/>
              <w:keepLines w:val="0"/>
              <w:pageBreakBefore w:val="0"/>
              <w:widowControl w:val="0"/>
              <w:kinsoku/>
              <w:wordWrap/>
              <w:overflowPunct/>
              <w:topLinePunct w:val="0"/>
              <w:bidi w:val="0"/>
              <w:adjustRightInd w:val="0"/>
              <w:snapToGrid w:val="0"/>
              <w:spacing w:line="288" w:lineRule="auto"/>
              <w:textAlignment w:val="auto"/>
              <w:rPr>
                <w:rFonts w:ascii="宋体" w:hAnsi="宋体" w:eastAsia="宋体" w:cs="宋体"/>
                <w:szCs w:val="21"/>
              </w:rPr>
            </w:pPr>
            <w:r>
              <w:rPr>
                <w:rFonts w:hint="eastAsia" w:ascii="宋体" w:hAnsi="宋体" w:eastAsia="宋体" w:cs="宋体"/>
                <w:b/>
                <w:bCs/>
                <w:szCs w:val="21"/>
              </w:rPr>
              <w:t>投标人承诺满足上述内容的得5分，不满足或未提供承诺函（格式自拟）的不得分。</w:t>
            </w:r>
          </w:p>
        </w:tc>
      </w:tr>
      <w:tr w14:paraId="5FF3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1" w:type="dxa"/>
            <w:vMerge w:val="continue"/>
            <w:vAlign w:val="center"/>
          </w:tcPr>
          <w:p w14:paraId="1782C0BD">
            <w:pPr>
              <w:keepNext w:val="0"/>
              <w:keepLines w:val="0"/>
              <w:pageBreakBefore w:val="0"/>
              <w:widowControl w:val="0"/>
              <w:kinsoku/>
              <w:wordWrap/>
              <w:overflowPunct/>
              <w:topLinePunct w:val="0"/>
              <w:bidi w:val="0"/>
              <w:adjustRightInd w:val="0"/>
              <w:snapToGrid w:val="0"/>
              <w:spacing w:line="288" w:lineRule="auto"/>
              <w:jc w:val="center"/>
              <w:textAlignment w:val="auto"/>
              <w:rPr>
                <w:rFonts w:ascii="宋体" w:hAnsi="宋体" w:eastAsia="宋体" w:cs="宋体"/>
                <w:b/>
                <w:bCs/>
                <w:szCs w:val="21"/>
              </w:rPr>
            </w:pPr>
          </w:p>
        </w:tc>
        <w:tc>
          <w:tcPr>
            <w:tcW w:w="654" w:type="dxa"/>
            <w:shd w:val="clear" w:color="auto" w:fill="auto"/>
            <w:vAlign w:val="center"/>
          </w:tcPr>
          <w:p w14:paraId="3E49FB1B">
            <w:pPr>
              <w:keepNext w:val="0"/>
              <w:keepLines w:val="0"/>
              <w:pageBreakBefore w:val="0"/>
              <w:widowControl w:val="0"/>
              <w:kinsoku/>
              <w:wordWrap/>
              <w:overflowPunct/>
              <w:topLinePunct w:val="0"/>
              <w:bidi w:val="0"/>
              <w:adjustRightInd w:val="0"/>
              <w:snapToGrid w:val="0"/>
              <w:spacing w:line="288" w:lineRule="auto"/>
              <w:jc w:val="center"/>
              <w:textAlignment w:val="auto"/>
              <w:rPr>
                <w:rFonts w:ascii="宋体" w:hAnsi="宋体" w:eastAsia="宋体" w:cs="宋体"/>
                <w:b/>
                <w:bCs/>
                <w:szCs w:val="21"/>
              </w:rPr>
            </w:pPr>
            <w:r>
              <w:rPr>
                <w:rFonts w:hint="eastAsia" w:ascii="宋体" w:hAnsi="宋体" w:eastAsia="宋体" w:cs="宋体"/>
                <w:b/>
                <w:bCs/>
                <w:szCs w:val="21"/>
              </w:rPr>
              <w:t>4</w:t>
            </w:r>
          </w:p>
        </w:tc>
        <w:tc>
          <w:tcPr>
            <w:tcW w:w="7072" w:type="dxa"/>
            <w:shd w:val="clear" w:color="auto" w:fill="auto"/>
            <w:vAlign w:val="center"/>
          </w:tcPr>
          <w:p w14:paraId="71AA6103">
            <w:pPr>
              <w:keepNext w:val="0"/>
              <w:keepLines w:val="0"/>
              <w:pageBreakBefore w:val="0"/>
              <w:widowControl w:val="0"/>
              <w:kinsoku/>
              <w:wordWrap/>
              <w:overflowPunct/>
              <w:topLinePunct w:val="0"/>
              <w:bidi w:val="0"/>
              <w:adjustRightInd w:val="0"/>
              <w:snapToGrid w:val="0"/>
              <w:spacing w:line="288" w:lineRule="auto"/>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【客观分】</w:t>
            </w:r>
          </w:p>
          <w:p w14:paraId="5E7E6481">
            <w:pPr>
              <w:keepNext w:val="0"/>
              <w:keepLines w:val="0"/>
              <w:pageBreakBefore w:val="0"/>
              <w:widowControl w:val="0"/>
              <w:kinsoku/>
              <w:wordWrap/>
              <w:overflowPunct/>
              <w:topLinePunct w:val="0"/>
              <w:bidi w:val="0"/>
              <w:adjustRightInd w:val="0"/>
              <w:snapToGrid w:val="0"/>
              <w:spacing w:line="288" w:lineRule="auto"/>
              <w:textAlignment w:val="auto"/>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提供1名驻点工程师：</w:t>
            </w:r>
          </w:p>
          <w:p w14:paraId="1A05CF8A">
            <w:pPr>
              <w:keepNext w:val="0"/>
              <w:keepLines w:val="0"/>
              <w:pageBreakBefore w:val="0"/>
              <w:widowControl w:val="0"/>
              <w:kinsoku/>
              <w:wordWrap/>
              <w:overflowPunct/>
              <w:topLinePunct w:val="0"/>
              <w:bidi w:val="0"/>
              <w:adjustRightInd w:val="0"/>
              <w:snapToGrid w:val="0"/>
              <w:spacing w:line="288" w:lineRule="auto"/>
              <w:textAlignment w:val="auto"/>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驻点工程师具备5年以上系统集成项目建设或运维工作经验，并拥有</w:t>
            </w:r>
            <w:r>
              <w:rPr>
                <w:rFonts w:hint="eastAsia" w:ascii="宋体" w:hAnsi="宋体" w:eastAsia="宋体" w:cs="宋体"/>
                <w:color w:val="000000" w:themeColor="text1"/>
                <w:szCs w:val="21"/>
                <w14:textFill>
                  <w14:solidFill>
                    <w14:schemeClr w14:val="tx1"/>
                  </w14:solidFill>
                </w14:textFill>
              </w:rPr>
              <w:t>网络工程师或网络规划设计师</w:t>
            </w:r>
            <w:r>
              <w:rPr>
                <w:rFonts w:hint="eastAsia" w:ascii="Times New Roman" w:hAnsi="Times New Roman" w:eastAsia="宋体" w:cs="Times New Roman"/>
                <w:color w:val="000000" w:themeColor="text1"/>
                <w14:textFill>
                  <w14:solidFill>
                    <w14:schemeClr w14:val="tx1"/>
                  </w14:solidFill>
                </w14:textFill>
              </w:rPr>
              <w:t>证书</w:t>
            </w:r>
            <w:r>
              <w:rPr>
                <w:rFonts w:hint="eastAsia" w:ascii="宋体" w:hAnsi="宋体" w:eastAsia="宋体" w:cs="宋体"/>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计算机技术与软件专业技术资格证书</w:t>
            </w:r>
            <w:r>
              <w:rPr>
                <w:rFonts w:hint="eastAsia" w:ascii="宋体" w:hAnsi="宋体" w:eastAsia="宋体" w:cs="宋体"/>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，得4分。</w:t>
            </w:r>
          </w:p>
          <w:p w14:paraId="6E28675A">
            <w:pPr>
              <w:keepNext w:val="0"/>
              <w:keepLines w:val="0"/>
              <w:pageBreakBefore w:val="0"/>
              <w:widowControl w:val="0"/>
              <w:kinsoku/>
              <w:wordWrap/>
              <w:overflowPunct/>
              <w:topLinePunct w:val="0"/>
              <w:bidi w:val="0"/>
              <w:adjustRightInd w:val="0"/>
              <w:snapToGrid w:val="0"/>
              <w:spacing w:line="288" w:lineRule="auto"/>
              <w:textAlignment w:val="auto"/>
              <w:rPr>
                <w:rFonts w:ascii="Times New Roman" w:hAnsi="Times New Roman" w:eastAsia="宋体" w:cs="Times New Roman"/>
              </w:rPr>
            </w:pPr>
            <w:r>
              <w:rPr>
                <w:rFonts w:hint="eastAsia" w:ascii="Times New Roman" w:hAnsi="Times New Roman" w:eastAsia="宋体" w:cs="Times New Roman"/>
                <w:color w:val="000000" w:themeColor="text1"/>
                <w14:textFill>
                  <w14:solidFill>
                    <w14:schemeClr w14:val="tx1"/>
                  </w14:solidFill>
                </w14:textFill>
              </w:rPr>
              <w:t>注：提供人员履历（格式自拟）、人员证书、投标人为其</w:t>
            </w:r>
            <w:r>
              <w:rPr>
                <w:rFonts w:hint="eastAsia" w:ascii="宋体" w:hAnsi="宋体" w:eastAsia="宋体"/>
                <w:color w:val="000000" w:themeColor="text1"/>
                <w:szCs w:val="21"/>
                <w14:textFill>
                  <w14:solidFill>
                    <w14:schemeClr w14:val="tx1"/>
                  </w14:solidFill>
                </w14:textFill>
              </w:rPr>
              <w:t>缴纳社保证明（2025年1月（含）</w:t>
            </w:r>
            <w:r>
              <w:rPr>
                <w:rFonts w:ascii="宋体" w:hAnsi="宋体" w:eastAsia="宋体"/>
                <w:color w:val="000000" w:themeColor="text1"/>
                <w:szCs w:val="21"/>
                <w14:textFill>
                  <w14:solidFill>
                    <w14:schemeClr w14:val="tx1"/>
                  </w14:solidFill>
                </w14:textFill>
              </w:rPr>
              <w:t>以后任意一月）</w:t>
            </w:r>
          </w:p>
        </w:tc>
      </w:tr>
      <w:tr w14:paraId="78E1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1" w:type="dxa"/>
            <w:vMerge w:val="continue"/>
            <w:vAlign w:val="center"/>
          </w:tcPr>
          <w:p w14:paraId="48653AE8">
            <w:pPr>
              <w:keepNext w:val="0"/>
              <w:keepLines w:val="0"/>
              <w:pageBreakBefore w:val="0"/>
              <w:widowControl w:val="0"/>
              <w:kinsoku/>
              <w:wordWrap/>
              <w:overflowPunct/>
              <w:topLinePunct w:val="0"/>
              <w:bidi w:val="0"/>
              <w:adjustRightInd w:val="0"/>
              <w:snapToGrid w:val="0"/>
              <w:spacing w:line="288" w:lineRule="auto"/>
              <w:jc w:val="center"/>
              <w:textAlignment w:val="auto"/>
              <w:rPr>
                <w:rFonts w:ascii="宋体" w:hAnsi="宋体" w:eastAsia="宋体" w:cs="宋体"/>
                <w:b/>
                <w:bCs/>
                <w:szCs w:val="21"/>
              </w:rPr>
            </w:pPr>
          </w:p>
        </w:tc>
        <w:tc>
          <w:tcPr>
            <w:tcW w:w="654" w:type="dxa"/>
            <w:shd w:val="clear" w:color="auto" w:fill="auto"/>
            <w:vAlign w:val="center"/>
          </w:tcPr>
          <w:p w14:paraId="5D7C41B2">
            <w:pPr>
              <w:keepNext w:val="0"/>
              <w:keepLines w:val="0"/>
              <w:pageBreakBefore w:val="0"/>
              <w:widowControl w:val="0"/>
              <w:kinsoku/>
              <w:wordWrap/>
              <w:overflowPunct/>
              <w:topLinePunct w:val="0"/>
              <w:bidi w:val="0"/>
              <w:adjustRightInd w:val="0"/>
              <w:snapToGrid w:val="0"/>
              <w:spacing w:line="288" w:lineRule="auto"/>
              <w:jc w:val="center"/>
              <w:textAlignment w:val="auto"/>
              <w:rPr>
                <w:rFonts w:ascii="宋体" w:hAnsi="宋体" w:eastAsia="宋体" w:cs="宋体"/>
                <w:b/>
                <w:bCs/>
                <w:szCs w:val="21"/>
              </w:rPr>
            </w:pPr>
            <w:r>
              <w:rPr>
                <w:rFonts w:hint="eastAsia" w:ascii="宋体" w:hAnsi="宋体" w:eastAsia="宋体" w:cs="宋体"/>
                <w:b/>
                <w:bCs/>
                <w:szCs w:val="21"/>
              </w:rPr>
              <w:t>3</w:t>
            </w:r>
          </w:p>
        </w:tc>
        <w:tc>
          <w:tcPr>
            <w:tcW w:w="7072" w:type="dxa"/>
            <w:shd w:val="clear" w:color="auto" w:fill="auto"/>
            <w:vAlign w:val="center"/>
          </w:tcPr>
          <w:p w14:paraId="2B22F387">
            <w:pPr>
              <w:keepNext w:val="0"/>
              <w:keepLines w:val="0"/>
              <w:pageBreakBefore w:val="0"/>
              <w:widowControl w:val="0"/>
              <w:kinsoku/>
              <w:wordWrap/>
              <w:overflowPunct/>
              <w:topLinePunct w:val="0"/>
              <w:bidi w:val="0"/>
              <w:adjustRightInd w:val="0"/>
              <w:snapToGrid w:val="0"/>
              <w:spacing w:line="288" w:lineRule="auto"/>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【客观分】</w:t>
            </w:r>
          </w:p>
          <w:p w14:paraId="0C7CB068">
            <w:pPr>
              <w:keepNext w:val="0"/>
              <w:keepLines w:val="0"/>
              <w:pageBreakBefore w:val="0"/>
              <w:widowControl w:val="0"/>
              <w:kinsoku/>
              <w:wordWrap/>
              <w:overflowPunct/>
              <w:topLinePunct w:val="0"/>
              <w:bidi w:val="0"/>
              <w:spacing w:line="288" w:lineRule="auto"/>
              <w:textAlignment w:val="auto"/>
              <w:rPr>
                <w:rFonts w:ascii="Times New Roman" w:hAnsi="Times New Roman" w:eastAsia="宋体" w:cs="Times New Roman"/>
              </w:rPr>
            </w:pPr>
            <w:r>
              <w:rPr>
                <w:rFonts w:hint="eastAsia" w:ascii="Times New Roman" w:hAnsi="Times New Roman" w:eastAsia="宋体" w:cs="Times New Roman"/>
              </w:rPr>
              <w:t>服务团队</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不含驻点工程师</w:t>
            </w:r>
            <w:r>
              <w:rPr>
                <w:rFonts w:hint="eastAsia" w:ascii="Times New Roman" w:hAnsi="Times New Roman" w:eastAsia="宋体" w:cs="Times New Roman"/>
                <w:lang w:eastAsia="zh-CN"/>
              </w:rPr>
              <w:t>）：</w:t>
            </w:r>
            <w:r>
              <w:rPr>
                <w:rFonts w:hint="eastAsia" w:ascii="Times New Roman" w:hAnsi="Times New Roman" w:eastAsia="宋体" w:cs="Times New Roman"/>
              </w:rPr>
              <w:t>具备</w:t>
            </w:r>
            <w:r>
              <w:rPr>
                <w:rFonts w:ascii="Times New Roman" w:hAnsi="Times New Roman" w:eastAsia="宋体" w:cs="Times New Roman"/>
              </w:rPr>
              <w:t>3年及以上运维服务工作经历，</w:t>
            </w:r>
            <w:r>
              <w:rPr>
                <w:rFonts w:hint="eastAsia" w:ascii="Times New Roman" w:hAnsi="Times New Roman" w:eastAsia="宋体" w:cs="Times New Roman"/>
              </w:rPr>
              <w:t>并</w:t>
            </w:r>
            <w:r>
              <w:rPr>
                <w:rFonts w:ascii="Times New Roman" w:hAnsi="Times New Roman" w:eastAsia="宋体" w:cs="Times New Roman"/>
              </w:rPr>
              <w:t>具</w:t>
            </w:r>
            <w:r>
              <w:rPr>
                <w:rFonts w:hint="eastAsia" w:ascii="Times New Roman" w:hAnsi="Times New Roman" w:eastAsia="宋体" w:cs="Times New Roman"/>
              </w:rPr>
              <w:t>有</w:t>
            </w:r>
            <w:r>
              <w:rPr>
                <w:rFonts w:ascii="Times New Roman" w:hAnsi="Times New Roman" w:eastAsia="宋体" w:cs="Times New Roman"/>
              </w:rPr>
              <w:t>网络工程师</w:t>
            </w:r>
            <w:r>
              <w:rPr>
                <w:rFonts w:hint="eastAsia" w:ascii="Times New Roman" w:hAnsi="Times New Roman" w:eastAsia="宋体" w:cs="Times New Roman"/>
                <w:lang w:val="en-US" w:eastAsia="zh-CN"/>
              </w:rPr>
              <w:t>或</w:t>
            </w:r>
            <w:r>
              <w:rPr>
                <w:rFonts w:ascii="Times New Roman" w:hAnsi="Times New Roman" w:eastAsia="宋体" w:cs="Times New Roman"/>
              </w:rPr>
              <w:t>信息安全工程师</w:t>
            </w:r>
            <w:r>
              <w:rPr>
                <w:rFonts w:hint="eastAsia" w:ascii="Times New Roman" w:hAnsi="Times New Roman" w:eastAsia="宋体" w:cs="Times New Roman"/>
                <w:lang w:val="en-US" w:eastAsia="zh-CN"/>
              </w:rPr>
              <w:t>或</w:t>
            </w:r>
            <w:r>
              <w:rPr>
                <w:rFonts w:ascii="Times New Roman" w:hAnsi="Times New Roman" w:eastAsia="宋体" w:cs="Times New Roman"/>
              </w:rPr>
              <w:t>系统集成项目管理</w:t>
            </w:r>
            <w:r>
              <w:rPr>
                <w:rFonts w:hint="eastAsia" w:ascii="Times New Roman" w:hAnsi="Times New Roman" w:eastAsia="宋体" w:cs="Times New Roman"/>
                <w:lang w:val="en-US" w:eastAsia="zh-CN"/>
              </w:rPr>
              <w:t>工程</w:t>
            </w:r>
            <w:r>
              <w:rPr>
                <w:rFonts w:ascii="Times New Roman" w:hAnsi="Times New Roman" w:eastAsia="宋体" w:cs="Times New Roman"/>
              </w:rPr>
              <w:t>师</w:t>
            </w:r>
            <w:r>
              <w:rPr>
                <w:rFonts w:hint="eastAsia" w:ascii="Times New Roman" w:hAnsi="Times New Roman" w:eastAsia="宋体" w:cs="Times New Roman"/>
                <w:lang w:val="en-US" w:eastAsia="zh-CN"/>
              </w:rPr>
              <w:t>或</w:t>
            </w:r>
            <w:r>
              <w:rPr>
                <w:rFonts w:ascii="Times New Roman" w:hAnsi="Times New Roman" w:eastAsia="宋体" w:cs="Times New Roman"/>
              </w:rPr>
              <w:t>系统分析师</w:t>
            </w:r>
            <w:r>
              <w:rPr>
                <w:rFonts w:hint="eastAsia" w:ascii="Times New Roman" w:hAnsi="Times New Roman" w:eastAsia="宋体" w:cs="Times New Roman"/>
                <w:lang w:val="en-US" w:eastAsia="zh-CN"/>
              </w:rPr>
              <w:t>或</w:t>
            </w:r>
            <w:r>
              <w:rPr>
                <w:rFonts w:ascii="Times New Roman" w:hAnsi="Times New Roman" w:eastAsia="宋体" w:cs="Times New Roman"/>
              </w:rPr>
              <w:t>系统架构设计师</w:t>
            </w:r>
            <w:r>
              <w:rPr>
                <w:rFonts w:hint="eastAsia" w:ascii="Times New Roman" w:hAnsi="Times New Roman" w:eastAsia="宋体" w:cs="Times New Roman"/>
                <w:lang w:val="en-US" w:eastAsia="zh-CN"/>
              </w:rPr>
              <w:t>或</w:t>
            </w:r>
            <w:r>
              <w:rPr>
                <w:rFonts w:ascii="Times New Roman" w:hAnsi="Times New Roman" w:eastAsia="宋体" w:cs="Times New Roman"/>
              </w:rPr>
              <w:t>网络规划设计师</w:t>
            </w:r>
            <w:r>
              <w:rPr>
                <w:rFonts w:hint="eastAsia" w:ascii="Times New Roman" w:hAnsi="Times New Roman" w:eastAsia="宋体" w:cs="Times New Roman"/>
                <w:lang w:val="en-US" w:eastAsia="zh-CN"/>
              </w:rPr>
              <w:t>或</w:t>
            </w:r>
            <w:r>
              <w:rPr>
                <w:rFonts w:ascii="Times New Roman" w:hAnsi="Times New Roman" w:eastAsia="宋体" w:cs="Times New Roman"/>
              </w:rPr>
              <w:t>系统规划与管理师（计算机技术与软件专业技术资格）证书。</w:t>
            </w:r>
          </w:p>
          <w:p w14:paraId="02B4ED87">
            <w:pPr>
              <w:keepNext w:val="0"/>
              <w:keepLines w:val="0"/>
              <w:pageBreakBefore w:val="0"/>
              <w:widowControl w:val="0"/>
              <w:kinsoku/>
              <w:wordWrap/>
              <w:overflowPunct/>
              <w:topLinePunct w:val="0"/>
              <w:bidi w:val="0"/>
              <w:spacing w:line="288" w:lineRule="auto"/>
              <w:textAlignment w:val="auto"/>
              <w:rPr>
                <w:rFonts w:ascii="Times New Roman" w:hAnsi="Times New Roman" w:eastAsia="宋体" w:cs="Times New Roman"/>
              </w:rPr>
            </w:pPr>
            <w:r>
              <w:rPr>
                <w:rFonts w:hint="eastAsia" w:ascii="Times New Roman" w:hAnsi="Times New Roman" w:eastAsia="宋体" w:cs="Times New Roman"/>
              </w:rPr>
              <w:t>每有</w:t>
            </w:r>
            <w:r>
              <w:rPr>
                <w:rFonts w:ascii="Times New Roman" w:hAnsi="Times New Roman" w:eastAsia="宋体" w:cs="Times New Roman"/>
              </w:rPr>
              <w:t>1</w:t>
            </w:r>
            <w:r>
              <w:rPr>
                <w:rFonts w:hint="eastAsia" w:ascii="Times New Roman" w:hAnsi="Times New Roman" w:eastAsia="宋体" w:cs="Times New Roman"/>
              </w:rPr>
              <w:t>个工程师</w:t>
            </w:r>
            <w:r>
              <w:rPr>
                <w:rFonts w:hint="eastAsia" w:ascii="Times New Roman" w:hAnsi="Times New Roman" w:eastAsia="宋体" w:cs="Times New Roman"/>
                <w:lang w:val="en-US" w:eastAsia="zh-CN"/>
              </w:rPr>
              <w:t>工作经历满足上述要求且</w:t>
            </w:r>
            <w:r>
              <w:rPr>
                <w:rFonts w:ascii="Times New Roman" w:hAnsi="Times New Roman" w:eastAsia="宋体" w:cs="Times New Roman"/>
              </w:rPr>
              <w:t>持有上述证书中的任意1项的得</w:t>
            </w:r>
            <w:r>
              <w:rPr>
                <w:rFonts w:hint="eastAsia" w:ascii="Times New Roman" w:hAnsi="Times New Roman" w:eastAsia="宋体" w:cs="Times New Roman"/>
              </w:rPr>
              <w:t>1</w:t>
            </w:r>
            <w:r>
              <w:rPr>
                <w:rFonts w:ascii="Times New Roman" w:hAnsi="Times New Roman" w:eastAsia="宋体" w:cs="Times New Roman"/>
              </w:rPr>
              <w:t>分，一人多证不重复累计得分，本项最得</w:t>
            </w:r>
            <w:r>
              <w:rPr>
                <w:rFonts w:hint="eastAsia" w:ascii="Times New Roman" w:hAnsi="Times New Roman" w:eastAsia="宋体" w:cs="Times New Roman"/>
              </w:rPr>
              <w:t>3</w:t>
            </w:r>
            <w:r>
              <w:rPr>
                <w:rFonts w:ascii="Times New Roman" w:hAnsi="Times New Roman" w:eastAsia="宋体" w:cs="Times New Roman"/>
              </w:rPr>
              <w:t>分。</w:t>
            </w:r>
          </w:p>
          <w:p w14:paraId="7284EE68">
            <w:pPr>
              <w:keepNext w:val="0"/>
              <w:keepLines w:val="0"/>
              <w:pageBreakBefore w:val="0"/>
              <w:widowControl w:val="0"/>
              <w:kinsoku/>
              <w:wordWrap/>
              <w:overflowPunct/>
              <w:topLinePunct w:val="0"/>
              <w:bidi w:val="0"/>
              <w:spacing w:line="288" w:lineRule="auto"/>
              <w:textAlignment w:val="auto"/>
              <w:rPr>
                <w:rFonts w:ascii="Times New Roman" w:hAnsi="Times New Roman" w:eastAsia="宋体" w:cs="Times New Roman"/>
              </w:rPr>
            </w:pPr>
            <w:r>
              <w:rPr>
                <w:rFonts w:hint="eastAsia" w:ascii="Times New Roman" w:hAnsi="Times New Roman" w:eastAsia="宋体" w:cs="Times New Roman"/>
                <w:b/>
                <w:bCs/>
              </w:rPr>
              <w:t>注：提供人员履历（格式自拟）、人员证书、投标人为其缴纳社保证明（</w:t>
            </w:r>
            <w:r>
              <w:rPr>
                <w:rFonts w:ascii="Times New Roman" w:hAnsi="Times New Roman" w:eastAsia="宋体" w:cs="Times New Roman"/>
                <w:b/>
                <w:bCs/>
              </w:rPr>
              <w:t>2025年1月（含）以后任意一月）</w:t>
            </w:r>
          </w:p>
        </w:tc>
      </w:tr>
      <w:tr w14:paraId="7481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1" w:type="dxa"/>
            <w:vMerge w:val="continue"/>
            <w:vAlign w:val="center"/>
          </w:tcPr>
          <w:p w14:paraId="0B7BD0AF">
            <w:pPr>
              <w:keepNext w:val="0"/>
              <w:keepLines w:val="0"/>
              <w:pageBreakBefore w:val="0"/>
              <w:widowControl w:val="0"/>
              <w:kinsoku/>
              <w:wordWrap/>
              <w:overflowPunct/>
              <w:topLinePunct w:val="0"/>
              <w:bidi w:val="0"/>
              <w:adjustRightInd w:val="0"/>
              <w:snapToGrid w:val="0"/>
              <w:spacing w:line="288" w:lineRule="auto"/>
              <w:jc w:val="center"/>
              <w:textAlignment w:val="auto"/>
              <w:rPr>
                <w:rFonts w:ascii="宋体" w:hAnsi="宋体" w:eastAsia="宋体" w:cs="宋体"/>
                <w:b/>
                <w:bCs/>
                <w:szCs w:val="21"/>
              </w:rPr>
            </w:pPr>
          </w:p>
        </w:tc>
        <w:tc>
          <w:tcPr>
            <w:tcW w:w="654" w:type="dxa"/>
            <w:shd w:val="clear" w:color="auto" w:fill="auto"/>
            <w:vAlign w:val="center"/>
          </w:tcPr>
          <w:p w14:paraId="3900AF0B">
            <w:pPr>
              <w:keepNext w:val="0"/>
              <w:keepLines w:val="0"/>
              <w:pageBreakBefore w:val="0"/>
              <w:widowControl w:val="0"/>
              <w:kinsoku/>
              <w:wordWrap/>
              <w:overflowPunct/>
              <w:topLinePunct w:val="0"/>
              <w:bidi w:val="0"/>
              <w:adjustRightInd w:val="0"/>
              <w:snapToGrid w:val="0"/>
              <w:spacing w:line="288" w:lineRule="auto"/>
              <w:jc w:val="center"/>
              <w:textAlignment w:val="auto"/>
              <w:rPr>
                <w:rFonts w:ascii="宋体" w:hAnsi="宋体" w:eastAsia="宋体" w:cs="宋体"/>
                <w:b/>
                <w:bCs/>
                <w:szCs w:val="21"/>
              </w:rPr>
            </w:pPr>
            <w:r>
              <w:rPr>
                <w:rFonts w:hint="eastAsia" w:ascii="宋体" w:hAnsi="宋体" w:eastAsia="宋体" w:cs="宋体"/>
                <w:b/>
                <w:bCs/>
                <w:szCs w:val="21"/>
              </w:rPr>
              <w:t>8</w:t>
            </w:r>
          </w:p>
        </w:tc>
        <w:tc>
          <w:tcPr>
            <w:tcW w:w="7072" w:type="dxa"/>
            <w:shd w:val="clear" w:color="auto" w:fill="auto"/>
            <w:vAlign w:val="center"/>
          </w:tcPr>
          <w:p w14:paraId="6174AE64">
            <w:pPr>
              <w:keepNext w:val="0"/>
              <w:keepLines w:val="0"/>
              <w:pageBreakBefore w:val="0"/>
              <w:widowControl w:val="0"/>
              <w:kinsoku/>
              <w:wordWrap/>
              <w:overflowPunct/>
              <w:topLinePunct w:val="0"/>
              <w:bidi w:val="0"/>
              <w:adjustRightInd w:val="0"/>
              <w:snapToGrid w:val="0"/>
              <w:spacing w:line="288" w:lineRule="auto"/>
              <w:textAlignment w:val="auto"/>
              <w:rPr>
                <w:rFonts w:ascii="宋体" w:hAnsi="宋体" w:eastAsia="宋体" w:cs="宋体"/>
                <w:szCs w:val="21"/>
              </w:rPr>
            </w:pPr>
            <w:r>
              <w:rPr>
                <w:rFonts w:hint="eastAsia" w:ascii="宋体" w:hAnsi="宋体" w:eastAsia="宋体" w:cs="宋体"/>
                <w:szCs w:val="21"/>
              </w:rPr>
              <w:t>【主观分】</w:t>
            </w:r>
          </w:p>
          <w:p w14:paraId="339F4789">
            <w:pPr>
              <w:keepNext w:val="0"/>
              <w:keepLines w:val="0"/>
              <w:pageBreakBefore w:val="0"/>
              <w:widowControl w:val="0"/>
              <w:kinsoku/>
              <w:wordWrap/>
              <w:overflowPunct/>
              <w:topLinePunct w:val="0"/>
              <w:bidi w:val="0"/>
              <w:adjustRightInd w:val="0"/>
              <w:snapToGrid w:val="0"/>
              <w:spacing w:line="288" w:lineRule="auto"/>
              <w:textAlignment w:val="auto"/>
              <w:rPr>
                <w:rFonts w:ascii="宋体" w:hAnsi="宋体" w:eastAsia="宋体" w:cs="宋体"/>
                <w:b/>
                <w:bCs/>
                <w:kern w:val="0"/>
                <w:szCs w:val="21"/>
              </w:rPr>
            </w:pPr>
            <w:r>
              <w:rPr>
                <w:rFonts w:hint="eastAsia" w:ascii="宋体" w:hAnsi="宋体" w:eastAsia="宋体" w:cs="宋体"/>
                <w:szCs w:val="21"/>
              </w:rPr>
              <w:t>人员职责分工、人员工作方案：职责分工明确，针对采购需求及实际特点、有利于采购标的实现及合同履约</w:t>
            </w:r>
            <w:r>
              <w:rPr>
                <w:rFonts w:hint="eastAsia" w:ascii="宋体" w:hAnsi="宋体" w:eastAsia="宋体" w:cs="宋体"/>
                <w:kern w:val="0"/>
                <w:szCs w:val="21"/>
              </w:rPr>
              <w:t>。</w:t>
            </w:r>
          </w:p>
          <w:p w14:paraId="79B9ED09">
            <w:pPr>
              <w:keepNext w:val="0"/>
              <w:keepLines w:val="0"/>
              <w:pageBreakBefore w:val="0"/>
              <w:widowControl w:val="0"/>
              <w:numPr>
                <w:ilvl w:val="0"/>
                <w:numId w:val="6"/>
              </w:numPr>
              <w:kinsoku/>
              <w:wordWrap/>
              <w:overflowPunct/>
              <w:topLinePunct w:val="0"/>
              <w:bidi w:val="0"/>
              <w:adjustRightInd w:val="0"/>
              <w:snapToGrid w:val="0"/>
              <w:spacing w:line="288" w:lineRule="auto"/>
              <w:textAlignment w:val="auto"/>
              <w:rPr>
                <w:rFonts w:ascii="宋体" w:hAnsi="宋体" w:eastAsia="宋体" w:cs="宋体"/>
                <w:b/>
                <w:bCs/>
                <w:szCs w:val="21"/>
              </w:rPr>
            </w:pPr>
            <w:r>
              <w:rPr>
                <w:rFonts w:hint="eastAsia" w:ascii="宋体" w:hAnsi="宋体" w:eastAsia="宋体" w:cs="宋体"/>
                <w:b/>
                <w:bCs/>
                <w:szCs w:val="21"/>
              </w:rPr>
              <w:t>驻点人员【含AB岗位】、业务高峰期额外人员</w:t>
            </w:r>
            <w:r>
              <w:rPr>
                <w:rFonts w:hint="eastAsia" w:ascii="宋体" w:hAnsi="宋体" w:eastAsia="宋体" w:cs="宋体"/>
                <w:b/>
                <w:bCs/>
                <w:kern w:val="0"/>
                <w:szCs w:val="21"/>
              </w:rPr>
              <w:t>（评分范围：4,3,2,1,0）</w:t>
            </w:r>
          </w:p>
          <w:p w14:paraId="291615D2">
            <w:pPr>
              <w:keepNext w:val="0"/>
              <w:keepLines w:val="0"/>
              <w:pageBreakBefore w:val="0"/>
              <w:widowControl w:val="0"/>
              <w:numPr>
                <w:ilvl w:val="0"/>
                <w:numId w:val="6"/>
              </w:numPr>
              <w:kinsoku/>
              <w:wordWrap/>
              <w:overflowPunct/>
              <w:topLinePunct w:val="0"/>
              <w:bidi w:val="0"/>
              <w:adjustRightInd w:val="0"/>
              <w:snapToGrid w:val="0"/>
              <w:spacing w:line="288" w:lineRule="auto"/>
              <w:textAlignment w:val="auto"/>
              <w:rPr>
                <w:rFonts w:ascii="宋体" w:hAnsi="宋体" w:eastAsia="宋体" w:cs="宋体"/>
                <w:b/>
                <w:bCs/>
                <w:szCs w:val="21"/>
              </w:rPr>
            </w:pPr>
            <w:r>
              <w:rPr>
                <w:rFonts w:ascii="宋体" w:hAnsi="宋体" w:eastAsia="宋体" w:cs="宋体"/>
                <w:b/>
                <w:bCs/>
                <w:szCs w:val="21"/>
              </w:rPr>
              <w:t>服务经理</w:t>
            </w:r>
            <w:r>
              <w:rPr>
                <w:rFonts w:hint="eastAsia" w:ascii="宋体" w:hAnsi="宋体" w:eastAsia="宋体" w:cs="宋体"/>
                <w:b/>
                <w:bCs/>
                <w:kern w:val="0"/>
                <w:szCs w:val="21"/>
              </w:rPr>
              <w:t>（评分范围：4,3,2,1,0）</w:t>
            </w:r>
          </w:p>
          <w:p w14:paraId="09817A0C">
            <w:pPr>
              <w:keepNext w:val="0"/>
              <w:keepLines w:val="0"/>
              <w:pageBreakBefore w:val="0"/>
              <w:widowControl w:val="0"/>
              <w:kinsoku/>
              <w:wordWrap/>
              <w:overflowPunct/>
              <w:topLinePunct w:val="0"/>
              <w:bidi w:val="0"/>
              <w:adjustRightInd w:val="0"/>
              <w:snapToGrid w:val="0"/>
              <w:spacing w:line="288" w:lineRule="auto"/>
              <w:textAlignment w:val="auto"/>
              <w:rPr>
                <w:rFonts w:ascii="宋体" w:hAnsi="宋体" w:eastAsia="宋体" w:cs="宋体"/>
                <w:b/>
                <w:bCs/>
                <w:kern w:val="0"/>
                <w:szCs w:val="21"/>
              </w:rPr>
            </w:pPr>
            <w:r>
              <w:rPr>
                <w:rFonts w:hint="eastAsia" w:ascii="宋体" w:hAnsi="宋体" w:eastAsia="宋体" w:cs="宋体"/>
                <w:b/>
                <w:bCs/>
                <w:kern w:val="0"/>
                <w:szCs w:val="21"/>
              </w:rPr>
              <w:t>注：提供</w:t>
            </w:r>
            <w:r>
              <w:rPr>
                <w:rFonts w:hint="eastAsia" w:ascii="宋体" w:hAnsi="宋体" w:eastAsia="宋体" w:cs="宋体"/>
                <w:b/>
                <w:bCs/>
                <w:szCs w:val="21"/>
              </w:rPr>
              <w:t>人员清单、投标人为其缴纳社保证明（2025年1月（含）以后任意一月）、专业技术能力等证明。</w:t>
            </w:r>
          </w:p>
        </w:tc>
      </w:tr>
      <w:tr w14:paraId="5A73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1" w:type="dxa"/>
            <w:vMerge w:val="continue"/>
            <w:vAlign w:val="center"/>
          </w:tcPr>
          <w:p w14:paraId="782A70DC">
            <w:pPr>
              <w:keepNext w:val="0"/>
              <w:keepLines w:val="0"/>
              <w:pageBreakBefore w:val="0"/>
              <w:widowControl w:val="0"/>
              <w:kinsoku/>
              <w:wordWrap/>
              <w:overflowPunct/>
              <w:topLinePunct w:val="0"/>
              <w:bidi w:val="0"/>
              <w:adjustRightInd w:val="0"/>
              <w:snapToGrid w:val="0"/>
              <w:spacing w:line="288" w:lineRule="auto"/>
              <w:jc w:val="center"/>
              <w:textAlignment w:val="auto"/>
              <w:rPr>
                <w:rFonts w:ascii="宋体" w:hAnsi="宋体" w:eastAsia="宋体" w:cs="宋体"/>
                <w:b/>
                <w:bCs/>
                <w:szCs w:val="21"/>
              </w:rPr>
            </w:pPr>
          </w:p>
        </w:tc>
        <w:tc>
          <w:tcPr>
            <w:tcW w:w="654" w:type="dxa"/>
            <w:shd w:val="clear" w:color="auto" w:fill="auto"/>
            <w:vAlign w:val="center"/>
          </w:tcPr>
          <w:p w14:paraId="648EBB87">
            <w:pPr>
              <w:keepNext w:val="0"/>
              <w:keepLines w:val="0"/>
              <w:pageBreakBefore w:val="0"/>
              <w:widowControl w:val="0"/>
              <w:kinsoku/>
              <w:wordWrap/>
              <w:overflowPunct/>
              <w:topLinePunct w:val="0"/>
              <w:bidi w:val="0"/>
              <w:adjustRightInd w:val="0"/>
              <w:snapToGrid w:val="0"/>
              <w:spacing w:line="288" w:lineRule="auto"/>
              <w:jc w:val="center"/>
              <w:textAlignment w:val="auto"/>
              <w:rPr>
                <w:rFonts w:ascii="宋体" w:hAnsi="宋体" w:eastAsia="宋体" w:cs="宋体"/>
                <w:b/>
                <w:bCs/>
                <w:szCs w:val="21"/>
              </w:rPr>
            </w:pPr>
            <w:r>
              <w:rPr>
                <w:rFonts w:hint="eastAsia" w:ascii="宋体" w:hAnsi="宋体" w:eastAsia="宋体" w:cs="宋体"/>
                <w:b/>
                <w:bCs/>
                <w:szCs w:val="21"/>
              </w:rPr>
              <w:t>4</w:t>
            </w:r>
          </w:p>
        </w:tc>
        <w:tc>
          <w:tcPr>
            <w:tcW w:w="7072" w:type="dxa"/>
            <w:shd w:val="clear" w:color="auto" w:fill="auto"/>
            <w:vAlign w:val="center"/>
          </w:tcPr>
          <w:p w14:paraId="48A2F118">
            <w:pPr>
              <w:keepNext w:val="0"/>
              <w:keepLines w:val="0"/>
              <w:pageBreakBefore w:val="0"/>
              <w:widowControl w:val="0"/>
              <w:kinsoku/>
              <w:wordWrap/>
              <w:overflowPunct/>
              <w:topLinePunct w:val="0"/>
              <w:bidi w:val="0"/>
              <w:adjustRightInd w:val="0"/>
              <w:snapToGrid w:val="0"/>
              <w:spacing w:line="288" w:lineRule="auto"/>
              <w:textAlignment w:val="auto"/>
              <w:rPr>
                <w:rFonts w:ascii="宋体" w:hAnsi="宋体" w:eastAsia="宋体" w:cs="宋体"/>
                <w:kern w:val="0"/>
                <w:szCs w:val="21"/>
              </w:rPr>
            </w:pPr>
            <w:r>
              <w:rPr>
                <w:rFonts w:hint="eastAsia" w:ascii="宋体" w:hAnsi="宋体" w:eastAsia="宋体" w:cs="宋体"/>
                <w:kern w:val="0"/>
                <w:szCs w:val="21"/>
              </w:rPr>
              <w:t>【主观分】</w:t>
            </w:r>
          </w:p>
          <w:p w14:paraId="4D0DB1C3">
            <w:pPr>
              <w:keepNext w:val="0"/>
              <w:keepLines w:val="0"/>
              <w:pageBreakBefore w:val="0"/>
              <w:widowControl w:val="0"/>
              <w:kinsoku/>
              <w:wordWrap/>
              <w:overflowPunct/>
              <w:topLinePunct w:val="0"/>
              <w:bidi w:val="0"/>
              <w:adjustRightInd w:val="0"/>
              <w:snapToGrid w:val="0"/>
              <w:spacing w:line="288" w:lineRule="auto"/>
              <w:textAlignment w:val="auto"/>
              <w:rPr>
                <w:rFonts w:ascii="宋体" w:hAnsi="宋体" w:eastAsia="宋体" w:cs="宋体"/>
                <w:kern w:val="0"/>
                <w:szCs w:val="21"/>
              </w:rPr>
            </w:pPr>
            <w:r>
              <w:rPr>
                <w:rFonts w:hint="eastAsia" w:ascii="宋体" w:hAnsi="宋体" w:eastAsia="宋体" w:cs="宋体"/>
                <w:szCs w:val="21"/>
              </w:rPr>
              <w:t>人员管理方案：定期组织团队成员参加技能培训（如专业技能培训、安全知识培训、新技术培训、服务意识培训），提升团队技术水平，为采购人提供规范化的运维服务，方案落地执行力强。</w:t>
            </w:r>
            <w:r>
              <w:rPr>
                <w:rFonts w:hint="eastAsia" w:ascii="宋体" w:hAnsi="宋体" w:eastAsia="宋体" w:cs="宋体"/>
                <w:b/>
                <w:bCs/>
                <w:szCs w:val="21"/>
              </w:rPr>
              <w:t>（评分范围：4,3,2,1,0）</w:t>
            </w:r>
          </w:p>
        </w:tc>
      </w:tr>
      <w:tr w14:paraId="00F17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1" w:type="dxa"/>
            <w:vMerge w:val="restart"/>
            <w:vAlign w:val="center"/>
          </w:tcPr>
          <w:p w14:paraId="21D50789">
            <w:pPr>
              <w:keepNext w:val="0"/>
              <w:keepLines w:val="0"/>
              <w:pageBreakBefore w:val="0"/>
              <w:widowControl w:val="0"/>
              <w:kinsoku/>
              <w:wordWrap/>
              <w:overflowPunct/>
              <w:topLinePunct w:val="0"/>
              <w:bidi w:val="0"/>
              <w:adjustRightInd w:val="0"/>
              <w:snapToGrid w:val="0"/>
              <w:spacing w:line="288" w:lineRule="auto"/>
              <w:jc w:val="center"/>
              <w:textAlignment w:val="auto"/>
              <w:rPr>
                <w:rFonts w:ascii="宋体" w:hAnsi="宋体" w:eastAsia="宋体" w:cs="宋体"/>
                <w:b/>
                <w:bCs/>
                <w:szCs w:val="21"/>
              </w:rPr>
            </w:pPr>
            <w:r>
              <w:rPr>
                <w:rFonts w:hint="eastAsia" w:ascii="宋体" w:hAnsi="宋体" w:eastAsia="宋体" w:cs="宋体"/>
                <w:b/>
                <w:bCs/>
                <w:szCs w:val="21"/>
              </w:rPr>
              <w:t>运维服务方案</w:t>
            </w:r>
          </w:p>
        </w:tc>
        <w:tc>
          <w:tcPr>
            <w:tcW w:w="654" w:type="dxa"/>
            <w:vAlign w:val="center"/>
          </w:tcPr>
          <w:p w14:paraId="6E9E47D9">
            <w:pPr>
              <w:keepNext w:val="0"/>
              <w:keepLines w:val="0"/>
              <w:pageBreakBefore w:val="0"/>
              <w:widowControl w:val="0"/>
              <w:kinsoku/>
              <w:wordWrap/>
              <w:overflowPunct/>
              <w:topLinePunct w:val="0"/>
              <w:bidi w:val="0"/>
              <w:adjustRightInd w:val="0"/>
              <w:snapToGrid w:val="0"/>
              <w:spacing w:line="288" w:lineRule="auto"/>
              <w:jc w:val="center"/>
              <w:textAlignment w:val="auto"/>
              <w:rPr>
                <w:rFonts w:ascii="宋体" w:hAnsi="宋体" w:eastAsia="宋体" w:cs="宋体"/>
                <w:b/>
                <w:bCs/>
                <w:szCs w:val="21"/>
              </w:rPr>
            </w:pPr>
            <w:r>
              <w:rPr>
                <w:rFonts w:hint="eastAsia" w:ascii="宋体" w:hAnsi="宋体" w:eastAsia="宋体" w:cs="宋体"/>
                <w:b/>
                <w:bCs/>
                <w:szCs w:val="21"/>
              </w:rPr>
              <w:t>25</w:t>
            </w:r>
          </w:p>
        </w:tc>
        <w:tc>
          <w:tcPr>
            <w:tcW w:w="7072" w:type="dxa"/>
            <w:vAlign w:val="center"/>
          </w:tcPr>
          <w:p w14:paraId="4858CA35">
            <w:pPr>
              <w:keepNext w:val="0"/>
              <w:keepLines w:val="0"/>
              <w:pageBreakBefore w:val="0"/>
              <w:widowControl w:val="0"/>
              <w:kinsoku/>
              <w:wordWrap/>
              <w:overflowPunct/>
              <w:topLinePunct w:val="0"/>
              <w:bidi w:val="0"/>
              <w:adjustRightInd w:val="0"/>
              <w:snapToGrid w:val="0"/>
              <w:spacing w:line="288" w:lineRule="auto"/>
              <w:textAlignment w:val="auto"/>
              <w:rPr>
                <w:rFonts w:ascii="宋体" w:hAnsi="宋体" w:eastAsia="宋体" w:cs="宋体"/>
                <w:kern w:val="0"/>
                <w:szCs w:val="21"/>
              </w:rPr>
            </w:pPr>
            <w:r>
              <w:rPr>
                <w:rFonts w:hint="eastAsia" w:ascii="宋体" w:hAnsi="宋体" w:eastAsia="宋体" w:cs="宋体"/>
                <w:kern w:val="0"/>
                <w:szCs w:val="21"/>
              </w:rPr>
              <w:t>【主观分】</w:t>
            </w:r>
          </w:p>
          <w:p w14:paraId="0A962CDE">
            <w:pPr>
              <w:keepNext w:val="0"/>
              <w:keepLines w:val="0"/>
              <w:pageBreakBefore w:val="0"/>
              <w:widowControl w:val="0"/>
              <w:kinsoku/>
              <w:wordWrap/>
              <w:overflowPunct/>
              <w:topLinePunct w:val="0"/>
              <w:bidi w:val="0"/>
              <w:adjustRightInd w:val="0"/>
              <w:snapToGrid w:val="0"/>
              <w:spacing w:line="288" w:lineRule="auto"/>
              <w:textAlignment w:val="auto"/>
              <w:rPr>
                <w:rFonts w:ascii="宋体" w:hAnsi="宋体" w:eastAsia="宋体" w:cs="宋体"/>
                <w:color w:val="1F2329"/>
                <w:szCs w:val="21"/>
                <w:shd w:val="clear" w:color="auto" w:fill="EFF0F1"/>
              </w:rPr>
            </w:pPr>
            <w:r>
              <w:rPr>
                <w:rFonts w:hint="eastAsia" w:ascii="宋体" w:hAnsi="宋体" w:eastAsia="宋体" w:cs="宋体"/>
                <w:szCs w:val="21"/>
              </w:rPr>
              <w:t>投标人提供数字高校基础设施服务器网络接入运维服务方案：服务内容全面、针对采购需求及实际特点，服务工作流程清晰明确、有利于采购标的实现及合同履约。</w:t>
            </w:r>
          </w:p>
          <w:p w14:paraId="30B692A4">
            <w:pPr>
              <w:keepNext w:val="0"/>
              <w:keepLines w:val="0"/>
              <w:pageBreakBefore w:val="0"/>
              <w:widowControl w:val="0"/>
              <w:numPr>
                <w:ilvl w:val="0"/>
                <w:numId w:val="7"/>
              </w:numPr>
              <w:kinsoku/>
              <w:wordWrap/>
              <w:overflowPunct/>
              <w:topLinePunct w:val="0"/>
              <w:bidi w:val="0"/>
              <w:adjustRightInd w:val="0"/>
              <w:snapToGrid w:val="0"/>
              <w:spacing w:line="288" w:lineRule="auto"/>
              <w:textAlignment w:val="auto"/>
              <w:rPr>
                <w:rFonts w:ascii="宋体" w:hAnsi="宋体" w:eastAsia="宋体" w:cs="宋体"/>
                <w:szCs w:val="21"/>
              </w:rPr>
            </w:pPr>
            <w:r>
              <w:rPr>
                <w:rFonts w:hint="eastAsia" w:ascii="宋体" w:hAnsi="宋体" w:eastAsia="宋体" w:cs="宋体"/>
                <w:szCs w:val="21"/>
              </w:rPr>
              <w:t>网络设备配置</w:t>
            </w:r>
            <w:r>
              <w:rPr>
                <w:rFonts w:hint="eastAsia" w:ascii="宋体" w:hAnsi="宋体" w:eastAsia="宋体" w:cs="宋体"/>
                <w:b/>
                <w:bCs/>
                <w:szCs w:val="21"/>
              </w:rPr>
              <w:t>（评分范围：3,2,1,0）</w:t>
            </w:r>
          </w:p>
          <w:p w14:paraId="69C7173F">
            <w:pPr>
              <w:keepNext w:val="0"/>
              <w:keepLines w:val="0"/>
              <w:pageBreakBefore w:val="0"/>
              <w:widowControl w:val="0"/>
              <w:numPr>
                <w:ilvl w:val="0"/>
                <w:numId w:val="7"/>
              </w:numPr>
              <w:kinsoku/>
              <w:wordWrap/>
              <w:overflowPunct/>
              <w:topLinePunct w:val="0"/>
              <w:bidi w:val="0"/>
              <w:adjustRightInd w:val="0"/>
              <w:snapToGrid w:val="0"/>
              <w:spacing w:line="288" w:lineRule="auto"/>
              <w:textAlignment w:val="auto"/>
              <w:rPr>
                <w:rFonts w:ascii="宋体" w:hAnsi="宋体" w:eastAsia="宋体" w:cs="宋体"/>
                <w:szCs w:val="21"/>
              </w:rPr>
            </w:pPr>
            <w:r>
              <w:rPr>
                <w:rFonts w:hint="eastAsia" w:ascii="宋体" w:hAnsi="宋体" w:eastAsia="宋体" w:cs="宋体"/>
                <w:szCs w:val="21"/>
              </w:rPr>
              <w:t>协助新设备入网</w:t>
            </w:r>
            <w:r>
              <w:rPr>
                <w:rFonts w:hint="eastAsia" w:ascii="宋体" w:hAnsi="宋体" w:eastAsia="宋体" w:cs="宋体"/>
                <w:b/>
                <w:bCs/>
                <w:szCs w:val="21"/>
              </w:rPr>
              <w:t>（评分范围：3,2,1,0）</w:t>
            </w:r>
          </w:p>
          <w:p w14:paraId="58DCAB4F">
            <w:pPr>
              <w:keepNext w:val="0"/>
              <w:keepLines w:val="0"/>
              <w:pageBreakBefore w:val="0"/>
              <w:widowControl w:val="0"/>
              <w:numPr>
                <w:ilvl w:val="0"/>
                <w:numId w:val="7"/>
              </w:numPr>
              <w:kinsoku/>
              <w:wordWrap/>
              <w:overflowPunct/>
              <w:topLinePunct w:val="0"/>
              <w:bidi w:val="0"/>
              <w:adjustRightInd w:val="0"/>
              <w:snapToGrid w:val="0"/>
              <w:spacing w:line="288" w:lineRule="auto"/>
              <w:textAlignment w:val="auto"/>
              <w:rPr>
                <w:rFonts w:ascii="宋体" w:hAnsi="宋体" w:eastAsia="宋体" w:cs="宋体"/>
                <w:szCs w:val="21"/>
              </w:rPr>
            </w:pPr>
            <w:r>
              <w:rPr>
                <w:rFonts w:hint="eastAsia" w:ascii="宋体" w:hAnsi="宋体" w:eastAsia="宋体" w:cs="宋体"/>
                <w:szCs w:val="21"/>
              </w:rPr>
              <w:t>架构调优</w:t>
            </w:r>
            <w:r>
              <w:rPr>
                <w:rFonts w:hint="eastAsia" w:ascii="宋体" w:hAnsi="宋体" w:eastAsia="宋体" w:cs="宋体"/>
                <w:b/>
                <w:bCs/>
                <w:szCs w:val="21"/>
              </w:rPr>
              <w:t>（评分范围：3,2,1,0）</w:t>
            </w:r>
          </w:p>
          <w:p w14:paraId="22628646">
            <w:pPr>
              <w:keepNext w:val="0"/>
              <w:keepLines w:val="0"/>
              <w:pageBreakBefore w:val="0"/>
              <w:widowControl w:val="0"/>
              <w:numPr>
                <w:ilvl w:val="0"/>
                <w:numId w:val="7"/>
              </w:numPr>
              <w:kinsoku/>
              <w:wordWrap/>
              <w:overflowPunct/>
              <w:topLinePunct w:val="0"/>
              <w:bidi w:val="0"/>
              <w:adjustRightInd w:val="0"/>
              <w:snapToGrid w:val="0"/>
              <w:spacing w:line="288" w:lineRule="auto"/>
              <w:textAlignment w:val="auto"/>
              <w:rPr>
                <w:rFonts w:ascii="宋体" w:hAnsi="宋体" w:eastAsia="宋体" w:cs="宋体"/>
                <w:szCs w:val="21"/>
              </w:rPr>
            </w:pPr>
            <w:r>
              <w:rPr>
                <w:rFonts w:hint="eastAsia" w:ascii="宋体" w:hAnsi="宋体" w:eastAsia="宋体" w:cs="宋体"/>
                <w:szCs w:val="21"/>
              </w:rPr>
              <w:t>网络认证服务</w:t>
            </w:r>
            <w:r>
              <w:rPr>
                <w:rFonts w:hint="eastAsia" w:ascii="宋体" w:hAnsi="宋体" w:eastAsia="宋体" w:cs="宋体"/>
                <w:b/>
                <w:bCs/>
                <w:szCs w:val="21"/>
              </w:rPr>
              <w:t>（评分范围：3,2,1,0）</w:t>
            </w:r>
          </w:p>
          <w:p w14:paraId="74D4B320">
            <w:pPr>
              <w:keepNext w:val="0"/>
              <w:keepLines w:val="0"/>
              <w:pageBreakBefore w:val="0"/>
              <w:widowControl w:val="0"/>
              <w:numPr>
                <w:ilvl w:val="0"/>
                <w:numId w:val="7"/>
              </w:numPr>
              <w:kinsoku/>
              <w:wordWrap/>
              <w:overflowPunct/>
              <w:topLinePunct w:val="0"/>
              <w:bidi w:val="0"/>
              <w:adjustRightInd w:val="0"/>
              <w:snapToGrid w:val="0"/>
              <w:spacing w:line="288" w:lineRule="auto"/>
              <w:textAlignment w:val="auto"/>
              <w:rPr>
                <w:rFonts w:ascii="宋体" w:hAnsi="宋体" w:eastAsia="宋体" w:cs="宋体"/>
                <w:szCs w:val="21"/>
              </w:rPr>
            </w:pPr>
            <w:r>
              <w:rPr>
                <w:rFonts w:hint="eastAsia" w:ascii="宋体" w:hAnsi="宋体" w:eastAsia="宋体" w:cs="宋体"/>
                <w:szCs w:val="21"/>
              </w:rPr>
              <w:t>多出口调整及优化</w:t>
            </w:r>
            <w:r>
              <w:rPr>
                <w:rFonts w:hint="eastAsia" w:ascii="宋体" w:hAnsi="宋体" w:eastAsia="宋体" w:cs="宋体"/>
                <w:b/>
                <w:bCs/>
                <w:szCs w:val="21"/>
              </w:rPr>
              <w:t>（评分范围：3,2,1,0）</w:t>
            </w:r>
          </w:p>
          <w:p w14:paraId="0915476C">
            <w:pPr>
              <w:keepNext w:val="0"/>
              <w:keepLines w:val="0"/>
              <w:pageBreakBefore w:val="0"/>
              <w:widowControl w:val="0"/>
              <w:numPr>
                <w:ilvl w:val="0"/>
                <w:numId w:val="7"/>
              </w:numPr>
              <w:kinsoku/>
              <w:wordWrap/>
              <w:overflowPunct/>
              <w:topLinePunct w:val="0"/>
              <w:bidi w:val="0"/>
              <w:adjustRightInd w:val="0"/>
              <w:snapToGrid w:val="0"/>
              <w:spacing w:line="288" w:lineRule="auto"/>
              <w:textAlignment w:val="auto"/>
              <w:rPr>
                <w:rFonts w:ascii="宋体" w:hAnsi="宋体" w:eastAsia="宋体" w:cs="宋体"/>
                <w:szCs w:val="21"/>
              </w:rPr>
            </w:pPr>
            <w:r>
              <w:rPr>
                <w:rFonts w:hint="eastAsia" w:ascii="宋体" w:hAnsi="宋体" w:eastAsia="宋体" w:cs="宋体"/>
                <w:szCs w:val="21"/>
              </w:rPr>
              <w:t>无线故障定位分析及处理</w:t>
            </w:r>
            <w:r>
              <w:rPr>
                <w:rFonts w:hint="eastAsia" w:ascii="宋体" w:hAnsi="宋体" w:eastAsia="宋体" w:cs="宋体"/>
                <w:b/>
                <w:bCs/>
                <w:szCs w:val="21"/>
              </w:rPr>
              <w:t>（评分范围：3,2,1,0）</w:t>
            </w:r>
          </w:p>
          <w:p w14:paraId="38964A72">
            <w:pPr>
              <w:keepNext w:val="0"/>
              <w:keepLines w:val="0"/>
              <w:pageBreakBefore w:val="0"/>
              <w:widowControl w:val="0"/>
              <w:numPr>
                <w:ilvl w:val="0"/>
                <w:numId w:val="7"/>
              </w:numPr>
              <w:kinsoku/>
              <w:wordWrap/>
              <w:overflowPunct/>
              <w:topLinePunct w:val="0"/>
              <w:bidi w:val="0"/>
              <w:adjustRightInd w:val="0"/>
              <w:snapToGrid w:val="0"/>
              <w:spacing w:line="288" w:lineRule="auto"/>
              <w:textAlignment w:val="auto"/>
              <w:rPr>
                <w:rFonts w:ascii="宋体" w:hAnsi="宋体" w:eastAsia="宋体" w:cs="宋体"/>
                <w:szCs w:val="21"/>
              </w:rPr>
            </w:pPr>
            <w:r>
              <w:rPr>
                <w:rFonts w:hint="eastAsia" w:ascii="宋体" w:hAnsi="宋体" w:eastAsia="宋体" w:cs="宋体"/>
                <w:szCs w:val="21"/>
              </w:rPr>
              <w:t>网络安全设备管理</w:t>
            </w:r>
            <w:r>
              <w:rPr>
                <w:rFonts w:hint="eastAsia" w:ascii="宋体" w:hAnsi="宋体" w:eastAsia="宋体" w:cs="宋体"/>
                <w:b/>
                <w:bCs/>
                <w:szCs w:val="21"/>
              </w:rPr>
              <w:t>（评分范围：3,2,1,0）</w:t>
            </w:r>
          </w:p>
          <w:p w14:paraId="41E26BF0">
            <w:pPr>
              <w:keepNext w:val="0"/>
              <w:keepLines w:val="0"/>
              <w:pageBreakBefore w:val="0"/>
              <w:widowControl w:val="0"/>
              <w:numPr>
                <w:ilvl w:val="0"/>
                <w:numId w:val="7"/>
              </w:numPr>
              <w:kinsoku/>
              <w:wordWrap/>
              <w:overflowPunct/>
              <w:topLinePunct w:val="0"/>
              <w:bidi w:val="0"/>
              <w:adjustRightInd w:val="0"/>
              <w:snapToGrid w:val="0"/>
              <w:spacing w:line="288" w:lineRule="auto"/>
              <w:textAlignment w:val="auto"/>
              <w:rPr>
                <w:rFonts w:ascii="Times New Roman" w:hAnsi="宋体"/>
                <w:sz w:val="24"/>
              </w:rPr>
            </w:pPr>
            <w:r>
              <w:rPr>
                <w:rFonts w:hint="eastAsia" w:ascii="宋体" w:hAnsi="宋体" w:eastAsia="宋体" w:cs="宋体"/>
                <w:szCs w:val="21"/>
              </w:rPr>
              <w:t>网络保障服务</w:t>
            </w:r>
            <w:r>
              <w:rPr>
                <w:rFonts w:hint="eastAsia" w:ascii="宋体" w:hAnsi="宋体" w:eastAsia="宋体" w:cs="宋体"/>
                <w:b/>
                <w:bCs/>
                <w:szCs w:val="21"/>
              </w:rPr>
              <w:t>（评分范围：4,3,2,1,0）</w:t>
            </w:r>
          </w:p>
        </w:tc>
      </w:tr>
      <w:tr w14:paraId="3F34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1" w:type="dxa"/>
            <w:vMerge w:val="continue"/>
            <w:vAlign w:val="center"/>
          </w:tcPr>
          <w:p w14:paraId="316CE781">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ascii="宋体" w:hAnsi="宋体" w:eastAsia="宋体" w:cs="宋体"/>
                <w:b/>
                <w:bCs/>
                <w:kern w:val="0"/>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32930807">
            <w:pPr>
              <w:keepNext w:val="0"/>
              <w:keepLines w:val="0"/>
              <w:pageBreakBefore w:val="0"/>
              <w:widowControl w:val="0"/>
              <w:kinsoku/>
              <w:wordWrap/>
              <w:overflowPunct/>
              <w:topLinePunct w:val="0"/>
              <w:bidi w:val="0"/>
              <w:adjustRightInd w:val="0"/>
              <w:snapToGrid w:val="0"/>
              <w:spacing w:line="288" w:lineRule="auto"/>
              <w:jc w:val="center"/>
              <w:textAlignment w:val="auto"/>
              <w:rPr>
                <w:rFonts w:ascii="宋体" w:hAnsi="宋体" w:eastAsia="宋体" w:cs="宋体"/>
                <w:b/>
                <w:bCs/>
                <w:szCs w:val="21"/>
              </w:rPr>
            </w:pPr>
            <w:r>
              <w:rPr>
                <w:rFonts w:hint="eastAsia" w:ascii="宋体" w:hAnsi="宋体" w:eastAsia="宋体" w:cs="宋体"/>
                <w:b/>
                <w:bCs/>
                <w:szCs w:val="21"/>
              </w:rPr>
              <w:t>20</w:t>
            </w:r>
          </w:p>
        </w:tc>
        <w:tc>
          <w:tcPr>
            <w:tcW w:w="7072" w:type="dxa"/>
            <w:tcBorders>
              <w:top w:val="single" w:color="auto" w:sz="4" w:space="0"/>
              <w:left w:val="single" w:color="auto" w:sz="4" w:space="0"/>
              <w:bottom w:val="single" w:color="auto" w:sz="4" w:space="0"/>
              <w:right w:val="single" w:color="auto" w:sz="4" w:space="0"/>
            </w:tcBorders>
            <w:vAlign w:val="center"/>
          </w:tcPr>
          <w:p w14:paraId="6EB04B54">
            <w:pPr>
              <w:keepNext w:val="0"/>
              <w:keepLines w:val="0"/>
              <w:pageBreakBefore w:val="0"/>
              <w:widowControl w:val="0"/>
              <w:kinsoku/>
              <w:wordWrap/>
              <w:overflowPunct/>
              <w:topLinePunct w:val="0"/>
              <w:bidi w:val="0"/>
              <w:adjustRightInd w:val="0"/>
              <w:snapToGrid w:val="0"/>
              <w:spacing w:line="288" w:lineRule="auto"/>
              <w:textAlignment w:val="auto"/>
              <w:rPr>
                <w:rFonts w:ascii="宋体" w:hAnsi="宋体" w:eastAsia="宋体" w:cs="宋体"/>
                <w:kern w:val="0"/>
                <w:szCs w:val="21"/>
              </w:rPr>
            </w:pPr>
            <w:r>
              <w:rPr>
                <w:rFonts w:hint="eastAsia" w:ascii="宋体" w:hAnsi="宋体" w:eastAsia="宋体" w:cs="宋体"/>
                <w:kern w:val="0"/>
                <w:szCs w:val="21"/>
              </w:rPr>
              <w:t>【主观分】</w:t>
            </w:r>
          </w:p>
          <w:p w14:paraId="180BDAD9">
            <w:pPr>
              <w:keepNext w:val="0"/>
              <w:keepLines w:val="0"/>
              <w:pageBreakBefore w:val="0"/>
              <w:widowControl w:val="0"/>
              <w:kinsoku/>
              <w:wordWrap/>
              <w:overflowPunct/>
              <w:topLinePunct w:val="0"/>
              <w:bidi w:val="0"/>
              <w:adjustRightInd w:val="0"/>
              <w:snapToGrid w:val="0"/>
              <w:spacing w:line="288" w:lineRule="auto"/>
              <w:textAlignment w:val="auto"/>
              <w:rPr>
                <w:rFonts w:ascii="宋体" w:hAnsi="宋体" w:eastAsia="宋体" w:cs="宋体"/>
                <w:color w:val="1F2329"/>
                <w:szCs w:val="21"/>
                <w:shd w:val="clear" w:color="auto" w:fill="EFF0F1"/>
              </w:rPr>
            </w:pPr>
            <w:r>
              <w:rPr>
                <w:rFonts w:hint="eastAsia" w:ascii="宋体" w:hAnsi="宋体" w:eastAsia="宋体" w:cs="宋体"/>
                <w:szCs w:val="21"/>
              </w:rPr>
              <w:t>投标人提供数字高校基础设施服务器及其虚拟化运维服务方案：服务内容全面、针对采购需求及实际特点，服务工作流程清晰明确、有利于采购标的实现及合同履约。</w:t>
            </w:r>
          </w:p>
          <w:p w14:paraId="7013776C">
            <w:pPr>
              <w:keepNext w:val="0"/>
              <w:keepLines w:val="0"/>
              <w:pageBreakBefore w:val="0"/>
              <w:widowControl w:val="0"/>
              <w:numPr>
                <w:ilvl w:val="0"/>
                <w:numId w:val="8"/>
              </w:numPr>
              <w:kinsoku/>
              <w:wordWrap/>
              <w:overflowPunct/>
              <w:topLinePunct w:val="0"/>
              <w:bidi w:val="0"/>
              <w:adjustRightInd w:val="0"/>
              <w:snapToGrid w:val="0"/>
              <w:spacing w:line="288" w:lineRule="auto"/>
              <w:textAlignment w:val="auto"/>
              <w:rPr>
                <w:rFonts w:ascii="宋体" w:hAnsi="宋体" w:eastAsia="宋体" w:cs="宋体"/>
                <w:szCs w:val="21"/>
              </w:rPr>
            </w:pPr>
            <w:r>
              <w:rPr>
                <w:rFonts w:hint="eastAsia" w:ascii="宋体" w:hAnsi="宋体" w:eastAsia="宋体" w:cs="宋体"/>
                <w:szCs w:val="21"/>
              </w:rPr>
              <w:t>私有云平台整体维护</w:t>
            </w:r>
            <w:r>
              <w:rPr>
                <w:rFonts w:hint="eastAsia" w:ascii="宋体" w:hAnsi="宋体" w:eastAsia="宋体" w:cs="宋体"/>
                <w:b/>
                <w:bCs/>
                <w:szCs w:val="21"/>
              </w:rPr>
              <w:t>（评分范围：5,4,3,2,1,0）</w:t>
            </w:r>
          </w:p>
          <w:p w14:paraId="47C4597F">
            <w:pPr>
              <w:keepNext w:val="0"/>
              <w:keepLines w:val="0"/>
              <w:pageBreakBefore w:val="0"/>
              <w:widowControl w:val="0"/>
              <w:numPr>
                <w:ilvl w:val="0"/>
                <w:numId w:val="8"/>
              </w:numPr>
              <w:kinsoku/>
              <w:wordWrap/>
              <w:overflowPunct/>
              <w:topLinePunct w:val="0"/>
              <w:bidi w:val="0"/>
              <w:adjustRightInd w:val="0"/>
              <w:snapToGrid w:val="0"/>
              <w:spacing w:line="288" w:lineRule="auto"/>
              <w:textAlignment w:val="auto"/>
              <w:rPr>
                <w:rFonts w:ascii="宋体" w:hAnsi="宋体" w:eastAsia="宋体" w:cs="宋体"/>
                <w:szCs w:val="21"/>
              </w:rPr>
            </w:pPr>
            <w:r>
              <w:rPr>
                <w:rFonts w:hint="eastAsia" w:ascii="宋体" w:hAnsi="宋体" w:eastAsia="宋体" w:cs="宋体"/>
                <w:szCs w:val="21"/>
              </w:rPr>
              <w:t>系统虚拟机日常运维</w:t>
            </w:r>
            <w:r>
              <w:rPr>
                <w:rFonts w:hint="eastAsia" w:ascii="宋体" w:hAnsi="宋体" w:eastAsia="宋体" w:cs="宋体"/>
                <w:b/>
                <w:bCs/>
                <w:szCs w:val="21"/>
              </w:rPr>
              <w:t>（评分范围：5,4,3,2,1,0）</w:t>
            </w:r>
          </w:p>
          <w:p w14:paraId="2FFDB7C0">
            <w:pPr>
              <w:keepNext w:val="0"/>
              <w:keepLines w:val="0"/>
              <w:pageBreakBefore w:val="0"/>
              <w:widowControl w:val="0"/>
              <w:numPr>
                <w:ilvl w:val="0"/>
                <w:numId w:val="8"/>
              </w:numPr>
              <w:kinsoku/>
              <w:wordWrap/>
              <w:overflowPunct/>
              <w:topLinePunct w:val="0"/>
              <w:bidi w:val="0"/>
              <w:adjustRightInd w:val="0"/>
              <w:snapToGrid w:val="0"/>
              <w:spacing w:line="288" w:lineRule="auto"/>
              <w:textAlignment w:val="auto"/>
              <w:rPr>
                <w:rFonts w:ascii="宋体" w:hAnsi="宋体" w:eastAsia="宋体" w:cs="宋体"/>
                <w:szCs w:val="21"/>
              </w:rPr>
            </w:pPr>
            <w:r>
              <w:rPr>
                <w:rFonts w:hint="eastAsia" w:ascii="宋体" w:hAnsi="宋体" w:eastAsia="宋体" w:cs="宋体"/>
                <w:szCs w:val="21"/>
              </w:rPr>
              <w:t>系统分区的扩容</w:t>
            </w:r>
            <w:r>
              <w:rPr>
                <w:rFonts w:hint="eastAsia" w:ascii="宋体" w:hAnsi="宋体" w:eastAsia="宋体" w:cs="宋体"/>
                <w:b/>
                <w:bCs/>
                <w:szCs w:val="21"/>
              </w:rPr>
              <w:t>（评分范围：5,4,3,2,1,0）</w:t>
            </w:r>
          </w:p>
          <w:p w14:paraId="5DE23DCB">
            <w:pPr>
              <w:keepNext w:val="0"/>
              <w:keepLines w:val="0"/>
              <w:pageBreakBefore w:val="0"/>
              <w:widowControl w:val="0"/>
              <w:numPr>
                <w:ilvl w:val="0"/>
                <w:numId w:val="8"/>
              </w:numPr>
              <w:kinsoku/>
              <w:wordWrap/>
              <w:overflowPunct/>
              <w:topLinePunct w:val="0"/>
              <w:bidi w:val="0"/>
              <w:adjustRightInd w:val="0"/>
              <w:snapToGrid w:val="0"/>
              <w:spacing w:line="288" w:lineRule="auto"/>
              <w:textAlignment w:val="auto"/>
              <w:rPr>
                <w:rFonts w:ascii="Times New Roman" w:hAnsi="宋体"/>
                <w:sz w:val="24"/>
              </w:rPr>
            </w:pPr>
            <w:r>
              <w:rPr>
                <w:rFonts w:hint="eastAsia" w:ascii="宋体" w:hAnsi="宋体" w:eastAsia="宋体" w:cs="宋体"/>
                <w:szCs w:val="21"/>
              </w:rPr>
              <w:t>服务器的备份还原</w:t>
            </w:r>
            <w:r>
              <w:rPr>
                <w:rFonts w:hint="eastAsia" w:ascii="宋体" w:hAnsi="宋体" w:eastAsia="宋体" w:cs="宋体"/>
                <w:b/>
                <w:bCs/>
                <w:szCs w:val="21"/>
              </w:rPr>
              <w:t>（评分范围：5,4,3,2,1,0）</w:t>
            </w:r>
          </w:p>
        </w:tc>
      </w:tr>
      <w:tr w14:paraId="772DD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1" w:type="dxa"/>
            <w:vMerge w:val="continue"/>
            <w:vAlign w:val="center"/>
          </w:tcPr>
          <w:p w14:paraId="043788AD">
            <w:pPr>
              <w:keepNext w:val="0"/>
              <w:keepLines w:val="0"/>
              <w:pageBreakBefore w:val="0"/>
              <w:widowControl w:val="0"/>
              <w:kinsoku/>
              <w:wordWrap/>
              <w:overflowPunct/>
              <w:topLinePunct w:val="0"/>
              <w:bidi w:val="0"/>
              <w:adjustRightInd w:val="0"/>
              <w:snapToGrid w:val="0"/>
              <w:spacing w:line="288" w:lineRule="auto"/>
              <w:jc w:val="center"/>
              <w:textAlignment w:val="auto"/>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6A8533C2">
            <w:pPr>
              <w:keepNext w:val="0"/>
              <w:keepLines w:val="0"/>
              <w:pageBreakBefore w:val="0"/>
              <w:widowControl w:val="0"/>
              <w:kinsoku/>
              <w:wordWrap/>
              <w:overflowPunct/>
              <w:topLinePunct w:val="0"/>
              <w:bidi w:val="0"/>
              <w:adjustRightInd w:val="0"/>
              <w:snapToGrid w:val="0"/>
              <w:spacing w:line="288" w:lineRule="auto"/>
              <w:jc w:val="center"/>
              <w:textAlignment w:val="auto"/>
              <w:rPr>
                <w:rFonts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610F37C0">
            <w:pPr>
              <w:keepNext w:val="0"/>
              <w:keepLines w:val="0"/>
              <w:pageBreakBefore w:val="0"/>
              <w:widowControl w:val="0"/>
              <w:kinsoku/>
              <w:wordWrap/>
              <w:overflowPunct/>
              <w:topLinePunct w:val="0"/>
              <w:bidi w:val="0"/>
              <w:adjustRightInd w:val="0"/>
              <w:snapToGrid w:val="0"/>
              <w:spacing w:line="288" w:lineRule="auto"/>
              <w:textAlignment w:val="auto"/>
              <w:rPr>
                <w:rFonts w:ascii="宋体" w:hAnsi="宋体" w:eastAsia="宋体" w:cs="宋体"/>
                <w:kern w:val="0"/>
                <w:szCs w:val="21"/>
              </w:rPr>
            </w:pPr>
            <w:r>
              <w:rPr>
                <w:rFonts w:hint="eastAsia" w:ascii="宋体" w:hAnsi="宋体" w:eastAsia="宋体" w:cs="宋体"/>
                <w:kern w:val="0"/>
                <w:szCs w:val="21"/>
              </w:rPr>
              <w:t>【主观分】</w:t>
            </w:r>
          </w:p>
          <w:p w14:paraId="4A8BDF42">
            <w:pPr>
              <w:keepNext w:val="0"/>
              <w:keepLines w:val="0"/>
              <w:pageBreakBefore w:val="0"/>
              <w:widowControl w:val="0"/>
              <w:kinsoku/>
              <w:wordWrap/>
              <w:overflowPunct/>
              <w:topLinePunct w:val="0"/>
              <w:bidi w:val="0"/>
              <w:adjustRightInd w:val="0"/>
              <w:snapToGrid w:val="0"/>
              <w:spacing w:line="288" w:lineRule="auto"/>
              <w:textAlignment w:val="auto"/>
              <w:rPr>
                <w:rFonts w:ascii="宋体" w:hAnsi="宋体" w:cs="宋体"/>
                <w:szCs w:val="21"/>
              </w:rPr>
            </w:pPr>
            <w:r>
              <w:rPr>
                <w:rFonts w:hint="eastAsia" w:ascii="宋体" w:hAnsi="宋体" w:eastAsia="宋体" w:cs="宋体"/>
                <w:szCs w:val="21"/>
              </w:rPr>
              <w:t>投标人提供运维监控平台及技术服务方案：专业、针对采购需求及实际特点，有利于采购标的实现及合同履约。</w:t>
            </w:r>
            <w:r>
              <w:rPr>
                <w:rFonts w:hint="eastAsia" w:ascii="宋体" w:hAnsi="宋体" w:eastAsia="宋体" w:cs="宋体"/>
                <w:b/>
                <w:bCs/>
                <w:szCs w:val="21"/>
              </w:rPr>
              <w:t>（评分范围：5,4,3,2,1,0）</w:t>
            </w:r>
          </w:p>
        </w:tc>
      </w:tr>
      <w:tr w14:paraId="6CF8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1" w:type="dxa"/>
            <w:vMerge w:val="continue"/>
            <w:tcBorders>
              <w:bottom w:val="single" w:color="auto" w:sz="4" w:space="0"/>
            </w:tcBorders>
            <w:vAlign w:val="center"/>
          </w:tcPr>
          <w:p w14:paraId="74C6F502">
            <w:pPr>
              <w:keepNext w:val="0"/>
              <w:keepLines w:val="0"/>
              <w:pageBreakBefore w:val="0"/>
              <w:widowControl w:val="0"/>
              <w:kinsoku/>
              <w:wordWrap/>
              <w:overflowPunct/>
              <w:topLinePunct w:val="0"/>
              <w:bidi w:val="0"/>
              <w:adjustRightInd w:val="0"/>
              <w:snapToGrid w:val="0"/>
              <w:spacing w:line="288" w:lineRule="auto"/>
              <w:jc w:val="center"/>
              <w:textAlignment w:val="auto"/>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30C28DB0">
            <w:pPr>
              <w:keepNext w:val="0"/>
              <w:keepLines w:val="0"/>
              <w:pageBreakBefore w:val="0"/>
              <w:widowControl w:val="0"/>
              <w:kinsoku/>
              <w:wordWrap/>
              <w:overflowPunct/>
              <w:topLinePunct w:val="0"/>
              <w:bidi w:val="0"/>
              <w:adjustRightInd w:val="0"/>
              <w:snapToGrid w:val="0"/>
              <w:spacing w:line="288" w:lineRule="auto"/>
              <w:jc w:val="center"/>
              <w:textAlignment w:val="auto"/>
              <w:rPr>
                <w:rFonts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14331DFB">
            <w:pPr>
              <w:keepNext w:val="0"/>
              <w:keepLines w:val="0"/>
              <w:pageBreakBefore w:val="0"/>
              <w:widowControl w:val="0"/>
              <w:kinsoku/>
              <w:wordWrap/>
              <w:overflowPunct/>
              <w:topLinePunct w:val="0"/>
              <w:bidi w:val="0"/>
              <w:adjustRightInd w:val="0"/>
              <w:snapToGrid w:val="0"/>
              <w:spacing w:line="288" w:lineRule="auto"/>
              <w:textAlignment w:val="auto"/>
              <w:rPr>
                <w:rFonts w:ascii="宋体" w:hAnsi="宋体" w:eastAsia="宋体" w:cs="宋体"/>
                <w:szCs w:val="21"/>
              </w:rPr>
            </w:pPr>
            <w:r>
              <w:rPr>
                <w:rFonts w:hint="eastAsia" w:ascii="宋体" w:hAnsi="宋体" w:eastAsia="宋体" w:cs="宋体"/>
                <w:szCs w:val="21"/>
              </w:rPr>
              <w:t>【主观分】</w:t>
            </w:r>
          </w:p>
          <w:p w14:paraId="34C9DA7E">
            <w:pPr>
              <w:keepNext w:val="0"/>
              <w:keepLines w:val="0"/>
              <w:pageBreakBefore w:val="0"/>
              <w:widowControl w:val="0"/>
              <w:kinsoku/>
              <w:wordWrap/>
              <w:overflowPunct/>
              <w:topLinePunct w:val="0"/>
              <w:bidi w:val="0"/>
              <w:adjustRightInd w:val="0"/>
              <w:snapToGrid w:val="0"/>
              <w:spacing w:line="288" w:lineRule="auto"/>
              <w:textAlignment w:val="auto"/>
              <w:rPr>
                <w:rFonts w:ascii="宋体" w:hAnsi="宋体" w:eastAsia="宋体" w:cs="宋体"/>
                <w:szCs w:val="21"/>
              </w:rPr>
            </w:pPr>
            <w:r>
              <w:rPr>
                <w:rFonts w:hint="eastAsia" w:ascii="宋体" w:hAnsi="宋体" w:eastAsia="宋体" w:cs="宋体"/>
                <w:szCs w:val="21"/>
              </w:rPr>
              <w:t>服务质量保障措施：落地执行力强，有明确的服务质量监督与考核办法，</w:t>
            </w:r>
            <w:r>
              <w:rPr>
                <w:rFonts w:hint="eastAsia" w:ascii="宋体" w:hAnsi="宋体" w:eastAsia="宋体" w:cs="宋体"/>
                <w:kern w:val="0"/>
                <w:szCs w:val="21"/>
              </w:rPr>
              <w:t>针对采购需求及实际特点、有利于采购标的实现及合同履约。</w:t>
            </w:r>
            <w:r>
              <w:rPr>
                <w:rFonts w:hint="eastAsia" w:ascii="宋体" w:hAnsi="宋体" w:eastAsia="宋体" w:cs="宋体"/>
                <w:b/>
                <w:bCs/>
                <w:szCs w:val="21"/>
              </w:rPr>
              <w:t>（评分范围：5,4,3,2,1,0）</w:t>
            </w:r>
          </w:p>
        </w:tc>
      </w:tr>
    </w:tbl>
    <w:p w14:paraId="57435BBE">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14:paraId="0C9B5D0D">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002B4CAA">
      <w:pPr>
        <w:spacing w:before="120" w:beforeLines="50" w:after="120" w:afterLines="50"/>
        <w:jc w:val="center"/>
        <w:rPr>
          <w:rFonts w:ascii="Times New Roman" w:hAnsi="Times New Roman"/>
          <w:b/>
          <w:sz w:val="32"/>
          <w:szCs w:val="32"/>
        </w:rPr>
      </w:pPr>
      <w:bookmarkStart w:id="54" w:name="_Hlk181092923"/>
      <w:r>
        <w:rPr>
          <w:rFonts w:ascii="Times New Roman" w:hAnsi="Times New Roman"/>
          <w:b/>
          <w:sz w:val="32"/>
          <w:szCs w:val="32"/>
        </w:rPr>
        <w:t>浙江省政府采购合同</w:t>
      </w:r>
    </w:p>
    <w:p w14:paraId="705A7DDA">
      <w:pPr>
        <w:spacing w:before="120" w:beforeLines="50" w:line="360" w:lineRule="auto"/>
        <w:rPr>
          <w:rFonts w:ascii="宋体" w:hAnsi="宋体" w:eastAsia="宋体" w:cs="宋体"/>
          <w:color w:val="000000"/>
          <w:spacing w:val="-6"/>
          <w:sz w:val="24"/>
          <w:szCs w:val="24"/>
        </w:rPr>
      </w:pPr>
      <w:r>
        <w:rPr>
          <w:rFonts w:hint="eastAsia" w:ascii="宋体" w:hAnsi="宋体" w:eastAsia="宋体" w:cs="宋体"/>
          <w:color w:val="000000"/>
          <w:spacing w:val="-6"/>
          <w:sz w:val="24"/>
          <w:szCs w:val="24"/>
        </w:rPr>
        <w:t>甲方（采购人）：浙江工商大学</w:t>
      </w:r>
    </w:p>
    <w:p w14:paraId="1D9AE06C">
      <w:pPr>
        <w:spacing w:line="360" w:lineRule="auto"/>
        <w:rPr>
          <w:rFonts w:ascii="宋体" w:hAnsi="宋体" w:eastAsia="宋体" w:cs="宋体"/>
          <w:color w:val="000000"/>
          <w:spacing w:val="-6"/>
          <w:sz w:val="24"/>
          <w:szCs w:val="24"/>
        </w:rPr>
      </w:pPr>
      <w:r>
        <w:rPr>
          <w:rFonts w:hint="eastAsia" w:ascii="宋体" w:hAnsi="宋体" w:eastAsia="宋体" w:cs="宋体"/>
          <w:color w:val="000000"/>
          <w:spacing w:val="-6"/>
          <w:sz w:val="24"/>
          <w:szCs w:val="24"/>
        </w:rPr>
        <w:t>乙方（供应商）：</w:t>
      </w:r>
    </w:p>
    <w:p w14:paraId="33BFCA0E">
      <w:pPr>
        <w:spacing w:line="360" w:lineRule="auto"/>
        <w:rPr>
          <w:rFonts w:ascii="宋体" w:hAnsi="宋体" w:eastAsia="宋体" w:cs="宋体"/>
          <w:color w:val="000000"/>
          <w:spacing w:val="-6"/>
          <w:sz w:val="24"/>
          <w:szCs w:val="24"/>
        </w:rPr>
      </w:pPr>
      <w:r>
        <w:rPr>
          <w:rFonts w:hint="eastAsia" w:ascii="宋体" w:hAnsi="宋体" w:eastAsia="宋体" w:cs="宋体"/>
          <w:color w:val="000000"/>
          <w:spacing w:val="-6"/>
          <w:sz w:val="24"/>
          <w:szCs w:val="24"/>
        </w:rPr>
        <w:t>鉴证方（采购代理机构）：</w:t>
      </w:r>
      <w:r>
        <w:rPr>
          <w:rFonts w:hint="eastAsia" w:ascii="宋体" w:hAnsi="宋体" w:eastAsia="宋体" w:cs="宋体"/>
          <w:color w:val="000000"/>
          <w:spacing w:val="-6"/>
          <w:sz w:val="24"/>
          <w:szCs w:val="24"/>
          <w:u w:val="single"/>
        </w:rPr>
        <w:t>浙江求是招标代理有限公司</w:t>
      </w:r>
    </w:p>
    <w:p w14:paraId="4E402645">
      <w:pPr>
        <w:spacing w:before="120" w:beforeLines="50" w:after="120" w:afterLines="50" w:line="360" w:lineRule="auto"/>
        <w:rPr>
          <w:rFonts w:ascii="宋体" w:hAnsi="宋体" w:eastAsia="宋体" w:cs="宋体"/>
          <w:color w:val="000000"/>
          <w:spacing w:val="-6"/>
          <w:sz w:val="24"/>
          <w:szCs w:val="24"/>
        </w:rPr>
      </w:pPr>
      <w:r>
        <w:rPr>
          <w:rFonts w:hint="eastAsia" w:ascii="宋体" w:hAnsi="宋体" w:eastAsia="宋体" w:cs="宋体"/>
          <w:color w:val="000000"/>
          <w:spacing w:val="-6"/>
          <w:sz w:val="24"/>
          <w:szCs w:val="24"/>
        </w:rPr>
        <w:t>签约地点：杭州                   合同编号：</w:t>
      </w:r>
    </w:p>
    <w:p w14:paraId="1561E4C5">
      <w:pPr>
        <w:spacing w:line="360" w:lineRule="auto"/>
        <w:ind w:firstLine="456" w:firstLineChars="200"/>
        <w:rPr>
          <w:rFonts w:ascii="宋体" w:hAnsi="宋体" w:eastAsia="宋体" w:cs="宋体"/>
          <w:color w:val="000000"/>
          <w:spacing w:val="-6"/>
          <w:sz w:val="24"/>
          <w:szCs w:val="24"/>
        </w:rPr>
      </w:pPr>
      <w:r>
        <w:rPr>
          <w:rFonts w:hint="eastAsia" w:ascii="宋体" w:hAnsi="宋体" w:eastAsia="宋体" w:cs="宋体"/>
          <w:color w:val="000000"/>
          <w:spacing w:val="-6"/>
          <w:sz w:val="24"/>
          <w:szCs w:val="24"/>
        </w:rPr>
        <w:t>甲、乙双方根据</w:t>
      </w:r>
      <w:r>
        <w:rPr>
          <w:rFonts w:hint="eastAsia" w:ascii="宋体" w:hAnsi="宋体" w:eastAsia="宋体" w:cs="宋体"/>
          <w:color w:val="000000"/>
          <w:spacing w:val="-6"/>
          <w:sz w:val="24"/>
          <w:szCs w:val="24"/>
          <w:u w:val="single"/>
        </w:rPr>
        <w:t xml:space="preserve"> 浙江求是招标代理有限公司 </w:t>
      </w:r>
      <w:r>
        <w:rPr>
          <w:rFonts w:hint="eastAsia" w:ascii="宋体" w:hAnsi="宋体" w:eastAsia="宋体" w:cs="宋体"/>
          <w:color w:val="000000"/>
          <w:spacing w:val="-6"/>
          <w:sz w:val="24"/>
          <w:szCs w:val="24"/>
        </w:rPr>
        <w:t>关于</w:t>
      </w:r>
      <w:r>
        <w:rPr>
          <w:rFonts w:hint="eastAsia" w:ascii="宋体" w:hAnsi="宋体" w:eastAsia="宋体" w:cs="宋体"/>
          <w:color w:val="000000"/>
          <w:spacing w:val="-6"/>
          <w:sz w:val="24"/>
          <w:szCs w:val="24"/>
          <w:u w:val="single"/>
        </w:rPr>
        <w:t xml:space="preserve"> 浙江工商大学2025-2027年无线网络及数据中心运维服务 </w:t>
      </w:r>
      <w:r>
        <w:rPr>
          <w:rFonts w:hint="eastAsia" w:ascii="宋体" w:hAnsi="宋体" w:eastAsia="宋体" w:cs="宋体"/>
          <w:color w:val="000000"/>
          <w:spacing w:val="-6"/>
          <w:sz w:val="24"/>
          <w:szCs w:val="24"/>
        </w:rPr>
        <w:t>项目（编号：</w:t>
      </w:r>
      <w:r>
        <w:rPr>
          <w:rFonts w:hint="eastAsia" w:ascii="宋体" w:hAnsi="宋体" w:eastAsia="宋体" w:cs="宋体"/>
          <w:color w:val="000000"/>
          <w:spacing w:val="-6"/>
          <w:sz w:val="24"/>
          <w:szCs w:val="24"/>
          <w:u w:val="single"/>
        </w:rPr>
        <w:t xml:space="preserve">      </w:t>
      </w:r>
      <w:r>
        <w:rPr>
          <w:rFonts w:hint="eastAsia" w:ascii="宋体" w:hAnsi="宋体" w:eastAsia="宋体" w:cs="宋体"/>
          <w:color w:val="000000"/>
          <w:spacing w:val="-6"/>
          <w:sz w:val="24"/>
          <w:szCs w:val="24"/>
        </w:rPr>
        <w:t>，计划书：</w:t>
      </w:r>
      <w:r>
        <w:rPr>
          <w:rFonts w:hint="eastAsia" w:ascii="宋体" w:hAnsi="宋体" w:eastAsia="宋体" w:cs="宋体"/>
          <w:color w:val="000000"/>
          <w:spacing w:val="-6"/>
          <w:sz w:val="24"/>
          <w:szCs w:val="24"/>
          <w:u w:val="single"/>
        </w:rPr>
        <w:t xml:space="preserve">      </w:t>
      </w:r>
      <w:r>
        <w:rPr>
          <w:rFonts w:hint="eastAsia" w:ascii="宋体" w:hAnsi="宋体" w:eastAsia="宋体" w:cs="宋体"/>
          <w:color w:val="000000"/>
          <w:spacing w:val="-6"/>
          <w:sz w:val="24"/>
          <w:szCs w:val="24"/>
        </w:rPr>
        <w:t>号）</w:t>
      </w:r>
      <w:r>
        <w:rPr>
          <w:rFonts w:hint="eastAsia" w:ascii="宋体" w:hAnsi="宋体" w:eastAsia="宋体" w:cs="宋体"/>
          <w:color w:val="000000"/>
          <w:spacing w:val="-6"/>
          <w:sz w:val="24"/>
          <w:szCs w:val="24"/>
          <w:u w:val="single"/>
        </w:rPr>
        <w:t xml:space="preserve">        </w:t>
      </w:r>
      <w:r>
        <w:rPr>
          <w:rFonts w:hint="eastAsia" w:ascii="宋体" w:hAnsi="宋体" w:eastAsia="宋体" w:cs="宋体"/>
          <w:color w:val="000000"/>
          <w:spacing w:val="-6"/>
          <w:sz w:val="24"/>
          <w:szCs w:val="24"/>
        </w:rPr>
        <w:t>的结果，签署本合同。</w:t>
      </w:r>
    </w:p>
    <w:p w14:paraId="1578E052">
      <w:pPr>
        <w:spacing w:line="360" w:lineRule="auto"/>
        <w:ind w:firstLine="482" w:firstLineChars="200"/>
        <w:jc w:val="left"/>
        <w:rPr>
          <w:rFonts w:ascii="宋体" w:hAnsi="宋体" w:eastAsia="宋体" w:cs="宋体"/>
          <w:b/>
          <w:bCs/>
          <w:color w:val="000000"/>
          <w:kern w:val="0"/>
          <w:sz w:val="24"/>
          <w:szCs w:val="24"/>
          <w:lang w:val="zh-TW" w:bidi="zh-TW"/>
        </w:rPr>
      </w:pPr>
      <w:r>
        <w:rPr>
          <w:rFonts w:hint="eastAsia" w:ascii="宋体" w:hAnsi="宋体" w:eastAsia="宋体" w:cs="宋体"/>
          <w:b/>
          <w:bCs/>
          <w:color w:val="000000"/>
          <w:kern w:val="0"/>
          <w:sz w:val="24"/>
          <w:szCs w:val="24"/>
          <w:lang w:val="zh-TW" w:eastAsia="zh-TW" w:bidi="zh-TW"/>
        </w:rPr>
        <w:t>一、服务内容</w:t>
      </w:r>
      <w:r>
        <w:rPr>
          <w:rFonts w:hint="eastAsia" w:ascii="宋体" w:hAnsi="宋体" w:eastAsia="宋体" w:cs="宋体"/>
          <w:b/>
          <w:bCs/>
          <w:color w:val="000000"/>
          <w:kern w:val="0"/>
          <w:sz w:val="24"/>
          <w:szCs w:val="24"/>
          <w:lang w:val="zh-TW" w:bidi="zh-TW"/>
        </w:rPr>
        <w:t>及要求</w:t>
      </w:r>
    </w:p>
    <w:p w14:paraId="3530F301">
      <w:pPr>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根据项目内容起草。</w:t>
      </w:r>
    </w:p>
    <w:p w14:paraId="7442F91C">
      <w:pPr>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二、合同金额及支付方式</w:t>
      </w:r>
    </w:p>
    <w:p w14:paraId="44FBCC4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（一）履行时间：</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BC9B50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（二）履行地点：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D2C796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（三）本合同金额为（人民币大写）：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元整，小写：￥</w:t>
      </w:r>
      <w:r>
        <w:rPr>
          <w:rFonts w:hint="eastAsia" w:ascii="宋体" w:hAnsi="宋体" w:eastAsia="宋体" w:cs="宋体"/>
          <w:sz w:val="24"/>
          <w:szCs w:val="24"/>
          <w:u w:val="single"/>
        </w:rPr>
        <w:t xml:space="preserve">      </w:t>
      </w:r>
      <w:r>
        <w:rPr>
          <w:rFonts w:hint="eastAsia" w:ascii="宋体" w:hAnsi="宋体" w:eastAsia="宋体" w:cs="宋体"/>
          <w:sz w:val="24"/>
          <w:szCs w:val="24"/>
        </w:rPr>
        <w:t>元，本合同金额为含税价；</w:t>
      </w:r>
    </w:p>
    <w:p w14:paraId="0F6C95E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（四）支付方式：</w:t>
      </w:r>
    </w:p>
    <w:p w14:paraId="735BC1A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根据结果起草</w:t>
      </w:r>
    </w:p>
    <w:p w14:paraId="6CE28F4C">
      <w:pPr>
        <w:spacing w:line="360" w:lineRule="auto"/>
        <w:ind w:firstLine="482" w:firstLineChars="200"/>
        <w:rPr>
          <w:rFonts w:ascii="宋体" w:hAnsi="宋体" w:eastAsia="宋体" w:cs="宋体"/>
          <w:b/>
          <w:sz w:val="24"/>
          <w:szCs w:val="24"/>
        </w:rPr>
      </w:pPr>
      <w:r>
        <w:rPr>
          <w:rFonts w:hint="eastAsia" w:ascii="宋体" w:hAnsi="宋体" w:eastAsia="宋体" w:cs="宋体"/>
          <w:b/>
          <w:bCs/>
          <w:sz w:val="24"/>
          <w:szCs w:val="24"/>
        </w:rPr>
        <w:t>三、</w:t>
      </w:r>
      <w:r>
        <w:rPr>
          <w:rFonts w:hint="eastAsia" w:ascii="宋体" w:hAnsi="宋体" w:eastAsia="宋体" w:cs="宋体"/>
          <w:b/>
          <w:sz w:val="24"/>
          <w:szCs w:val="24"/>
        </w:rPr>
        <w:t>技术资料</w:t>
      </w:r>
    </w:p>
    <w:p w14:paraId="2E61EB5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（一）乙方应按规定的时间向甲方提供有关技术资料。</w:t>
      </w:r>
    </w:p>
    <w:p w14:paraId="020B8A4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（二）未经甲方事先书面同意，乙方不得将与本合同及有关的任何合同条文、规格、计划、图纸、样品或资料提供给任何第三方。即使向履行本合同有关的人员提供，也应注意保密并限于履行合同的必需范围。</w:t>
      </w:r>
    </w:p>
    <w:p w14:paraId="37ED5902">
      <w:pPr>
        <w:spacing w:line="360" w:lineRule="auto"/>
        <w:ind w:firstLine="480" w:firstLineChars="200"/>
        <w:rPr>
          <w:rFonts w:ascii="宋体" w:hAnsi="宋体" w:eastAsia="宋体" w:cs="宋体"/>
          <w:bCs/>
          <w:sz w:val="24"/>
          <w:szCs w:val="24"/>
        </w:rPr>
      </w:pPr>
      <w:r>
        <w:rPr>
          <w:rFonts w:hint="eastAsia" w:ascii="宋体" w:hAnsi="宋体" w:eastAsia="宋体" w:cs="宋体"/>
          <w:sz w:val="24"/>
          <w:szCs w:val="24"/>
        </w:rPr>
        <w:t>（三）乙方应保证提供服务过程中不会侵犯任何第三方的知识产权</w:t>
      </w:r>
      <w:r>
        <w:rPr>
          <w:rFonts w:hint="eastAsia" w:ascii="宋体" w:hAnsi="宋体" w:eastAsia="宋体" w:cs="宋体"/>
          <w:bCs/>
          <w:sz w:val="24"/>
          <w:szCs w:val="24"/>
        </w:rPr>
        <w:t>，否则甲方有权解除本合同，拒绝支付合同价款，并要求乙方赔偿所有损失。</w:t>
      </w:r>
    </w:p>
    <w:p w14:paraId="1F65B424">
      <w:pPr>
        <w:spacing w:line="360" w:lineRule="auto"/>
        <w:ind w:firstLine="482" w:firstLineChars="200"/>
        <w:jc w:val="left"/>
        <w:rPr>
          <w:rFonts w:ascii="宋体" w:hAnsi="宋体" w:eastAsia="宋体" w:cs="宋体"/>
          <w:b/>
          <w:sz w:val="24"/>
          <w:szCs w:val="24"/>
        </w:rPr>
      </w:pPr>
      <w:r>
        <w:rPr>
          <w:rFonts w:hint="eastAsia" w:ascii="宋体" w:hAnsi="宋体" w:eastAsia="宋体" w:cs="宋体"/>
          <w:b/>
          <w:sz w:val="24"/>
          <w:szCs w:val="24"/>
        </w:rPr>
        <w:t>四、转包或分包</w:t>
      </w:r>
    </w:p>
    <w:p w14:paraId="63D99A03">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（一）不允许转包。</w:t>
      </w:r>
    </w:p>
    <w:p w14:paraId="18211E39">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（二）允许分包部分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60D6C76">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（三）如乙方将项目转包或将不允许分包部分进行了分包，甲方有权解除合同、没收履约保证金（如有），并要求乙方支付合同金额15.0%的违约金。</w:t>
      </w:r>
    </w:p>
    <w:p w14:paraId="108CDBCD">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五、质量保证及后续服务</w:t>
      </w:r>
    </w:p>
    <w:p w14:paraId="0DAE893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（一）乙方应按采购文件规定向甲方提供服务。</w:t>
      </w:r>
    </w:p>
    <w:p w14:paraId="76E1CF9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（二）乙方提供的服务成果验收不合格的，或在服务质量保证期内出现问题，乙方应负责免费提供后续服务。对达不到服务要求的，根据实际情况，甲方有权自行选择以下办法处理：</w:t>
      </w:r>
    </w:p>
    <w:p w14:paraId="5A15633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（1）重做：由乙方承担所发生的全部费用，并承担所有损失。</w:t>
      </w:r>
    </w:p>
    <w:p w14:paraId="2F1B274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（2）解除合同：甲方拒付（或要求乙方退还）合同价款。</w:t>
      </w:r>
    </w:p>
    <w:p w14:paraId="1AF170E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（三）合同履行期限内，乙方接到甲方通知后小时内到达甲方现场，并在小时内排除故障。</w:t>
      </w:r>
    </w:p>
    <w:p w14:paraId="68B2BF5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（四）在服务质量保证期内，乙方应对出现的质量及安全问题负责处理解决并承担一切费用。</w:t>
      </w:r>
    </w:p>
    <w:p w14:paraId="4F246D64">
      <w:pPr>
        <w:spacing w:line="360" w:lineRule="auto"/>
        <w:ind w:firstLine="482" w:firstLineChars="200"/>
        <w:jc w:val="left"/>
        <w:rPr>
          <w:rFonts w:ascii="宋体" w:hAnsi="宋体" w:eastAsia="宋体" w:cs="宋体"/>
          <w:b/>
          <w:bCs/>
          <w:color w:val="000000"/>
          <w:kern w:val="0"/>
          <w:sz w:val="24"/>
          <w:szCs w:val="24"/>
          <w:lang w:val="zh-TW" w:eastAsia="zh-TW" w:bidi="zh-TW"/>
        </w:rPr>
      </w:pPr>
      <w:r>
        <w:rPr>
          <w:rFonts w:hint="eastAsia" w:ascii="宋体" w:hAnsi="宋体" w:eastAsia="宋体" w:cs="宋体"/>
          <w:b/>
          <w:bCs/>
          <w:color w:val="000000"/>
          <w:kern w:val="0"/>
          <w:sz w:val="24"/>
          <w:szCs w:val="24"/>
          <w:lang w:val="zh-TW" w:eastAsia="zh-TW" w:bidi="zh-TW"/>
        </w:rPr>
        <w:t>六、违约责任</w:t>
      </w:r>
    </w:p>
    <w:p w14:paraId="447A17EF">
      <w:pPr>
        <w:spacing w:line="360" w:lineRule="auto"/>
        <w:ind w:firstLine="480" w:firstLineChars="200"/>
        <w:jc w:val="left"/>
        <w:rPr>
          <w:rFonts w:ascii="宋体" w:hAnsi="宋体" w:eastAsia="宋体" w:cs="宋体"/>
          <w:color w:val="000000"/>
          <w:kern w:val="0"/>
          <w:sz w:val="24"/>
          <w:szCs w:val="24"/>
          <w:lang w:val="zh-TW" w:eastAsia="zh-TW" w:bidi="zh-TW"/>
        </w:rPr>
      </w:pPr>
      <w:bookmarkStart w:id="55" w:name="bookmark36"/>
      <w:bookmarkEnd w:id="55"/>
      <w:bookmarkStart w:id="56" w:name="_Hlk162858734"/>
      <w:r>
        <w:rPr>
          <w:rFonts w:hint="eastAsia" w:ascii="宋体" w:hAnsi="宋体" w:eastAsia="宋体" w:cs="宋体"/>
          <w:color w:val="000000"/>
          <w:kern w:val="0"/>
          <w:sz w:val="24"/>
          <w:szCs w:val="24"/>
          <w:lang w:val="zh-TW" w:bidi="zh-TW"/>
        </w:rPr>
        <w:t>（</w:t>
      </w:r>
      <w:r>
        <w:rPr>
          <w:rFonts w:hint="eastAsia" w:ascii="宋体" w:hAnsi="宋体" w:eastAsia="宋体" w:cs="宋体"/>
          <w:color w:val="000000"/>
          <w:kern w:val="0"/>
          <w:sz w:val="24"/>
          <w:szCs w:val="24"/>
          <w:lang w:bidi="zh-TW"/>
        </w:rPr>
        <w:t>一）</w:t>
      </w:r>
      <w:bookmarkEnd w:id="56"/>
      <w:r>
        <w:rPr>
          <w:rFonts w:hint="eastAsia" w:ascii="宋体" w:hAnsi="宋体" w:eastAsia="宋体" w:cs="宋体"/>
          <w:color w:val="000000"/>
          <w:kern w:val="0"/>
          <w:sz w:val="24"/>
          <w:szCs w:val="24"/>
          <w:lang w:val="zh-TW" w:eastAsia="zh-TW" w:bidi="zh-TW"/>
        </w:rPr>
        <w:t>甲方迟延办理付款手续的，自迟延之日起，应每日向乙方</w:t>
      </w:r>
      <w:r>
        <w:rPr>
          <w:rFonts w:hint="eastAsia" w:ascii="宋体" w:hAnsi="宋体" w:eastAsia="宋体" w:cs="宋体"/>
          <w:color w:val="000000"/>
          <w:kern w:val="0"/>
          <w:sz w:val="24"/>
          <w:szCs w:val="24"/>
          <w:lang w:val="zh-TW" w:bidi="zh-TW"/>
        </w:rPr>
        <w:t>支</w:t>
      </w:r>
      <w:r>
        <w:rPr>
          <w:rFonts w:hint="eastAsia" w:ascii="宋体" w:hAnsi="宋体" w:eastAsia="宋体" w:cs="宋体"/>
          <w:color w:val="000000"/>
          <w:kern w:val="0"/>
          <w:sz w:val="24"/>
          <w:szCs w:val="24"/>
          <w:lang w:val="zh-TW" w:eastAsia="zh-TW" w:bidi="zh-TW"/>
        </w:rPr>
        <w:t>付迟延部分价款万分之五的违约金。</w:t>
      </w:r>
    </w:p>
    <w:p w14:paraId="7CA989B9">
      <w:pPr>
        <w:spacing w:line="360" w:lineRule="auto"/>
        <w:ind w:firstLine="480" w:firstLineChars="200"/>
        <w:jc w:val="left"/>
        <w:rPr>
          <w:rFonts w:ascii="宋体" w:hAnsi="宋体" w:eastAsia="宋体" w:cs="宋体"/>
          <w:color w:val="000000"/>
          <w:kern w:val="0"/>
          <w:sz w:val="24"/>
          <w:szCs w:val="24"/>
          <w:lang w:val="zh-TW" w:eastAsia="zh-TW" w:bidi="zh-TW"/>
        </w:rPr>
      </w:pPr>
      <w:r>
        <w:rPr>
          <w:rFonts w:hint="eastAsia" w:ascii="宋体" w:hAnsi="宋体" w:eastAsia="宋体" w:cs="宋体"/>
          <w:color w:val="000000"/>
          <w:kern w:val="0"/>
          <w:sz w:val="24"/>
          <w:szCs w:val="24"/>
          <w:lang w:val="zh-TW" w:eastAsia="zh-TW" w:bidi="zh-TW"/>
        </w:rPr>
        <w:t>甲方迟延验收的</w:t>
      </w:r>
      <w:r>
        <w:rPr>
          <w:rFonts w:hint="eastAsia" w:ascii="宋体" w:hAnsi="宋体" w:eastAsia="宋体" w:cs="宋体"/>
          <w:color w:val="000000"/>
          <w:kern w:val="0"/>
          <w:sz w:val="24"/>
          <w:szCs w:val="24"/>
          <w:lang w:val="zh-TW" w:bidi="zh-TW"/>
        </w:rPr>
        <w:t>，</w:t>
      </w:r>
      <w:r>
        <w:rPr>
          <w:rFonts w:hint="eastAsia" w:ascii="宋体" w:hAnsi="宋体" w:eastAsia="宋体" w:cs="宋体"/>
          <w:color w:val="000000"/>
          <w:kern w:val="0"/>
          <w:sz w:val="24"/>
          <w:szCs w:val="24"/>
          <w:lang w:val="zh-TW" w:eastAsia="zh-TW" w:bidi="zh-TW"/>
        </w:rPr>
        <w:t>亦同。因此造成乙方其他损害时，甲方应当承担赔偿责任。</w:t>
      </w:r>
      <w:bookmarkStart w:id="57" w:name="bookmark37"/>
      <w:bookmarkEnd w:id="57"/>
    </w:p>
    <w:p w14:paraId="71D318B1">
      <w:pPr>
        <w:spacing w:line="360" w:lineRule="auto"/>
        <w:ind w:firstLine="480" w:firstLineChars="200"/>
        <w:jc w:val="left"/>
        <w:rPr>
          <w:rFonts w:ascii="宋体" w:hAnsi="宋体" w:eastAsia="宋体" w:cs="宋体"/>
          <w:color w:val="000000"/>
          <w:kern w:val="0"/>
          <w:sz w:val="24"/>
          <w:szCs w:val="24"/>
          <w:lang w:val="zh-TW" w:eastAsia="zh-TW" w:bidi="zh-TW"/>
        </w:rPr>
      </w:pPr>
      <w:r>
        <w:rPr>
          <w:rFonts w:hint="eastAsia" w:ascii="宋体" w:hAnsi="宋体" w:eastAsia="宋体" w:cs="宋体"/>
          <w:color w:val="000000"/>
          <w:kern w:val="0"/>
          <w:sz w:val="24"/>
          <w:szCs w:val="24"/>
          <w:lang w:val="zh-TW" w:bidi="zh-TW"/>
        </w:rPr>
        <w:t>（</w:t>
      </w:r>
      <w:r>
        <w:rPr>
          <w:rFonts w:hint="eastAsia" w:ascii="宋体" w:hAnsi="宋体" w:eastAsia="宋体" w:cs="宋体"/>
          <w:color w:val="000000"/>
          <w:kern w:val="0"/>
          <w:sz w:val="24"/>
          <w:szCs w:val="24"/>
          <w:lang w:bidi="zh-TW"/>
        </w:rPr>
        <w:t>二）</w:t>
      </w:r>
      <w:r>
        <w:rPr>
          <w:rFonts w:hint="eastAsia" w:ascii="宋体" w:hAnsi="宋体" w:eastAsia="宋体" w:cs="宋体"/>
          <w:color w:val="000000"/>
          <w:kern w:val="0"/>
          <w:sz w:val="24"/>
          <w:szCs w:val="24"/>
          <w:lang w:val="zh-TW" w:eastAsia="zh-TW" w:bidi="zh-TW"/>
        </w:rPr>
        <w:t>乙方迟延履行交货义务的，自迟延之日起，应每日向甲方</w:t>
      </w:r>
      <w:r>
        <w:rPr>
          <w:rFonts w:hint="eastAsia" w:ascii="宋体" w:hAnsi="宋体" w:eastAsia="宋体" w:cs="宋体"/>
          <w:color w:val="000000"/>
          <w:kern w:val="0"/>
          <w:sz w:val="24"/>
          <w:szCs w:val="24"/>
          <w:lang w:val="zh-TW" w:bidi="zh-TW"/>
        </w:rPr>
        <w:t>支</w:t>
      </w:r>
      <w:r>
        <w:rPr>
          <w:rFonts w:hint="eastAsia" w:ascii="宋体" w:hAnsi="宋体" w:eastAsia="宋体" w:cs="宋体"/>
          <w:color w:val="000000"/>
          <w:kern w:val="0"/>
          <w:sz w:val="24"/>
          <w:szCs w:val="24"/>
          <w:lang w:val="zh-TW" w:eastAsia="zh-TW" w:bidi="zh-TW"/>
        </w:rPr>
        <w:t>付迟延部分价款万分之五的违约金。</w:t>
      </w:r>
    </w:p>
    <w:p w14:paraId="7A8DB202">
      <w:pPr>
        <w:spacing w:line="360" w:lineRule="auto"/>
        <w:ind w:firstLine="480" w:firstLineChars="200"/>
        <w:jc w:val="left"/>
        <w:rPr>
          <w:rFonts w:ascii="宋体" w:hAnsi="宋体" w:eastAsia="宋体" w:cs="宋体"/>
          <w:color w:val="000000"/>
          <w:kern w:val="0"/>
          <w:sz w:val="24"/>
          <w:szCs w:val="24"/>
          <w:lang w:val="zh-TW" w:eastAsia="zh-TW" w:bidi="zh-TW"/>
        </w:rPr>
      </w:pPr>
      <w:r>
        <w:rPr>
          <w:rFonts w:hint="eastAsia" w:ascii="宋体" w:hAnsi="宋体" w:eastAsia="宋体" w:cs="宋体"/>
          <w:color w:val="000000"/>
          <w:kern w:val="0"/>
          <w:sz w:val="24"/>
          <w:szCs w:val="24"/>
          <w:lang w:val="zh-TW" w:eastAsia="zh-TW" w:bidi="zh-TW"/>
        </w:rPr>
        <w:t>迟延</w:t>
      </w:r>
      <w:r>
        <w:rPr>
          <w:rFonts w:hint="eastAsia" w:ascii="宋体" w:hAnsi="宋体" w:eastAsia="宋体" w:cs="宋体"/>
          <w:color w:val="000000"/>
          <w:kern w:val="0"/>
          <w:sz w:val="24"/>
          <w:szCs w:val="24"/>
          <w:lang w:val="zh-TW" w:bidi="zh-TW"/>
        </w:rPr>
        <w:t>提供服务或未履行服务</w:t>
      </w:r>
      <w:r>
        <w:rPr>
          <w:rFonts w:hint="eastAsia" w:ascii="宋体" w:hAnsi="宋体" w:eastAsia="宋体" w:cs="宋体"/>
          <w:color w:val="000000"/>
          <w:kern w:val="0"/>
          <w:sz w:val="24"/>
          <w:szCs w:val="24"/>
          <w:lang w:val="zh-TW" w:eastAsia="zh-TW" w:bidi="zh-TW"/>
        </w:rPr>
        <w:t>超过</w:t>
      </w:r>
      <w:r>
        <w:rPr>
          <w:rFonts w:hint="eastAsia" w:ascii="宋体" w:hAnsi="宋体" w:eastAsia="宋体" w:cs="宋体"/>
          <w:color w:val="000000"/>
          <w:kern w:val="0"/>
          <w:sz w:val="24"/>
          <w:szCs w:val="24"/>
          <w:u w:val="single"/>
          <w:lang w:val="zh-TW" w:bidi="zh-TW"/>
        </w:rPr>
        <w:t xml:space="preserve"> 30 </w:t>
      </w:r>
      <w:r>
        <w:rPr>
          <w:rFonts w:hint="eastAsia" w:ascii="宋体" w:hAnsi="宋体" w:eastAsia="宋体" w:cs="宋体"/>
          <w:color w:val="000000"/>
          <w:kern w:val="0"/>
          <w:sz w:val="24"/>
          <w:szCs w:val="24"/>
          <w:lang w:val="zh-TW" w:eastAsia="zh-TW" w:bidi="zh-TW"/>
        </w:rPr>
        <w:t>日的，甲方有权解除合同，并请求乙方支付合同总价百分之五的违约金。该违约金不足以补偿因乙方的退延造成的甲方损失的，甲方有权</w:t>
      </w:r>
      <w:r>
        <w:rPr>
          <w:rFonts w:hint="eastAsia" w:ascii="宋体" w:hAnsi="宋体" w:eastAsia="宋体" w:cs="宋体"/>
          <w:color w:val="000000"/>
          <w:kern w:val="0"/>
          <w:sz w:val="24"/>
          <w:szCs w:val="24"/>
          <w:lang w:val="zh-TW" w:bidi="zh-TW"/>
        </w:rPr>
        <w:t>要</w:t>
      </w:r>
      <w:r>
        <w:rPr>
          <w:rFonts w:hint="eastAsia" w:ascii="宋体" w:hAnsi="宋体" w:eastAsia="宋体" w:cs="宋体"/>
          <w:color w:val="000000"/>
          <w:kern w:val="0"/>
          <w:sz w:val="24"/>
          <w:szCs w:val="24"/>
          <w:lang w:val="zh-TW" w:eastAsia="zh-TW" w:bidi="zh-TW"/>
        </w:rPr>
        <w:t>求增加违约金数额。</w:t>
      </w:r>
    </w:p>
    <w:p w14:paraId="4E62D89D">
      <w:pPr>
        <w:spacing w:line="360" w:lineRule="auto"/>
        <w:ind w:firstLine="480" w:firstLineChars="200"/>
        <w:jc w:val="left"/>
        <w:rPr>
          <w:rFonts w:ascii="宋体" w:hAnsi="宋体" w:eastAsia="宋体" w:cs="宋体"/>
          <w:color w:val="000000"/>
          <w:kern w:val="0"/>
          <w:sz w:val="24"/>
          <w:szCs w:val="24"/>
          <w:lang w:val="zh-TW" w:eastAsia="zh-TW" w:bidi="zh-TW"/>
        </w:rPr>
      </w:pPr>
      <w:bookmarkStart w:id="58" w:name="bookmark38"/>
      <w:bookmarkEnd w:id="58"/>
      <w:r>
        <w:rPr>
          <w:rFonts w:hint="eastAsia" w:ascii="宋体" w:hAnsi="宋体" w:eastAsia="宋体" w:cs="宋体"/>
          <w:color w:val="000000"/>
          <w:kern w:val="0"/>
          <w:sz w:val="24"/>
          <w:szCs w:val="24"/>
          <w:lang w:val="zh-TW" w:bidi="zh-TW"/>
        </w:rPr>
        <w:t>（</w:t>
      </w:r>
      <w:r>
        <w:rPr>
          <w:rFonts w:hint="eastAsia" w:ascii="宋体" w:hAnsi="宋体" w:eastAsia="宋体" w:cs="宋体"/>
          <w:color w:val="000000"/>
          <w:kern w:val="0"/>
          <w:sz w:val="24"/>
          <w:szCs w:val="24"/>
          <w:lang w:bidi="zh-TW"/>
        </w:rPr>
        <w:t>三）</w:t>
      </w:r>
      <w:r>
        <w:rPr>
          <w:rFonts w:hint="eastAsia" w:ascii="宋体" w:hAnsi="宋体" w:eastAsia="宋体" w:cs="宋体"/>
          <w:color w:val="000000"/>
          <w:kern w:val="0"/>
          <w:sz w:val="24"/>
          <w:szCs w:val="24"/>
          <w:lang w:val="zh-TW" w:eastAsia="zh-TW" w:bidi="zh-TW"/>
        </w:rPr>
        <w:t>乙方因</w:t>
      </w:r>
      <w:r>
        <w:rPr>
          <w:rFonts w:hint="eastAsia" w:ascii="宋体" w:hAnsi="宋体" w:eastAsia="宋体" w:cs="宋体"/>
          <w:color w:val="000000"/>
          <w:kern w:val="0"/>
          <w:sz w:val="24"/>
          <w:szCs w:val="24"/>
          <w:lang w:val="zh-TW" w:bidi="zh-TW"/>
        </w:rPr>
        <w:t>提供的服务</w:t>
      </w:r>
      <w:r>
        <w:rPr>
          <w:rFonts w:hint="eastAsia" w:ascii="宋体" w:hAnsi="宋体" w:eastAsia="宋体" w:cs="宋体"/>
          <w:color w:val="000000"/>
          <w:kern w:val="0"/>
          <w:sz w:val="24"/>
          <w:szCs w:val="24"/>
          <w:lang w:val="zh-TW" w:eastAsia="zh-TW" w:bidi="zh-TW"/>
        </w:rPr>
        <w:t>不符合约定的情形的，应当釆取</w:t>
      </w:r>
      <w:r>
        <w:rPr>
          <w:rFonts w:hint="eastAsia" w:ascii="宋体" w:hAnsi="宋体" w:eastAsia="宋体" w:cs="宋体"/>
          <w:color w:val="000000"/>
          <w:kern w:val="0"/>
          <w:sz w:val="24"/>
          <w:szCs w:val="24"/>
          <w:lang w:val="zh-TW" w:bidi="zh-TW"/>
        </w:rPr>
        <w:t>措施</w:t>
      </w:r>
      <w:r>
        <w:rPr>
          <w:rFonts w:hint="eastAsia" w:ascii="宋体" w:hAnsi="宋体" w:eastAsia="宋体" w:cs="宋体"/>
          <w:color w:val="000000"/>
          <w:kern w:val="0"/>
          <w:sz w:val="24"/>
          <w:szCs w:val="24"/>
          <w:lang w:val="zh-TW" w:eastAsia="zh-TW" w:bidi="zh-TW"/>
        </w:rPr>
        <w:t>补救方法。因此而造成迟延的，应当按照前项规定承担违约责任。</w:t>
      </w:r>
    </w:p>
    <w:p w14:paraId="4E43D8C7">
      <w:pPr>
        <w:spacing w:line="360" w:lineRule="auto"/>
        <w:ind w:firstLine="480" w:firstLineChars="200"/>
        <w:jc w:val="left"/>
        <w:rPr>
          <w:rFonts w:ascii="宋体" w:hAnsi="宋体" w:eastAsia="宋体" w:cs="宋体"/>
          <w:color w:val="000000"/>
          <w:kern w:val="0"/>
          <w:sz w:val="24"/>
          <w:szCs w:val="24"/>
          <w:lang w:val="zh-TW" w:eastAsia="zh-TW" w:bidi="zh-TW"/>
        </w:rPr>
      </w:pPr>
      <w:bookmarkStart w:id="59" w:name="bookmark39"/>
      <w:bookmarkEnd w:id="59"/>
      <w:r>
        <w:rPr>
          <w:rFonts w:hint="eastAsia" w:ascii="宋体" w:hAnsi="宋体" w:eastAsia="宋体" w:cs="宋体"/>
          <w:color w:val="000000"/>
          <w:kern w:val="0"/>
          <w:sz w:val="24"/>
          <w:szCs w:val="24"/>
          <w:lang w:val="zh-TW" w:bidi="zh-TW"/>
        </w:rPr>
        <w:t>（</w:t>
      </w:r>
      <w:r>
        <w:rPr>
          <w:rFonts w:hint="eastAsia" w:ascii="宋体" w:hAnsi="宋体" w:eastAsia="宋体" w:cs="宋体"/>
          <w:color w:val="000000"/>
          <w:kern w:val="0"/>
          <w:sz w:val="24"/>
          <w:szCs w:val="24"/>
          <w:lang w:bidi="zh-TW"/>
        </w:rPr>
        <w:t>四）</w:t>
      </w:r>
      <w:r>
        <w:rPr>
          <w:rFonts w:hint="eastAsia" w:ascii="宋体" w:hAnsi="宋体" w:eastAsia="宋体" w:cs="宋体"/>
          <w:color w:val="000000"/>
          <w:kern w:val="0"/>
          <w:sz w:val="24"/>
          <w:szCs w:val="24"/>
          <w:lang w:val="zh-TW" w:eastAsia="zh-TW" w:bidi="zh-TW"/>
        </w:rPr>
        <w:t>乙方不履行售后服务义务的，甲方有权部分或全部解除合同，乙方应当返还已收取的价款，并支付</w:t>
      </w:r>
      <w:r>
        <w:rPr>
          <w:rFonts w:hint="eastAsia" w:ascii="宋体" w:hAnsi="宋体" w:eastAsia="宋体" w:cs="宋体"/>
          <w:color w:val="000000"/>
          <w:kern w:val="0"/>
          <w:sz w:val="24"/>
          <w:szCs w:val="24"/>
          <w:lang w:val="zh-TW" w:bidi="zh-TW"/>
        </w:rPr>
        <w:t>未履行</w:t>
      </w:r>
      <w:r>
        <w:rPr>
          <w:rFonts w:hint="eastAsia" w:ascii="宋体" w:hAnsi="宋体" w:eastAsia="宋体" w:cs="宋体"/>
          <w:color w:val="000000"/>
          <w:kern w:val="0"/>
          <w:sz w:val="24"/>
          <w:szCs w:val="24"/>
          <w:lang w:val="zh-TW" w:eastAsia="zh-TW" w:bidi="zh-TW"/>
        </w:rPr>
        <w:t>部分价款百分之五的违约金。</w:t>
      </w:r>
    </w:p>
    <w:p w14:paraId="53100474">
      <w:pPr>
        <w:spacing w:line="360" w:lineRule="auto"/>
        <w:ind w:firstLine="480" w:firstLineChars="200"/>
        <w:jc w:val="left"/>
        <w:rPr>
          <w:rFonts w:ascii="宋体" w:hAnsi="宋体" w:eastAsia="宋体" w:cs="宋体"/>
          <w:color w:val="000000"/>
          <w:kern w:val="0"/>
          <w:sz w:val="24"/>
          <w:szCs w:val="24"/>
          <w:lang w:val="zh-TW" w:eastAsia="zh-TW" w:bidi="zh-TW"/>
        </w:rPr>
      </w:pPr>
      <w:bookmarkStart w:id="60" w:name="bookmark40"/>
      <w:bookmarkEnd w:id="60"/>
      <w:r>
        <w:rPr>
          <w:rFonts w:hint="eastAsia" w:ascii="宋体" w:hAnsi="宋体" w:eastAsia="宋体" w:cs="宋体"/>
          <w:color w:val="000000"/>
          <w:kern w:val="0"/>
          <w:sz w:val="24"/>
          <w:szCs w:val="24"/>
          <w:lang w:val="zh-TW" w:bidi="zh-TW"/>
        </w:rPr>
        <w:t>（</w:t>
      </w:r>
      <w:r>
        <w:rPr>
          <w:rFonts w:hint="eastAsia" w:ascii="宋体" w:hAnsi="宋体" w:eastAsia="宋体" w:cs="宋体"/>
          <w:color w:val="000000"/>
          <w:kern w:val="0"/>
          <w:sz w:val="24"/>
          <w:szCs w:val="24"/>
          <w:lang w:bidi="zh-TW"/>
        </w:rPr>
        <w:t>五）</w:t>
      </w:r>
      <w:r>
        <w:rPr>
          <w:rFonts w:hint="eastAsia" w:ascii="宋体" w:hAnsi="宋体" w:eastAsia="宋体" w:cs="宋体"/>
          <w:color w:val="000000"/>
          <w:kern w:val="0"/>
          <w:sz w:val="24"/>
          <w:szCs w:val="24"/>
          <w:lang w:val="zh-TW" w:eastAsia="zh-TW" w:bidi="zh-TW"/>
        </w:rPr>
        <w:t>除本条规定的违约责任外，法律、法规、政府规章规定违约一方应当承担其他法律责任的，从其规定。</w:t>
      </w:r>
    </w:p>
    <w:p w14:paraId="45889605">
      <w:pPr>
        <w:spacing w:line="360" w:lineRule="auto"/>
        <w:ind w:firstLine="482" w:firstLineChars="200"/>
        <w:jc w:val="left"/>
        <w:rPr>
          <w:rFonts w:ascii="宋体" w:hAnsi="宋体" w:eastAsia="宋体" w:cs="宋体"/>
          <w:b/>
          <w:bCs/>
          <w:color w:val="000000"/>
          <w:kern w:val="0"/>
          <w:sz w:val="24"/>
          <w:szCs w:val="24"/>
          <w:lang w:val="zh-TW" w:eastAsia="zh-TW" w:bidi="zh-TW"/>
        </w:rPr>
      </w:pPr>
      <w:r>
        <w:rPr>
          <w:rFonts w:hint="eastAsia" w:ascii="宋体" w:hAnsi="宋体" w:eastAsia="宋体" w:cs="宋体"/>
          <w:b/>
          <w:bCs/>
          <w:color w:val="000000"/>
          <w:kern w:val="0"/>
          <w:sz w:val="24"/>
          <w:szCs w:val="24"/>
          <w:lang w:val="zh-TW" w:eastAsia="zh-TW" w:bidi="zh-TW"/>
        </w:rPr>
        <w:t>七、不可抗力事件处理</w:t>
      </w:r>
    </w:p>
    <w:p w14:paraId="244B2A59">
      <w:pPr>
        <w:spacing w:line="360" w:lineRule="auto"/>
        <w:ind w:firstLine="480" w:firstLineChars="200"/>
        <w:jc w:val="left"/>
        <w:rPr>
          <w:rFonts w:ascii="宋体" w:hAnsi="宋体" w:eastAsia="宋体" w:cs="宋体"/>
          <w:color w:val="000000"/>
          <w:kern w:val="0"/>
          <w:sz w:val="24"/>
          <w:szCs w:val="24"/>
          <w:lang w:val="zh-TW" w:eastAsia="zh-TW" w:bidi="zh-TW"/>
        </w:rPr>
      </w:pPr>
      <w:bookmarkStart w:id="61" w:name="bookmark41"/>
      <w:bookmarkEnd w:id="61"/>
      <w:r>
        <w:rPr>
          <w:rFonts w:hint="eastAsia" w:ascii="宋体" w:hAnsi="宋体" w:eastAsia="宋体" w:cs="宋体"/>
          <w:color w:val="000000"/>
          <w:kern w:val="0"/>
          <w:sz w:val="24"/>
          <w:szCs w:val="24"/>
          <w:lang w:val="zh-TW" w:bidi="zh-TW"/>
        </w:rPr>
        <w:t>（</w:t>
      </w:r>
      <w:r>
        <w:rPr>
          <w:rFonts w:hint="eastAsia" w:ascii="宋体" w:hAnsi="宋体" w:eastAsia="宋体" w:cs="宋体"/>
          <w:color w:val="000000"/>
          <w:kern w:val="0"/>
          <w:sz w:val="24"/>
          <w:szCs w:val="24"/>
          <w:lang w:bidi="zh-TW"/>
        </w:rPr>
        <w:t>一）</w:t>
      </w:r>
      <w:r>
        <w:rPr>
          <w:rFonts w:hint="eastAsia" w:ascii="宋体" w:hAnsi="宋体" w:eastAsia="宋体" w:cs="宋体"/>
          <w:color w:val="000000"/>
          <w:kern w:val="0"/>
          <w:sz w:val="24"/>
          <w:szCs w:val="24"/>
          <w:lang w:val="zh-TW" w:eastAsia="zh-TW" w:bidi="zh-TW"/>
        </w:rPr>
        <w:t>因不可抗力导致合同无法完全履行的，不承担违约责任。</w:t>
      </w:r>
    </w:p>
    <w:p w14:paraId="711E2ECE">
      <w:pPr>
        <w:spacing w:line="360" w:lineRule="auto"/>
        <w:ind w:firstLine="480" w:firstLineChars="200"/>
        <w:jc w:val="left"/>
        <w:rPr>
          <w:rFonts w:ascii="宋体" w:hAnsi="宋体" w:eastAsia="宋体" w:cs="宋体"/>
          <w:color w:val="000000"/>
          <w:kern w:val="0"/>
          <w:sz w:val="24"/>
          <w:szCs w:val="24"/>
          <w:lang w:val="zh-TW" w:eastAsia="zh-TW" w:bidi="zh-TW"/>
        </w:rPr>
      </w:pPr>
      <w:bookmarkStart w:id="62" w:name="bookmark42"/>
      <w:bookmarkEnd w:id="62"/>
      <w:r>
        <w:rPr>
          <w:rFonts w:hint="eastAsia" w:ascii="宋体" w:hAnsi="宋体" w:eastAsia="宋体" w:cs="宋体"/>
          <w:color w:val="000000"/>
          <w:kern w:val="0"/>
          <w:sz w:val="24"/>
          <w:szCs w:val="24"/>
          <w:lang w:val="zh-TW" w:bidi="zh-TW"/>
        </w:rPr>
        <w:t>（</w:t>
      </w:r>
      <w:r>
        <w:rPr>
          <w:rFonts w:hint="eastAsia" w:ascii="宋体" w:hAnsi="宋体" w:eastAsia="宋体" w:cs="宋体"/>
          <w:color w:val="000000"/>
          <w:kern w:val="0"/>
          <w:sz w:val="24"/>
          <w:szCs w:val="24"/>
          <w:lang w:bidi="zh-TW"/>
        </w:rPr>
        <w:t>二）</w:t>
      </w:r>
      <w:r>
        <w:rPr>
          <w:rFonts w:hint="eastAsia" w:ascii="宋体" w:hAnsi="宋体" w:eastAsia="宋体" w:cs="宋体"/>
          <w:color w:val="000000"/>
          <w:kern w:val="0"/>
          <w:sz w:val="24"/>
          <w:szCs w:val="24"/>
          <w:lang w:val="zh-TW" w:eastAsia="zh-TW" w:bidi="zh-TW"/>
        </w:rPr>
        <w:t>因不可抗力致使合同的履行成为不可能或不必要的，可以通知对方解除合同。因通知迟延造成对方不必要损失的，应当承担责任。</w:t>
      </w:r>
    </w:p>
    <w:p w14:paraId="2825E1A0">
      <w:pPr>
        <w:spacing w:line="360" w:lineRule="auto"/>
        <w:ind w:firstLine="480" w:firstLineChars="200"/>
        <w:jc w:val="left"/>
        <w:rPr>
          <w:rFonts w:ascii="宋体" w:hAnsi="宋体" w:eastAsia="宋体" w:cs="宋体"/>
          <w:color w:val="000000"/>
          <w:kern w:val="0"/>
          <w:sz w:val="24"/>
          <w:szCs w:val="24"/>
          <w:lang w:val="zh-TW" w:eastAsia="zh-TW" w:bidi="zh-TW"/>
        </w:rPr>
      </w:pPr>
      <w:bookmarkStart w:id="63" w:name="bookmark43"/>
      <w:bookmarkEnd w:id="63"/>
      <w:r>
        <w:rPr>
          <w:rFonts w:hint="eastAsia" w:ascii="宋体" w:hAnsi="宋体" w:eastAsia="宋体" w:cs="宋体"/>
          <w:color w:val="000000"/>
          <w:kern w:val="0"/>
          <w:sz w:val="24"/>
          <w:szCs w:val="24"/>
          <w:lang w:val="zh-TW" w:bidi="zh-TW"/>
        </w:rPr>
        <w:t>（</w:t>
      </w:r>
      <w:r>
        <w:rPr>
          <w:rFonts w:hint="eastAsia" w:ascii="宋体" w:hAnsi="宋体" w:eastAsia="宋体" w:cs="宋体"/>
          <w:color w:val="000000"/>
          <w:kern w:val="0"/>
          <w:sz w:val="24"/>
          <w:szCs w:val="24"/>
          <w:lang w:bidi="zh-TW"/>
        </w:rPr>
        <w:t>三）</w:t>
      </w:r>
      <w:r>
        <w:rPr>
          <w:rFonts w:hint="eastAsia" w:ascii="宋体" w:hAnsi="宋体" w:eastAsia="宋体" w:cs="宋体"/>
          <w:color w:val="000000"/>
          <w:kern w:val="0"/>
          <w:sz w:val="24"/>
          <w:szCs w:val="24"/>
          <w:lang w:val="zh-TW" w:eastAsia="zh-TW" w:bidi="zh-TW"/>
        </w:rPr>
        <w:t>因不可抗力解除合同的，双方应依据公平合理原则，通过友好协商，确定损失的分担。</w:t>
      </w:r>
    </w:p>
    <w:p w14:paraId="4EFD53A3">
      <w:pPr>
        <w:spacing w:line="360" w:lineRule="auto"/>
        <w:ind w:firstLine="482" w:firstLineChars="200"/>
        <w:jc w:val="left"/>
        <w:rPr>
          <w:rFonts w:ascii="宋体" w:hAnsi="宋体" w:eastAsia="宋体" w:cs="宋体"/>
          <w:b/>
          <w:bCs/>
          <w:color w:val="000000"/>
          <w:kern w:val="0"/>
          <w:sz w:val="24"/>
          <w:szCs w:val="24"/>
          <w:lang w:val="zh-TW" w:eastAsia="zh-TW" w:bidi="zh-TW"/>
        </w:rPr>
      </w:pPr>
      <w:r>
        <w:rPr>
          <w:rFonts w:hint="eastAsia" w:ascii="宋体" w:hAnsi="宋体" w:eastAsia="宋体" w:cs="宋体"/>
          <w:b/>
          <w:bCs/>
          <w:color w:val="000000"/>
          <w:kern w:val="0"/>
          <w:sz w:val="24"/>
          <w:szCs w:val="24"/>
          <w:lang w:val="zh-TW" w:eastAsia="zh-TW" w:bidi="zh-TW"/>
        </w:rPr>
        <w:t>八、争议解决</w:t>
      </w:r>
    </w:p>
    <w:p w14:paraId="59F33D1A">
      <w:pPr>
        <w:adjustRightInd w:val="0"/>
        <w:spacing w:line="360" w:lineRule="auto"/>
        <w:ind w:firstLine="480" w:firstLineChars="200"/>
        <w:rPr>
          <w:rFonts w:ascii="宋体" w:hAnsi="宋体" w:eastAsia="宋体" w:cs="宋体"/>
          <w:color w:val="000000"/>
          <w:kern w:val="0"/>
          <w:sz w:val="24"/>
          <w:szCs w:val="24"/>
          <w:lang w:val="zh-TW" w:eastAsia="zh-TW" w:bidi="zh-TW"/>
        </w:rPr>
      </w:pPr>
      <w:bookmarkStart w:id="64" w:name="bookmark44"/>
      <w:bookmarkEnd w:id="64"/>
      <w:r>
        <w:rPr>
          <w:rFonts w:hint="eastAsia" w:ascii="宋体" w:hAnsi="宋体" w:eastAsia="宋体" w:cs="宋体"/>
          <w:color w:val="000000"/>
          <w:kern w:val="0"/>
          <w:sz w:val="24"/>
          <w:szCs w:val="24"/>
          <w:lang w:val="zh-TW" w:eastAsia="zh-TW" w:bidi="zh-TW"/>
        </w:rPr>
        <w:t>本合同未尽事宜由</w:t>
      </w:r>
      <w:r>
        <w:rPr>
          <w:rFonts w:hint="eastAsia" w:ascii="宋体" w:hAnsi="宋体" w:eastAsia="宋体" w:cs="宋体"/>
          <w:color w:val="000000"/>
          <w:kern w:val="0"/>
          <w:sz w:val="24"/>
          <w:szCs w:val="24"/>
          <w:lang w:val="zh-TW" w:bidi="zh-TW"/>
        </w:rPr>
        <w:t>三</w:t>
      </w:r>
      <w:r>
        <w:rPr>
          <w:rFonts w:hint="eastAsia" w:ascii="宋体" w:hAnsi="宋体" w:eastAsia="宋体" w:cs="宋体"/>
          <w:color w:val="000000"/>
          <w:kern w:val="0"/>
          <w:sz w:val="24"/>
          <w:szCs w:val="24"/>
          <w:lang w:val="zh-TW" w:eastAsia="zh-TW" w:bidi="zh-TW"/>
        </w:rPr>
        <w:t>方协商解决，如协商不成，三方同意将本合同引起的争议提交杭州仲裁委员会仲裁解决，仲裁为终局。</w:t>
      </w:r>
    </w:p>
    <w:p w14:paraId="3355A733">
      <w:pPr>
        <w:spacing w:line="360" w:lineRule="auto"/>
        <w:ind w:firstLine="482" w:firstLineChars="200"/>
        <w:jc w:val="left"/>
        <w:rPr>
          <w:rFonts w:ascii="宋体" w:hAnsi="宋体" w:eastAsia="宋体" w:cs="宋体"/>
          <w:b/>
          <w:bCs/>
          <w:color w:val="000000"/>
          <w:kern w:val="0"/>
          <w:sz w:val="24"/>
          <w:szCs w:val="24"/>
          <w:lang w:val="zh-TW" w:eastAsia="zh-TW" w:bidi="zh-TW"/>
        </w:rPr>
      </w:pPr>
      <w:r>
        <w:rPr>
          <w:rFonts w:hint="eastAsia" w:ascii="宋体" w:hAnsi="宋体" w:eastAsia="宋体" w:cs="宋体"/>
          <w:b/>
          <w:bCs/>
          <w:color w:val="000000"/>
          <w:kern w:val="0"/>
          <w:sz w:val="24"/>
          <w:szCs w:val="24"/>
          <w:lang w:val="zh-TW" w:eastAsia="zh-TW" w:bidi="zh-TW"/>
        </w:rPr>
        <w:t>九、合同生效及其它</w:t>
      </w:r>
    </w:p>
    <w:p w14:paraId="705D6428">
      <w:pPr>
        <w:spacing w:line="360" w:lineRule="auto"/>
        <w:ind w:firstLine="480" w:firstLineChars="200"/>
        <w:jc w:val="left"/>
        <w:rPr>
          <w:rFonts w:ascii="宋体" w:hAnsi="宋体" w:eastAsia="宋体" w:cs="宋体"/>
          <w:color w:val="000000"/>
          <w:kern w:val="0"/>
          <w:sz w:val="24"/>
          <w:szCs w:val="24"/>
          <w:lang w:val="zh-TW" w:eastAsia="zh-TW" w:bidi="zh-TW"/>
        </w:rPr>
      </w:pPr>
      <w:bookmarkStart w:id="65" w:name="bookmark46"/>
      <w:bookmarkEnd w:id="65"/>
      <w:r>
        <w:rPr>
          <w:rFonts w:hint="eastAsia" w:ascii="宋体" w:hAnsi="宋体" w:eastAsia="宋体" w:cs="宋体"/>
          <w:color w:val="000000"/>
          <w:kern w:val="0"/>
          <w:sz w:val="24"/>
          <w:szCs w:val="24"/>
          <w:lang w:val="zh-TW" w:bidi="zh-TW"/>
        </w:rPr>
        <w:t>（</w:t>
      </w:r>
      <w:r>
        <w:rPr>
          <w:rFonts w:hint="eastAsia" w:ascii="宋体" w:hAnsi="宋体" w:eastAsia="宋体" w:cs="宋体"/>
          <w:color w:val="000000"/>
          <w:kern w:val="0"/>
          <w:sz w:val="24"/>
          <w:szCs w:val="24"/>
          <w:lang w:bidi="zh-TW"/>
        </w:rPr>
        <w:t>一）</w:t>
      </w:r>
      <w:r>
        <w:rPr>
          <w:rFonts w:hint="eastAsia" w:ascii="宋体" w:hAnsi="宋体" w:eastAsia="宋体" w:cs="宋体"/>
          <w:color w:val="000000"/>
          <w:kern w:val="0"/>
          <w:sz w:val="24"/>
          <w:szCs w:val="24"/>
          <w:lang w:val="zh-TW" w:eastAsia="zh-TW" w:bidi="zh-TW"/>
        </w:rPr>
        <w:t>合同经</w:t>
      </w:r>
      <w:r>
        <w:rPr>
          <w:rFonts w:hint="eastAsia" w:ascii="宋体" w:hAnsi="宋体" w:eastAsia="宋体" w:cs="宋体"/>
          <w:color w:val="000000"/>
          <w:kern w:val="0"/>
          <w:sz w:val="24"/>
          <w:szCs w:val="24"/>
          <w:lang w:val="zh-TW" w:bidi="zh-TW"/>
        </w:rPr>
        <w:t>甲乙</w:t>
      </w:r>
      <w:r>
        <w:rPr>
          <w:rFonts w:hint="eastAsia" w:ascii="宋体" w:hAnsi="宋体" w:eastAsia="宋体" w:cs="宋体"/>
          <w:color w:val="000000"/>
          <w:kern w:val="0"/>
          <w:sz w:val="24"/>
          <w:szCs w:val="24"/>
          <w:lang w:val="zh-TW" w:eastAsia="zh-TW" w:bidi="zh-TW"/>
        </w:rPr>
        <w:t>双方</w:t>
      </w:r>
      <w:r>
        <w:rPr>
          <w:rFonts w:hint="eastAsia" w:ascii="宋体" w:hAnsi="宋体" w:eastAsia="宋体" w:cs="宋体"/>
          <w:color w:val="000000"/>
          <w:kern w:val="0"/>
          <w:sz w:val="24"/>
          <w:szCs w:val="24"/>
          <w:lang w:val="zh-TW" w:bidi="zh-TW"/>
        </w:rPr>
        <w:t>及鉴证方</w:t>
      </w:r>
      <w:r>
        <w:rPr>
          <w:rFonts w:hint="eastAsia" w:ascii="宋体" w:hAnsi="宋体" w:eastAsia="宋体" w:cs="宋体"/>
          <w:color w:val="000000"/>
          <w:kern w:val="0"/>
          <w:sz w:val="24"/>
          <w:szCs w:val="24"/>
          <w:lang w:val="zh-TW" w:eastAsia="zh-TW" w:bidi="zh-TW"/>
        </w:rPr>
        <w:t>签字盖章后生效。</w:t>
      </w:r>
    </w:p>
    <w:p w14:paraId="03A4B41A">
      <w:pPr>
        <w:spacing w:line="360" w:lineRule="auto"/>
        <w:ind w:firstLine="480" w:firstLineChars="200"/>
        <w:jc w:val="left"/>
        <w:rPr>
          <w:rFonts w:ascii="宋体" w:hAnsi="宋体" w:eastAsia="宋体" w:cs="宋体"/>
          <w:color w:val="000000"/>
          <w:kern w:val="0"/>
          <w:sz w:val="24"/>
          <w:szCs w:val="24"/>
          <w:lang w:val="zh-TW" w:bidi="zh-TW"/>
        </w:rPr>
      </w:pPr>
      <w:bookmarkStart w:id="66" w:name="bookmark47"/>
      <w:bookmarkEnd w:id="66"/>
      <w:r>
        <w:rPr>
          <w:rFonts w:hint="eastAsia" w:ascii="宋体" w:hAnsi="宋体" w:eastAsia="宋体" w:cs="宋体"/>
          <w:color w:val="000000"/>
          <w:kern w:val="0"/>
          <w:sz w:val="24"/>
          <w:szCs w:val="24"/>
          <w:lang w:val="zh-TW" w:bidi="zh-TW"/>
        </w:rPr>
        <w:t>（</w:t>
      </w:r>
      <w:r>
        <w:rPr>
          <w:rFonts w:hint="eastAsia" w:ascii="宋体" w:hAnsi="宋体" w:eastAsia="宋体" w:cs="宋体"/>
          <w:color w:val="000000"/>
          <w:kern w:val="0"/>
          <w:sz w:val="24"/>
          <w:szCs w:val="24"/>
          <w:lang w:bidi="zh-TW"/>
        </w:rPr>
        <w:t>二）相关</w:t>
      </w:r>
      <w:r>
        <w:rPr>
          <w:rFonts w:hint="eastAsia" w:ascii="宋体" w:hAnsi="宋体" w:eastAsia="宋体" w:cs="宋体"/>
          <w:color w:val="000000"/>
          <w:kern w:val="0"/>
          <w:sz w:val="24"/>
          <w:szCs w:val="24"/>
          <w:lang w:val="zh-TW" w:bidi="zh-TW"/>
        </w:rPr>
        <w:t>采购过程文件</w:t>
      </w:r>
      <w:r>
        <w:rPr>
          <w:rFonts w:hint="eastAsia" w:ascii="宋体" w:hAnsi="宋体" w:eastAsia="宋体" w:cs="宋体"/>
          <w:color w:val="000000"/>
          <w:kern w:val="0"/>
          <w:sz w:val="24"/>
          <w:szCs w:val="24"/>
          <w:lang w:val="zh-TW" w:eastAsia="zh-TW" w:bidi="zh-TW"/>
        </w:rPr>
        <w:t>、</w:t>
      </w:r>
      <w:r>
        <w:rPr>
          <w:rFonts w:hint="eastAsia" w:ascii="宋体" w:hAnsi="宋体" w:eastAsia="宋体" w:cs="宋体"/>
          <w:color w:val="000000"/>
          <w:kern w:val="0"/>
          <w:sz w:val="24"/>
          <w:szCs w:val="24"/>
          <w:lang w:val="zh-TW" w:bidi="zh-TW"/>
        </w:rPr>
        <w:t>承诺书等</w:t>
      </w:r>
      <w:r>
        <w:rPr>
          <w:rFonts w:hint="eastAsia" w:ascii="宋体" w:hAnsi="宋体" w:eastAsia="宋体" w:cs="宋体"/>
          <w:color w:val="000000"/>
          <w:kern w:val="0"/>
          <w:sz w:val="24"/>
          <w:szCs w:val="24"/>
          <w:lang w:val="zh-TW" w:eastAsia="zh-TW" w:bidi="zh-TW"/>
        </w:rPr>
        <w:t>作为本合同的组成部分。</w:t>
      </w:r>
    </w:p>
    <w:p w14:paraId="4D9C3216">
      <w:pPr>
        <w:spacing w:line="360" w:lineRule="auto"/>
        <w:ind w:firstLine="480" w:firstLineChars="200"/>
        <w:jc w:val="left"/>
        <w:rPr>
          <w:rFonts w:ascii="宋体" w:hAnsi="宋体" w:eastAsia="宋体" w:cs="宋体"/>
          <w:color w:val="000000"/>
          <w:kern w:val="0"/>
          <w:sz w:val="24"/>
          <w:szCs w:val="24"/>
          <w:lang w:eastAsia="zh-TW" w:bidi="zh-TW"/>
        </w:rPr>
      </w:pPr>
      <w:r>
        <w:rPr>
          <w:rFonts w:hint="eastAsia" w:ascii="宋体" w:hAnsi="宋体" w:eastAsia="宋体" w:cs="宋体"/>
          <w:color w:val="000000"/>
          <w:kern w:val="0"/>
          <w:sz w:val="24"/>
          <w:szCs w:val="24"/>
          <w:lang w:bidi="zh-TW"/>
        </w:rPr>
        <w:t>（三）</w:t>
      </w:r>
      <w:r>
        <w:rPr>
          <w:rFonts w:hint="eastAsia" w:ascii="宋体" w:hAnsi="宋体" w:eastAsia="宋体" w:cs="宋体"/>
          <w:color w:val="000000"/>
          <w:kern w:val="0"/>
          <w:sz w:val="24"/>
          <w:szCs w:val="24"/>
          <w:lang w:val="zh-TW" w:eastAsia="zh-TW" w:bidi="zh-TW"/>
        </w:rPr>
        <w:t>本合同未尽事宜，遵照《中华人民共和国民法典》有关条文执行。</w:t>
      </w:r>
    </w:p>
    <w:p w14:paraId="14CC5993">
      <w:pPr>
        <w:spacing w:line="360" w:lineRule="auto"/>
        <w:ind w:firstLine="480" w:firstLineChars="200"/>
        <w:jc w:val="left"/>
        <w:rPr>
          <w:rFonts w:ascii="宋体" w:hAnsi="宋体" w:eastAsia="宋体" w:cs="宋体"/>
          <w:color w:val="000000"/>
          <w:kern w:val="0"/>
          <w:sz w:val="24"/>
          <w:szCs w:val="24"/>
          <w:lang w:val="zh-TW" w:eastAsia="zh-TW" w:bidi="zh-TW"/>
        </w:rPr>
      </w:pPr>
      <w:r>
        <w:rPr>
          <w:rFonts w:hint="eastAsia" w:ascii="宋体" w:hAnsi="宋体" w:eastAsia="宋体" w:cs="宋体"/>
          <w:color w:val="000000"/>
          <w:kern w:val="0"/>
          <w:sz w:val="24"/>
          <w:szCs w:val="24"/>
          <w:lang w:bidi="zh-TW"/>
        </w:rPr>
        <w:t>（四）本合同一式五份，甲方执三份，乙方、鉴证方各执一份，具有同等法律效力。</w:t>
      </w:r>
    </w:p>
    <w:p w14:paraId="4B0A7FE3">
      <w:pPr>
        <w:tabs>
          <w:tab w:val="left" w:pos="1200"/>
        </w:tabs>
        <w:spacing w:line="360" w:lineRule="exact"/>
        <w:ind w:right="181" w:firstLine="480" w:firstLineChars="200"/>
        <w:rPr>
          <w:rFonts w:ascii="宋体" w:hAnsi="宋体" w:eastAsia="宋体" w:cs="宋体"/>
          <w:bCs/>
          <w:sz w:val="24"/>
          <w:szCs w:val="24"/>
        </w:rPr>
      </w:pPr>
      <w:r>
        <w:rPr>
          <w:rFonts w:hint="eastAsia" w:ascii="宋体" w:hAnsi="宋体" w:eastAsia="宋体" w:cs="宋体"/>
          <w:bCs/>
          <w:sz w:val="24"/>
          <w:szCs w:val="24"/>
        </w:rPr>
        <w:t>以下无正文。</w:t>
      </w:r>
    </w:p>
    <w:tbl>
      <w:tblPr>
        <w:tblStyle w:val="10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14"/>
        <w:gridCol w:w="3992"/>
      </w:tblGrid>
      <w:tr w14:paraId="750F3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14" w:type="dxa"/>
            <w:vAlign w:val="center"/>
          </w:tcPr>
          <w:p w14:paraId="7AB14E07">
            <w:pPr>
              <w:tabs>
                <w:tab w:val="left" w:pos="1200"/>
              </w:tabs>
              <w:ind w:right="181"/>
              <w:rPr>
                <w:rFonts w:ascii="宋体" w:hAnsi="宋体" w:eastAsia="宋体" w:cs="宋体"/>
                <w:bCs/>
                <w:sz w:val="24"/>
                <w:szCs w:val="24"/>
                <w:lang w:eastAsia="zh-TW"/>
              </w:rPr>
            </w:pPr>
            <w:r>
              <w:rPr>
                <w:rFonts w:hint="eastAsia" w:ascii="宋体" w:hAnsi="宋体" w:eastAsia="宋体" w:cs="宋体"/>
                <w:sz w:val="24"/>
                <w:szCs w:val="24"/>
              </w:rPr>
              <w:br w:type="page"/>
            </w:r>
            <w:r>
              <w:rPr>
                <w:rFonts w:hint="eastAsia" w:ascii="宋体" w:hAnsi="宋体" w:eastAsia="宋体" w:cs="宋体"/>
                <w:bCs/>
                <w:sz w:val="24"/>
                <w:szCs w:val="24"/>
              </w:rPr>
              <w:t>甲方（签章）：浙江工商大学</w:t>
            </w:r>
          </w:p>
        </w:tc>
        <w:tc>
          <w:tcPr>
            <w:tcW w:w="3992" w:type="dxa"/>
            <w:vAlign w:val="center"/>
          </w:tcPr>
          <w:p w14:paraId="1BDFFE25">
            <w:pPr>
              <w:tabs>
                <w:tab w:val="left" w:pos="1200"/>
              </w:tabs>
              <w:ind w:right="181"/>
              <w:rPr>
                <w:rFonts w:ascii="宋体" w:hAnsi="宋体" w:eastAsia="宋体" w:cs="宋体"/>
                <w:bCs/>
                <w:sz w:val="24"/>
                <w:szCs w:val="24"/>
                <w:lang w:eastAsia="zh-TW"/>
              </w:rPr>
            </w:pPr>
            <w:r>
              <w:rPr>
                <w:rFonts w:hint="eastAsia" w:ascii="宋体" w:hAnsi="宋体" w:eastAsia="宋体" w:cs="宋体"/>
                <w:bCs/>
                <w:sz w:val="24"/>
                <w:szCs w:val="24"/>
              </w:rPr>
              <w:t>乙方（签章）：</w:t>
            </w:r>
          </w:p>
        </w:tc>
      </w:tr>
      <w:tr w14:paraId="36CB8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14" w:type="dxa"/>
            <w:vAlign w:val="center"/>
          </w:tcPr>
          <w:p w14:paraId="22B66A09">
            <w:pPr>
              <w:tabs>
                <w:tab w:val="left" w:pos="1200"/>
              </w:tabs>
              <w:ind w:right="181"/>
              <w:rPr>
                <w:rFonts w:ascii="宋体" w:hAnsi="宋体" w:eastAsia="宋体" w:cs="宋体"/>
                <w:bCs/>
                <w:sz w:val="24"/>
                <w:szCs w:val="24"/>
                <w:lang w:eastAsia="zh-TW"/>
              </w:rPr>
            </w:pPr>
            <w:r>
              <w:rPr>
                <w:rFonts w:hint="eastAsia" w:ascii="宋体" w:hAnsi="宋体" w:eastAsia="宋体" w:cs="宋体"/>
                <w:bCs/>
                <w:sz w:val="24"/>
                <w:szCs w:val="24"/>
              </w:rPr>
              <w:t>住所地：杭州市钱塘区学正街18号</w:t>
            </w:r>
          </w:p>
        </w:tc>
        <w:tc>
          <w:tcPr>
            <w:tcW w:w="3992" w:type="dxa"/>
            <w:vAlign w:val="center"/>
          </w:tcPr>
          <w:p w14:paraId="4BF5F1AC">
            <w:pPr>
              <w:tabs>
                <w:tab w:val="left" w:pos="1200"/>
              </w:tabs>
              <w:ind w:right="181"/>
              <w:rPr>
                <w:rFonts w:ascii="宋体" w:hAnsi="宋体" w:eastAsia="宋体" w:cs="宋体"/>
                <w:bCs/>
                <w:sz w:val="24"/>
                <w:szCs w:val="24"/>
                <w:lang w:eastAsia="zh-TW"/>
              </w:rPr>
            </w:pPr>
            <w:r>
              <w:rPr>
                <w:rFonts w:hint="eastAsia" w:ascii="宋体" w:hAnsi="宋体" w:eastAsia="宋体" w:cs="宋体"/>
                <w:bCs/>
                <w:sz w:val="24"/>
                <w:szCs w:val="24"/>
              </w:rPr>
              <w:t>住所地：</w:t>
            </w:r>
          </w:p>
        </w:tc>
      </w:tr>
      <w:tr w14:paraId="02754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14" w:type="dxa"/>
            <w:vAlign w:val="center"/>
          </w:tcPr>
          <w:p w14:paraId="59E4B5C4">
            <w:pPr>
              <w:tabs>
                <w:tab w:val="left" w:pos="1200"/>
              </w:tabs>
              <w:ind w:right="181"/>
              <w:rPr>
                <w:rFonts w:ascii="宋体" w:hAnsi="宋体" w:eastAsia="宋体" w:cs="宋体"/>
                <w:bCs/>
                <w:sz w:val="24"/>
                <w:szCs w:val="24"/>
                <w:lang w:eastAsia="zh-TW"/>
              </w:rPr>
            </w:pPr>
            <w:r>
              <w:rPr>
                <w:rFonts w:hint="eastAsia" w:ascii="宋体" w:hAnsi="宋体" w:eastAsia="宋体" w:cs="宋体"/>
                <w:bCs/>
                <w:sz w:val="24"/>
                <w:szCs w:val="24"/>
              </w:rPr>
              <w:t>开户行：工行杭州高新支行</w:t>
            </w:r>
          </w:p>
        </w:tc>
        <w:tc>
          <w:tcPr>
            <w:tcW w:w="3992" w:type="dxa"/>
            <w:vAlign w:val="center"/>
          </w:tcPr>
          <w:p w14:paraId="4B9A63DD">
            <w:pPr>
              <w:tabs>
                <w:tab w:val="left" w:pos="1200"/>
              </w:tabs>
              <w:ind w:right="181"/>
              <w:rPr>
                <w:rFonts w:ascii="宋体" w:hAnsi="宋体" w:eastAsia="宋体" w:cs="宋体"/>
                <w:bCs/>
                <w:sz w:val="24"/>
                <w:szCs w:val="24"/>
                <w:lang w:eastAsia="zh-TW"/>
              </w:rPr>
            </w:pPr>
            <w:r>
              <w:rPr>
                <w:rFonts w:hint="eastAsia" w:ascii="宋体" w:hAnsi="宋体" w:eastAsia="宋体" w:cs="宋体"/>
                <w:bCs/>
                <w:sz w:val="24"/>
                <w:szCs w:val="24"/>
              </w:rPr>
              <w:t>开户行：</w:t>
            </w:r>
          </w:p>
        </w:tc>
      </w:tr>
      <w:tr w14:paraId="0DB5D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14" w:type="dxa"/>
            <w:vAlign w:val="center"/>
          </w:tcPr>
          <w:p w14:paraId="29DD0109">
            <w:pPr>
              <w:tabs>
                <w:tab w:val="left" w:pos="1200"/>
              </w:tabs>
              <w:ind w:right="181"/>
              <w:rPr>
                <w:rFonts w:ascii="宋体" w:hAnsi="宋体" w:eastAsia="宋体" w:cs="宋体"/>
                <w:bCs/>
                <w:sz w:val="24"/>
                <w:szCs w:val="24"/>
                <w:lang w:eastAsia="zh-TW"/>
              </w:rPr>
            </w:pPr>
            <w:r>
              <w:rPr>
                <w:rFonts w:hint="eastAsia" w:ascii="宋体" w:hAnsi="宋体" w:eastAsia="宋体" w:cs="宋体"/>
                <w:bCs/>
                <w:sz w:val="24"/>
                <w:szCs w:val="24"/>
              </w:rPr>
              <w:t>开户帐号：1202026209008930682</w:t>
            </w:r>
          </w:p>
        </w:tc>
        <w:tc>
          <w:tcPr>
            <w:tcW w:w="3992" w:type="dxa"/>
            <w:vAlign w:val="center"/>
          </w:tcPr>
          <w:p w14:paraId="6276DD55">
            <w:pPr>
              <w:tabs>
                <w:tab w:val="left" w:pos="1200"/>
              </w:tabs>
              <w:ind w:right="181"/>
              <w:rPr>
                <w:rFonts w:ascii="宋体" w:hAnsi="宋体" w:eastAsia="宋体" w:cs="宋体"/>
                <w:bCs/>
                <w:sz w:val="24"/>
                <w:szCs w:val="24"/>
                <w:lang w:eastAsia="zh-TW"/>
              </w:rPr>
            </w:pPr>
            <w:r>
              <w:rPr>
                <w:rFonts w:hint="eastAsia" w:ascii="宋体" w:hAnsi="宋体" w:eastAsia="宋体" w:cs="宋体"/>
                <w:bCs/>
                <w:sz w:val="24"/>
                <w:szCs w:val="24"/>
              </w:rPr>
              <w:t>开户帐号：</w:t>
            </w:r>
          </w:p>
        </w:tc>
      </w:tr>
      <w:tr w14:paraId="771E3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14" w:type="dxa"/>
            <w:vAlign w:val="center"/>
          </w:tcPr>
          <w:p w14:paraId="2616E4FE">
            <w:pPr>
              <w:tabs>
                <w:tab w:val="left" w:pos="1200"/>
              </w:tabs>
              <w:ind w:right="181"/>
              <w:rPr>
                <w:rFonts w:ascii="宋体" w:hAnsi="宋体" w:eastAsia="宋体" w:cs="宋体"/>
                <w:bCs/>
                <w:sz w:val="24"/>
                <w:szCs w:val="24"/>
                <w:lang w:eastAsia="zh-TW"/>
              </w:rPr>
            </w:pPr>
            <w:r>
              <w:rPr>
                <w:rFonts w:hint="eastAsia" w:ascii="宋体" w:hAnsi="宋体" w:eastAsia="宋体" w:cs="宋体"/>
                <w:bCs/>
                <w:sz w:val="24"/>
                <w:szCs w:val="24"/>
              </w:rPr>
              <w:t>税号：123300004700090180</w:t>
            </w:r>
          </w:p>
        </w:tc>
        <w:tc>
          <w:tcPr>
            <w:tcW w:w="3992" w:type="dxa"/>
            <w:vAlign w:val="center"/>
          </w:tcPr>
          <w:p w14:paraId="7928B0B2">
            <w:pPr>
              <w:tabs>
                <w:tab w:val="left" w:pos="1200"/>
              </w:tabs>
              <w:ind w:right="181"/>
              <w:rPr>
                <w:rFonts w:ascii="宋体" w:hAnsi="宋体" w:eastAsia="宋体" w:cs="宋体"/>
                <w:bCs/>
                <w:sz w:val="24"/>
                <w:szCs w:val="24"/>
                <w:lang w:eastAsia="zh-TW"/>
              </w:rPr>
            </w:pPr>
            <w:r>
              <w:rPr>
                <w:rFonts w:hint="eastAsia" w:ascii="宋体" w:hAnsi="宋体" w:eastAsia="宋体" w:cs="宋体"/>
                <w:bCs/>
                <w:sz w:val="24"/>
                <w:szCs w:val="24"/>
              </w:rPr>
              <w:t>统一社会信用代码：</w:t>
            </w:r>
          </w:p>
        </w:tc>
      </w:tr>
      <w:tr w14:paraId="7D0C1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314" w:type="dxa"/>
            <w:vAlign w:val="center"/>
          </w:tcPr>
          <w:p w14:paraId="0FD5A54B">
            <w:pPr>
              <w:tabs>
                <w:tab w:val="left" w:pos="1200"/>
              </w:tabs>
              <w:ind w:right="181"/>
              <w:rPr>
                <w:rFonts w:ascii="宋体" w:hAnsi="宋体" w:eastAsia="宋体" w:cs="宋体"/>
                <w:bCs/>
                <w:sz w:val="24"/>
                <w:szCs w:val="24"/>
              </w:rPr>
            </w:pPr>
            <w:r>
              <w:rPr>
                <w:rFonts w:hint="eastAsia" w:ascii="宋体" w:hAnsi="宋体" w:eastAsia="宋体" w:cs="宋体"/>
                <w:bCs/>
                <w:sz w:val="24"/>
                <w:szCs w:val="24"/>
              </w:rPr>
              <w:t>项目负责人</w:t>
            </w:r>
          </w:p>
          <w:p w14:paraId="56A19356">
            <w:pPr>
              <w:tabs>
                <w:tab w:val="left" w:pos="1200"/>
              </w:tabs>
              <w:ind w:right="181"/>
              <w:rPr>
                <w:rFonts w:ascii="宋体" w:hAnsi="宋体" w:eastAsia="宋体" w:cs="宋体"/>
                <w:bCs/>
                <w:szCs w:val="21"/>
                <w:lang w:eastAsia="zh-TW"/>
              </w:rPr>
            </w:pPr>
            <w:r>
              <w:rPr>
                <w:rFonts w:hint="eastAsia" w:ascii="宋体" w:hAnsi="宋体" w:eastAsia="宋体" w:cs="宋体"/>
                <w:bCs/>
                <w:sz w:val="24"/>
                <w:szCs w:val="24"/>
              </w:rPr>
              <w:t>（签章）：</w:t>
            </w:r>
          </w:p>
        </w:tc>
        <w:tc>
          <w:tcPr>
            <w:tcW w:w="3992" w:type="dxa"/>
            <w:vAlign w:val="center"/>
          </w:tcPr>
          <w:p w14:paraId="6EA96C6E">
            <w:pPr>
              <w:tabs>
                <w:tab w:val="left" w:pos="1200"/>
              </w:tabs>
              <w:ind w:right="181"/>
              <w:rPr>
                <w:rFonts w:ascii="宋体" w:hAnsi="宋体" w:eastAsia="宋体" w:cs="宋体"/>
                <w:bCs/>
                <w:szCs w:val="21"/>
                <w:lang w:eastAsia="zh-TW"/>
              </w:rPr>
            </w:pPr>
          </w:p>
        </w:tc>
      </w:tr>
      <w:tr w14:paraId="3D6C4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314" w:type="dxa"/>
            <w:vAlign w:val="center"/>
          </w:tcPr>
          <w:p w14:paraId="0912726F">
            <w:pPr>
              <w:tabs>
                <w:tab w:val="left" w:pos="1200"/>
              </w:tabs>
              <w:ind w:right="181"/>
              <w:rPr>
                <w:rFonts w:ascii="宋体" w:hAnsi="宋体" w:eastAsia="宋体" w:cs="宋体"/>
                <w:bCs/>
                <w:sz w:val="24"/>
                <w:szCs w:val="24"/>
              </w:rPr>
            </w:pPr>
            <w:r>
              <w:rPr>
                <w:rFonts w:hint="eastAsia" w:ascii="宋体" w:hAnsi="宋体" w:eastAsia="宋体" w:cs="宋体"/>
                <w:bCs/>
                <w:sz w:val="24"/>
                <w:szCs w:val="24"/>
              </w:rPr>
              <w:t>法定（授权）代表人</w:t>
            </w:r>
          </w:p>
          <w:p w14:paraId="160D6604">
            <w:pPr>
              <w:tabs>
                <w:tab w:val="left" w:pos="1200"/>
              </w:tabs>
              <w:ind w:right="181"/>
              <w:rPr>
                <w:rFonts w:ascii="宋体" w:hAnsi="宋体" w:eastAsia="宋体" w:cs="宋体"/>
                <w:bCs/>
                <w:sz w:val="24"/>
                <w:szCs w:val="24"/>
                <w:lang w:eastAsia="zh-TW"/>
              </w:rPr>
            </w:pPr>
            <w:r>
              <w:rPr>
                <w:rFonts w:hint="eastAsia" w:ascii="宋体" w:hAnsi="宋体" w:eastAsia="宋体" w:cs="宋体"/>
                <w:bCs/>
                <w:sz w:val="24"/>
                <w:szCs w:val="24"/>
              </w:rPr>
              <w:t>（签章）：</w:t>
            </w:r>
          </w:p>
        </w:tc>
        <w:tc>
          <w:tcPr>
            <w:tcW w:w="3992" w:type="dxa"/>
            <w:vAlign w:val="center"/>
          </w:tcPr>
          <w:p w14:paraId="04776FB6">
            <w:pPr>
              <w:tabs>
                <w:tab w:val="left" w:pos="1200"/>
              </w:tabs>
              <w:ind w:right="181"/>
              <w:rPr>
                <w:rFonts w:ascii="宋体" w:hAnsi="宋体" w:eastAsia="宋体" w:cs="宋体"/>
                <w:bCs/>
                <w:sz w:val="24"/>
                <w:szCs w:val="24"/>
              </w:rPr>
            </w:pPr>
            <w:r>
              <w:rPr>
                <w:rFonts w:hint="eastAsia" w:ascii="宋体" w:hAnsi="宋体" w:eastAsia="宋体" w:cs="宋体"/>
                <w:bCs/>
                <w:sz w:val="24"/>
                <w:szCs w:val="24"/>
              </w:rPr>
              <w:t>法定（授权）代表人</w:t>
            </w:r>
          </w:p>
          <w:p w14:paraId="3E5D8F2C">
            <w:pPr>
              <w:tabs>
                <w:tab w:val="left" w:pos="1200"/>
              </w:tabs>
              <w:ind w:right="181"/>
              <w:rPr>
                <w:rFonts w:ascii="宋体" w:hAnsi="宋体" w:eastAsia="宋体" w:cs="宋体"/>
                <w:bCs/>
                <w:sz w:val="24"/>
                <w:szCs w:val="24"/>
              </w:rPr>
            </w:pPr>
            <w:r>
              <w:rPr>
                <w:rFonts w:hint="eastAsia" w:ascii="宋体" w:hAnsi="宋体" w:eastAsia="宋体" w:cs="宋体"/>
                <w:bCs/>
                <w:sz w:val="24"/>
                <w:szCs w:val="24"/>
              </w:rPr>
              <w:t>（签章）：</w:t>
            </w:r>
          </w:p>
        </w:tc>
      </w:tr>
      <w:tr w14:paraId="508B2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14" w:type="dxa"/>
            <w:vAlign w:val="center"/>
          </w:tcPr>
          <w:p w14:paraId="2728A646">
            <w:pPr>
              <w:tabs>
                <w:tab w:val="left" w:pos="1200"/>
              </w:tabs>
              <w:ind w:right="181"/>
              <w:rPr>
                <w:rFonts w:ascii="宋体" w:hAnsi="宋体" w:eastAsia="宋体" w:cs="宋体"/>
                <w:bCs/>
                <w:sz w:val="24"/>
                <w:szCs w:val="24"/>
                <w:lang w:eastAsia="zh-TW"/>
              </w:rPr>
            </w:pPr>
            <w:r>
              <w:rPr>
                <w:rFonts w:hint="eastAsia" w:ascii="宋体" w:hAnsi="宋体" w:eastAsia="宋体" w:cs="宋体"/>
                <w:bCs/>
                <w:sz w:val="24"/>
                <w:szCs w:val="24"/>
              </w:rPr>
              <w:t>签署日期：年月日</w:t>
            </w:r>
          </w:p>
        </w:tc>
        <w:tc>
          <w:tcPr>
            <w:tcW w:w="3992" w:type="dxa"/>
            <w:vAlign w:val="center"/>
          </w:tcPr>
          <w:p w14:paraId="74C11462">
            <w:pPr>
              <w:tabs>
                <w:tab w:val="left" w:pos="1200"/>
              </w:tabs>
              <w:ind w:right="181"/>
              <w:rPr>
                <w:rFonts w:ascii="宋体" w:hAnsi="宋体" w:eastAsia="宋体" w:cs="宋体"/>
                <w:bCs/>
                <w:sz w:val="24"/>
                <w:szCs w:val="24"/>
                <w:lang w:eastAsia="zh-TW"/>
              </w:rPr>
            </w:pPr>
            <w:r>
              <w:rPr>
                <w:rFonts w:hint="eastAsia" w:ascii="宋体" w:hAnsi="宋体" w:eastAsia="宋体" w:cs="宋体"/>
                <w:bCs/>
                <w:sz w:val="24"/>
                <w:szCs w:val="24"/>
              </w:rPr>
              <w:t>签署日期：年月日</w:t>
            </w:r>
          </w:p>
        </w:tc>
      </w:tr>
      <w:tr w14:paraId="2EC94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306" w:type="dxa"/>
            <w:gridSpan w:val="2"/>
            <w:vAlign w:val="center"/>
          </w:tcPr>
          <w:p w14:paraId="31E2CF49">
            <w:pPr>
              <w:tabs>
                <w:tab w:val="left" w:pos="1200"/>
              </w:tabs>
              <w:ind w:right="181"/>
              <w:rPr>
                <w:rFonts w:ascii="宋体" w:hAnsi="宋体" w:eastAsia="宋体" w:cs="宋体"/>
                <w:bCs/>
                <w:sz w:val="24"/>
                <w:szCs w:val="24"/>
                <w:lang w:eastAsia="zh-TW"/>
              </w:rPr>
            </w:pPr>
          </w:p>
        </w:tc>
      </w:tr>
      <w:tr w14:paraId="77714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306" w:type="dxa"/>
            <w:gridSpan w:val="2"/>
            <w:vAlign w:val="center"/>
          </w:tcPr>
          <w:p w14:paraId="5F21544F">
            <w:pPr>
              <w:tabs>
                <w:tab w:val="left" w:pos="1200"/>
              </w:tabs>
              <w:ind w:right="181"/>
              <w:rPr>
                <w:rFonts w:ascii="宋体" w:hAnsi="宋体" w:eastAsia="宋体" w:cs="宋体"/>
                <w:bCs/>
                <w:sz w:val="24"/>
                <w:szCs w:val="24"/>
                <w:lang w:eastAsia="zh-TW"/>
              </w:rPr>
            </w:pPr>
            <w:r>
              <w:rPr>
                <w:rFonts w:hint="eastAsia" w:ascii="宋体" w:hAnsi="宋体" w:eastAsia="宋体" w:cs="宋体"/>
                <w:bCs/>
                <w:sz w:val="24"/>
                <w:szCs w:val="24"/>
              </w:rPr>
              <w:t>鉴证方（签章）：</w:t>
            </w:r>
          </w:p>
        </w:tc>
      </w:tr>
      <w:tr w14:paraId="68C56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306" w:type="dxa"/>
            <w:gridSpan w:val="2"/>
            <w:vAlign w:val="center"/>
          </w:tcPr>
          <w:p w14:paraId="5D322669">
            <w:pPr>
              <w:tabs>
                <w:tab w:val="left" w:pos="1200"/>
              </w:tabs>
              <w:ind w:right="181"/>
              <w:rPr>
                <w:rFonts w:ascii="宋体" w:hAnsi="宋体" w:eastAsia="宋体" w:cs="宋体"/>
                <w:bCs/>
                <w:sz w:val="24"/>
                <w:szCs w:val="24"/>
                <w:lang w:eastAsia="zh-TW"/>
              </w:rPr>
            </w:pPr>
            <w:r>
              <w:rPr>
                <w:rFonts w:hint="eastAsia" w:ascii="宋体" w:hAnsi="宋体" w:eastAsia="宋体" w:cs="宋体"/>
                <w:bCs/>
                <w:sz w:val="24"/>
                <w:szCs w:val="24"/>
              </w:rPr>
              <w:t>住所地：</w:t>
            </w:r>
          </w:p>
        </w:tc>
      </w:tr>
      <w:tr w14:paraId="11C99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306" w:type="dxa"/>
            <w:gridSpan w:val="2"/>
            <w:vAlign w:val="center"/>
          </w:tcPr>
          <w:p w14:paraId="1E7AA04F">
            <w:pPr>
              <w:tabs>
                <w:tab w:val="left" w:pos="1200"/>
              </w:tabs>
              <w:ind w:right="181"/>
              <w:rPr>
                <w:rFonts w:ascii="宋体" w:hAnsi="宋体" w:eastAsia="宋体" w:cs="宋体"/>
                <w:bCs/>
                <w:sz w:val="24"/>
                <w:szCs w:val="24"/>
              </w:rPr>
            </w:pPr>
            <w:r>
              <w:rPr>
                <w:rFonts w:hint="eastAsia" w:ascii="宋体" w:hAnsi="宋体" w:eastAsia="宋体" w:cs="宋体"/>
                <w:bCs/>
                <w:sz w:val="24"/>
                <w:szCs w:val="24"/>
              </w:rPr>
              <w:t>法定（授权）代表人</w:t>
            </w:r>
          </w:p>
          <w:p w14:paraId="01A62E6A">
            <w:pPr>
              <w:tabs>
                <w:tab w:val="left" w:pos="1200"/>
              </w:tabs>
              <w:ind w:right="181"/>
              <w:rPr>
                <w:rFonts w:ascii="宋体" w:hAnsi="宋体" w:eastAsia="宋体" w:cs="宋体"/>
                <w:bCs/>
                <w:sz w:val="24"/>
                <w:szCs w:val="24"/>
                <w:lang w:eastAsia="zh-TW"/>
              </w:rPr>
            </w:pPr>
            <w:r>
              <w:rPr>
                <w:rFonts w:hint="eastAsia" w:ascii="宋体" w:hAnsi="宋体" w:eastAsia="宋体" w:cs="宋体"/>
                <w:bCs/>
                <w:sz w:val="24"/>
                <w:szCs w:val="24"/>
              </w:rPr>
              <w:t>（签章）：</w:t>
            </w:r>
          </w:p>
        </w:tc>
      </w:tr>
      <w:tr w14:paraId="780ED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306" w:type="dxa"/>
            <w:gridSpan w:val="2"/>
            <w:vAlign w:val="center"/>
          </w:tcPr>
          <w:p w14:paraId="56B5B6F5">
            <w:pPr>
              <w:tabs>
                <w:tab w:val="left" w:pos="1200"/>
              </w:tabs>
              <w:ind w:right="181"/>
              <w:rPr>
                <w:rFonts w:ascii="宋体" w:hAnsi="宋体" w:eastAsia="宋体" w:cs="宋体"/>
                <w:bCs/>
                <w:sz w:val="24"/>
                <w:szCs w:val="24"/>
                <w:lang w:eastAsia="zh-TW"/>
              </w:rPr>
            </w:pPr>
            <w:r>
              <w:rPr>
                <w:rFonts w:hint="eastAsia" w:ascii="宋体" w:hAnsi="宋体" w:eastAsia="宋体" w:cs="宋体"/>
                <w:bCs/>
                <w:sz w:val="24"/>
                <w:szCs w:val="24"/>
              </w:rPr>
              <w:t>鉴证日期：年月日</w:t>
            </w:r>
          </w:p>
        </w:tc>
      </w:tr>
      <w:bookmarkEnd w:id="54"/>
    </w:tbl>
    <w:p w14:paraId="2A52A07D">
      <w:pPr>
        <w:spacing w:after="160" w:line="278" w:lineRule="auto"/>
        <w:jc w:val="left"/>
        <w:rPr>
          <w:rFonts w:ascii="宋体" w:hAnsi="宋体" w:eastAsia="宋体" w:cs="宋体"/>
          <w:sz w:val="24"/>
          <w:szCs w:val="24"/>
        </w:rPr>
      </w:pPr>
    </w:p>
    <w:p w14:paraId="7EB4A4BC">
      <w:pPr>
        <w:adjustRightInd w:val="0"/>
        <w:snapToGrid w:val="0"/>
        <w:spacing w:line="288" w:lineRule="auto"/>
        <w:rPr>
          <w:rFonts w:ascii="宋体" w:hAnsi="宋体" w:eastAsia="宋体" w:cs="宋体"/>
          <w:b/>
          <w:spacing w:val="-6"/>
          <w:szCs w:val="21"/>
        </w:rPr>
      </w:pPr>
    </w:p>
    <w:p w14:paraId="5EED4768">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0606E863">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51B0FEF8">
      <w:pPr>
        <w:adjustRightInd w:val="0"/>
        <w:snapToGrid w:val="0"/>
        <w:spacing w:line="288" w:lineRule="auto"/>
        <w:rPr>
          <w:rFonts w:ascii="宋体" w:hAnsi="宋体" w:eastAsia="宋体" w:cs="Times New Roman"/>
          <w:b/>
          <w:bCs/>
          <w:spacing w:val="-6"/>
          <w:sz w:val="24"/>
          <w:szCs w:val="24"/>
        </w:rPr>
      </w:pPr>
    </w:p>
    <w:p w14:paraId="7D472D72">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764CB977">
      <w:pPr>
        <w:adjustRightInd w:val="0"/>
        <w:snapToGrid w:val="0"/>
        <w:spacing w:line="288" w:lineRule="auto"/>
        <w:rPr>
          <w:rFonts w:ascii="宋体" w:hAnsi="宋体" w:eastAsia="宋体" w:cs="Times New Roman"/>
          <w:b/>
          <w:bCs/>
          <w:spacing w:val="-6"/>
          <w:sz w:val="24"/>
          <w:szCs w:val="24"/>
        </w:rPr>
      </w:pPr>
    </w:p>
    <w:p w14:paraId="7B2FA53C">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0DD10B0D">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1B832D3F">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61BCB35F">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14:paraId="248F7EB2">
      <w:pPr>
        <w:adjustRightInd w:val="0"/>
        <w:snapToGrid w:val="0"/>
        <w:spacing w:line="288" w:lineRule="auto"/>
        <w:ind w:left="420" w:leftChars="200"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中小企业声明函（若属于中小企业）</w:t>
      </w:r>
    </w:p>
    <w:p w14:paraId="61D723D9">
      <w:pPr>
        <w:adjustRightInd w:val="0"/>
        <w:snapToGrid w:val="0"/>
        <w:spacing w:line="288" w:lineRule="auto"/>
        <w:ind w:left="420" w:leftChars="200" w:firstLine="396" w:firstLineChars="200"/>
        <w:jc w:val="left"/>
        <w:rPr>
          <w:rFonts w:ascii="宋体" w:hAnsi="宋体" w:eastAsia="宋体" w:cs="Times New Roman"/>
          <w:spacing w:val="-6"/>
          <w:szCs w:val="21"/>
        </w:rPr>
      </w:pPr>
      <w:r>
        <w:rPr>
          <w:rFonts w:ascii="宋体" w:hAnsi="宋体" w:eastAsia="宋体" w:cs="Times New Roman"/>
          <w:spacing w:val="-6"/>
          <w:szCs w:val="21"/>
        </w:rPr>
        <w:t>属于监狱企业的证明文件（若属于监狱企业）</w:t>
      </w:r>
    </w:p>
    <w:p w14:paraId="620ACEC9">
      <w:pPr>
        <w:adjustRightInd w:val="0"/>
        <w:snapToGrid w:val="0"/>
        <w:spacing w:line="288" w:lineRule="auto"/>
        <w:ind w:left="420" w:leftChars="200" w:firstLine="396" w:firstLineChars="200"/>
        <w:jc w:val="left"/>
        <w:rPr>
          <w:rFonts w:ascii="宋体" w:hAnsi="宋体" w:eastAsia="宋体" w:cs="Times New Roman"/>
          <w:spacing w:val="-6"/>
          <w:szCs w:val="21"/>
        </w:rPr>
      </w:pPr>
      <w:r>
        <w:rPr>
          <w:rFonts w:ascii="宋体" w:hAnsi="宋体" w:eastAsia="宋体" w:cs="Times New Roman"/>
          <w:spacing w:val="-6"/>
          <w:szCs w:val="21"/>
        </w:rPr>
        <w:t>残疾人福利性单位声明函（若属于残疾人福利性单位）</w:t>
      </w:r>
    </w:p>
    <w:p w14:paraId="0593EA9D">
      <w:pPr>
        <w:adjustRightInd w:val="0"/>
        <w:snapToGrid w:val="0"/>
        <w:spacing w:line="288" w:lineRule="auto"/>
        <w:ind w:firstLine="396" w:firstLineChars="200"/>
        <w:jc w:val="left"/>
        <w:rPr>
          <w:rFonts w:ascii="宋体" w:hAnsi="宋体" w:eastAsia="宋体" w:cs="宋体"/>
          <w:bCs/>
          <w:spacing w:val="-6"/>
          <w:szCs w:val="21"/>
        </w:rPr>
      </w:pPr>
    </w:p>
    <w:p w14:paraId="66651334">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rPr>
        <w:t>本项目的特定资格要求证明材料：无</w:t>
      </w:r>
    </w:p>
    <w:p w14:paraId="15B88C92">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▲联合体投标的，联合体各方均应提供资格文件（</w:t>
      </w:r>
      <w:r>
        <w:rPr>
          <w:rFonts w:ascii="宋体" w:hAnsi="宋体" w:eastAsia="宋体" w:cs="宋体"/>
          <w:bCs/>
          <w:spacing w:val="-6"/>
          <w:szCs w:val="21"/>
        </w:rPr>
        <w:t>1）</w:t>
      </w:r>
      <w:r>
        <w:rPr>
          <w:rFonts w:hint="eastAsia" w:ascii="宋体" w:hAnsi="宋体" w:eastAsia="宋体" w:cs="宋体"/>
          <w:bCs/>
          <w:spacing w:val="-6"/>
          <w:szCs w:val="21"/>
        </w:rPr>
        <w:t>、</w:t>
      </w:r>
      <w:r>
        <w:rPr>
          <w:rFonts w:ascii="宋体" w:hAnsi="宋体" w:eastAsia="宋体" w:cs="宋体"/>
          <w:bCs/>
          <w:spacing w:val="-6"/>
          <w:szCs w:val="21"/>
        </w:rPr>
        <w:t>（2）</w:t>
      </w:r>
      <w:r>
        <w:rPr>
          <w:rFonts w:hint="eastAsia" w:ascii="宋体" w:hAnsi="宋体" w:eastAsia="宋体" w:cs="宋体"/>
          <w:bCs/>
          <w:spacing w:val="-6"/>
          <w:szCs w:val="21"/>
        </w:rPr>
        <w:t>材料</w:t>
      </w:r>
      <w:r>
        <w:rPr>
          <w:rFonts w:ascii="宋体" w:hAnsi="宋体" w:eastAsia="宋体" w:cs="宋体"/>
          <w:bCs/>
          <w:spacing w:val="-6"/>
          <w:szCs w:val="21"/>
        </w:rPr>
        <w:t>。</w:t>
      </w:r>
    </w:p>
    <w:p w14:paraId="348A22F1">
      <w:pPr>
        <w:adjustRightInd w:val="0"/>
        <w:snapToGrid w:val="0"/>
        <w:spacing w:line="288" w:lineRule="auto"/>
        <w:jc w:val="left"/>
        <w:rPr>
          <w:rFonts w:ascii="宋体" w:hAnsi="宋体" w:eastAsia="宋体" w:cs="宋体"/>
          <w:b/>
          <w:spacing w:val="-6"/>
          <w:szCs w:val="21"/>
        </w:rPr>
      </w:pPr>
    </w:p>
    <w:p w14:paraId="1DA069D4">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1168435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14:paraId="762791A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2CF870BC">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rPr>
        <w:t>2025年1月（含）</w:t>
      </w:r>
      <w:r>
        <w:rPr>
          <w:rFonts w:ascii="宋体" w:hAnsi="宋体" w:eastAsia="宋体" w:cs="Times New Roman"/>
          <w:spacing w:val="-6"/>
          <w:szCs w:val="21"/>
        </w:rPr>
        <w:t>以后任意一月）</w:t>
      </w:r>
    </w:p>
    <w:p w14:paraId="277C077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13F10BF8">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14:paraId="1023B638">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5</w:t>
      </w:r>
      <w:r>
        <w:rPr>
          <w:rFonts w:hint="eastAsia" w:ascii="宋体" w:hAnsi="宋体" w:eastAsia="宋体" w:cs="宋体"/>
          <w:spacing w:val="-6"/>
          <w:szCs w:val="21"/>
        </w:rPr>
        <w:t>）</w:t>
      </w:r>
      <w:r>
        <w:rPr>
          <w:rFonts w:hint="eastAsia" w:ascii="宋体" w:hAnsi="宋体" w:eastAsia="宋体" w:cs="宋体"/>
          <w:szCs w:val="21"/>
        </w:rPr>
        <w:t>标的配置清单</w:t>
      </w:r>
    </w:p>
    <w:p w14:paraId="0CE4CD4C">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6</w:t>
      </w:r>
      <w:r>
        <w:rPr>
          <w:rFonts w:hint="eastAsia" w:ascii="宋体" w:hAnsi="宋体" w:eastAsia="宋体" w:cs="宋体"/>
          <w:spacing w:val="-6"/>
          <w:szCs w:val="21"/>
        </w:rPr>
        <w:t>）技术方案【格式自拟】</w:t>
      </w:r>
    </w:p>
    <w:p w14:paraId="5DB05E9F">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）投标人需要说明的其他文件和材料。</w:t>
      </w:r>
    </w:p>
    <w:p w14:paraId="7342BDAF">
      <w:pPr>
        <w:adjustRightInd w:val="0"/>
        <w:snapToGrid w:val="0"/>
        <w:spacing w:line="288" w:lineRule="auto"/>
        <w:ind w:firstLine="398" w:firstLineChars="200"/>
        <w:jc w:val="left"/>
        <w:rPr>
          <w:rFonts w:ascii="宋体" w:hAnsi="宋体" w:eastAsia="宋体" w:cs="Times New Roman"/>
          <w:b/>
          <w:spacing w:val="-6"/>
          <w:szCs w:val="21"/>
        </w:rPr>
      </w:pPr>
    </w:p>
    <w:p w14:paraId="053C0781">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说明：供应商应遵循诚实信用原则在投标（响应）文件中提供真实材料。供应商可事先在公开官网查询、核对相关证书和报告内容，确保投标（响应）文件资料准确无误。</w:t>
      </w:r>
    </w:p>
    <w:p w14:paraId="4159F285">
      <w:pPr>
        <w:adjustRightInd w:val="0"/>
        <w:snapToGrid w:val="0"/>
        <w:spacing w:line="288" w:lineRule="auto"/>
        <w:jc w:val="left"/>
        <w:rPr>
          <w:rFonts w:ascii="宋体" w:hAnsi="宋体" w:eastAsia="宋体" w:cs="Times New Roman"/>
          <w:b/>
          <w:spacing w:val="-6"/>
          <w:szCs w:val="21"/>
        </w:rPr>
      </w:pPr>
    </w:p>
    <w:p w14:paraId="7A470C97">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3DAB23C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14:paraId="0832B86F">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72A5A06A">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2421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94E89B9">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4F6ED78D">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57697353">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4F1446AE">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234A6A7B">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1B98D615">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0A9843B3">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6439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34ED6897">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5AD9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A150549">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62854BC">
            <w:pPr>
              <w:adjustRightInd w:val="0"/>
              <w:snapToGrid w:val="0"/>
              <w:spacing w:line="288" w:lineRule="auto"/>
              <w:jc w:val="center"/>
              <w:rPr>
                <w:rFonts w:ascii="宋体" w:hAnsi="宋体" w:eastAsia="宋体" w:cs="Times New Roman"/>
                <w:spacing w:val="-6"/>
                <w:szCs w:val="21"/>
              </w:rPr>
            </w:pPr>
          </w:p>
        </w:tc>
        <w:tc>
          <w:tcPr>
            <w:tcW w:w="709" w:type="dxa"/>
            <w:vAlign w:val="center"/>
          </w:tcPr>
          <w:p w14:paraId="5C3549E0">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9CFE9DE">
            <w:pPr>
              <w:adjustRightInd w:val="0"/>
              <w:snapToGrid w:val="0"/>
              <w:spacing w:line="288" w:lineRule="auto"/>
              <w:rPr>
                <w:rFonts w:ascii="宋体" w:hAnsi="宋体" w:eastAsia="宋体" w:cs="Times New Roman"/>
                <w:spacing w:val="-6"/>
                <w:szCs w:val="21"/>
              </w:rPr>
            </w:pPr>
          </w:p>
        </w:tc>
        <w:tc>
          <w:tcPr>
            <w:tcW w:w="967" w:type="dxa"/>
            <w:vAlign w:val="center"/>
          </w:tcPr>
          <w:p w14:paraId="1248201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7DD01AB">
            <w:pPr>
              <w:adjustRightInd w:val="0"/>
              <w:snapToGrid w:val="0"/>
              <w:spacing w:line="288" w:lineRule="auto"/>
              <w:jc w:val="center"/>
              <w:rPr>
                <w:rFonts w:ascii="宋体" w:hAnsi="宋体" w:eastAsia="宋体" w:cs="Times New Roman"/>
                <w:spacing w:val="-6"/>
                <w:szCs w:val="21"/>
              </w:rPr>
            </w:pPr>
          </w:p>
        </w:tc>
        <w:tc>
          <w:tcPr>
            <w:tcW w:w="881" w:type="dxa"/>
          </w:tcPr>
          <w:p w14:paraId="7BA6C4F4">
            <w:pPr>
              <w:adjustRightInd w:val="0"/>
              <w:snapToGrid w:val="0"/>
              <w:spacing w:line="288" w:lineRule="auto"/>
              <w:jc w:val="center"/>
              <w:rPr>
                <w:rFonts w:ascii="宋体" w:hAnsi="宋体" w:eastAsia="宋体" w:cs="Times New Roman"/>
                <w:spacing w:val="-6"/>
                <w:szCs w:val="21"/>
              </w:rPr>
            </w:pPr>
          </w:p>
        </w:tc>
      </w:tr>
      <w:tr w14:paraId="6265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0A10C7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0C40B04">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F5826F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1AD9FA8">
            <w:pPr>
              <w:adjustRightInd w:val="0"/>
              <w:snapToGrid w:val="0"/>
              <w:spacing w:line="288" w:lineRule="auto"/>
              <w:rPr>
                <w:rFonts w:ascii="宋体" w:hAnsi="宋体" w:eastAsia="宋体" w:cs="Times New Roman"/>
                <w:spacing w:val="-6"/>
                <w:szCs w:val="21"/>
              </w:rPr>
            </w:pPr>
          </w:p>
        </w:tc>
        <w:tc>
          <w:tcPr>
            <w:tcW w:w="967" w:type="dxa"/>
            <w:vAlign w:val="center"/>
          </w:tcPr>
          <w:p w14:paraId="37BB8A8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DD689FD">
            <w:pPr>
              <w:adjustRightInd w:val="0"/>
              <w:snapToGrid w:val="0"/>
              <w:spacing w:line="288" w:lineRule="auto"/>
              <w:jc w:val="center"/>
              <w:rPr>
                <w:rFonts w:ascii="宋体" w:hAnsi="宋体" w:eastAsia="宋体" w:cs="Times New Roman"/>
                <w:spacing w:val="-6"/>
                <w:szCs w:val="21"/>
              </w:rPr>
            </w:pPr>
          </w:p>
        </w:tc>
        <w:tc>
          <w:tcPr>
            <w:tcW w:w="881" w:type="dxa"/>
          </w:tcPr>
          <w:p w14:paraId="083986A2">
            <w:pPr>
              <w:adjustRightInd w:val="0"/>
              <w:snapToGrid w:val="0"/>
              <w:spacing w:line="288" w:lineRule="auto"/>
              <w:jc w:val="center"/>
              <w:rPr>
                <w:rFonts w:ascii="宋体" w:hAnsi="宋体" w:eastAsia="宋体" w:cs="Times New Roman"/>
                <w:spacing w:val="-6"/>
                <w:szCs w:val="21"/>
              </w:rPr>
            </w:pPr>
          </w:p>
        </w:tc>
      </w:tr>
      <w:tr w14:paraId="14B3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8AA9F28">
            <w:pPr>
              <w:adjustRightInd w:val="0"/>
              <w:snapToGrid w:val="0"/>
              <w:spacing w:line="288" w:lineRule="auto"/>
              <w:jc w:val="center"/>
              <w:rPr>
                <w:rFonts w:ascii="宋体" w:hAnsi="宋体" w:eastAsia="宋体" w:cs="Times New Roman"/>
                <w:kern w:val="0"/>
                <w:szCs w:val="21"/>
              </w:rPr>
            </w:pPr>
          </w:p>
        </w:tc>
        <w:tc>
          <w:tcPr>
            <w:tcW w:w="2091" w:type="dxa"/>
            <w:vAlign w:val="center"/>
          </w:tcPr>
          <w:p w14:paraId="77001AA4">
            <w:pPr>
              <w:adjustRightInd w:val="0"/>
              <w:snapToGrid w:val="0"/>
              <w:spacing w:line="288" w:lineRule="auto"/>
              <w:jc w:val="center"/>
              <w:rPr>
                <w:rFonts w:ascii="宋体" w:hAnsi="宋体" w:eastAsia="宋体" w:cs="Times New Roman"/>
                <w:kern w:val="0"/>
                <w:szCs w:val="21"/>
              </w:rPr>
            </w:pPr>
          </w:p>
        </w:tc>
        <w:tc>
          <w:tcPr>
            <w:tcW w:w="709" w:type="dxa"/>
            <w:vAlign w:val="center"/>
          </w:tcPr>
          <w:p w14:paraId="31BBF738">
            <w:pPr>
              <w:adjustRightInd w:val="0"/>
              <w:snapToGrid w:val="0"/>
              <w:spacing w:line="288" w:lineRule="auto"/>
              <w:jc w:val="center"/>
              <w:rPr>
                <w:rFonts w:ascii="宋体" w:hAnsi="宋体" w:eastAsia="宋体" w:cs="Times New Roman"/>
                <w:kern w:val="0"/>
                <w:szCs w:val="21"/>
              </w:rPr>
            </w:pPr>
          </w:p>
        </w:tc>
        <w:tc>
          <w:tcPr>
            <w:tcW w:w="3040" w:type="dxa"/>
            <w:vAlign w:val="center"/>
          </w:tcPr>
          <w:p w14:paraId="2BF476D7">
            <w:pPr>
              <w:adjustRightInd w:val="0"/>
              <w:snapToGrid w:val="0"/>
              <w:spacing w:line="288" w:lineRule="auto"/>
              <w:rPr>
                <w:rFonts w:ascii="宋体" w:hAnsi="宋体" w:eastAsia="宋体" w:cs="Times New Roman"/>
                <w:kern w:val="0"/>
                <w:szCs w:val="21"/>
              </w:rPr>
            </w:pPr>
          </w:p>
        </w:tc>
        <w:tc>
          <w:tcPr>
            <w:tcW w:w="967" w:type="dxa"/>
            <w:vAlign w:val="center"/>
          </w:tcPr>
          <w:p w14:paraId="52EFD4F3">
            <w:pPr>
              <w:adjustRightInd w:val="0"/>
              <w:snapToGrid w:val="0"/>
              <w:spacing w:line="288" w:lineRule="auto"/>
              <w:jc w:val="center"/>
              <w:rPr>
                <w:rFonts w:ascii="宋体" w:hAnsi="宋体" w:eastAsia="宋体" w:cs="Times New Roman"/>
                <w:szCs w:val="21"/>
              </w:rPr>
            </w:pPr>
          </w:p>
        </w:tc>
        <w:tc>
          <w:tcPr>
            <w:tcW w:w="1053" w:type="dxa"/>
            <w:vAlign w:val="center"/>
          </w:tcPr>
          <w:p w14:paraId="06BE3F54">
            <w:pPr>
              <w:adjustRightInd w:val="0"/>
              <w:snapToGrid w:val="0"/>
              <w:spacing w:line="288" w:lineRule="auto"/>
              <w:jc w:val="center"/>
              <w:rPr>
                <w:rFonts w:ascii="宋体" w:hAnsi="宋体" w:eastAsia="宋体" w:cs="Times New Roman"/>
                <w:szCs w:val="21"/>
              </w:rPr>
            </w:pPr>
          </w:p>
        </w:tc>
        <w:tc>
          <w:tcPr>
            <w:tcW w:w="881" w:type="dxa"/>
          </w:tcPr>
          <w:p w14:paraId="4953E375">
            <w:pPr>
              <w:adjustRightInd w:val="0"/>
              <w:snapToGrid w:val="0"/>
              <w:spacing w:line="288" w:lineRule="auto"/>
              <w:jc w:val="center"/>
              <w:rPr>
                <w:rFonts w:ascii="宋体" w:hAnsi="宋体" w:eastAsia="宋体" w:cs="Times New Roman"/>
                <w:szCs w:val="21"/>
              </w:rPr>
            </w:pPr>
          </w:p>
        </w:tc>
      </w:tr>
      <w:tr w14:paraId="4AF0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63D436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7F9D243">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8F0A411">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D821146">
            <w:pPr>
              <w:adjustRightInd w:val="0"/>
              <w:snapToGrid w:val="0"/>
              <w:spacing w:line="288" w:lineRule="auto"/>
              <w:rPr>
                <w:rFonts w:ascii="宋体" w:hAnsi="宋体" w:eastAsia="宋体" w:cs="Times New Roman"/>
                <w:spacing w:val="-6"/>
                <w:szCs w:val="21"/>
              </w:rPr>
            </w:pPr>
          </w:p>
        </w:tc>
        <w:tc>
          <w:tcPr>
            <w:tcW w:w="967" w:type="dxa"/>
            <w:vAlign w:val="center"/>
          </w:tcPr>
          <w:p w14:paraId="5AE09B1D">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6DAB3D76">
            <w:pPr>
              <w:adjustRightInd w:val="0"/>
              <w:snapToGrid w:val="0"/>
              <w:spacing w:line="288" w:lineRule="auto"/>
              <w:jc w:val="center"/>
              <w:rPr>
                <w:rFonts w:ascii="宋体" w:hAnsi="宋体" w:eastAsia="宋体" w:cs="Times New Roman"/>
                <w:spacing w:val="-6"/>
                <w:szCs w:val="21"/>
              </w:rPr>
            </w:pPr>
          </w:p>
        </w:tc>
        <w:tc>
          <w:tcPr>
            <w:tcW w:w="881" w:type="dxa"/>
          </w:tcPr>
          <w:p w14:paraId="55A873DA">
            <w:pPr>
              <w:adjustRightInd w:val="0"/>
              <w:snapToGrid w:val="0"/>
              <w:spacing w:line="288" w:lineRule="auto"/>
              <w:jc w:val="center"/>
              <w:rPr>
                <w:rFonts w:ascii="宋体" w:hAnsi="宋体" w:eastAsia="宋体" w:cs="Times New Roman"/>
                <w:spacing w:val="-6"/>
                <w:szCs w:val="21"/>
              </w:rPr>
            </w:pPr>
          </w:p>
        </w:tc>
      </w:tr>
      <w:tr w14:paraId="1803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906A48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BAC6053">
            <w:pPr>
              <w:adjustRightInd w:val="0"/>
              <w:snapToGrid w:val="0"/>
              <w:spacing w:line="288" w:lineRule="auto"/>
              <w:jc w:val="center"/>
              <w:rPr>
                <w:rFonts w:ascii="宋体" w:hAnsi="宋体" w:eastAsia="宋体" w:cs="Times New Roman"/>
                <w:spacing w:val="-6"/>
                <w:szCs w:val="21"/>
              </w:rPr>
            </w:pPr>
          </w:p>
        </w:tc>
        <w:tc>
          <w:tcPr>
            <w:tcW w:w="709" w:type="dxa"/>
            <w:vAlign w:val="center"/>
          </w:tcPr>
          <w:p w14:paraId="0E3F1243">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0CD9C84">
            <w:pPr>
              <w:adjustRightInd w:val="0"/>
              <w:snapToGrid w:val="0"/>
              <w:spacing w:line="288" w:lineRule="auto"/>
              <w:rPr>
                <w:rFonts w:ascii="宋体" w:hAnsi="宋体" w:eastAsia="宋体" w:cs="Times New Roman"/>
                <w:spacing w:val="-6"/>
                <w:szCs w:val="21"/>
              </w:rPr>
            </w:pPr>
          </w:p>
        </w:tc>
        <w:tc>
          <w:tcPr>
            <w:tcW w:w="967" w:type="dxa"/>
            <w:vAlign w:val="center"/>
          </w:tcPr>
          <w:p w14:paraId="03A20441">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6D1DB59">
            <w:pPr>
              <w:adjustRightInd w:val="0"/>
              <w:snapToGrid w:val="0"/>
              <w:spacing w:line="288" w:lineRule="auto"/>
              <w:jc w:val="center"/>
              <w:rPr>
                <w:rFonts w:ascii="宋体" w:hAnsi="宋体" w:eastAsia="宋体" w:cs="Times New Roman"/>
                <w:spacing w:val="-6"/>
                <w:szCs w:val="21"/>
              </w:rPr>
            </w:pPr>
          </w:p>
        </w:tc>
        <w:tc>
          <w:tcPr>
            <w:tcW w:w="881" w:type="dxa"/>
          </w:tcPr>
          <w:p w14:paraId="2814B4A9">
            <w:pPr>
              <w:adjustRightInd w:val="0"/>
              <w:snapToGrid w:val="0"/>
              <w:spacing w:line="288" w:lineRule="auto"/>
              <w:jc w:val="center"/>
              <w:rPr>
                <w:rFonts w:ascii="宋体" w:hAnsi="宋体" w:eastAsia="宋体" w:cs="Times New Roman"/>
                <w:spacing w:val="-6"/>
                <w:szCs w:val="21"/>
              </w:rPr>
            </w:pPr>
          </w:p>
        </w:tc>
      </w:tr>
      <w:tr w14:paraId="1C91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DCCB82C">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AF3E93D">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95BAD8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170D328">
            <w:pPr>
              <w:adjustRightInd w:val="0"/>
              <w:snapToGrid w:val="0"/>
              <w:spacing w:line="288" w:lineRule="auto"/>
              <w:rPr>
                <w:rFonts w:ascii="宋体" w:hAnsi="宋体" w:eastAsia="宋体" w:cs="Times New Roman"/>
                <w:spacing w:val="-6"/>
                <w:szCs w:val="21"/>
              </w:rPr>
            </w:pPr>
          </w:p>
        </w:tc>
        <w:tc>
          <w:tcPr>
            <w:tcW w:w="967" w:type="dxa"/>
            <w:vAlign w:val="center"/>
          </w:tcPr>
          <w:p w14:paraId="2CBD33D2">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D9E70EB">
            <w:pPr>
              <w:adjustRightInd w:val="0"/>
              <w:snapToGrid w:val="0"/>
              <w:spacing w:line="288" w:lineRule="auto"/>
              <w:jc w:val="center"/>
              <w:rPr>
                <w:rFonts w:ascii="宋体" w:hAnsi="宋体" w:eastAsia="宋体" w:cs="Times New Roman"/>
                <w:spacing w:val="-6"/>
                <w:szCs w:val="21"/>
              </w:rPr>
            </w:pPr>
          </w:p>
        </w:tc>
        <w:tc>
          <w:tcPr>
            <w:tcW w:w="881" w:type="dxa"/>
          </w:tcPr>
          <w:p w14:paraId="5EB5ED0A">
            <w:pPr>
              <w:adjustRightInd w:val="0"/>
              <w:snapToGrid w:val="0"/>
              <w:spacing w:line="288" w:lineRule="auto"/>
              <w:jc w:val="center"/>
              <w:rPr>
                <w:rFonts w:ascii="宋体" w:hAnsi="宋体" w:eastAsia="宋体" w:cs="Times New Roman"/>
                <w:spacing w:val="-6"/>
                <w:szCs w:val="21"/>
              </w:rPr>
            </w:pPr>
          </w:p>
        </w:tc>
      </w:tr>
      <w:tr w14:paraId="0AE8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5E876EF5">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795A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3F5FE45">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05ED1BB7">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33F82F0">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42B3265">
            <w:pPr>
              <w:adjustRightInd w:val="0"/>
              <w:snapToGrid w:val="0"/>
              <w:spacing w:line="288" w:lineRule="auto"/>
              <w:rPr>
                <w:rFonts w:ascii="宋体" w:hAnsi="宋体" w:eastAsia="宋体" w:cs="Times New Roman"/>
                <w:spacing w:val="-6"/>
                <w:szCs w:val="21"/>
              </w:rPr>
            </w:pPr>
          </w:p>
        </w:tc>
        <w:tc>
          <w:tcPr>
            <w:tcW w:w="967" w:type="dxa"/>
            <w:vAlign w:val="center"/>
          </w:tcPr>
          <w:p w14:paraId="7A5E5AA0">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34ACBFEE">
            <w:pPr>
              <w:adjustRightInd w:val="0"/>
              <w:snapToGrid w:val="0"/>
              <w:spacing w:line="288" w:lineRule="auto"/>
              <w:jc w:val="center"/>
              <w:rPr>
                <w:rFonts w:ascii="宋体" w:hAnsi="宋体" w:eastAsia="宋体" w:cs="Times New Roman"/>
                <w:spacing w:val="-6"/>
                <w:szCs w:val="21"/>
              </w:rPr>
            </w:pPr>
          </w:p>
        </w:tc>
        <w:tc>
          <w:tcPr>
            <w:tcW w:w="881" w:type="dxa"/>
          </w:tcPr>
          <w:p w14:paraId="40246CE2">
            <w:pPr>
              <w:adjustRightInd w:val="0"/>
              <w:snapToGrid w:val="0"/>
              <w:spacing w:line="288" w:lineRule="auto"/>
              <w:jc w:val="center"/>
              <w:rPr>
                <w:rFonts w:ascii="宋体" w:hAnsi="宋体" w:eastAsia="宋体" w:cs="Times New Roman"/>
                <w:spacing w:val="-6"/>
                <w:szCs w:val="21"/>
              </w:rPr>
            </w:pPr>
          </w:p>
        </w:tc>
      </w:tr>
      <w:tr w14:paraId="04E7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BE2364C">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9FBFB2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5E0EA86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35EDD9C">
            <w:pPr>
              <w:adjustRightInd w:val="0"/>
              <w:snapToGrid w:val="0"/>
              <w:spacing w:line="288" w:lineRule="auto"/>
              <w:rPr>
                <w:rFonts w:ascii="宋体" w:hAnsi="宋体" w:eastAsia="宋体" w:cs="Times New Roman"/>
                <w:spacing w:val="-6"/>
                <w:szCs w:val="21"/>
              </w:rPr>
            </w:pPr>
          </w:p>
        </w:tc>
        <w:tc>
          <w:tcPr>
            <w:tcW w:w="967" w:type="dxa"/>
            <w:vAlign w:val="center"/>
          </w:tcPr>
          <w:p w14:paraId="0E57E53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BE14C30">
            <w:pPr>
              <w:adjustRightInd w:val="0"/>
              <w:snapToGrid w:val="0"/>
              <w:spacing w:line="288" w:lineRule="auto"/>
              <w:jc w:val="center"/>
              <w:rPr>
                <w:rFonts w:ascii="宋体" w:hAnsi="宋体" w:eastAsia="宋体" w:cs="Times New Roman"/>
                <w:spacing w:val="-6"/>
                <w:szCs w:val="21"/>
              </w:rPr>
            </w:pPr>
          </w:p>
        </w:tc>
        <w:tc>
          <w:tcPr>
            <w:tcW w:w="881" w:type="dxa"/>
          </w:tcPr>
          <w:p w14:paraId="05BBBF69">
            <w:pPr>
              <w:adjustRightInd w:val="0"/>
              <w:snapToGrid w:val="0"/>
              <w:spacing w:line="288" w:lineRule="auto"/>
              <w:jc w:val="center"/>
              <w:rPr>
                <w:rFonts w:ascii="宋体" w:hAnsi="宋体" w:eastAsia="宋体" w:cs="Times New Roman"/>
                <w:spacing w:val="-6"/>
                <w:szCs w:val="21"/>
              </w:rPr>
            </w:pPr>
          </w:p>
        </w:tc>
      </w:tr>
      <w:tr w14:paraId="1A73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0829AC5">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04E6C5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2086A1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B9F10C4">
            <w:pPr>
              <w:adjustRightInd w:val="0"/>
              <w:snapToGrid w:val="0"/>
              <w:spacing w:line="288" w:lineRule="auto"/>
              <w:rPr>
                <w:rFonts w:ascii="宋体" w:hAnsi="宋体" w:eastAsia="宋体" w:cs="Times New Roman"/>
                <w:spacing w:val="-6"/>
                <w:szCs w:val="21"/>
              </w:rPr>
            </w:pPr>
          </w:p>
        </w:tc>
        <w:tc>
          <w:tcPr>
            <w:tcW w:w="967" w:type="dxa"/>
            <w:vAlign w:val="center"/>
          </w:tcPr>
          <w:p w14:paraId="67818F0B">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BB8D27D">
            <w:pPr>
              <w:adjustRightInd w:val="0"/>
              <w:snapToGrid w:val="0"/>
              <w:spacing w:line="288" w:lineRule="auto"/>
              <w:jc w:val="center"/>
              <w:rPr>
                <w:rFonts w:ascii="宋体" w:hAnsi="宋体" w:eastAsia="宋体" w:cs="Times New Roman"/>
                <w:spacing w:val="-6"/>
                <w:szCs w:val="21"/>
              </w:rPr>
            </w:pPr>
          </w:p>
        </w:tc>
        <w:tc>
          <w:tcPr>
            <w:tcW w:w="881" w:type="dxa"/>
          </w:tcPr>
          <w:p w14:paraId="7EE235E8">
            <w:pPr>
              <w:adjustRightInd w:val="0"/>
              <w:snapToGrid w:val="0"/>
              <w:spacing w:line="288" w:lineRule="auto"/>
              <w:jc w:val="center"/>
              <w:rPr>
                <w:rFonts w:ascii="宋体" w:hAnsi="宋体" w:eastAsia="宋体" w:cs="Times New Roman"/>
                <w:spacing w:val="-6"/>
                <w:szCs w:val="21"/>
              </w:rPr>
            </w:pPr>
          </w:p>
        </w:tc>
      </w:tr>
      <w:tr w14:paraId="315B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4615DC0">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378B08E">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EC739A9">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CB88AD3">
            <w:pPr>
              <w:adjustRightInd w:val="0"/>
              <w:snapToGrid w:val="0"/>
              <w:spacing w:line="288" w:lineRule="auto"/>
              <w:rPr>
                <w:rFonts w:ascii="宋体" w:hAnsi="宋体" w:eastAsia="宋体" w:cs="Times New Roman"/>
                <w:spacing w:val="-6"/>
                <w:szCs w:val="21"/>
              </w:rPr>
            </w:pPr>
          </w:p>
        </w:tc>
        <w:tc>
          <w:tcPr>
            <w:tcW w:w="967" w:type="dxa"/>
            <w:vAlign w:val="center"/>
          </w:tcPr>
          <w:p w14:paraId="0AD293F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B44A31A">
            <w:pPr>
              <w:adjustRightInd w:val="0"/>
              <w:snapToGrid w:val="0"/>
              <w:spacing w:line="288" w:lineRule="auto"/>
              <w:jc w:val="center"/>
              <w:rPr>
                <w:rFonts w:ascii="宋体" w:hAnsi="宋体" w:eastAsia="宋体" w:cs="Times New Roman"/>
                <w:spacing w:val="-6"/>
                <w:szCs w:val="21"/>
              </w:rPr>
            </w:pPr>
          </w:p>
        </w:tc>
        <w:tc>
          <w:tcPr>
            <w:tcW w:w="881" w:type="dxa"/>
          </w:tcPr>
          <w:p w14:paraId="12734D38">
            <w:pPr>
              <w:adjustRightInd w:val="0"/>
              <w:snapToGrid w:val="0"/>
              <w:spacing w:line="288" w:lineRule="auto"/>
              <w:jc w:val="center"/>
              <w:rPr>
                <w:rFonts w:ascii="宋体" w:hAnsi="宋体" w:eastAsia="宋体" w:cs="Times New Roman"/>
                <w:spacing w:val="-6"/>
                <w:szCs w:val="21"/>
              </w:rPr>
            </w:pPr>
          </w:p>
        </w:tc>
      </w:tr>
      <w:tr w14:paraId="1B0A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46462">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0EB1854F">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CD5E709">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61F107D">
            <w:pPr>
              <w:adjustRightInd w:val="0"/>
              <w:snapToGrid w:val="0"/>
              <w:spacing w:line="288" w:lineRule="auto"/>
              <w:rPr>
                <w:rFonts w:ascii="宋体" w:hAnsi="宋体" w:eastAsia="宋体" w:cs="Times New Roman"/>
                <w:spacing w:val="-6"/>
                <w:szCs w:val="21"/>
              </w:rPr>
            </w:pPr>
          </w:p>
        </w:tc>
        <w:tc>
          <w:tcPr>
            <w:tcW w:w="967" w:type="dxa"/>
            <w:vAlign w:val="center"/>
          </w:tcPr>
          <w:p w14:paraId="1285BB6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30353DA0">
            <w:pPr>
              <w:adjustRightInd w:val="0"/>
              <w:snapToGrid w:val="0"/>
              <w:spacing w:line="288" w:lineRule="auto"/>
              <w:jc w:val="center"/>
              <w:rPr>
                <w:rFonts w:ascii="宋体" w:hAnsi="宋体" w:eastAsia="宋体" w:cs="Times New Roman"/>
                <w:spacing w:val="-6"/>
                <w:szCs w:val="21"/>
              </w:rPr>
            </w:pPr>
          </w:p>
        </w:tc>
        <w:tc>
          <w:tcPr>
            <w:tcW w:w="881" w:type="dxa"/>
          </w:tcPr>
          <w:p w14:paraId="7AC7761B">
            <w:pPr>
              <w:adjustRightInd w:val="0"/>
              <w:snapToGrid w:val="0"/>
              <w:spacing w:line="288" w:lineRule="auto"/>
              <w:jc w:val="center"/>
              <w:rPr>
                <w:rFonts w:ascii="宋体" w:hAnsi="宋体" w:eastAsia="宋体" w:cs="Times New Roman"/>
                <w:spacing w:val="-6"/>
                <w:szCs w:val="21"/>
              </w:rPr>
            </w:pPr>
          </w:p>
        </w:tc>
      </w:tr>
    </w:tbl>
    <w:p w14:paraId="7BBD17F2">
      <w:pPr>
        <w:adjustRightInd w:val="0"/>
        <w:snapToGrid w:val="0"/>
        <w:spacing w:line="288" w:lineRule="auto"/>
        <w:rPr>
          <w:rFonts w:ascii="宋体" w:hAnsi="宋体" w:eastAsia="宋体" w:cs="Times New Roman"/>
          <w:spacing w:val="-6"/>
          <w:szCs w:val="21"/>
        </w:rPr>
      </w:pPr>
    </w:p>
    <w:p w14:paraId="195AA99A">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5796AD1A">
      <w:pPr>
        <w:widowControl/>
        <w:jc w:val="left"/>
        <w:rPr>
          <w:rFonts w:ascii="宋体" w:hAnsi="宋体" w:eastAsia="宋体" w:cs="宋体"/>
          <w:b/>
          <w:spacing w:val="-6"/>
          <w:szCs w:val="21"/>
        </w:rPr>
      </w:pPr>
      <w:r>
        <w:rPr>
          <w:rFonts w:ascii="宋体" w:hAnsi="宋体" w:eastAsia="宋体" w:cs="宋体"/>
          <w:b/>
          <w:spacing w:val="-6"/>
          <w:szCs w:val="21"/>
        </w:rPr>
        <w:br w:type="page"/>
      </w:r>
    </w:p>
    <w:p w14:paraId="3081FD0B">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6B14BF7F">
      <w:pPr>
        <w:adjustRightInd w:val="0"/>
        <w:snapToGrid w:val="0"/>
        <w:spacing w:line="288" w:lineRule="auto"/>
        <w:jc w:val="center"/>
        <w:rPr>
          <w:rFonts w:ascii="宋体" w:hAnsi="宋体" w:eastAsia="宋体" w:cs="宋体"/>
          <w:b/>
          <w:bCs/>
          <w:sz w:val="24"/>
          <w:szCs w:val="24"/>
        </w:rPr>
      </w:pPr>
    </w:p>
    <w:p w14:paraId="1499F7C9">
      <w:pPr>
        <w:adjustRightInd w:val="0"/>
        <w:snapToGrid w:val="0"/>
        <w:spacing w:line="288" w:lineRule="auto"/>
        <w:jc w:val="center"/>
        <w:rPr>
          <w:rFonts w:ascii="宋体" w:hAnsi="宋体" w:eastAsia="宋体" w:cs="宋体"/>
          <w:b/>
          <w:bCs/>
          <w:sz w:val="24"/>
          <w:szCs w:val="24"/>
        </w:rPr>
      </w:pPr>
    </w:p>
    <w:p w14:paraId="322AAD9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2E0408C6">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E6A5724">
      <w:pPr>
        <w:adjustRightInd w:val="0"/>
        <w:snapToGrid w:val="0"/>
        <w:spacing w:line="288" w:lineRule="auto"/>
        <w:rPr>
          <w:rFonts w:ascii="宋体" w:hAnsi="宋体" w:eastAsia="宋体" w:cs="宋体"/>
          <w:b/>
          <w:spacing w:val="-6"/>
          <w:szCs w:val="21"/>
        </w:rPr>
      </w:pPr>
    </w:p>
    <w:p w14:paraId="032BBE09">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45DAF79E">
      <w:pPr>
        <w:adjustRightInd w:val="0"/>
        <w:snapToGrid w:val="0"/>
        <w:spacing w:line="288" w:lineRule="auto"/>
        <w:rPr>
          <w:rFonts w:ascii="宋体" w:hAnsi="宋体" w:eastAsia="宋体" w:cs="Times New Roman"/>
          <w:bCs/>
          <w:spacing w:val="-6"/>
          <w:szCs w:val="21"/>
        </w:rPr>
      </w:pPr>
    </w:p>
    <w:p w14:paraId="171F21E0">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4B4E4E23">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0DFAFF02">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68CE8204">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628F03E5">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1CF09802">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264C76FA">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71C60EED">
      <w:pPr>
        <w:adjustRightInd w:val="0"/>
        <w:snapToGrid w:val="0"/>
        <w:spacing w:line="288" w:lineRule="auto"/>
        <w:rPr>
          <w:rFonts w:ascii="宋体" w:hAnsi="宋体" w:eastAsia="宋体" w:cs="Times New Roman"/>
          <w:b/>
          <w:bCs/>
          <w:spacing w:val="-6"/>
          <w:szCs w:val="21"/>
        </w:rPr>
      </w:pPr>
    </w:p>
    <w:p w14:paraId="33D3E23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致：浙江工商大学、浙江求是招标代理有限公司</w:t>
      </w:r>
    </w:p>
    <w:p w14:paraId="06481420">
      <w:pPr>
        <w:adjustRightInd w:val="0"/>
        <w:snapToGrid w:val="0"/>
        <w:spacing w:line="288" w:lineRule="auto"/>
        <w:ind w:firstLine="396" w:firstLineChars="200"/>
        <w:rPr>
          <w:rFonts w:ascii="宋体" w:hAnsi="宋体" w:eastAsia="宋体" w:cs="Times New Roman"/>
          <w:spacing w:val="-6"/>
          <w:szCs w:val="21"/>
        </w:rPr>
      </w:pPr>
    </w:p>
    <w:p w14:paraId="240E7EA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6254066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07772C1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7A476E5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0793EFF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5B0F992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5451EF9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4BE6C84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2A0647F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7E1B949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673D99D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4998B02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3D8A574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5E6A72C2">
      <w:pPr>
        <w:adjustRightInd w:val="0"/>
        <w:snapToGrid w:val="0"/>
        <w:spacing w:line="288" w:lineRule="auto"/>
        <w:rPr>
          <w:rFonts w:ascii="宋体" w:hAnsi="宋体" w:eastAsia="宋体" w:cs="Times New Roman"/>
          <w:szCs w:val="21"/>
        </w:rPr>
      </w:pPr>
    </w:p>
    <w:p w14:paraId="265B29F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D0090A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02AB8FD">
      <w:pPr>
        <w:widowControl/>
        <w:adjustRightInd w:val="0"/>
        <w:snapToGrid w:val="0"/>
        <w:spacing w:line="288" w:lineRule="auto"/>
        <w:jc w:val="left"/>
        <w:rPr>
          <w:rFonts w:ascii="宋体" w:hAnsi="宋体" w:eastAsia="宋体" w:cs="宋体"/>
          <w:b/>
          <w:spacing w:val="-6"/>
          <w:szCs w:val="21"/>
        </w:rPr>
      </w:pPr>
    </w:p>
    <w:p w14:paraId="3CAE4AC0">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4DE8F7DB">
      <w:pPr>
        <w:numPr>
          <w:ilvl w:val="0"/>
          <w:numId w:val="9"/>
        </w:numPr>
        <w:adjustRightInd w:val="0"/>
        <w:snapToGrid w:val="0"/>
        <w:spacing w:line="288" w:lineRule="auto"/>
        <w:jc w:val="left"/>
        <w:outlineLvl w:val="2"/>
        <w:rPr>
          <w:rFonts w:ascii="宋体" w:hAnsi="宋体" w:eastAsia="宋体" w:cs="宋体"/>
          <w:b/>
          <w:spacing w:val="-6"/>
          <w:szCs w:val="21"/>
        </w:rPr>
      </w:pPr>
      <w:r>
        <w:rPr>
          <w:rFonts w:ascii="宋体" w:hAnsi="宋体" w:eastAsia="宋体" w:cs="宋体"/>
          <w:b/>
          <w:spacing w:val="-6"/>
          <w:szCs w:val="21"/>
        </w:rPr>
        <w:t>落实政府采购政策需满足的资格要求：</w:t>
      </w:r>
    </w:p>
    <w:p w14:paraId="6297A265">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w:t>
      </w: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14:paraId="64DDD2A7">
      <w:pPr>
        <w:adjustRightInd w:val="0"/>
        <w:snapToGrid w:val="0"/>
        <w:spacing w:line="288" w:lineRule="auto"/>
        <w:ind w:firstLine="498" w:firstLineChars="236"/>
        <w:rPr>
          <w:rFonts w:ascii="宋体" w:hAnsi="宋体" w:eastAsia="宋体" w:cs="Times New Roman"/>
          <w:b/>
          <w:szCs w:val="21"/>
        </w:rPr>
      </w:pPr>
    </w:p>
    <w:p w14:paraId="32620FCB">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szCs w:val="21"/>
          <w:u w:val="single"/>
        </w:rPr>
        <w:t>浙江工商大学</w:t>
      </w:r>
      <w:r>
        <w:rPr>
          <w:rFonts w:ascii="宋体" w:hAnsi="宋体" w:eastAsia="宋体" w:cs="Times New Roman"/>
          <w:i/>
          <w:szCs w:val="21"/>
          <w:u w:val="single"/>
        </w:rPr>
        <w:t>（单位名称）</w:t>
      </w:r>
      <w:r>
        <w:rPr>
          <w:rFonts w:ascii="宋体" w:hAnsi="宋体" w:eastAsia="宋体" w:cs="Times New Roman"/>
          <w:szCs w:val="21"/>
        </w:rPr>
        <w:t>的</w:t>
      </w:r>
      <w:r>
        <w:rPr>
          <w:rFonts w:hint="eastAsia" w:ascii="宋体" w:hAnsi="宋体" w:eastAsia="宋体" w:cs="Times New Roman"/>
          <w:szCs w:val="21"/>
          <w:u w:val="single"/>
        </w:rPr>
        <w:t>浙江工商大学2025-2027年无线网络及数据中心运维服务</w:t>
      </w:r>
      <w:r>
        <w:rPr>
          <w:rFonts w:ascii="宋体" w:hAnsi="宋体" w:eastAsia="宋体" w:cs="Times New Roman"/>
          <w:i/>
          <w:szCs w:val="21"/>
          <w:u w:val="single"/>
        </w:rPr>
        <w:t>（项目名称）</w:t>
      </w:r>
      <w:r>
        <w:rPr>
          <w:rFonts w:ascii="宋体" w:hAnsi="宋体" w:eastAsia="宋体" w:cs="Times New Roman"/>
          <w:szCs w:val="21"/>
        </w:rPr>
        <w:t>采购活动，服务全部由符合政策要求的中小企业承接。相关企业（含联合 体中的中小企业、签订分包意向协议的中小企业）的具体情况如下：</w:t>
      </w:r>
    </w:p>
    <w:p w14:paraId="0B0E56FC">
      <w:pPr>
        <w:adjustRightInd w:val="0"/>
        <w:snapToGrid w:val="0"/>
        <w:spacing w:line="288" w:lineRule="auto"/>
        <w:ind w:firstLine="495" w:firstLineChars="236"/>
        <w:rPr>
          <w:rFonts w:ascii="宋体" w:hAnsi="宋体" w:eastAsia="宋体" w:cs="Times New Roman"/>
          <w:i/>
          <w:szCs w:val="21"/>
          <w:u w:val="single"/>
        </w:rPr>
      </w:pPr>
      <w:r>
        <w:rPr>
          <w:rFonts w:hint="eastAsia" w:ascii="宋体" w:hAnsi="宋体" w:eastAsia="宋体" w:cs="Times New Roman"/>
          <w:i/>
          <w:szCs w:val="21"/>
          <w:u w:val="single"/>
        </w:rPr>
        <w:t>1</w:t>
      </w:r>
      <w:r>
        <w:rPr>
          <w:rFonts w:ascii="宋体" w:hAnsi="宋体" w:eastAsia="宋体" w:cs="Times New Roman"/>
          <w:i/>
          <w:szCs w:val="21"/>
          <w:u w:val="single"/>
        </w:rPr>
        <w:t>.</w:t>
      </w:r>
      <w:r>
        <w:rPr>
          <w:rFonts w:hint="eastAsia" w:ascii="宋体" w:hAnsi="宋体" w:eastAsia="宋体" w:cs="Times New Roman"/>
          <w:szCs w:val="21"/>
          <w:u w:val="single"/>
        </w:rPr>
        <w:t>浙江工商大学2025-2027年无线网络及数据中心运维服务</w:t>
      </w:r>
      <w:r>
        <w:rPr>
          <w:rFonts w:ascii="宋体" w:hAnsi="宋体" w:eastAsia="宋体" w:cs="Times New Roman"/>
          <w:i/>
          <w:szCs w:val="21"/>
          <w:u w:val="single"/>
        </w:rPr>
        <w:t>（标的名称），属于</w:t>
      </w:r>
      <w:r>
        <w:rPr>
          <w:rFonts w:hint="eastAsia" w:ascii="宋体" w:hAnsi="宋体" w:eastAsia="宋体" w:cs="Times New Roman"/>
          <w:i/>
          <w:szCs w:val="21"/>
          <w:u w:val="single"/>
        </w:rPr>
        <w:t>软件和信息技术服务业</w:t>
      </w:r>
      <w:bookmarkStart w:id="67" w:name="_GoBack"/>
      <w:bookmarkEnd w:id="67"/>
      <w:r>
        <w:rPr>
          <w:rFonts w:ascii="宋体" w:hAnsi="宋体" w:eastAsia="宋体" w:cs="Times New Roman"/>
          <w:i/>
          <w:szCs w:val="21"/>
          <w:u w:val="single"/>
        </w:rPr>
        <w:t>（采购文件中明确的所属行业）；</w:t>
      </w:r>
      <w:r>
        <w:rPr>
          <w:rFonts w:ascii="宋体" w:hAnsi="宋体" w:eastAsia="宋体" w:cs="Times New Roman"/>
          <w:szCs w:val="21"/>
        </w:rPr>
        <w:t>承建（承接）企业为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7EFDAF08">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i/>
          <w:szCs w:val="21"/>
          <w:u w:val="single"/>
        </w:rPr>
        <w:t>2</w:t>
      </w:r>
      <w:r>
        <w:rPr>
          <w:rFonts w:ascii="宋体" w:hAnsi="宋体" w:eastAsia="宋体" w:cs="Times New Roman"/>
          <w:i/>
          <w:szCs w:val="21"/>
          <w:u w:val="single"/>
        </w:rPr>
        <w:t>.（标的名称）</w:t>
      </w:r>
      <w:r>
        <w:rPr>
          <w:rFonts w:ascii="宋体" w:hAnsi="宋体" w:eastAsia="宋体" w:cs="Times New Roman"/>
          <w:szCs w:val="21"/>
        </w:rPr>
        <w:t>，属于</w:t>
      </w:r>
      <w:r>
        <w:rPr>
          <w:rFonts w:ascii="宋体" w:hAnsi="宋体" w:eastAsia="宋体" w:cs="Times New Roman"/>
          <w:i/>
          <w:szCs w:val="21"/>
        </w:rPr>
        <w:t>（</w:t>
      </w:r>
      <w:r>
        <w:rPr>
          <w:rFonts w:ascii="宋体" w:hAnsi="宋体" w:eastAsia="宋体" w:cs="Times New Roman"/>
          <w:i/>
          <w:szCs w:val="21"/>
          <w:u w:val="single"/>
        </w:rPr>
        <w:t>采购文件中明确的所属行业）</w:t>
      </w:r>
      <w:r>
        <w:rPr>
          <w:rFonts w:ascii="宋体" w:hAnsi="宋体" w:eastAsia="宋体" w:cs="Times New Roman"/>
          <w:szCs w:val="21"/>
        </w:rPr>
        <w:t>；承建（承接）企业为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35827917">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w:t>
      </w:r>
    </w:p>
    <w:p w14:paraId="598394A3">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0BA6EF9A">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52682099">
      <w:pPr>
        <w:adjustRightInd w:val="0"/>
        <w:snapToGrid w:val="0"/>
        <w:spacing w:line="288" w:lineRule="auto"/>
        <w:ind w:firstLine="495" w:firstLineChars="236"/>
        <w:rPr>
          <w:rFonts w:ascii="宋体" w:hAnsi="宋体" w:eastAsia="宋体" w:cs="Times New Roman"/>
          <w:szCs w:val="21"/>
        </w:rPr>
      </w:pPr>
    </w:p>
    <w:p w14:paraId="43462DB2">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14:paraId="4A7F9292">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14:paraId="53B77D20">
      <w:pPr>
        <w:adjustRightInd w:val="0"/>
        <w:snapToGrid w:val="0"/>
        <w:spacing w:line="288" w:lineRule="auto"/>
        <w:ind w:firstLine="495" w:firstLineChars="236"/>
        <w:rPr>
          <w:rFonts w:ascii="宋体" w:hAnsi="宋体" w:eastAsia="宋体" w:cs="Times New Roman"/>
          <w:szCs w:val="21"/>
        </w:rPr>
      </w:pPr>
    </w:p>
    <w:p w14:paraId="175F2CCE">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14:paraId="2FD2D466">
      <w:pPr>
        <w:adjustRightInd w:val="0"/>
        <w:snapToGrid w:val="0"/>
        <w:spacing w:line="288" w:lineRule="auto"/>
        <w:ind w:firstLine="495" w:firstLineChars="236"/>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1.标的名称，按照【招标文件】中明确的标的填写；</w:t>
      </w:r>
    </w:p>
    <w:p w14:paraId="358BBC3D">
      <w:pPr>
        <w:adjustRightInd w:val="0"/>
        <w:snapToGrid w:val="0"/>
        <w:spacing w:line="288" w:lineRule="auto"/>
        <w:ind w:firstLine="495" w:firstLineChars="236"/>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2.所属行业，按照【招标文件】中明确的标的“所属行业”填写；</w:t>
      </w:r>
    </w:p>
    <w:p w14:paraId="6217F0F0">
      <w:pPr>
        <w:adjustRightInd w:val="0"/>
        <w:snapToGrid w:val="0"/>
        <w:spacing w:line="288" w:lineRule="auto"/>
        <w:ind w:firstLine="495" w:firstLineChars="236"/>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3.承建（承接）企业，工程由中小企业承建，即工程施工单位为中小企业（服务由中小企业承接，即提供服务的人员为中小企业依照《中华人民共和国劳动合同法》订立劳动合同的从业人员）；</w:t>
      </w:r>
    </w:p>
    <w:p w14:paraId="7E6BB222">
      <w:pPr>
        <w:adjustRightInd w:val="0"/>
        <w:snapToGrid w:val="0"/>
        <w:spacing w:line="288" w:lineRule="auto"/>
        <w:ind w:firstLine="495" w:firstLineChars="236"/>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4.从业人员、营业收入、资产总额填报上一年度数据，无上一年度数据的新成立企业可不填报。</w:t>
      </w:r>
    </w:p>
    <w:p w14:paraId="54B938F5">
      <w:pPr>
        <w:adjustRightInd w:val="0"/>
        <w:snapToGrid w:val="0"/>
        <w:spacing w:line="288" w:lineRule="auto"/>
        <w:ind w:firstLine="495" w:firstLineChars="236"/>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5.企业类型（包括新成立企业），按照《中小企业划型标准规定》（工信部联企业〔2011〕300号）规定和【招标文件】中明确的标的“所属行业”，选择“</w:t>
      </w:r>
      <w:r>
        <w:rPr>
          <w:rFonts w:hint="eastAsia" w:ascii="宋体" w:hAnsi="宋体" w:eastAsia="宋体" w:cs="宋体"/>
          <w:b/>
          <w:bCs/>
          <w:color w:val="000000" w:themeColor="text1"/>
          <w:szCs w:val="21"/>
          <w14:textFill>
            <w14:solidFill>
              <w14:schemeClr w14:val="tx1"/>
            </w14:solidFill>
          </w14:textFill>
        </w:rPr>
        <w:t>中型企业、小型企业、微型企业</w:t>
      </w:r>
      <w:r>
        <w:rPr>
          <w:rFonts w:hint="eastAsia" w:ascii="宋体" w:hAnsi="宋体" w:eastAsia="宋体" w:cs="宋体"/>
          <w:color w:val="000000" w:themeColor="text1"/>
          <w:szCs w:val="21"/>
          <w14:textFill>
            <w14:solidFill>
              <w14:schemeClr w14:val="tx1"/>
            </w14:solidFill>
          </w14:textFill>
        </w:rPr>
        <w:t>”其中之一；</w:t>
      </w:r>
    </w:p>
    <w:p w14:paraId="2FC42F0F">
      <w:pPr>
        <w:adjustRightInd w:val="0"/>
        <w:snapToGrid w:val="0"/>
        <w:spacing w:line="288" w:lineRule="auto"/>
        <w:ind w:firstLine="495" w:firstLineChars="236"/>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6.招标文件中明确的标的是能够独立发挥功能的产品，配件、辅料不作为标的，不需要在《中小企业声明函》里填列。</w:t>
      </w:r>
    </w:p>
    <w:p w14:paraId="0AB76515">
      <w:pPr>
        <w:rPr>
          <w:rFonts w:ascii="宋体" w:hAnsi="宋体" w:eastAsia="宋体" w:cs="宋体"/>
          <w:b/>
          <w:spacing w:val="-6"/>
          <w:szCs w:val="21"/>
        </w:rPr>
      </w:pPr>
      <w:r>
        <w:rPr>
          <w:rFonts w:hint="eastAsia" w:ascii="宋体" w:hAnsi="宋体" w:eastAsia="宋体" w:cs="宋体"/>
          <w:b/>
          <w:spacing w:val="-6"/>
          <w:szCs w:val="21"/>
        </w:rPr>
        <w:br w:type="page"/>
      </w:r>
    </w:p>
    <w:p w14:paraId="60BC4863">
      <w:pPr>
        <w:adjustRightInd w:val="0"/>
        <w:snapToGrid w:val="0"/>
        <w:spacing w:line="288" w:lineRule="auto"/>
        <w:jc w:val="center"/>
        <w:outlineLvl w:val="2"/>
        <w:rPr>
          <w:rFonts w:ascii="宋体" w:hAnsi="宋体" w:eastAsia="宋体" w:cs="宋体"/>
          <w:color w:val="000000"/>
          <w:kern w:val="0"/>
          <w:szCs w:val="21"/>
          <w:highlight w:val="yellow"/>
        </w:rPr>
      </w:pPr>
      <w:r>
        <w:rPr>
          <w:rFonts w:hint="eastAsia" w:ascii="宋体" w:hAnsi="宋体" w:eastAsia="宋体" w:cs="宋体"/>
          <w:b/>
          <w:spacing w:val="-6"/>
          <w:szCs w:val="21"/>
        </w:rPr>
        <w:t>2）属于监狱企业的证明文件（若属于监狱企业）</w:t>
      </w:r>
    </w:p>
    <w:p w14:paraId="75B36ECE">
      <w:pPr>
        <w:adjustRightInd w:val="0"/>
        <w:snapToGrid w:val="0"/>
        <w:spacing w:line="288" w:lineRule="auto"/>
        <w:rPr>
          <w:rFonts w:ascii="宋体" w:hAnsi="宋体" w:eastAsia="宋体" w:cs="宋体"/>
          <w:color w:val="000000"/>
          <w:kern w:val="0"/>
          <w:szCs w:val="21"/>
        </w:rPr>
      </w:pPr>
    </w:p>
    <w:p w14:paraId="1B1B725D">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62FBB80B">
      <w:pPr>
        <w:adjustRightInd w:val="0"/>
        <w:snapToGrid w:val="0"/>
        <w:spacing w:line="288" w:lineRule="auto"/>
        <w:rPr>
          <w:rFonts w:ascii="宋体" w:hAnsi="宋体" w:eastAsia="宋体"/>
          <w:szCs w:val="21"/>
        </w:rPr>
      </w:pPr>
    </w:p>
    <w:p w14:paraId="4FDBABE5">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061DDEB6">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82275BF">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0DCCDFD6">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7A86639A">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3）残疾人福利性单位声明函（若属于残疾人福利性单位）</w:t>
      </w:r>
    </w:p>
    <w:p w14:paraId="126C2E06">
      <w:pPr>
        <w:adjustRightInd w:val="0"/>
        <w:snapToGrid w:val="0"/>
        <w:spacing w:line="288" w:lineRule="auto"/>
        <w:rPr>
          <w:rFonts w:ascii="宋体" w:hAnsi="宋体" w:eastAsia="宋体" w:cs="Times New Roman"/>
          <w:b/>
          <w:spacing w:val="6"/>
          <w:szCs w:val="21"/>
        </w:rPr>
      </w:pPr>
    </w:p>
    <w:p w14:paraId="5242704F">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，且本单位参加______（采购人）单位的______（项目名称）项目采购活动由本单位提供服务。</w:t>
      </w:r>
    </w:p>
    <w:p w14:paraId="1F14A25E">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53EA9A80">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14:paraId="07AA858D">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14:paraId="34FAA14D">
      <w:pPr>
        <w:adjustRightInd w:val="0"/>
        <w:snapToGrid w:val="0"/>
        <w:spacing w:line="288" w:lineRule="auto"/>
        <w:rPr>
          <w:rFonts w:ascii="宋体" w:hAnsi="宋体" w:eastAsia="宋体"/>
          <w:szCs w:val="21"/>
        </w:rPr>
      </w:pPr>
    </w:p>
    <w:p w14:paraId="3046CBBC">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4BDE0B8A">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14:paraId="71E46FB9">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698022B5">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14:paraId="1E038C13">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06442B8D">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6A8F5BBC">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596DB52A">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4AA8038">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2E37491F">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69677EDD">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14:paraId="5471FAFF">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040353F2">
      <w:pPr>
        <w:adjustRightInd w:val="0"/>
        <w:snapToGrid w:val="0"/>
        <w:spacing w:line="288" w:lineRule="auto"/>
        <w:jc w:val="left"/>
        <w:outlineLvl w:val="2"/>
        <w:rPr>
          <w:rFonts w:ascii="宋体" w:hAnsi="宋体" w:eastAsia="宋体" w:cs="宋体"/>
          <w:b/>
          <w:spacing w:val="-6"/>
          <w:szCs w:val="21"/>
        </w:rPr>
      </w:pPr>
    </w:p>
    <w:p w14:paraId="479ECBBB">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3F3436B2">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4D3222B7">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0881285C">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4ABF11C9">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2A2B1144">
      <w:pPr>
        <w:adjustRightInd w:val="0"/>
        <w:snapToGrid w:val="0"/>
        <w:spacing w:line="288" w:lineRule="auto"/>
        <w:rPr>
          <w:rFonts w:ascii="宋体" w:hAnsi="宋体" w:eastAsia="宋体" w:cs="Times New Roman"/>
          <w:spacing w:val="-6"/>
          <w:szCs w:val="21"/>
        </w:rPr>
      </w:pPr>
    </w:p>
    <w:p w14:paraId="36044DB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致：浙江工商大学、浙江求是招标代理有限公司</w:t>
      </w:r>
    </w:p>
    <w:p w14:paraId="51BD2FC2">
      <w:pPr>
        <w:adjustRightInd w:val="0"/>
        <w:snapToGrid w:val="0"/>
        <w:spacing w:line="288" w:lineRule="auto"/>
        <w:ind w:firstLine="396" w:firstLineChars="200"/>
        <w:rPr>
          <w:rFonts w:ascii="宋体" w:hAnsi="宋体" w:eastAsia="宋体" w:cs="Times New Roman"/>
          <w:spacing w:val="-6"/>
          <w:szCs w:val="21"/>
          <w:highlight w:val="cyan"/>
        </w:rPr>
      </w:pPr>
    </w:p>
    <w:p w14:paraId="7367730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浙江工商大学2025-2027年无线网络及数据中心运维服务</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：QSZBC250056ZFGK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2C8D068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2B561F3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0D9E1FF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321B323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42405A0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4A5460D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13F2A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3F77DC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12C4B856">
            <w:pPr>
              <w:adjustRightInd w:val="0"/>
              <w:snapToGrid w:val="0"/>
              <w:spacing w:line="288" w:lineRule="auto"/>
              <w:rPr>
                <w:rFonts w:ascii="宋体" w:hAnsi="宋体" w:eastAsia="宋体" w:cs="Times New Roman"/>
                <w:spacing w:val="-6"/>
                <w:szCs w:val="21"/>
              </w:rPr>
            </w:pPr>
          </w:p>
        </w:tc>
      </w:tr>
      <w:tr w14:paraId="2E55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4BE011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6EF5E0AD">
            <w:pPr>
              <w:adjustRightInd w:val="0"/>
              <w:snapToGrid w:val="0"/>
              <w:spacing w:line="288" w:lineRule="auto"/>
              <w:rPr>
                <w:rFonts w:ascii="宋体" w:hAnsi="宋体" w:eastAsia="宋体" w:cs="Times New Roman"/>
                <w:spacing w:val="-6"/>
                <w:szCs w:val="21"/>
              </w:rPr>
            </w:pPr>
          </w:p>
        </w:tc>
      </w:tr>
      <w:tr w14:paraId="5019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6D35A70">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71B7DE61">
            <w:pPr>
              <w:adjustRightInd w:val="0"/>
              <w:snapToGrid w:val="0"/>
              <w:spacing w:line="288" w:lineRule="auto"/>
              <w:rPr>
                <w:rFonts w:ascii="宋体" w:hAnsi="宋体" w:eastAsia="宋体" w:cs="Times New Roman"/>
                <w:spacing w:val="-6"/>
                <w:szCs w:val="21"/>
              </w:rPr>
            </w:pPr>
          </w:p>
        </w:tc>
      </w:tr>
      <w:tr w14:paraId="00B6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F5FFCF1">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377439BF">
            <w:pPr>
              <w:adjustRightInd w:val="0"/>
              <w:snapToGrid w:val="0"/>
              <w:spacing w:line="288" w:lineRule="auto"/>
              <w:rPr>
                <w:rFonts w:ascii="宋体" w:hAnsi="宋体" w:eastAsia="宋体" w:cs="Times New Roman"/>
                <w:spacing w:val="-6"/>
                <w:szCs w:val="21"/>
              </w:rPr>
            </w:pPr>
          </w:p>
        </w:tc>
      </w:tr>
      <w:tr w14:paraId="29ED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462765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7F73E030">
            <w:pPr>
              <w:adjustRightInd w:val="0"/>
              <w:snapToGrid w:val="0"/>
              <w:spacing w:line="288" w:lineRule="auto"/>
              <w:rPr>
                <w:rFonts w:ascii="宋体" w:hAnsi="宋体" w:eastAsia="宋体" w:cs="Times New Roman"/>
                <w:spacing w:val="-6"/>
                <w:szCs w:val="21"/>
              </w:rPr>
            </w:pPr>
          </w:p>
        </w:tc>
      </w:tr>
      <w:tr w14:paraId="6A85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2BB50E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41C9EECF">
            <w:pPr>
              <w:adjustRightInd w:val="0"/>
              <w:snapToGrid w:val="0"/>
              <w:spacing w:line="288" w:lineRule="auto"/>
              <w:rPr>
                <w:rFonts w:ascii="宋体" w:hAnsi="宋体" w:eastAsia="宋体" w:cs="Times New Roman"/>
                <w:spacing w:val="-6"/>
                <w:szCs w:val="21"/>
              </w:rPr>
            </w:pPr>
          </w:p>
        </w:tc>
      </w:tr>
      <w:tr w14:paraId="37A0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649BB7E">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460868A7">
            <w:pPr>
              <w:adjustRightInd w:val="0"/>
              <w:snapToGrid w:val="0"/>
              <w:spacing w:line="288" w:lineRule="auto"/>
              <w:rPr>
                <w:rFonts w:ascii="宋体" w:hAnsi="宋体" w:eastAsia="宋体" w:cs="Times New Roman"/>
                <w:spacing w:val="-6"/>
                <w:szCs w:val="21"/>
              </w:rPr>
            </w:pPr>
          </w:p>
        </w:tc>
      </w:tr>
    </w:tbl>
    <w:p w14:paraId="427DAD35">
      <w:pPr>
        <w:adjustRightInd w:val="0"/>
        <w:snapToGrid w:val="0"/>
        <w:spacing w:line="288" w:lineRule="auto"/>
        <w:rPr>
          <w:rFonts w:ascii="宋体" w:hAnsi="宋体" w:eastAsia="宋体" w:cs="Times New Roman"/>
          <w:spacing w:val="-6"/>
          <w:szCs w:val="21"/>
        </w:rPr>
      </w:pPr>
    </w:p>
    <w:p w14:paraId="606BF8C9">
      <w:pPr>
        <w:adjustRightInd w:val="0"/>
        <w:snapToGrid w:val="0"/>
        <w:spacing w:line="288" w:lineRule="auto"/>
        <w:rPr>
          <w:rFonts w:ascii="宋体" w:hAnsi="宋体" w:eastAsia="宋体" w:cs="Times New Roman"/>
          <w:spacing w:val="-6"/>
          <w:szCs w:val="21"/>
        </w:rPr>
      </w:pPr>
    </w:p>
    <w:p w14:paraId="76580A8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2438DED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1094A64">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62863343">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76874FD1">
      <w:pPr>
        <w:adjustRightInd w:val="0"/>
        <w:snapToGrid w:val="0"/>
        <w:spacing w:line="288" w:lineRule="auto"/>
        <w:rPr>
          <w:rFonts w:ascii="宋体" w:hAnsi="宋体" w:eastAsia="宋体" w:cs="Times New Roman"/>
          <w:b/>
          <w:bCs/>
          <w:spacing w:val="-6"/>
          <w:szCs w:val="21"/>
        </w:rPr>
      </w:pPr>
    </w:p>
    <w:p w14:paraId="32ECD067">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致：浙江工商大学、浙江求是招标代理有限公司</w:t>
      </w:r>
    </w:p>
    <w:p w14:paraId="26A296D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浙江工商大学2025-2027年无线网络及数据中心运维服务项目（项目编号：QSZBC250056ZFGK）</w:t>
      </w:r>
      <w:r>
        <w:rPr>
          <w:rFonts w:hint="eastAsia" w:ascii="宋体" w:hAnsi="宋体" w:eastAsia="宋体" w:cs="Times New Roman"/>
          <w:spacing w:val="-6"/>
          <w:szCs w:val="21"/>
        </w:rPr>
        <w:t>的投标活动，并代表我方全权办理针对上述项目的投标、开标、评标、签约等具体事务和签署相关文件。</w:t>
      </w:r>
    </w:p>
    <w:p w14:paraId="357F4BB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4291A41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69EA029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1B182ABB">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▲提供授权代表社保缴纳证明（2025年1月（含）以后任意一月）。</w:t>
      </w:r>
    </w:p>
    <w:p w14:paraId="5BC05017">
      <w:pPr>
        <w:adjustRightInd w:val="0"/>
        <w:snapToGrid w:val="0"/>
        <w:spacing w:line="288" w:lineRule="auto"/>
        <w:rPr>
          <w:rFonts w:ascii="宋体" w:hAnsi="宋体" w:eastAsia="宋体" w:cs="Times New Roman"/>
          <w:spacing w:val="-6"/>
          <w:szCs w:val="21"/>
        </w:rPr>
      </w:pPr>
    </w:p>
    <w:p w14:paraId="7A1156A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E29966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277FBA3">
      <w:pPr>
        <w:adjustRightInd w:val="0"/>
        <w:snapToGrid w:val="0"/>
        <w:spacing w:line="288" w:lineRule="auto"/>
        <w:rPr>
          <w:rFonts w:ascii="宋体" w:hAnsi="宋体" w:eastAsia="宋体" w:cs="Times New Roman"/>
          <w:szCs w:val="21"/>
        </w:rPr>
      </w:pPr>
    </w:p>
    <w:p w14:paraId="537D94E8">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012DA4E6">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5C22EBD6">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3C7F6F44">
      <w:pPr>
        <w:adjustRightInd w:val="0"/>
        <w:snapToGrid w:val="0"/>
        <w:spacing w:line="288" w:lineRule="auto"/>
        <w:rPr>
          <w:rFonts w:ascii="宋体" w:hAnsi="宋体" w:eastAsia="宋体" w:cs="Times New Roman"/>
          <w:szCs w:val="21"/>
        </w:rPr>
      </w:pPr>
    </w:p>
    <w:p w14:paraId="1FB58FA3">
      <w:pPr>
        <w:adjustRightInd w:val="0"/>
        <w:snapToGrid w:val="0"/>
        <w:spacing w:line="288" w:lineRule="auto"/>
        <w:rPr>
          <w:rFonts w:ascii="宋体" w:hAnsi="宋体" w:eastAsia="宋体" w:cs="Times New Roman"/>
          <w:szCs w:val="21"/>
        </w:rPr>
      </w:pPr>
    </w:p>
    <w:p w14:paraId="71213997">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1C32BF5">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7BFE1A43">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51F9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10C29EA6">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15567B97">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6D2A06D8">
      <w:pPr>
        <w:adjustRightInd w:val="0"/>
        <w:snapToGrid w:val="0"/>
        <w:spacing w:line="288" w:lineRule="auto"/>
        <w:rPr>
          <w:rFonts w:ascii="Times New Roman" w:hAnsi="Times New Roman" w:eastAsia="宋体" w:cs="Times New Roman"/>
          <w:szCs w:val="21"/>
        </w:rPr>
      </w:pPr>
    </w:p>
    <w:p w14:paraId="5AD43356">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3B982283">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附：授权代表社保缴纳证明（2025年1月（含）以后任意一月）</w:t>
      </w:r>
    </w:p>
    <w:p w14:paraId="7D7469B0">
      <w:pPr>
        <w:rPr>
          <w:rFonts w:ascii="Times New Roman" w:hAnsi="Times New Roman" w:eastAsia="宋体" w:cs="Times New Roman"/>
          <w:szCs w:val="21"/>
        </w:rPr>
      </w:pPr>
    </w:p>
    <w:p w14:paraId="06106A2F">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3A57F630">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73D20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9BD265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486B1A7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61797A3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2F11670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18D54A7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777CB21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02932E8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03FCAB2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403AF38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453E9D3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3856D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D8A800">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640EB09">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241D42D5">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394234D6">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584189B">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E602990">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14B6D1B8">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7012A3FD">
            <w:pPr>
              <w:adjustRightInd w:val="0"/>
              <w:snapToGrid w:val="0"/>
              <w:spacing w:line="288" w:lineRule="auto"/>
              <w:rPr>
                <w:rFonts w:ascii="宋体" w:hAnsi="宋体" w:eastAsia="宋体" w:cs="宋体"/>
                <w:b/>
                <w:bCs/>
                <w:szCs w:val="21"/>
              </w:rPr>
            </w:pPr>
          </w:p>
        </w:tc>
      </w:tr>
      <w:tr w14:paraId="02640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2767513">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3DC0F9C">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6E32349">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B048492">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2BEE0D62">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503EE1F0">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17CD025">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806DF9D">
            <w:pPr>
              <w:adjustRightInd w:val="0"/>
              <w:snapToGrid w:val="0"/>
              <w:spacing w:line="288" w:lineRule="auto"/>
              <w:rPr>
                <w:rFonts w:ascii="宋体" w:hAnsi="宋体" w:eastAsia="宋体" w:cs="宋体"/>
                <w:b/>
                <w:bCs/>
                <w:szCs w:val="21"/>
              </w:rPr>
            </w:pPr>
          </w:p>
        </w:tc>
      </w:tr>
      <w:tr w14:paraId="0E99B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A743582">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4C4F9842">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20FE7460">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5687DE0">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419D82F4">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A3D4BB8">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15BA4EFC">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74DE62F3">
            <w:pPr>
              <w:adjustRightInd w:val="0"/>
              <w:snapToGrid w:val="0"/>
              <w:spacing w:line="288" w:lineRule="auto"/>
              <w:rPr>
                <w:rFonts w:ascii="宋体" w:hAnsi="宋体" w:eastAsia="宋体" w:cs="宋体"/>
                <w:b/>
                <w:bCs/>
                <w:szCs w:val="21"/>
              </w:rPr>
            </w:pPr>
          </w:p>
        </w:tc>
      </w:tr>
      <w:tr w14:paraId="1FCEC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9FFB77A">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4031342">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6813FCFF">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6F33DB8">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422A924">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043785BD">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45CF9DF7">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71CD3E2E">
            <w:pPr>
              <w:adjustRightInd w:val="0"/>
              <w:snapToGrid w:val="0"/>
              <w:spacing w:line="288" w:lineRule="auto"/>
              <w:rPr>
                <w:rFonts w:ascii="宋体" w:hAnsi="宋体" w:eastAsia="宋体" w:cs="宋体"/>
                <w:b/>
                <w:bCs/>
                <w:szCs w:val="21"/>
              </w:rPr>
            </w:pPr>
          </w:p>
        </w:tc>
      </w:tr>
      <w:tr w14:paraId="0FE3D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783DC0E">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4F411F3A">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04EF1BB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0BA1674">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196F0964">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F75A76B">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5D834A9">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540FF981">
            <w:pPr>
              <w:adjustRightInd w:val="0"/>
              <w:snapToGrid w:val="0"/>
              <w:spacing w:line="288" w:lineRule="auto"/>
              <w:rPr>
                <w:rFonts w:ascii="宋体" w:hAnsi="宋体" w:eastAsia="宋体" w:cs="宋体"/>
                <w:b/>
                <w:bCs/>
                <w:szCs w:val="21"/>
              </w:rPr>
            </w:pPr>
          </w:p>
        </w:tc>
      </w:tr>
    </w:tbl>
    <w:p w14:paraId="0945DD0B">
      <w:pPr>
        <w:adjustRightInd w:val="0"/>
        <w:snapToGrid w:val="0"/>
        <w:spacing w:line="288" w:lineRule="auto"/>
        <w:rPr>
          <w:rFonts w:ascii="宋体" w:hAnsi="宋体" w:eastAsia="宋体" w:cs="Times New Roman"/>
          <w:szCs w:val="21"/>
        </w:rPr>
      </w:pPr>
    </w:p>
    <w:p w14:paraId="5979CD5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2EAC7006">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67612D3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791A3B9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69430B22">
      <w:pPr>
        <w:adjustRightInd w:val="0"/>
        <w:snapToGrid w:val="0"/>
        <w:spacing w:line="288" w:lineRule="auto"/>
        <w:rPr>
          <w:rFonts w:ascii="宋体" w:hAnsi="宋体" w:eastAsia="宋体" w:cs="Times New Roman"/>
          <w:spacing w:val="-6"/>
          <w:szCs w:val="21"/>
        </w:rPr>
      </w:pPr>
    </w:p>
    <w:p w14:paraId="336678FD">
      <w:pPr>
        <w:adjustRightInd w:val="0"/>
        <w:snapToGrid w:val="0"/>
        <w:spacing w:line="288" w:lineRule="auto"/>
        <w:rPr>
          <w:rFonts w:ascii="宋体" w:hAnsi="宋体" w:eastAsia="宋体" w:cs="Times New Roman"/>
          <w:spacing w:val="-6"/>
          <w:szCs w:val="21"/>
        </w:rPr>
      </w:pPr>
    </w:p>
    <w:p w14:paraId="61BD7E5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2F4D621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59493D2E">
      <w:pPr>
        <w:adjustRightInd w:val="0"/>
        <w:snapToGrid w:val="0"/>
        <w:spacing w:line="288" w:lineRule="auto"/>
        <w:jc w:val="center"/>
        <w:rPr>
          <w:rFonts w:ascii="宋体" w:hAnsi="宋体" w:eastAsia="宋体" w:cs="Times New Roman"/>
          <w:b/>
          <w:szCs w:val="21"/>
        </w:rPr>
      </w:pPr>
      <w:r>
        <w:rPr>
          <w:rFonts w:hint="eastAsia" w:ascii="宋体" w:hAnsi="宋体" w:eastAsia="宋体" w:cs="Times New Roman"/>
          <w:spacing w:val="-6"/>
          <w:szCs w:val="21"/>
        </w:rPr>
        <w:br w:type="page"/>
      </w:r>
    </w:p>
    <w:p w14:paraId="2DD6F74E">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3D5ECF93">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人：浙江工商大学</w:t>
      </w:r>
    </w:p>
    <w:p w14:paraId="4CF0950C">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项目名称：浙江工商大学2025-2027年无线网络及数据中心运维服务</w:t>
      </w:r>
    </w:p>
    <w:p w14:paraId="45DF9051">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项目编号：QSZBC250056ZFGK</w:t>
      </w:r>
    </w:p>
    <w:p w14:paraId="1FAA9A2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33AD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634FD56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34B9ECF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5DE4C93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44693C4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6BF3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124024D1">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6EDF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1E03393">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B6DDDE8">
            <w:pPr>
              <w:adjustRightInd w:val="0"/>
              <w:snapToGrid w:val="0"/>
              <w:spacing w:line="288" w:lineRule="auto"/>
              <w:rPr>
                <w:rFonts w:ascii="宋体" w:hAnsi="宋体" w:eastAsia="宋体" w:cs="宋体"/>
                <w:szCs w:val="21"/>
              </w:rPr>
            </w:pPr>
          </w:p>
        </w:tc>
        <w:tc>
          <w:tcPr>
            <w:tcW w:w="2574" w:type="dxa"/>
            <w:vAlign w:val="center"/>
          </w:tcPr>
          <w:p w14:paraId="67C97687">
            <w:pPr>
              <w:adjustRightInd w:val="0"/>
              <w:snapToGrid w:val="0"/>
              <w:spacing w:line="288" w:lineRule="auto"/>
              <w:rPr>
                <w:rFonts w:ascii="宋体" w:hAnsi="宋体" w:eastAsia="宋体" w:cs="宋体"/>
                <w:szCs w:val="21"/>
              </w:rPr>
            </w:pPr>
          </w:p>
        </w:tc>
        <w:tc>
          <w:tcPr>
            <w:tcW w:w="2124" w:type="dxa"/>
            <w:vAlign w:val="center"/>
          </w:tcPr>
          <w:p w14:paraId="3E39102E">
            <w:pPr>
              <w:adjustRightInd w:val="0"/>
              <w:snapToGrid w:val="0"/>
              <w:spacing w:line="288" w:lineRule="auto"/>
              <w:rPr>
                <w:rFonts w:ascii="宋体" w:hAnsi="宋体" w:eastAsia="宋体" w:cs="宋体"/>
                <w:szCs w:val="21"/>
              </w:rPr>
            </w:pPr>
          </w:p>
        </w:tc>
      </w:tr>
      <w:tr w14:paraId="64B7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A24FF13">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3DA79A09">
            <w:pPr>
              <w:adjustRightInd w:val="0"/>
              <w:snapToGrid w:val="0"/>
              <w:spacing w:line="288" w:lineRule="auto"/>
              <w:rPr>
                <w:rFonts w:ascii="宋体" w:hAnsi="宋体" w:eastAsia="宋体" w:cs="宋体"/>
                <w:szCs w:val="21"/>
              </w:rPr>
            </w:pPr>
          </w:p>
        </w:tc>
        <w:tc>
          <w:tcPr>
            <w:tcW w:w="2574" w:type="dxa"/>
            <w:vAlign w:val="center"/>
          </w:tcPr>
          <w:p w14:paraId="7FEA2722">
            <w:pPr>
              <w:adjustRightInd w:val="0"/>
              <w:snapToGrid w:val="0"/>
              <w:spacing w:line="288" w:lineRule="auto"/>
              <w:rPr>
                <w:rFonts w:ascii="宋体" w:hAnsi="宋体" w:eastAsia="宋体" w:cs="宋体"/>
                <w:szCs w:val="21"/>
              </w:rPr>
            </w:pPr>
          </w:p>
        </w:tc>
        <w:tc>
          <w:tcPr>
            <w:tcW w:w="2124" w:type="dxa"/>
            <w:vAlign w:val="center"/>
          </w:tcPr>
          <w:p w14:paraId="1F987869">
            <w:pPr>
              <w:adjustRightInd w:val="0"/>
              <w:snapToGrid w:val="0"/>
              <w:spacing w:line="288" w:lineRule="auto"/>
              <w:rPr>
                <w:rFonts w:ascii="宋体" w:hAnsi="宋体" w:eastAsia="宋体" w:cs="宋体"/>
                <w:szCs w:val="21"/>
              </w:rPr>
            </w:pPr>
          </w:p>
        </w:tc>
      </w:tr>
      <w:tr w14:paraId="3A8F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8D40C2B">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74E99B44">
            <w:pPr>
              <w:adjustRightInd w:val="0"/>
              <w:snapToGrid w:val="0"/>
              <w:spacing w:line="288" w:lineRule="auto"/>
              <w:rPr>
                <w:rFonts w:ascii="宋体" w:hAnsi="宋体" w:eastAsia="宋体" w:cs="宋体"/>
                <w:szCs w:val="21"/>
              </w:rPr>
            </w:pPr>
          </w:p>
        </w:tc>
        <w:tc>
          <w:tcPr>
            <w:tcW w:w="2574" w:type="dxa"/>
            <w:vAlign w:val="center"/>
          </w:tcPr>
          <w:p w14:paraId="42367721">
            <w:pPr>
              <w:adjustRightInd w:val="0"/>
              <w:snapToGrid w:val="0"/>
              <w:spacing w:line="288" w:lineRule="auto"/>
              <w:rPr>
                <w:rFonts w:ascii="宋体" w:hAnsi="宋体" w:eastAsia="宋体" w:cs="宋体"/>
                <w:szCs w:val="21"/>
              </w:rPr>
            </w:pPr>
          </w:p>
        </w:tc>
        <w:tc>
          <w:tcPr>
            <w:tcW w:w="2124" w:type="dxa"/>
            <w:vAlign w:val="center"/>
          </w:tcPr>
          <w:p w14:paraId="4A5D856E">
            <w:pPr>
              <w:adjustRightInd w:val="0"/>
              <w:snapToGrid w:val="0"/>
              <w:spacing w:line="288" w:lineRule="auto"/>
              <w:rPr>
                <w:rFonts w:ascii="宋体" w:hAnsi="宋体" w:eastAsia="宋体" w:cs="宋体"/>
                <w:szCs w:val="21"/>
              </w:rPr>
            </w:pPr>
          </w:p>
        </w:tc>
      </w:tr>
      <w:tr w14:paraId="4FE3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127D2291">
            <w:pPr>
              <w:adjustRightInd w:val="0"/>
              <w:snapToGrid w:val="0"/>
              <w:spacing w:line="288" w:lineRule="auto"/>
              <w:rPr>
                <w:rFonts w:ascii="宋体" w:hAnsi="宋体" w:eastAsia="宋体" w:cs="宋体"/>
                <w:szCs w:val="21"/>
              </w:rPr>
            </w:pPr>
            <w:r>
              <w:rPr>
                <w:rFonts w:hint="eastAsia" w:ascii="宋体" w:hAnsi="宋体" w:eastAsia="宋体" w:cs="宋体"/>
                <w:b/>
                <w:bCs/>
                <w:szCs w:val="21"/>
              </w:rPr>
              <w:t>需执行的国家相关标准、行业标准、地方标准或者其他标准、规范</w:t>
            </w:r>
          </w:p>
        </w:tc>
      </w:tr>
      <w:tr w14:paraId="3B99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77E5503">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09922863">
            <w:pPr>
              <w:adjustRightInd w:val="0"/>
              <w:snapToGrid w:val="0"/>
              <w:spacing w:line="288" w:lineRule="auto"/>
              <w:jc w:val="left"/>
              <w:rPr>
                <w:rFonts w:ascii="宋体" w:hAnsi="宋体" w:eastAsia="宋体" w:cs="宋体"/>
                <w:szCs w:val="21"/>
              </w:rPr>
            </w:pPr>
          </w:p>
        </w:tc>
        <w:tc>
          <w:tcPr>
            <w:tcW w:w="2574" w:type="dxa"/>
            <w:vAlign w:val="center"/>
          </w:tcPr>
          <w:p w14:paraId="23ED5074">
            <w:pPr>
              <w:adjustRightInd w:val="0"/>
              <w:snapToGrid w:val="0"/>
              <w:spacing w:line="288" w:lineRule="auto"/>
              <w:jc w:val="left"/>
              <w:rPr>
                <w:rFonts w:ascii="宋体" w:hAnsi="宋体" w:eastAsia="宋体" w:cs="宋体"/>
                <w:szCs w:val="21"/>
              </w:rPr>
            </w:pPr>
          </w:p>
        </w:tc>
        <w:tc>
          <w:tcPr>
            <w:tcW w:w="2124" w:type="dxa"/>
            <w:vAlign w:val="center"/>
          </w:tcPr>
          <w:p w14:paraId="19286761">
            <w:pPr>
              <w:adjustRightInd w:val="0"/>
              <w:snapToGrid w:val="0"/>
              <w:spacing w:line="288" w:lineRule="auto"/>
              <w:jc w:val="left"/>
              <w:rPr>
                <w:rFonts w:ascii="宋体" w:hAnsi="宋体" w:eastAsia="宋体" w:cs="宋体"/>
                <w:szCs w:val="21"/>
              </w:rPr>
            </w:pPr>
          </w:p>
        </w:tc>
      </w:tr>
      <w:tr w14:paraId="581B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35958C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3E884E5C">
            <w:pPr>
              <w:adjustRightInd w:val="0"/>
              <w:snapToGrid w:val="0"/>
              <w:spacing w:line="288" w:lineRule="auto"/>
              <w:jc w:val="left"/>
              <w:rPr>
                <w:rFonts w:ascii="宋体" w:hAnsi="宋体" w:eastAsia="宋体" w:cs="宋体"/>
                <w:szCs w:val="21"/>
              </w:rPr>
            </w:pPr>
          </w:p>
        </w:tc>
        <w:tc>
          <w:tcPr>
            <w:tcW w:w="2574" w:type="dxa"/>
            <w:vAlign w:val="center"/>
          </w:tcPr>
          <w:p w14:paraId="6C70CCCB">
            <w:pPr>
              <w:adjustRightInd w:val="0"/>
              <w:snapToGrid w:val="0"/>
              <w:spacing w:line="288" w:lineRule="auto"/>
              <w:jc w:val="left"/>
              <w:rPr>
                <w:rFonts w:ascii="宋体" w:hAnsi="宋体" w:eastAsia="宋体" w:cs="宋体"/>
                <w:szCs w:val="21"/>
              </w:rPr>
            </w:pPr>
          </w:p>
        </w:tc>
        <w:tc>
          <w:tcPr>
            <w:tcW w:w="2124" w:type="dxa"/>
            <w:vAlign w:val="center"/>
          </w:tcPr>
          <w:p w14:paraId="464AB732">
            <w:pPr>
              <w:adjustRightInd w:val="0"/>
              <w:snapToGrid w:val="0"/>
              <w:spacing w:line="288" w:lineRule="auto"/>
              <w:jc w:val="left"/>
              <w:rPr>
                <w:rFonts w:ascii="宋体" w:hAnsi="宋体" w:eastAsia="宋体" w:cs="宋体"/>
                <w:szCs w:val="21"/>
              </w:rPr>
            </w:pPr>
          </w:p>
        </w:tc>
      </w:tr>
      <w:tr w14:paraId="0DE9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0D0AC2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60120B3C">
            <w:pPr>
              <w:adjustRightInd w:val="0"/>
              <w:snapToGrid w:val="0"/>
              <w:spacing w:line="288" w:lineRule="auto"/>
              <w:jc w:val="left"/>
              <w:rPr>
                <w:rFonts w:ascii="宋体" w:hAnsi="宋体" w:eastAsia="宋体" w:cs="宋体"/>
                <w:szCs w:val="21"/>
              </w:rPr>
            </w:pPr>
          </w:p>
        </w:tc>
        <w:tc>
          <w:tcPr>
            <w:tcW w:w="2574" w:type="dxa"/>
            <w:vAlign w:val="center"/>
          </w:tcPr>
          <w:p w14:paraId="2B95A8F0">
            <w:pPr>
              <w:adjustRightInd w:val="0"/>
              <w:snapToGrid w:val="0"/>
              <w:spacing w:line="288" w:lineRule="auto"/>
              <w:jc w:val="left"/>
              <w:rPr>
                <w:rFonts w:ascii="宋体" w:hAnsi="宋体" w:eastAsia="宋体" w:cs="宋体"/>
                <w:szCs w:val="21"/>
              </w:rPr>
            </w:pPr>
          </w:p>
        </w:tc>
        <w:tc>
          <w:tcPr>
            <w:tcW w:w="2124" w:type="dxa"/>
            <w:vAlign w:val="center"/>
          </w:tcPr>
          <w:p w14:paraId="7DBFA2B3">
            <w:pPr>
              <w:adjustRightInd w:val="0"/>
              <w:snapToGrid w:val="0"/>
              <w:spacing w:line="288" w:lineRule="auto"/>
              <w:jc w:val="left"/>
              <w:rPr>
                <w:rFonts w:ascii="宋体" w:hAnsi="宋体" w:eastAsia="宋体" w:cs="宋体"/>
                <w:szCs w:val="21"/>
              </w:rPr>
            </w:pPr>
          </w:p>
        </w:tc>
      </w:tr>
      <w:tr w14:paraId="6362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628" w:type="dxa"/>
            <w:gridSpan w:val="4"/>
            <w:vAlign w:val="center"/>
          </w:tcPr>
          <w:p w14:paraId="384B8346">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需实现的功能或者目标</w:t>
            </w:r>
          </w:p>
        </w:tc>
      </w:tr>
      <w:tr w14:paraId="5B59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D24169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2EAC93DC">
            <w:pPr>
              <w:adjustRightInd w:val="0"/>
              <w:snapToGrid w:val="0"/>
              <w:spacing w:line="288" w:lineRule="auto"/>
              <w:rPr>
                <w:rFonts w:ascii="宋体" w:hAnsi="宋体" w:eastAsia="宋体" w:cs="宋体"/>
                <w:szCs w:val="21"/>
              </w:rPr>
            </w:pPr>
          </w:p>
        </w:tc>
        <w:tc>
          <w:tcPr>
            <w:tcW w:w="2574" w:type="dxa"/>
            <w:vAlign w:val="center"/>
          </w:tcPr>
          <w:p w14:paraId="797E5CB0">
            <w:pPr>
              <w:adjustRightInd w:val="0"/>
              <w:snapToGrid w:val="0"/>
              <w:spacing w:line="288" w:lineRule="auto"/>
              <w:rPr>
                <w:rFonts w:ascii="宋体" w:hAnsi="宋体" w:eastAsia="宋体" w:cs="宋体"/>
                <w:szCs w:val="21"/>
              </w:rPr>
            </w:pPr>
          </w:p>
        </w:tc>
        <w:tc>
          <w:tcPr>
            <w:tcW w:w="2124" w:type="dxa"/>
            <w:vAlign w:val="center"/>
          </w:tcPr>
          <w:p w14:paraId="46CECD74">
            <w:pPr>
              <w:adjustRightInd w:val="0"/>
              <w:snapToGrid w:val="0"/>
              <w:spacing w:line="288" w:lineRule="auto"/>
              <w:rPr>
                <w:rFonts w:ascii="宋体" w:hAnsi="宋体" w:eastAsia="宋体" w:cs="宋体"/>
                <w:szCs w:val="21"/>
              </w:rPr>
            </w:pPr>
          </w:p>
        </w:tc>
      </w:tr>
      <w:tr w14:paraId="500A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BCB1C0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1B6546D9">
            <w:pPr>
              <w:adjustRightInd w:val="0"/>
              <w:snapToGrid w:val="0"/>
              <w:spacing w:line="288" w:lineRule="auto"/>
              <w:rPr>
                <w:rFonts w:ascii="宋体" w:hAnsi="宋体" w:eastAsia="宋体" w:cs="宋体"/>
                <w:szCs w:val="21"/>
              </w:rPr>
            </w:pPr>
          </w:p>
        </w:tc>
        <w:tc>
          <w:tcPr>
            <w:tcW w:w="2574" w:type="dxa"/>
            <w:vAlign w:val="center"/>
          </w:tcPr>
          <w:p w14:paraId="28B57BE5">
            <w:pPr>
              <w:adjustRightInd w:val="0"/>
              <w:snapToGrid w:val="0"/>
              <w:spacing w:line="288" w:lineRule="auto"/>
              <w:rPr>
                <w:rFonts w:ascii="宋体" w:hAnsi="宋体" w:eastAsia="宋体" w:cs="宋体"/>
                <w:szCs w:val="21"/>
              </w:rPr>
            </w:pPr>
          </w:p>
        </w:tc>
        <w:tc>
          <w:tcPr>
            <w:tcW w:w="2124" w:type="dxa"/>
            <w:vAlign w:val="center"/>
          </w:tcPr>
          <w:p w14:paraId="4515A8CD">
            <w:pPr>
              <w:adjustRightInd w:val="0"/>
              <w:snapToGrid w:val="0"/>
              <w:spacing w:line="288" w:lineRule="auto"/>
              <w:rPr>
                <w:rFonts w:ascii="宋体" w:hAnsi="宋体" w:eastAsia="宋体" w:cs="宋体"/>
                <w:szCs w:val="21"/>
              </w:rPr>
            </w:pPr>
          </w:p>
        </w:tc>
      </w:tr>
      <w:tr w14:paraId="6F1C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F1169B7">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5DE65EBB">
            <w:pPr>
              <w:adjustRightInd w:val="0"/>
              <w:snapToGrid w:val="0"/>
              <w:spacing w:line="288" w:lineRule="auto"/>
              <w:rPr>
                <w:rFonts w:ascii="宋体" w:hAnsi="宋体" w:eastAsia="宋体" w:cs="宋体"/>
                <w:szCs w:val="21"/>
              </w:rPr>
            </w:pPr>
          </w:p>
        </w:tc>
        <w:tc>
          <w:tcPr>
            <w:tcW w:w="2574" w:type="dxa"/>
            <w:vAlign w:val="center"/>
          </w:tcPr>
          <w:p w14:paraId="3DFB20D9">
            <w:pPr>
              <w:adjustRightInd w:val="0"/>
              <w:snapToGrid w:val="0"/>
              <w:spacing w:line="288" w:lineRule="auto"/>
              <w:rPr>
                <w:rFonts w:ascii="宋体" w:hAnsi="宋体" w:eastAsia="宋体" w:cs="宋体"/>
                <w:szCs w:val="21"/>
              </w:rPr>
            </w:pPr>
          </w:p>
        </w:tc>
        <w:tc>
          <w:tcPr>
            <w:tcW w:w="2124" w:type="dxa"/>
            <w:vAlign w:val="center"/>
          </w:tcPr>
          <w:p w14:paraId="3B46B0F7">
            <w:pPr>
              <w:adjustRightInd w:val="0"/>
              <w:snapToGrid w:val="0"/>
              <w:spacing w:line="288" w:lineRule="auto"/>
              <w:rPr>
                <w:rFonts w:ascii="宋体" w:hAnsi="宋体" w:eastAsia="宋体" w:cs="宋体"/>
                <w:szCs w:val="21"/>
              </w:rPr>
            </w:pPr>
          </w:p>
        </w:tc>
      </w:tr>
      <w:tr w14:paraId="509B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3C514079">
            <w:pPr>
              <w:adjustRightInd w:val="0"/>
              <w:snapToGrid w:val="0"/>
              <w:spacing w:line="288" w:lineRule="auto"/>
              <w:rPr>
                <w:rFonts w:ascii="宋体" w:hAnsi="宋体" w:eastAsia="宋体" w:cs="宋体"/>
                <w:b/>
                <w:bCs/>
                <w:szCs w:val="21"/>
              </w:rPr>
            </w:pPr>
            <w:r>
              <w:rPr>
                <w:rFonts w:ascii="宋体" w:hAnsi="宋体" w:eastAsia="宋体" w:cs="宋体"/>
                <w:b/>
                <w:bCs/>
                <w:szCs w:val="21"/>
              </w:rPr>
              <w:t>技术要求（包括服务内容和标准等）</w:t>
            </w:r>
          </w:p>
        </w:tc>
      </w:tr>
      <w:tr w14:paraId="36B4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shd w:val="clear" w:color="auto" w:fill="auto"/>
            <w:vAlign w:val="center"/>
          </w:tcPr>
          <w:p w14:paraId="227A957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404FF935">
            <w:pPr>
              <w:adjustRightInd w:val="0"/>
              <w:snapToGrid w:val="0"/>
              <w:spacing w:line="288" w:lineRule="auto"/>
              <w:rPr>
                <w:rFonts w:ascii="宋体" w:hAnsi="宋体" w:eastAsia="宋体" w:cs="宋体"/>
                <w:szCs w:val="21"/>
              </w:rPr>
            </w:pPr>
          </w:p>
        </w:tc>
        <w:tc>
          <w:tcPr>
            <w:tcW w:w="2574" w:type="dxa"/>
            <w:vAlign w:val="center"/>
          </w:tcPr>
          <w:p w14:paraId="428EF925">
            <w:pPr>
              <w:adjustRightInd w:val="0"/>
              <w:snapToGrid w:val="0"/>
              <w:spacing w:line="288" w:lineRule="auto"/>
              <w:rPr>
                <w:rFonts w:ascii="宋体" w:hAnsi="宋体" w:eastAsia="宋体" w:cs="宋体"/>
                <w:szCs w:val="21"/>
              </w:rPr>
            </w:pPr>
          </w:p>
        </w:tc>
        <w:tc>
          <w:tcPr>
            <w:tcW w:w="2124" w:type="dxa"/>
            <w:vAlign w:val="center"/>
          </w:tcPr>
          <w:p w14:paraId="15A16711">
            <w:pPr>
              <w:adjustRightInd w:val="0"/>
              <w:snapToGrid w:val="0"/>
              <w:spacing w:line="288" w:lineRule="auto"/>
              <w:rPr>
                <w:rFonts w:ascii="宋体" w:hAnsi="宋体" w:eastAsia="宋体" w:cs="宋体"/>
                <w:szCs w:val="21"/>
              </w:rPr>
            </w:pPr>
          </w:p>
        </w:tc>
      </w:tr>
      <w:tr w14:paraId="6DAE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shd w:val="clear" w:color="auto" w:fill="auto"/>
            <w:vAlign w:val="center"/>
          </w:tcPr>
          <w:p w14:paraId="6967D26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64BD302B">
            <w:pPr>
              <w:adjustRightInd w:val="0"/>
              <w:snapToGrid w:val="0"/>
              <w:spacing w:line="288" w:lineRule="auto"/>
              <w:rPr>
                <w:rFonts w:ascii="宋体" w:hAnsi="宋体" w:eastAsia="宋体" w:cs="宋体"/>
                <w:szCs w:val="21"/>
              </w:rPr>
            </w:pPr>
          </w:p>
        </w:tc>
        <w:tc>
          <w:tcPr>
            <w:tcW w:w="2574" w:type="dxa"/>
            <w:vAlign w:val="center"/>
          </w:tcPr>
          <w:p w14:paraId="51D426E3">
            <w:pPr>
              <w:adjustRightInd w:val="0"/>
              <w:snapToGrid w:val="0"/>
              <w:spacing w:line="288" w:lineRule="auto"/>
              <w:rPr>
                <w:rFonts w:ascii="宋体" w:hAnsi="宋体" w:eastAsia="宋体" w:cs="宋体"/>
                <w:szCs w:val="21"/>
              </w:rPr>
            </w:pPr>
          </w:p>
        </w:tc>
        <w:tc>
          <w:tcPr>
            <w:tcW w:w="2124" w:type="dxa"/>
            <w:vAlign w:val="center"/>
          </w:tcPr>
          <w:p w14:paraId="1001E707">
            <w:pPr>
              <w:adjustRightInd w:val="0"/>
              <w:snapToGrid w:val="0"/>
              <w:spacing w:line="288" w:lineRule="auto"/>
              <w:rPr>
                <w:rFonts w:ascii="宋体" w:hAnsi="宋体" w:eastAsia="宋体" w:cs="宋体"/>
                <w:szCs w:val="21"/>
              </w:rPr>
            </w:pPr>
          </w:p>
        </w:tc>
      </w:tr>
      <w:tr w14:paraId="1AC5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shd w:val="clear" w:color="auto" w:fill="auto"/>
            <w:vAlign w:val="center"/>
          </w:tcPr>
          <w:p w14:paraId="5FC93BC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tcPr>
          <w:p w14:paraId="0ADF5862">
            <w:pPr>
              <w:adjustRightInd w:val="0"/>
              <w:snapToGrid w:val="0"/>
              <w:spacing w:line="288" w:lineRule="auto"/>
              <w:rPr>
                <w:rFonts w:ascii="宋体" w:hAnsi="宋体" w:eastAsia="宋体" w:cs="宋体"/>
                <w:szCs w:val="21"/>
              </w:rPr>
            </w:pPr>
          </w:p>
        </w:tc>
        <w:tc>
          <w:tcPr>
            <w:tcW w:w="2574" w:type="dxa"/>
          </w:tcPr>
          <w:p w14:paraId="7EC575CB">
            <w:pPr>
              <w:adjustRightInd w:val="0"/>
              <w:snapToGrid w:val="0"/>
              <w:spacing w:line="288" w:lineRule="auto"/>
              <w:rPr>
                <w:rFonts w:ascii="宋体" w:hAnsi="宋体" w:eastAsia="宋体" w:cs="宋体"/>
                <w:szCs w:val="21"/>
              </w:rPr>
            </w:pPr>
          </w:p>
        </w:tc>
        <w:tc>
          <w:tcPr>
            <w:tcW w:w="2124" w:type="dxa"/>
          </w:tcPr>
          <w:p w14:paraId="59BA9AF3">
            <w:pPr>
              <w:adjustRightInd w:val="0"/>
              <w:snapToGrid w:val="0"/>
              <w:spacing w:line="288" w:lineRule="auto"/>
              <w:rPr>
                <w:rFonts w:ascii="宋体" w:hAnsi="宋体" w:eastAsia="宋体" w:cs="宋体"/>
                <w:szCs w:val="21"/>
              </w:rPr>
            </w:pPr>
          </w:p>
        </w:tc>
      </w:tr>
    </w:tbl>
    <w:p w14:paraId="7374A8D4">
      <w:pPr>
        <w:adjustRightInd w:val="0"/>
        <w:snapToGrid w:val="0"/>
        <w:spacing w:line="288" w:lineRule="auto"/>
        <w:rPr>
          <w:rFonts w:ascii="宋体" w:hAnsi="宋体" w:eastAsia="宋体" w:cs="Times New Roman"/>
          <w:b/>
          <w:bCs/>
          <w:spacing w:val="-6"/>
          <w:szCs w:val="21"/>
        </w:rPr>
      </w:pPr>
    </w:p>
    <w:p w14:paraId="2DE445E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0B76F0F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1C10619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1F9E0E75">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2E3B3748">
      <w:pPr>
        <w:adjustRightInd w:val="0"/>
        <w:snapToGrid w:val="0"/>
        <w:spacing w:line="288" w:lineRule="auto"/>
        <w:rPr>
          <w:rFonts w:ascii="宋体" w:hAnsi="宋体" w:eastAsia="宋体" w:cs="Times New Roman"/>
          <w:spacing w:val="-6"/>
          <w:szCs w:val="21"/>
        </w:rPr>
      </w:pPr>
    </w:p>
    <w:p w14:paraId="5482DBD0">
      <w:pPr>
        <w:adjustRightInd w:val="0"/>
        <w:snapToGrid w:val="0"/>
        <w:spacing w:line="288" w:lineRule="auto"/>
        <w:rPr>
          <w:rFonts w:ascii="宋体" w:hAnsi="宋体" w:eastAsia="宋体" w:cs="Times New Roman"/>
          <w:spacing w:val="-6"/>
          <w:szCs w:val="21"/>
        </w:rPr>
      </w:pPr>
    </w:p>
    <w:p w14:paraId="390D080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701D56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25C7AF84">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）标的配置清单</w:t>
      </w:r>
      <w:r>
        <w:rPr>
          <w:rFonts w:hint="eastAsia" w:ascii="宋体" w:hAnsi="宋体" w:eastAsia="宋体" w:cs="宋体"/>
          <w:spacing w:val="-6"/>
          <w:szCs w:val="21"/>
        </w:rPr>
        <w:t>（不含报价）</w:t>
      </w:r>
    </w:p>
    <w:tbl>
      <w:tblPr>
        <w:tblStyle w:val="23"/>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3559"/>
        <w:gridCol w:w="1154"/>
        <w:gridCol w:w="2659"/>
      </w:tblGrid>
      <w:tr w14:paraId="4F445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8C3E5B5">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4141518">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标的名称</w:t>
            </w:r>
          </w:p>
        </w:tc>
        <w:tc>
          <w:tcPr>
            <w:tcW w:w="3559" w:type="dxa"/>
            <w:tcBorders>
              <w:top w:val="single" w:color="auto" w:sz="4" w:space="0"/>
              <w:left w:val="single" w:color="auto" w:sz="4" w:space="0"/>
              <w:bottom w:val="single" w:color="auto" w:sz="4" w:space="0"/>
              <w:right w:val="single" w:color="auto" w:sz="4" w:space="0"/>
            </w:tcBorders>
            <w:shd w:val="clear" w:color="auto" w:fill="FFFFFF"/>
            <w:vAlign w:val="center"/>
          </w:tcPr>
          <w:p w14:paraId="3247BE37">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具体服务</w:t>
            </w:r>
          </w:p>
        </w:tc>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14:paraId="67F97065">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数量</w:t>
            </w:r>
          </w:p>
        </w:tc>
        <w:tc>
          <w:tcPr>
            <w:tcW w:w="2659" w:type="dxa"/>
            <w:tcBorders>
              <w:top w:val="single" w:color="auto" w:sz="4" w:space="0"/>
              <w:left w:val="single" w:color="auto" w:sz="4" w:space="0"/>
              <w:bottom w:val="single" w:color="auto" w:sz="4" w:space="0"/>
              <w:right w:val="single" w:color="auto" w:sz="4" w:space="0"/>
            </w:tcBorders>
            <w:shd w:val="clear" w:color="auto" w:fill="FFFFFF"/>
            <w:vAlign w:val="center"/>
          </w:tcPr>
          <w:p w14:paraId="1BA0163B">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备注</w:t>
            </w:r>
          </w:p>
          <w:p w14:paraId="49F4C9C2">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（可另附页）</w:t>
            </w:r>
          </w:p>
        </w:tc>
      </w:tr>
      <w:tr w14:paraId="3F881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9819B4D">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0ECC650">
            <w:pPr>
              <w:adjustRightInd w:val="0"/>
              <w:snapToGrid w:val="0"/>
              <w:spacing w:line="360" w:lineRule="auto"/>
              <w:jc w:val="center"/>
              <w:rPr>
                <w:rFonts w:ascii="宋体" w:hAnsi="宋体" w:eastAsia="宋体" w:cs="宋体"/>
                <w:b/>
                <w:bCs/>
                <w:szCs w:val="21"/>
              </w:rPr>
            </w:pPr>
          </w:p>
        </w:tc>
        <w:tc>
          <w:tcPr>
            <w:tcW w:w="3559" w:type="dxa"/>
            <w:tcBorders>
              <w:top w:val="single" w:color="auto" w:sz="4" w:space="0"/>
              <w:left w:val="single" w:color="auto" w:sz="4" w:space="0"/>
              <w:bottom w:val="single" w:color="auto" w:sz="4" w:space="0"/>
              <w:right w:val="single" w:color="auto" w:sz="4" w:space="0"/>
            </w:tcBorders>
            <w:shd w:val="clear" w:color="auto" w:fill="FFFFFF"/>
            <w:vAlign w:val="center"/>
          </w:tcPr>
          <w:p w14:paraId="39102774">
            <w:pPr>
              <w:adjustRightInd w:val="0"/>
              <w:snapToGrid w:val="0"/>
              <w:spacing w:line="360" w:lineRule="auto"/>
              <w:jc w:val="center"/>
              <w:rPr>
                <w:rFonts w:ascii="宋体" w:hAnsi="宋体" w:eastAsia="宋体" w:cs="宋体"/>
                <w:b/>
                <w:bCs/>
                <w:szCs w:val="21"/>
              </w:rPr>
            </w:pPr>
          </w:p>
        </w:tc>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14:paraId="1C6D9000">
            <w:pPr>
              <w:adjustRightInd w:val="0"/>
              <w:snapToGrid w:val="0"/>
              <w:spacing w:line="360" w:lineRule="auto"/>
              <w:jc w:val="center"/>
              <w:rPr>
                <w:rFonts w:ascii="宋体" w:hAnsi="宋体" w:eastAsia="宋体" w:cs="宋体"/>
                <w:b/>
                <w:bCs/>
                <w:szCs w:val="21"/>
              </w:rPr>
            </w:pPr>
          </w:p>
        </w:tc>
        <w:tc>
          <w:tcPr>
            <w:tcW w:w="2659" w:type="dxa"/>
            <w:tcBorders>
              <w:top w:val="single" w:color="auto" w:sz="4" w:space="0"/>
              <w:left w:val="single" w:color="auto" w:sz="4" w:space="0"/>
              <w:bottom w:val="single" w:color="auto" w:sz="4" w:space="0"/>
              <w:right w:val="single" w:color="auto" w:sz="4" w:space="0"/>
            </w:tcBorders>
            <w:shd w:val="clear" w:color="auto" w:fill="FFFFFF"/>
            <w:vAlign w:val="center"/>
          </w:tcPr>
          <w:p w14:paraId="37C71825">
            <w:pPr>
              <w:adjustRightInd w:val="0"/>
              <w:snapToGrid w:val="0"/>
              <w:spacing w:line="360" w:lineRule="auto"/>
              <w:jc w:val="center"/>
              <w:rPr>
                <w:rFonts w:ascii="宋体" w:hAnsi="宋体" w:eastAsia="宋体" w:cs="宋体"/>
                <w:b/>
                <w:bCs/>
                <w:szCs w:val="21"/>
              </w:rPr>
            </w:pPr>
          </w:p>
        </w:tc>
      </w:tr>
      <w:tr w14:paraId="3A8DB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2F28DBB">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B725865">
            <w:pPr>
              <w:adjustRightInd w:val="0"/>
              <w:snapToGrid w:val="0"/>
              <w:spacing w:line="360" w:lineRule="auto"/>
              <w:jc w:val="center"/>
              <w:rPr>
                <w:rFonts w:ascii="宋体" w:hAnsi="宋体" w:eastAsia="宋体" w:cs="宋体"/>
                <w:b/>
                <w:bCs/>
                <w:szCs w:val="21"/>
              </w:rPr>
            </w:pPr>
          </w:p>
        </w:tc>
        <w:tc>
          <w:tcPr>
            <w:tcW w:w="3559" w:type="dxa"/>
            <w:tcBorders>
              <w:top w:val="single" w:color="auto" w:sz="4" w:space="0"/>
              <w:left w:val="single" w:color="auto" w:sz="4" w:space="0"/>
              <w:bottom w:val="single" w:color="auto" w:sz="4" w:space="0"/>
              <w:right w:val="single" w:color="auto" w:sz="4" w:space="0"/>
            </w:tcBorders>
            <w:shd w:val="clear" w:color="auto" w:fill="FFFFFF"/>
            <w:vAlign w:val="center"/>
          </w:tcPr>
          <w:p w14:paraId="60193BA4">
            <w:pPr>
              <w:adjustRightInd w:val="0"/>
              <w:snapToGrid w:val="0"/>
              <w:spacing w:line="360" w:lineRule="auto"/>
              <w:jc w:val="center"/>
              <w:rPr>
                <w:rFonts w:ascii="宋体" w:hAnsi="宋体" w:eastAsia="宋体" w:cs="宋体"/>
                <w:b/>
                <w:bCs/>
                <w:szCs w:val="21"/>
              </w:rPr>
            </w:pPr>
          </w:p>
        </w:tc>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14:paraId="6A0D6A65">
            <w:pPr>
              <w:adjustRightInd w:val="0"/>
              <w:snapToGrid w:val="0"/>
              <w:spacing w:line="360" w:lineRule="auto"/>
              <w:jc w:val="center"/>
              <w:rPr>
                <w:rFonts w:ascii="宋体" w:hAnsi="宋体" w:eastAsia="宋体" w:cs="宋体"/>
                <w:b/>
                <w:bCs/>
                <w:szCs w:val="21"/>
              </w:rPr>
            </w:pPr>
          </w:p>
        </w:tc>
        <w:tc>
          <w:tcPr>
            <w:tcW w:w="2659" w:type="dxa"/>
            <w:tcBorders>
              <w:top w:val="single" w:color="auto" w:sz="4" w:space="0"/>
              <w:left w:val="single" w:color="auto" w:sz="4" w:space="0"/>
              <w:bottom w:val="single" w:color="auto" w:sz="4" w:space="0"/>
              <w:right w:val="single" w:color="auto" w:sz="4" w:space="0"/>
            </w:tcBorders>
            <w:shd w:val="clear" w:color="auto" w:fill="FFFFFF"/>
            <w:vAlign w:val="center"/>
          </w:tcPr>
          <w:p w14:paraId="22B1A486">
            <w:pPr>
              <w:adjustRightInd w:val="0"/>
              <w:snapToGrid w:val="0"/>
              <w:spacing w:line="360" w:lineRule="auto"/>
              <w:jc w:val="center"/>
              <w:rPr>
                <w:rFonts w:ascii="宋体" w:hAnsi="宋体" w:eastAsia="宋体" w:cs="宋体"/>
                <w:b/>
                <w:bCs/>
                <w:szCs w:val="21"/>
              </w:rPr>
            </w:pPr>
          </w:p>
        </w:tc>
      </w:tr>
      <w:tr w14:paraId="2E5EF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D2ADCC3">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508D32D">
            <w:pPr>
              <w:adjustRightInd w:val="0"/>
              <w:snapToGrid w:val="0"/>
              <w:spacing w:line="360" w:lineRule="auto"/>
              <w:jc w:val="center"/>
              <w:rPr>
                <w:rFonts w:ascii="宋体" w:hAnsi="宋体" w:eastAsia="宋体" w:cs="宋体"/>
                <w:b/>
                <w:bCs/>
                <w:szCs w:val="21"/>
              </w:rPr>
            </w:pPr>
          </w:p>
        </w:tc>
        <w:tc>
          <w:tcPr>
            <w:tcW w:w="3559" w:type="dxa"/>
            <w:tcBorders>
              <w:top w:val="single" w:color="auto" w:sz="4" w:space="0"/>
              <w:left w:val="single" w:color="auto" w:sz="4" w:space="0"/>
              <w:bottom w:val="single" w:color="auto" w:sz="4" w:space="0"/>
              <w:right w:val="single" w:color="auto" w:sz="4" w:space="0"/>
            </w:tcBorders>
            <w:shd w:val="clear" w:color="auto" w:fill="FFFFFF"/>
            <w:vAlign w:val="center"/>
          </w:tcPr>
          <w:p w14:paraId="7C9A7D3F">
            <w:pPr>
              <w:adjustRightInd w:val="0"/>
              <w:snapToGrid w:val="0"/>
              <w:spacing w:line="360" w:lineRule="auto"/>
              <w:jc w:val="center"/>
              <w:rPr>
                <w:rFonts w:ascii="宋体" w:hAnsi="宋体" w:eastAsia="宋体" w:cs="宋体"/>
                <w:b/>
                <w:bCs/>
                <w:szCs w:val="21"/>
              </w:rPr>
            </w:pPr>
          </w:p>
        </w:tc>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14:paraId="6ACC0F2E">
            <w:pPr>
              <w:adjustRightInd w:val="0"/>
              <w:snapToGrid w:val="0"/>
              <w:spacing w:line="360" w:lineRule="auto"/>
              <w:jc w:val="center"/>
              <w:rPr>
                <w:rFonts w:ascii="宋体" w:hAnsi="宋体" w:eastAsia="宋体" w:cs="宋体"/>
                <w:b/>
                <w:bCs/>
                <w:szCs w:val="21"/>
              </w:rPr>
            </w:pPr>
          </w:p>
        </w:tc>
        <w:tc>
          <w:tcPr>
            <w:tcW w:w="2659" w:type="dxa"/>
            <w:tcBorders>
              <w:top w:val="single" w:color="auto" w:sz="4" w:space="0"/>
              <w:left w:val="single" w:color="auto" w:sz="4" w:space="0"/>
              <w:bottom w:val="single" w:color="auto" w:sz="4" w:space="0"/>
              <w:right w:val="single" w:color="auto" w:sz="4" w:space="0"/>
            </w:tcBorders>
            <w:shd w:val="clear" w:color="auto" w:fill="FFFFFF"/>
            <w:vAlign w:val="center"/>
          </w:tcPr>
          <w:p w14:paraId="40DE9943">
            <w:pPr>
              <w:adjustRightInd w:val="0"/>
              <w:snapToGrid w:val="0"/>
              <w:spacing w:line="360" w:lineRule="auto"/>
              <w:jc w:val="center"/>
              <w:rPr>
                <w:rFonts w:ascii="宋体" w:hAnsi="宋体" w:eastAsia="宋体" w:cs="宋体"/>
                <w:b/>
                <w:bCs/>
                <w:szCs w:val="21"/>
              </w:rPr>
            </w:pPr>
          </w:p>
        </w:tc>
      </w:tr>
      <w:tr w14:paraId="6F522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DB142C8">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6CC5ADF">
            <w:pPr>
              <w:adjustRightInd w:val="0"/>
              <w:snapToGrid w:val="0"/>
              <w:spacing w:line="360" w:lineRule="auto"/>
              <w:jc w:val="center"/>
              <w:rPr>
                <w:rFonts w:ascii="宋体" w:hAnsi="宋体" w:eastAsia="宋体" w:cs="宋体"/>
                <w:b/>
                <w:bCs/>
                <w:szCs w:val="21"/>
              </w:rPr>
            </w:pPr>
          </w:p>
        </w:tc>
        <w:tc>
          <w:tcPr>
            <w:tcW w:w="3559" w:type="dxa"/>
            <w:tcBorders>
              <w:top w:val="single" w:color="auto" w:sz="4" w:space="0"/>
              <w:left w:val="single" w:color="auto" w:sz="4" w:space="0"/>
              <w:bottom w:val="single" w:color="auto" w:sz="4" w:space="0"/>
              <w:right w:val="single" w:color="auto" w:sz="4" w:space="0"/>
            </w:tcBorders>
            <w:shd w:val="clear" w:color="auto" w:fill="FFFFFF"/>
            <w:vAlign w:val="center"/>
          </w:tcPr>
          <w:p w14:paraId="168CAF60">
            <w:pPr>
              <w:adjustRightInd w:val="0"/>
              <w:snapToGrid w:val="0"/>
              <w:spacing w:line="360" w:lineRule="auto"/>
              <w:jc w:val="center"/>
              <w:rPr>
                <w:rFonts w:ascii="宋体" w:hAnsi="宋体" w:eastAsia="宋体" w:cs="宋体"/>
                <w:b/>
                <w:bCs/>
                <w:szCs w:val="21"/>
              </w:rPr>
            </w:pPr>
          </w:p>
        </w:tc>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14:paraId="689F5A08">
            <w:pPr>
              <w:adjustRightInd w:val="0"/>
              <w:snapToGrid w:val="0"/>
              <w:spacing w:line="360" w:lineRule="auto"/>
              <w:jc w:val="center"/>
              <w:rPr>
                <w:rFonts w:ascii="宋体" w:hAnsi="宋体" w:eastAsia="宋体" w:cs="宋体"/>
                <w:b/>
                <w:bCs/>
                <w:szCs w:val="21"/>
              </w:rPr>
            </w:pPr>
          </w:p>
        </w:tc>
        <w:tc>
          <w:tcPr>
            <w:tcW w:w="2659" w:type="dxa"/>
            <w:tcBorders>
              <w:top w:val="single" w:color="auto" w:sz="4" w:space="0"/>
              <w:left w:val="single" w:color="auto" w:sz="4" w:space="0"/>
              <w:bottom w:val="single" w:color="auto" w:sz="4" w:space="0"/>
              <w:right w:val="single" w:color="auto" w:sz="4" w:space="0"/>
            </w:tcBorders>
            <w:shd w:val="clear" w:color="auto" w:fill="FFFFFF"/>
            <w:vAlign w:val="center"/>
          </w:tcPr>
          <w:p w14:paraId="4A10B6B3">
            <w:pPr>
              <w:adjustRightInd w:val="0"/>
              <w:snapToGrid w:val="0"/>
              <w:spacing w:line="360" w:lineRule="auto"/>
              <w:jc w:val="center"/>
              <w:rPr>
                <w:rFonts w:ascii="宋体" w:hAnsi="宋体" w:eastAsia="宋体" w:cs="宋体"/>
                <w:b/>
                <w:bCs/>
                <w:szCs w:val="21"/>
              </w:rPr>
            </w:pPr>
          </w:p>
        </w:tc>
      </w:tr>
      <w:tr w14:paraId="59236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195CE30">
            <w:pPr>
              <w:adjustRightInd w:val="0"/>
              <w:snapToGrid w:val="0"/>
              <w:spacing w:line="360" w:lineRule="auto"/>
              <w:jc w:val="left"/>
              <w:rPr>
                <w:rFonts w:ascii="宋体" w:hAnsi="宋体" w:eastAsia="宋体" w:cs="宋体"/>
                <w:b/>
                <w:bCs/>
                <w:szCs w:val="21"/>
              </w:rPr>
            </w:pPr>
            <w:r>
              <w:rPr>
                <w:rFonts w:hint="eastAsia" w:ascii="宋体" w:hAnsi="宋体" w:eastAsia="宋体" w:cs="宋体"/>
                <w:b/>
                <w:bCs/>
                <w:szCs w:val="21"/>
              </w:rPr>
              <w:t>★以下（联合体其他成员）承担的部分：</w:t>
            </w:r>
          </w:p>
        </w:tc>
      </w:tr>
      <w:tr w14:paraId="67F01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32C0FC">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CA91DD4">
            <w:pPr>
              <w:adjustRightInd w:val="0"/>
              <w:snapToGrid w:val="0"/>
              <w:spacing w:line="360" w:lineRule="auto"/>
              <w:jc w:val="center"/>
              <w:rPr>
                <w:rFonts w:ascii="宋体" w:hAnsi="宋体" w:eastAsia="宋体" w:cs="宋体"/>
                <w:b/>
                <w:bCs/>
                <w:szCs w:val="21"/>
              </w:rPr>
            </w:pPr>
          </w:p>
        </w:tc>
        <w:tc>
          <w:tcPr>
            <w:tcW w:w="3559" w:type="dxa"/>
            <w:tcBorders>
              <w:top w:val="single" w:color="auto" w:sz="4" w:space="0"/>
              <w:left w:val="single" w:color="auto" w:sz="4" w:space="0"/>
              <w:bottom w:val="single" w:color="auto" w:sz="4" w:space="0"/>
              <w:right w:val="single" w:color="auto" w:sz="4" w:space="0"/>
            </w:tcBorders>
            <w:shd w:val="clear" w:color="auto" w:fill="FFFFFF"/>
            <w:vAlign w:val="center"/>
          </w:tcPr>
          <w:p w14:paraId="3098E5A3">
            <w:pPr>
              <w:adjustRightInd w:val="0"/>
              <w:snapToGrid w:val="0"/>
              <w:spacing w:line="360" w:lineRule="auto"/>
              <w:jc w:val="center"/>
              <w:rPr>
                <w:rFonts w:ascii="宋体" w:hAnsi="宋体" w:eastAsia="宋体" w:cs="宋体"/>
                <w:b/>
                <w:bCs/>
                <w:szCs w:val="21"/>
              </w:rPr>
            </w:pPr>
          </w:p>
        </w:tc>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14:paraId="7F46F598">
            <w:pPr>
              <w:adjustRightInd w:val="0"/>
              <w:snapToGrid w:val="0"/>
              <w:spacing w:line="360" w:lineRule="auto"/>
              <w:jc w:val="center"/>
              <w:rPr>
                <w:rFonts w:ascii="宋体" w:hAnsi="宋体" w:eastAsia="宋体" w:cs="宋体"/>
                <w:b/>
                <w:bCs/>
                <w:szCs w:val="21"/>
              </w:rPr>
            </w:pPr>
          </w:p>
        </w:tc>
        <w:tc>
          <w:tcPr>
            <w:tcW w:w="2659" w:type="dxa"/>
            <w:tcBorders>
              <w:top w:val="single" w:color="auto" w:sz="4" w:space="0"/>
              <w:left w:val="single" w:color="auto" w:sz="4" w:space="0"/>
              <w:bottom w:val="single" w:color="auto" w:sz="4" w:space="0"/>
              <w:right w:val="single" w:color="auto" w:sz="4" w:space="0"/>
            </w:tcBorders>
            <w:shd w:val="clear" w:color="auto" w:fill="FFFFFF"/>
            <w:vAlign w:val="center"/>
          </w:tcPr>
          <w:p w14:paraId="03313434">
            <w:pPr>
              <w:adjustRightInd w:val="0"/>
              <w:snapToGrid w:val="0"/>
              <w:spacing w:line="360" w:lineRule="auto"/>
              <w:jc w:val="center"/>
              <w:rPr>
                <w:rFonts w:ascii="宋体" w:hAnsi="宋体" w:eastAsia="宋体" w:cs="宋体"/>
                <w:b/>
                <w:bCs/>
                <w:szCs w:val="21"/>
              </w:rPr>
            </w:pPr>
          </w:p>
        </w:tc>
      </w:tr>
      <w:tr w14:paraId="112B5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AB75208">
            <w:pPr>
              <w:adjustRightInd w:val="0"/>
              <w:snapToGrid w:val="0"/>
              <w:spacing w:line="360" w:lineRule="auto"/>
              <w:jc w:val="left"/>
              <w:rPr>
                <w:rFonts w:ascii="宋体" w:hAnsi="宋体" w:eastAsia="宋体" w:cs="宋体"/>
                <w:b/>
                <w:bCs/>
                <w:szCs w:val="21"/>
              </w:rPr>
            </w:pPr>
            <w:r>
              <w:rPr>
                <w:rFonts w:hint="eastAsia" w:ascii="宋体" w:hAnsi="宋体" w:eastAsia="宋体" w:cs="宋体"/>
                <w:b/>
                <w:bCs/>
                <w:szCs w:val="21"/>
              </w:rPr>
              <w:t>★以下（分包单位）承担的部分：</w:t>
            </w:r>
          </w:p>
        </w:tc>
      </w:tr>
      <w:tr w14:paraId="6A807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7830713">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1927FC5">
            <w:pPr>
              <w:adjustRightInd w:val="0"/>
              <w:snapToGrid w:val="0"/>
              <w:spacing w:line="360" w:lineRule="auto"/>
              <w:jc w:val="center"/>
              <w:rPr>
                <w:rFonts w:ascii="宋体" w:hAnsi="宋体" w:eastAsia="宋体" w:cs="宋体"/>
                <w:b/>
                <w:bCs/>
                <w:szCs w:val="21"/>
              </w:rPr>
            </w:pPr>
          </w:p>
        </w:tc>
        <w:tc>
          <w:tcPr>
            <w:tcW w:w="3559" w:type="dxa"/>
            <w:tcBorders>
              <w:top w:val="single" w:color="auto" w:sz="4" w:space="0"/>
              <w:left w:val="single" w:color="auto" w:sz="4" w:space="0"/>
              <w:bottom w:val="single" w:color="auto" w:sz="4" w:space="0"/>
              <w:right w:val="single" w:color="auto" w:sz="4" w:space="0"/>
            </w:tcBorders>
            <w:shd w:val="clear" w:color="auto" w:fill="FFFFFF"/>
            <w:vAlign w:val="center"/>
          </w:tcPr>
          <w:p w14:paraId="63ABCD95">
            <w:pPr>
              <w:adjustRightInd w:val="0"/>
              <w:snapToGrid w:val="0"/>
              <w:spacing w:line="360" w:lineRule="auto"/>
              <w:jc w:val="center"/>
              <w:rPr>
                <w:rFonts w:ascii="宋体" w:hAnsi="宋体" w:eastAsia="宋体" w:cs="宋体"/>
                <w:b/>
                <w:bCs/>
                <w:szCs w:val="21"/>
              </w:rPr>
            </w:pPr>
          </w:p>
        </w:tc>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14:paraId="68EDB190">
            <w:pPr>
              <w:adjustRightInd w:val="0"/>
              <w:snapToGrid w:val="0"/>
              <w:spacing w:line="360" w:lineRule="auto"/>
              <w:jc w:val="center"/>
              <w:rPr>
                <w:rFonts w:ascii="宋体" w:hAnsi="宋体" w:eastAsia="宋体" w:cs="宋体"/>
                <w:b/>
                <w:bCs/>
                <w:szCs w:val="21"/>
              </w:rPr>
            </w:pPr>
          </w:p>
        </w:tc>
        <w:tc>
          <w:tcPr>
            <w:tcW w:w="2659" w:type="dxa"/>
            <w:tcBorders>
              <w:top w:val="single" w:color="auto" w:sz="4" w:space="0"/>
              <w:left w:val="single" w:color="auto" w:sz="4" w:space="0"/>
              <w:bottom w:val="single" w:color="auto" w:sz="4" w:space="0"/>
              <w:right w:val="single" w:color="auto" w:sz="4" w:space="0"/>
            </w:tcBorders>
            <w:shd w:val="clear" w:color="auto" w:fill="FFFFFF"/>
            <w:vAlign w:val="center"/>
          </w:tcPr>
          <w:p w14:paraId="32747E63">
            <w:pPr>
              <w:adjustRightInd w:val="0"/>
              <w:snapToGrid w:val="0"/>
              <w:spacing w:line="360" w:lineRule="auto"/>
              <w:jc w:val="center"/>
              <w:rPr>
                <w:rFonts w:ascii="宋体" w:hAnsi="宋体" w:eastAsia="宋体" w:cs="宋体"/>
                <w:b/>
                <w:bCs/>
                <w:szCs w:val="21"/>
              </w:rPr>
            </w:pPr>
          </w:p>
        </w:tc>
      </w:tr>
    </w:tbl>
    <w:p w14:paraId="0783A525">
      <w:pPr>
        <w:adjustRightInd w:val="0"/>
        <w:snapToGrid w:val="0"/>
        <w:spacing w:line="288" w:lineRule="auto"/>
        <w:rPr>
          <w:rFonts w:ascii="宋体" w:hAnsi="宋体" w:eastAsia="宋体" w:cs="宋体"/>
          <w:spacing w:val="-6"/>
          <w:szCs w:val="21"/>
        </w:rPr>
      </w:pPr>
    </w:p>
    <w:p w14:paraId="216A09DB">
      <w:pPr>
        <w:adjustRightInd w:val="0"/>
        <w:snapToGrid w:val="0"/>
        <w:spacing w:line="360" w:lineRule="auto"/>
        <w:rPr>
          <w:rFonts w:ascii="宋体" w:hAnsi="宋体" w:eastAsia="宋体" w:cs="宋体"/>
          <w:bCs/>
          <w:spacing w:val="-6"/>
          <w:szCs w:val="21"/>
        </w:rPr>
      </w:pPr>
      <w:r>
        <w:rPr>
          <w:rFonts w:hint="eastAsia" w:ascii="宋体" w:hAnsi="宋体" w:eastAsia="宋体" w:cs="宋体"/>
          <w:bCs/>
          <w:spacing w:val="-6"/>
          <w:szCs w:val="21"/>
        </w:rPr>
        <w:t>注：</w:t>
      </w:r>
    </w:p>
    <w:p w14:paraId="52D7F9E1">
      <w:pPr>
        <w:adjustRightInd w:val="0"/>
        <w:snapToGrid w:val="0"/>
        <w:spacing w:line="288" w:lineRule="auto"/>
        <w:rPr>
          <w:rFonts w:ascii="宋体" w:hAnsi="宋体" w:eastAsia="宋体" w:cs="宋体"/>
          <w:bCs/>
          <w:spacing w:val="-6"/>
          <w:szCs w:val="21"/>
        </w:rPr>
      </w:pPr>
      <w:r>
        <w:rPr>
          <w:rFonts w:hint="eastAsia" w:ascii="宋体" w:hAnsi="宋体" w:eastAsia="宋体" w:cs="宋体"/>
          <w:bCs/>
          <w:spacing w:val="-6"/>
          <w:szCs w:val="21"/>
        </w:rPr>
        <w:t>1.供应商应按照招标文件明确的标的清单填写此表；</w:t>
      </w:r>
    </w:p>
    <w:p w14:paraId="779C18B6">
      <w:pPr>
        <w:adjustRightInd w:val="0"/>
        <w:snapToGrid w:val="0"/>
        <w:spacing w:line="288" w:lineRule="auto"/>
        <w:rPr>
          <w:rFonts w:ascii="宋体" w:hAnsi="宋体" w:eastAsia="宋体" w:cs="宋体"/>
          <w:spacing w:val="-6"/>
          <w:szCs w:val="21"/>
        </w:rPr>
      </w:pPr>
      <w:r>
        <w:rPr>
          <w:rFonts w:hint="eastAsia" w:ascii="宋体" w:hAnsi="宋体" w:eastAsia="宋体" w:cs="宋体"/>
          <w:bCs/>
          <w:spacing w:val="-6"/>
          <w:szCs w:val="21"/>
        </w:rPr>
        <w:t>★2.联合体其他成员承担的部分、分包单位承担的部分，应在表中列明。</w:t>
      </w:r>
    </w:p>
    <w:p w14:paraId="65B746E0">
      <w:pPr>
        <w:adjustRightInd w:val="0"/>
        <w:snapToGrid w:val="0"/>
        <w:spacing w:line="288" w:lineRule="auto"/>
        <w:rPr>
          <w:rFonts w:ascii="宋体" w:hAnsi="宋体" w:eastAsia="宋体" w:cs="Times New Roman"/>
          <w:b/>
          <w:bCs/>
          <w:spacing w:val="-6"/>
          <w:szCs w:val="21"/>
        </w:rPr>
      </w:pPr>
    </w:p>
    <w:p w14:paraId="7D2EA148">
      <w:pPr>
        <w:adjustRightInd w:val="0"/>
        <w:snapToGrid w:val="0"/>
        <w:spacing w:line="288" w:lineRule="auto"/>
        <w:rPr>
          <w:rFonts w:ascii="宋体" w:hAnsi="宋体" w:eastAsia="宋体" w:cs="Times New Roman"/>
          <w:b/>
          <w:bCs/>
          <w:spacing w:val="-6"/>
          <w:szCs w:val="21"/>
        </w:rPr>
      </w:pPr>
    </w:p>
    <w:p w14:paraId="504137F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806BC0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280BACE6">
      <w:pPr>
        <w:autoSpaceDE w:val="0"/>
        <w:autoSpaceDN w:val="0"/>
        <w:adjustRightInd w:val="0"/>
        <w:snapToGrid w:val="0"/>
        <w:spacing w:line="288" w:lineRule="auto"/>
        <w:jc w:val="left"/>
        <w:rPr>
          <w:rFonts w:ascii="宋体" w:hAnsi="宋体" w:eastAsia="宋体" w:cs="宋体"/>
          <w:spacing w:val="-6"/>
          <w:kern w:val="0"/>
          <w:szCs w:val="21"/>
        </w:rPr>
      </w:pPr>
    </w:p>
    <w:p w14:paraId="51CACDD1">
      <w:pPr>
        <w:adjustRightInd w:val="0"/>
        <w:snapToGrid w:val="0"/>
        <w:spacing w:line="288" w:lineRule="auto"/>
        <w:rPr>
          <w:rFonts w:ascii="宋体" w:hAnsi="宋体" w:eastAsia="宋体" w:cs="宋体"/>
          <w:szCs w:val="21"/>
        </w:rPr>
      </w:pPr>
    </w:p>
    <w:p w14:paraId="3E1992CF">
      <w:pPr>
        <w:adjustRightInd w:val="0"/>
        <w:snapToGrid w:val="0"/>
        <w:spacing w:line="288" w:lineRule="auto"/>
        <w:jc w:val="center"/>
        <w:rPr>
          <w:rFonts w:ascii="宋体" w:hAnsi="宋体" w:eastAsia="宋体" w:cs="宋体"/>
          <w:b/>
          <w:spacing w:val="-6"/>
          <w:szCs w:val="21"/>
        </w:rPr>
      </w:pPr>
      <w:r>
        <w:rPr>
          <w:rFonts w:hint="eastAsia" w:ascii="宋体" w:hAnsi="宋体" w:eastAsia="宋体" w:cs="宋体"/>
          <w:b/>
          <w:spacing w:val="-6"/>
          <w:szCs w:val="21"/>
        </w:rPr>
        <w:br w:type="page"/>
      </w:r>
    </w:p>
    <w:p w14:paraId="192A87B9">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说明：供应商应遵循诚实信用原则在投标（响应）文件中提供真实材料。供应商可事先在公开官网查询、核对相关证书和报告内容，确保投标（响应）文件资料准确无误。</w:t>
      </w:r>
    </w:p>
    <w:p w14:paraId="30366086"/>
    <w:p w14:paraId="6420A9FF">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）技术方案【格式自拟】</w:t>
      </w:r>
    </w:p>
    <w:p w14:paraId="542A3565">
      <w:pPr>
        <w:adjustRightInd w:val="0"/>
        <w:snapToGrid w:val="0"/>
        <w:spacing w:line="288" w:lineRule="auto"/>
        <w:rPr>
          <w:rFonts w:ascii="宋体" w:hAnsi="宋体" w:eastAsia="宋体" w:cs="宋体"/>
          <w:b/>
          <w:spacing w:val="-6"/>
          <w:szCs w:val="21"/>
        </w:rPr>
      </w:pPr>
    </w:p>
    <w:p w14:paraId="09DAB097">
      <w:pPr>
        <w:adjustRightInd w:val="0"/>
        <w:snapToGrid w:val="0"/>
        <w:spacing w:line="288" w:lineRule="auto"/>
        <w:rPr>
          <w:rFonts w:ascii="宋体" w:hAnsi="宋体" w:eastAsia="宋体" w:cs="宋体"/>
          <w:b/>
          <w:spacing w:val="-6"/>
          <w:szCs w:val="21"/>
        </w:rPr>
      </w:pPr>
    </w:p>
    <w:p w14:paraId="0B77AD51">
      <w:pPr>
        <w:adjustRightInd w:val="0"/>
        <w:snapToGrid w:val="0"/>
        <w:spacing w:line="288" w:lineRule="auto"/>
        <w:rPr>
          <w:rFonts w:ascii="宋体" w:hAnsi="宋体" w:eastAsia="宋体" w:cs="宋体"/>
          <w:b/>
          <w:spacing w:val="-6"/>
          <w:szCs w:val="21"/>
        </w:rPr>
      </w:pPr>
    </w:p>
    <w:p w14:paraId="6EE89DB9">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（……）投标人需要说明的其他文件和材料。</w:t>
      </w:r>
    </w:p>
    <w:p w14:paraId="1290CCFB">
      <w:pPr>
        <w:widowControl/>
        <w:adjustRightInd w:val="0"/>
        <w:snapToGrid w:val="0"/>
        <w:spacing w:line="288" w:lineRule="auto"/>
        <w:jc w:val="left"/>
        <w:rPr>
          <w:rFonts w:ascii="宋体" w:hAnsi="宋体" w:eastAsia="宋体" w:cs="宋体"/>
          <w:b/>
          <w:spacing w:val="-6"/>
          <w:szCs w:val="21"/>
        </w:rPr>
      </w:pPr>
    </w:p>
    <w:p w14:paraId="36BCCD3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7167A46A">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1A7CD34B">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62AFA805">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7D6E0802">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人：浙江工商大学</w:t>
      </w:r>
    </w:p>
    <w:p w14:paraId="532DC8F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项目名称：浙江工商大学2025-2027年无线网络及数据中心运维服务</w:t>
      </w:r>
    </w:p>
    <w:p w14:paraId="6C6B59B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项目编号：QSZBC250056ZFGK</w:t>
      </w:r>
    </w:p>
    <w:p w14:paraId="7912D028">
      <w:pPr>
        <w:adjustRightInd w:val="0"/>
        <w:snapToGrid w:val="0"/>
        <w:spacing w:line="288" w:lineRule="auto"/>
        <w:rPr>
          <w:rFonts w:ascii="宋体" w:hAnsi="宋体" w:eastAsia="宋体" w:cs="Times New Roman"/>
          <w:bCs/>
          <w:spacing w:val="-6"/>
          <w:szCs w:val="21"/>
        </w:rPr>
      </w:pPr>
    </w:p>
    <w:tbl>
      <w:tblPr>
        <w:tblStyle w:val="23"/>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498"/>
        <w:gridCol w:w="3686"/>
        <w:gridCol w:w="850"/>
        <w:gridCol w:w="1418"/>
        <w:gridCol w:w="1370"/>
      </w:tblGrid>
      <w:tr w14:paraId="0B7DF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B7D5B66">
            <w:pPr>
              <w:adjustRightInd w:val="0"/>
              <w:spacing w:line="360" w:lineRule="auto"/>
              <w:jc w:val="center"/>
              <w:rPr>
                <w:rFonts w:ascii="宋体" w:hAnsi="宋体" w:eastAsia="宋体" w:cs="宋体"/>
                <w:b/>
                <w:bCs/>
                <w:szCs w:val="21"/>
              </w:rPr>
            </w:pPr>
            <w:r>
              <w:rPr>
                <w:rFonts w:hint="eastAsia" w:ascii="宋体" w:hAnsi="宋体" w:eastAsia="宋体" w:cs="宋体"/>
                <w:b/>
                <w:bCs/>
                <w:szCs w:val="21"/>
              </w:rPr>
              <w:t>序号</w:t>
            </w:r>
          </w:p>
        </w:tc>
        <w:tc>
          <w:tcPr>
            <w:tcW w:w="2498" w:type="dxa"/>
            <w:tcBorders>
              <w:top w:val="single" w:color="auto" w:sz="4" w:space="0"/>
              <w:left w:val="single" w:color="auto" w:sz="4" w:space="0"/>
              <w:bottom w:val="single" w:color="auto" w:sz="4" w:space="0"/>
              <w:right w:val="single" w:color="auto" w:sz="4" w:space="0"/>
            </w:tcBorders>
            <w:shd w:val="clear" w:color="auto" w:fill="auto"/>
            <w:vAlign w:val="center"/>
          </w:tcPr>
          <w:p w14:paraId="7481BBA4">
            <w:pPr>
              <w:adjustRightInd w:val="0"/>
              <w:spacing w:line="360" w:lineRule="auto"/>
              <w:jc w:val="center"/>
              <w:rPr>
                <w:rFonts w:ascii="宋体" w:hAnsi="宋体" w:eastAsia="宋体" w:cs="宋体"/>
                <w:b/>
                <w:bCs/>
                <w:szCs w:val="21"/>
              </w:rPr>
            </w:pPr>
            <w:r>
              <w:rPr>
                <w:rFonts w:hint="eastAsia" w:ascii="宋体" w:hAnsi="宋体" w:eastAsia="宋体" w:cs="宋体"/>
                <w:b/>
                <w:bCs/>
                <w:szCs w:val="21"/>
              </w:rPr>
              <w:t>标的名称</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14:paraId="634DE82B">
            <w:pPr>
              <w:adjustRightInd w:val="0"/>
              <w:spacing w:line="360" w:lineRule="auto"/>
              <w:jc w:val="center"/>
              <w:rPr>
                <w:rFonts w:ascii="宋体" w:hAnsi="宋体" w:eastAsia="宋体" w:cs="宋体"/>
                <w:b/>
                <w:bCs/>
                <w:szCs w:val="21"/>
              </w:rPr>
            </w:pPr>
            <w:r>
              <w:rPr>
                <w:rFonts w:hint="eastAsia" w:ascii="宋体" w:hAnsi="宋体" w:eastAsia="宋体" w:cs="宋体"/>
                <w:b/>
                <w:bCs/>
                <w:szCs w:val="21"/>
              </w:rPr>
              <w:t>服务内容</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1EE8EFD8">
            <w:pPr>
              <w:adjustRightInd w:val="0"/>
              <w:spacing w:line="360" w:lineRule="auto"/>
              <w:jc w:val="center"/>
              <w:rPr>
                <w:rFonts w:ascii="宋体" w:hAnsi="宋体" w:eastAsia="宋体" w:cs="宋体"/>
                <w:b/>
                <w:bCs/>
                <w:szCs w:val="21"/>
              </w:rPr>
            </w:pPr>
            <w:r>
              <w:rPr>
                <w:rFonts w:hint="eastAsia" w:ascii="宋体" w:hAnsi="宋体" w:eastAsia="宋体" w:cs="宋体"/>
                <w:b/>
                <w:bCs/>
                <w:szCs w:val="21"/>
              </w:rPr>
              <w:t>数量</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3C669AC">
            <w:pPr>
              <w:adjustRightInd w:val="0"/>
              <w:spacing w:line="360" w:lineRule="auto"/>
              <w:jc w:val="center"/>
              <w:rPr>
                <w:rFonts w:ascii="宋体" w:hAnsi="宋体" w:eastAsia="宋体" w:cs="宋体"/>
                <w:b/>
                <w:bCs/>
                <w:szCs w:val="21"/>
              </w:rPr>
            </w:pPr>
            <w:r>
              <w:rPr>
                <w:rFonts w:hint="eastAsia" w:ascii="宋体" w:hAnsi="宋体" w:eastAsia="宋体" w:cs="宋体"/>
                <w:b/>
                <w:bCs/>
                <w:szCs w:val="21"/>
              </w:rPr>
              <w:t>单价（元/年）</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14:paraId="4AFACDAA">
            <w:pPr>
              <w:adjustRightInd w:val="0"/>
              <w:spacing w:line="360" w:lineRule="auto"/>
              <w:jc w:val="center"/>
              <w:rPr>
                <w:rFonts w:ascii="宋体" w:hAnsi="宋体" w:eastAsia="宋体" w:cs="宋体"/>
                <w:b/>
                <w:bCs/>
                <w:szCs w:val="21"/>
              </w:rPr>
            </w:pPr>
            <w:r>
              <w:rPr>
                <w:rFonts w:hint="eastAsia" w:ascii="宋体" w:hAnsi="宋体" w:eastAsia="宋体" w:cs="宋体"/>
                <w:b/>
                <w:bCs/>
                <w:szCs w:val="21"/>
              </w:rPr>
              <w:t>金额（元）</w:t>
            </w:r>
          </w:p>
        </w:tc>
      </w:tr>
      <w:tr w14:paraId="786B9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8933E0">
            <w:pPr>
              <w:adjustRightInd w:val="0"/>
              <w:jc w:val="center"/>
              <w:rPr>
                <w:rFonts w:ascii="宋体" w:hAnsi="宋体" w:eastAsia="宋体" w:cs="宋体"/>
                <w:b/>
                <w:bCs/>
                <w:szCs w:val="21"/>
              </w:rPr>
            </w:pPr>
          </w:p>
        </w:tc>
        <w:tc>
          <w:tcPr>
            <w:tcW w:w="2498" w:type="dxa"/>
            <w:tcBorders>
              <w:top w:val="single" w:color="auto" w:sz="4" w:space="0"/>
              <w:left w:val="single" w:color="auto" w:sz="4" w:space="0"/>
              <w:bottom w:val="single" w:color="auto" w:sz="4" w:space="0"/>
              <w:right w:val="single" w:color="auto" w:sz="4" w:space="0"/>
            </w:tcBorders>
            <w:shd w:val="clear" w:color="auto" w:fill="auto"/>
            <w:vAlign w:val="center"/>
          </w:tcPr>
          <w:p w14:paraId="466C02F9">
            <w:pPr>
              <w:adjustRightInd w:val="0"/>
              <w:jc w:val="center"/>
              <w:rPr>
                <w:rFonts w:ascii="宋体" w:hAnsi="宋体" w:eastAsia="宋体" w:cs="宋体"/>
                <w:b/>
                <w:bCs/>
                <w:szCs w:val="21"/>
              </w:rPr>
            </w:pPr>
            <w:r>
              <w:rPr>
                <w:rFonts w:hint="eastAsia" w:ascii="宋体" w:hAnsi="宋体" w:eastAsia="宋体" w:cs="宋体"/>
                <w:b/>
                <w:bCs/>
                <w:szCs w:val="21"/>
              </w:rPr>
              <w:t>浙江工商大学</w:t>
            </w:r>
            <w:r>
              <w:rPr>
                <w:rFonts w:ascii="宋体" w:hAnsi="宋体" w:eastAsia="宋体" w:cs="宋体"/>
                <w:b/>
                <w:bCs/>
                <w:szCs w:val="21"/>
              </w:rPr>
              <w:t>2025-2027年无线网络及数据中心运维服务</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14:paraId="3453C0C8">
            <w:pPr>
              <w:adjustRightInd w:val="0"/>
              <w:jc w:val="center"/>
              <w:rPr>
                <w:rFonts w:ascii="宋体" w:hAnsi="宋体" w:eastAsia="宋体" w:cs="宋体"/>
                <w:b/>
                <w:bCs/>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4D2F2CE8">
            <w:pPr>
              <w:adjustRightInd w:val="0"/>
              <w:jc w:val="center"/>
              <w:rPr>
                <w:rFonts w:ascii="宋体" w:hAnsi="宋体" w:eastAsia="宋体" w:cs="宋体"/>
                <w:b/>
                <w:bCs/>
                <w:szCs w:val="21"/>
              </w:rPr>
            </w:pPr>
            <w:r>
              <w:rPr>
                <w:rFonts w:hint="eastAsia" w:ascii="宋体" w:hAnsi="宋体" w:eastAsia="宋体" w:cs="宋体"/>
                <w:b/>
                <w:bCs/>
                <w:szCs w:val="21"/>
              </w:rPr>
              <w:t>2年</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835856E">
            <w:pPr>
              <w:adjustRightInd w:val="0"/>
              <w:jc w:val="center"/>
              <w:rPr>
                <w:rFonts w:ascii="宋体" w:hAnsi="宋体" w:eastAsia="宋体" w:cs="宋体"/>
                <w:b/>
                <w:bCs/>
                <w:szCs w:val="21"/>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14:paraId="73ADB954">
            <w:pPr>
              <w:adjustRightInd w:val="0"/>
              <w:jc w:val="center"/>
              <w:rPr>
                <w:rFonts w:ascii="宋体" w:hAnsi="宋体" w:eastAsia="宋体" w:cs="宋体"/>
                <w:b/>
                <w:bCs/>
                <w:szCs w:val="21"/>
              </w:rPr>
            </w:pPr>
          </w:p>
        </w:tc>
      </w:tr>
      <w:tr w14:paraId="3D8DD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4E614DF">
            <w:pPr>
              <w:adjustRightInd w:val="0"/>
              <w:jc w:val="center"/>
              <w:rPr>
                <w:rFonts w:ascii="宋体" w:hAnsi="宋体" w:eastAsia="宋体" w:cs="宋体"/>
                <w:b/>
                <w:bCs/>
                <w:szCs w:val="21"/>
              </w:rPr>
            </w:pPr>
          </w:p>
        </w:tc>
        <w:tc>
          <w:tcPr>
            <w:tcW w:w="2498" w:type="dxa"/>
            <w:tcBorders>
              <w:top w:val="single" w:color="auto" w:sz="4" w:space="0"/>
              <w:left w:val="single" w:color="auto" w:sz="4" w:space="0"/>
              <w:bottom w:val="single" w:color="auto" w:sz="4" w:space="0"/>
              <w:right w:val="single" w:color="auto" w:sz="4" w:space="0"/>
            </w:tcBorders>
            <w:shd w:val="clear" w:color="auto" w:fill="auto"/>
            <w:vAlign w:val="center"/>
          </w:tcPr>
          <w:p w14:paraId="61C20B91">
            <w:pPr>
              <w:adjustRightInd w:val="0"/>
              <w:jc w:val="center"/>
              <w:rPr>
                <w:rFonts w:ascii="宋体" w:hAnsi="宋体" w:eastAsia="宋体" w:cs="宋体"/>
                <w:b/>
                <w:bCs/>
                <w:szCs w:val="21"/>
              </w:rPr>
            </w:pP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14:paraId="374CA051">
            <w:pPr>
              <w:adjustRightInd w:val="0"/>
              <w:jc w:val="center"/>
              <w:rPr>
                <w:rFonts w:ascii="宋体" w:hAnsi="宋体" w:eastAsia="宋体" w:cs="宋体"/>
                <w:b/>
                <w:bCs/>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0C921DB2">
            <w:pPr>
              <w:adjustRightInd w:val="0"/>
              <w:jc w:val="center"/>
              <w:rPr>
                <w:rFonts w:ascii="宋体" w:hAnsi="宋体" w:eastAsia="宋体" w:cs="宋体"/>
                <w:b/>
                <w:bCs/>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4EFFE98">
            <w:pPr>
              <w:adjustRightInd w:val="0"/>
              <w:jc w:val="center"/>
              <w:rPr>
                <w:rFonts w:ascii="宋体" w:hAnsi="宋体" w:eastAsia="宋体" w:cs="宋体"/>
                <w:b/>
                <w:bCs/>
                <w:szCs w:val="21"/>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14:paraId="0E0394ED">
            <w:pPr>
              <w:adjustRightInd w:val="0"/>
              <w:jc w:val="center"/>
              <w:rPr>
                <w:rFonts w:ascii="宋体" w:hAnsi="宋体" w:eastAsia="宋体" w:cs="宋体"/>
                <w:b/>
                <w:bCs/>
                <w:szCs w:val="21"/>
              </w:rPr>
            </w:pPr>
          </w:p>
        </w:tc>
      </w:tr>
      <w:tr w14:paraId="05F49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F3050E">
            <w:pPr>
              <w:adjustRightInd w:val="0"/>
              <w:jc w:val="center"/>
              <w:rPr>
                <w:rFonts w:ascii="宋体" w:hAnsi="宋体" w:eastAsia="宋体" w:cs="宋体"/>
                <w:b/>
                <w:bCs/>
                <w:szCs w:val="21"/>
              </w:rPr>
            </w:pPr>
          </w:p>
        </w:tc>
        <w:tc>
          <w:tcPr>
            <w:tcW w:w="2498" w:type="dxa"/>
            <w:tcBorders>
              <w:top w:val="single" w:color="auto" w:sz="4" w:space="0"/>
              <w:left w:val="single" w:color="auto" w:sz="4" w:space="0"/>
              <w:bottom w:val="single" w:color="auto" w:sz="4" w:space="0"/>
              <w:right w:val="single" w:color="auto" w:sz="4" w:space="0"/>
            </w:tcBorders>
            <w:shd w:val="clear" w:color="auto" w:fill="auto"/>
            <w:vAlign w:val="center"/>
          </w:tcPr>
          <w:p w14:paraId="29E0C8B4">
            <w:pPr>
              <w:adjustRightInd w:val="0"/>
              <w:jc w:val="center"/>
              <w:rPr>
                <w:rFonts w:ascii="宋体" w:hAnsi="宋体" w:eastAsia="宋体" w:cs="宋体"/>
                <w:b/>
                <w:bCs/>
                <w:szCs w:val="21"/>
              </w:rPr>
            </w:pP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14:paraId="26F013C8">
            <w:pPr>
              <w:adjustRightInd w:val="0"/>
              <w:jc w:val="center"/>
              <w:rPr>
                <w:rFonts w:ascii="宋体" w:hAnsi="宋体" w:eastAsia="宋体" w:cs="宋体"/>
                <w:b/>
                <w:bCs/>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73134597">
            <w:pPr>
              <w:adjustRightInd w:val="0"/>
              <w:jc w:val="center"/>
              <w:rPr>
                <w:rFonts w:ascii="宋体" w:hAnsi="宋体" w:eastAsia="宋体" w:cs="宋体"/>
                <w:b/>
                <w:bCs/>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1AA9973">
            <w:pPr>
              <w:adjustRightInd w:val="0"/>
              <w:jc w:val="center"/>
              <w:rPr>
                <w:rFonts w:ascii="宋体" w:hAnsi="宋体" w:eastAsia="宋体" w:cs="宋体"/>
                <w:b/>
                <w:bCs/>
                <w:szCs w:val="21"/>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14:paraId="2F3899A4">
            <w:pPr>
              <w:adjustRightInd w:val="0"/>
              <w:jc w:val="center"/>
              <w:rPr>
                <w:rFonts w:ascii="宋体" w:hAnsi="宋体" w:eastAsia="宋体" w:cs="宋体"/>
                <w:b/>
                <w:bCs/>
                <w:szCs w:val="21"/>
              </w:rPr>
            </w:pPr>
          </w:p>
        </w:tc>
      </w:tr>
      <w:tr w14:paraId="7D2B3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3CD63D">
            <w:pPr>
              <w:adjustRightInd w:val="0"/>
              <w:jc w:val="center"/>
              <w:rPr>
                <w:rFonts w:ascii="宋体" w:hAnsi="宋体" w:eastAsia="宋体" w:cs="宋体"/>
                <w:b/>
                <w:bCs/>
                <w:szCs w:val="21"/>
              </w:rPr>
            </w:pPr>
          </w:p>
        </w:tc>
        <w:tc>
          <w:tcPr>
            <w:tcW w:w="2498" w:type="dxa"/>
            <w:tcBorders>
              <w:top w:val="single" w:color="auto" w:sz="4" w:space="0"/>
              <w:left w:val="single" w:color="auto" w:sz="4" w:space="0"/>
              <w:bottom w:val="single" w:color="auto" w:sz="4" w:space="0"/>
              <w:right w:val="single" w:color="auto" w:sz="4" w:space="0"/>
            </w:tcBorders>
            <w:shd w:val="clear" w:color="auto" w:fill="auto"/>
            <w:vAlign w:val="center"/>
          </w:tcPr>
          <w:p w14:paraId="534B0C58">
            <w:pPr>
              <w:adjustRightInd w:val="0"/>
              <w:jc w:val="center"/>
              <w:rPr>
                <w:rFonts w:ascii="宋体" w:hAnsi="宋体" w:eastAsia="宋体" w:cs="宋体"/>
                <w:b/>
                <w:bCs/>
                <w:szCs w:val="21"/>
              </w:rPr>
            </w:pP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14:paraId="343DA299">
            <w:pPr>
              <w:adjustRightInd w:val="0"/>
              <w:jc w:val="center"/>
              <w:rPr>
                <w:rFonts w:ascii="宋体" w:hAnsi="宋体" w:eastAsia="宋体" w:cs="宋体"/>
                <w:b/>
                <w:bCs/>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50126735">
            <w:pPr>
              <w:adjustRightInd w:val="0"/>
              <w:jc w:val="center"/>
              <w:rPr>
                <w:rFonts w:ascii="宋体" w:hAnsi="宋体" w:eastAsia="宋体" w:cs="宋体"/>
                <w:b/>
                <w:bCs/>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1245912">
            <w:pPr>
              <w:adjustRightInd w:val="0"/>
              <w:jc w:val="center"/>
              <w:rPr>
                <w:rFonts w:ascii="宋体" w:hAnsi="宋体" w:eastAsia="宋体" w:cs="宋体"/>
                <w:b/>
                <w:bCs/>
                <w:szCs w:val="21"/>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14:paraId="0AF9D5E8">
            <w:pPr>
              <w:adjustRightInd w:val="0"/>
              <w:jc w:val="center"/>
              <w:rPr>
                <w:rFonts w:ascii="宋体" w:hAnsi="宋体" w:eastAsia="宋体" w:cs="宋体"/>
                <w:b/>
                <w:bCs/>
                <w:szCs w:val="21"/>
              </w:rPr>
            </w:pPr>
          </w:p>
        </w:tc>
      </w:tr>
      <w:tr w14:paraId="2549C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7C57D73">
            <w:pPr>
              <w:adjustRightInd w:val="0"/>
              <w:snapToGrid w:val="0"/>
              <w:spacing w:line="360" w:lineRule="auto"/>
              <w:jc w:val="left"/>
              <w:rPr>
                <w:rFonts w:ascii="宋体" w:hAnsi="宋体" w:eastAsia="宋体" w:cs="宋体"/>
                <w:b/>
                <w:bCs/>
                <w:szCs w:val="21"/>
              </w:rPr>
            </w:pPr>
            <w:r>
              <w:rPr>
                <w:rFonts w:hint="eastAsia" w:ascii="宋体" w:hAnsi="宋体" w:eastAsia="宋体" w:cs="宋体"/>
                <w:b/>
                <w:bCs/>
                <w:szCs w:val="21"/>
              </w:rPr>
              <w:t>★以下（联合体其他成员）承担的部分：</w:t>
            </w:r>
          </w:p>
        </w:tc>
      </w:tr>
      <w:tr w14:paraId="72FE2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5BF09EB">
            <w:pPr>
              <w:adjustRightInd w:val="0"/>
              <w:snapToGrid w:val="0"/>
              <w:spacing w:line="360" w:lineRule="auto"/>
              <w:jc w:val="center"/>
              <w:rPr>
                <w:rFonts w:ascii="宋体" w:hAnsi="宋体" w:eastAsia="宋体" w:cs="宋体"/>
                <w:b/>
                <w:bCs/>
                <w:szCs w:val="21"/>
              </w:rPr>
            </w:pPr>
          </w:p>
        </w:tc>
        <w:tc>
          <w:tcPr>
            <w:tcW w:w="2498" w:type="dxa"/>
            <w:tcBorders>
              <w:top w:val="single" w:color="auto" w:sz="4" w:space="0"/>
              <w:left w:val="single" w:color="auto" w:sz="4" w:space="0"/>
              <w:bottom w:val="single" w:color="auto" w:sz="4" w:space="0"/>
              <w:right w:val="single" w:color="auto" w:sz="4" w:space="0"/>
            </w:tcBorders>
            <w:shd w:val="clear" w:color="auto" w:fill="auto"/>
            <w:vAlign w:val="center"/>
          </w:tcPr>
          <w:p w14:paraId="43F7BB25">
            <w:pPr>
              <w:adjustRightInd w:val="0"/>
              <w:snapToGrid w:val="0"/>
              <w:spacing w:line="360" w:lineRule="auto"/>
              <w:jc w:val="center"/>
              <w:rPr>
                <w:rFonts w:ascii="宋体" w:hAnsi="宋体" w:eastAsia="宋体" w:cs="宋体"/>
                <w:b/>
                <w:bCs/>
                <w:szCs w:val="21"/>
              </w:rPr>
            </w:pP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14:paraId="1BE32533">
            <w:pPr>
              <w:adjustRightInd w:val="0"/>
              <w:snapToGrid w:val="0"/>
              <w:spacing w:line="360" w:lineRule="auto"/>
              <w:jc w:val="center"/>
              <w:rPr>
                <w:rFonts w:ascii="宋体" w:hAnsi="宋体" w:eastAsia="宋体" w:cs="宋体"/>
                <w:b/>
                <w:bCs/>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2D88C206">
            <w:pPr>
              <w:adjustRightInd w:val="0"/>
              <w:snapToGrid w:val="0"/>
              <w:spacing w:line="360" w:lineRule="auto"/>
              <w:jc w:val="center"/>
              <w:rPr>
                <w:rFonts w:ascii="宋体" w:hAnsi="宋体" w:eastAsia="宋体" w:cs="宋体"/>
                <w:b/>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7D44A085">
            <w:pPr>
              <w:adjustRightInd w:val="0"/>
              <w:snapToGrid w:val="0"/>
              <w:spacing w:line="360" w:lineRule="auto"/>
              <w:jc w:val="center"/>
              <w:rPr>
                <w:rFonts w:ascii="宋体" w:hAnsi="宋体" w:eastAsia="宋体" w:cs="宋体"/>
                <w:b/>
                <w:bCs/>
                <w:szCs w:val="21"/>
              </w:rPr>
            </w:pPr>
          </w:p>
        </w:tc>
        <w:tc>
          <w:tcPr>
            <w:tcW w:w="1370" w:type="dxa"/>
            <w:tcBorders>
              <w:top w:val="single" w:color="auto" w:sz="4" w:space="0"/>
              <w:left w:val="single" w:color="auto" w:sz="4" w:space="0"/>
              <w:bottom w:val="single" w:color="auto" w:sz="4" w:space="0"/>
              <w:right w:val="single" w:color="auto" w:sz="4" w:space="0"/>
            </w:tcBorders>
            <w:vAlign w:val="center"/>
          </w:tcPr>
          <w:p w14:paraId="0DA0ACA9">
            <w:pPr>
              <w:adjustRightInd w:val="0"/>
              <w:snapToGrid w:val="0"/>
              <w:spacing w:line="360" w:lineRule="auto"/>
              <w:jc w:val="center"/>
              <w:rPr>
                <w:rFonts w:ascii="宋体" w:hAnsi="宋体" w:eastAsia="宋体" w:cs="宋体"/>
                <w:b/>
                <w:bCs/>
                <w:szCs w:val="21"/>
              </w:rPr>
            </w:pPr>
          </w:p>
        </w:tc>
      </w:tr>
      <w:tr w14:paraId="48C91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E60F5A3">
            <w:pPr>
              <w:adjustRightInd w:val="0"/>
              <w:snapToGrid w:val="0"/>
              <w:spacing w:line="360" w:lineRule="auto"/>
              <w:jc w:val="left"/>
              <w:rPr>
                <w:rFonts w:ascii="宋体" w:hAnsi="宋体" w:eastAsia="宋体" w:cs="宋体"/>
                <w:b/>
                <w:bCs/>
                <w:szCs w:val="21"/>
              </w:rPr>
            </w:pPr>
            <w:r>
              <w:rPr>
                <w:rFonts w:hint="eastAsia" w:ascii="宋体" w:hAnsi="宋体" w:eastAsia="宋体" w:cs="宋体"/>
                <w:b/>
                <w:bCs/>
                <w:szCs w:val="21"/>
              </w:rPr>
              <w:t>★以下（分包单位）承担的部分：</w:t>
            </w:r>
          </w:p>
        </w:tc>
      </w:tr>
      <w:tr w14:paraId="31AF0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8978DEE">
            <w:pPr>
              <w:adjustRightInd w:val="0"/>
              <w:snapToGrid w:val="0"/>
              <w:spacing w:line="360" w:lineRule="auto"/>
              <w:jc w:val="center"/>
              <w:rPr>
                <w:rFonts w:ascii="宋体" w:hAnsi="宋体" w:eastAsia="宋体" w:cs="宋体"/>
                <w:b/>
                <w:bCs/>
                <w:szCs w:val="21"/>
              </w:rPr>
            </w:pPr>
          </w:p>
        </w:tc>
        <w:tc>
          <w:tcPr>
            <w:tcW w:w="2498" w:type="dxa"/>
            <w:tcBorders>
              <w:top w:val="single" w:color="auto" w:sz="4" w:space="0"/>
              <w:left w:val="single" w:color="auto" w:sz="4" w:space="0"/>
              <w:bottom w:val="single" w:color="auto" w:sz="4" w:space="0"/>
              <w:right w:val="single" w:color="auto" w:sz="4" w:space="0"/>
            </w:tcBorders>
            <w:shd w:val="clear" w:color="auto" w:fill="auto"/>
            <w:vAlign w:val="center"/>
          </w:tcPr>
          <w:p w14:paraId="430B8BF2">
            <w:pPr>
              <w:adjustRightInd w:val="0"/>
              <w:snapToGrid w:val="0"/>
              <w:spacing w:line="360" w:lineRule="auto"/>
              <w:jc w:val="center"/>
              <w:rPr>
                <w:rFonts w:ascii="宋体" w:hAnsi="宋体" w:eastAsia="宋体" w:cs="宋体"/>
                <w:b/>
                <w:bCs/>
                <w:szCs w:val="21"/>
              </w:rPr>
            </w:pP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14:paraId="45DDBFE2">
            <w:pPr>
              <w:adjustRightInd w:val="0"/>
              <w:snapToGrid w:val="0"/>
              <w:spacing w:line="360" w:lineRule="auto"/>
              <w:jc w:val="center"/>
              <w:rPr>
                <w:rFonts w:ascii="宋体" w:hAnsi="宋体" w:eastAsia="宋体" w:cs="宋体"/>
                <w:b/>
                <w:bCs/>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1C963B55">
            <w:pPr>
              <w:adjustRightInd w:val="0"/>
              <w:snapToGrid w:val="0"/>
              <w:spacing w:line="360" w:lineRule="auto"/>
              <w:jc w:val="center"/>
              <w:rPr>
                <w:rFonts w:ascii="宋体" w:hAnsi="宋体" w:eastAsia="宋体" w:cs="宋体"/>
                <w:b/>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520F3E47">
            <w:pPr>
              <w:adjustRightInd w:val="0"/>
              <w:snapToGrid w:val="0"/>
              <w:spacing w:line="360" w:lineRule="auto"/>
              <w:jc w:val="center"/>
              <w:rPr>
                <w:rFonts w:ascii="宋体" w:hAnsi="宋体" w:eastAsia="宋体" w:cs="宋体"/>
                <w:b/>
                <w:bCs/>
                <w:szCs w:val="21"/>
              </w:rPr>
            </w:pPr>
          </w:p>
        </w:tc>
        <w:tc>
          <w:tcPr>
            <w:tcW w:w="1370" w:type="dxa"/>
            <w:tcBorders>
              <w:top w:val="single" w:color="auto" w:sz="4" w:space="0"/>
              <w:left w:val="single" w:color="auto" w:sz="4" w:space="0"/>
              <w:bottom w:val="single" w:color="auto" w:sz="4" w:space="0"/>
              <w:right w:val="single" w:color="auto" w:sz="4" w:space="0"/>
            </w:tcBorders>
            <w:vAlign w:val="center"/>
          </w:tcPr>
          <w:p w14:paraId="1FD642C0">
            <w:pPr>
              <w:adjustRightInd w:val="0"/>
              <w:snapToGrid w:val="0"/>
              <w:spacing w:line="360" w:lineRule="auto"/>
              <w:jc w:val="center"/>
              <w:rPr>
                <w:rFonts w:ascii="宋体" w:hAnsi="宋体" w:eastAsia="宋体" w:cs="宋体"/>
                <w:b/>
                <w:bCs/>
                <w:szCs w:val="21"/>
              </w:rPr>
            </w:pPr>
          </w:p>
        </w:tc>
      </w:tr>
      <w:tr w14:paraId="442CA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vAlign w:val="center"/>
          </w:tcPr>
          <w:p w14:paraId="197C585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5947C999">
            <w:pPr>
              <w:adjustRightInd w:val="0"/>
              <w:snapToGrid w:val="0"/>
              <w:spacing w:line="288" w:lineRule="auto"/>
              <w:rPr>
                <w:rFonts w:ascii="宋体" w:hAnsi="宋体" w:eastAsia="宋体" w:cs="宋体"/>
                <w:b/>
                <w:bCs/>
                <w:szCs w:val="21"/>
              </w:rPr>
            </w:pPr>
          </w:p>
          <w:p w14:paraId="568E3A51">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221C29C5">
            <w:pPr>
              <w:adjustRightInd w:val="0"/>
              <w:snapToGrid w:val="0"/>
              <w:spacing w:line="288" w:lineRule="auto"/>
              <w:rPr>
                <w:rFonts w:ascii="宋体" w:hAnsi="宋体" w:eastAsia="宋体" w:cs="宋体"/>
                <w:b/>
                <w:bCs/>
                <w:szCs w:val="21"/>
              </w:rPr>
            </w:pPr>
          </w:p>
          <w:p w14:paraId="2FE11AA9">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4C3D9DE1">
            <w:pPr>
              <w:adjustRightInd w:val="0"/>
              <w:snapToGrid w:val="0"/>
              <w:spacing w:line="288" w:lineRule="auto"/>
              <w:rPr>
                <w:rFonts w:ascii="宋体" w:hAnsi="宋体" w:eastAsia="宋体" w:cs="宋体"/>
                <w:b/>
                <w:bCs/>
                <w:szCs w:val="21"/>
              </w:rPr>
            </w:pPr>
          </w:p>
        </w:tc>
      </w:tr>
    </w:tbl>
    <w:p w14:paraId="62D55EAE">
      <w:pPr>
        <w:adjustRightInd w:val="0"/>
        <w:snapToGrid w:val="0"/>
        <w:spacing w:line="288" w:lineRule="auto"/>
        <w:rPr>
          <w:rFonts w:ascii="宋体" w:hAnsi="宋体" w:eastAsia="宋体" w:cs="Times New Roman"/>
          <w:spacing w:val="-6"/>
          <w:szCs w:val="21"/>
        </w:rPr>
      </w:pPr>
    </w:p>
    <w:p w14:paraId="786AA87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2FDAEA3D">
      <w:pPr>
        <w:adjustRightInd w:val="0"/>
        <w:snapToGrid w:val="0"/>
        <w:spacing w:line="288" w:lineRule="auto"/>
        <w:rPr>
          <w:rFonts w:ascii="宋体" w:hAnsi="宋体" w:eastAsia="宋体" w:cs="宋体"/>
          <w:szCs w:val="21"/>
        </w:rPr>
      </w:pPr>
      <w:r>
        <w:rPr>
          <w:rFonts w:hint="eastAsia" w:ascii="宋体" w:hAnsi="宋体" w:eastAsia="宋体" w:cs="宋体"/>
          <w:szCs w:val="21"/>
        </w:rPr>
        <w:t>1.开标一览表应按照本招标文件“第三章 投标人须知”关于“投标报价”的规定填写；</w:t>
      </w:r>
    </w:p>
    <w:p w14:paraId="2C3BA665">
      <w:pPr>
        <w:adjustRightInd w:val="0"/>
        <w:snapToGrid w:val="0"/>
        <w:spacing w:line="288" w:lineRule="auto"/>
        <w:rPr>
          <w:rFonts w:ascii="宋体" w:hAnsi="宋体" w:eastAsia="宋体" w:cs="宋体"/>
          <w:szCs w:val="21"/>
        </w:rPr>
      </w:pPr>
      <w:r>
        <w:rPr>
          <w:rFonts w:hint="eastAsia" w:ascii="宋体" w:hAnsi="宋体" w:eastAsia="宋体" w:cs="宋体"/>
          <w:szCs w:val="21"/>
        </w:rPr>
        <w:t>★2.联合体其他成员承担的部分、分包单位承担的部分，应在表中列明。</w:t>
      </w:r>
    </w:p>
    <w:p w14:paraId="0A798122">
      <w:pPr>
        <w:adjustRightInd w:val="0"/>
        <w:snapToGrid w:val="0"/>
        <w:spacing w:line="288" w:lineRule="auto"/>
        <w:rPr>
          <w:rFonts w:ascii="宋体" w:hAnsi="宋体" w:eastAsia="宋体" w:cs="Times New Roman"/>
          <w:szCs w:val="21"/>
        </w:rPr>
      </w:pPr>
    </w:p>
    <w:p w14:paraId="56BA400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2478D78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267E205F">
      <w:pPr>
        <w:adjustRightInd w:val="0"/>
        <w:snapToGrid w:val="0"/>
        <w:spacing w:line="288" w:lineRule="auto"/>
        <w:jc w:val="center"/>
        <w:rPr>
          <w:rFonts w:ascii="宋体" w:hAnsi="宋体" w:eastAsia="宋体" w:cs="宋体"/>
          <w:b/>
          <w:spacing w:val="-6"/>
          <w:szCs w:val="21"/>
        </w:rPr>
      </w:pPr>
      <w:r>
        <w:rPr>
          <w:rFonts w:hint="eastAsia" w:ascii="宋体" w:hAnsi="宋体" w:eastAsia="宋体" w:cs="Times New Roman"/>
          <w:bCs/>
          <w:spacing w:val="-6"/>
          <w:szCs w:val="21"/>
        </w:rPr>
        <w:br w:type="page"/>
      </w:r>
    </w:p>
    <w:p w14:paraId="3005EA41">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zCs w:val="21"/>
        </w:rPr>
        <w:t>附件1：</w:t>
      </w:r>
      <w:r>
        <w:rPr>
          <w:rFonts w:hint="eastAsia" w:ascii="宋体" w:hAnsi="宋体" w:eastAsia="宋体" w:cs="Times New Roman"/>
          <w:b/>
          <w:bCs/>
          <w:szCs w:val="21"/>
        </w:rPr>
        <w:t>业务专用章使用说明函</w:t>
      </w:r>
    </w:p>
    <w:p w14:paraId="5F8D0F8E">
      <w:pPr>
        <w:snapToGrid w:val="0"/>
        <w:spacing w:line="288" w:lineRule="auto"/>
        <w:rPr>
          <w:rFonts w:ascii="宋体" w:hAnsi="宋体" w:eastAsia="宋体" w:cs="仿宋_GB2312"/>
          <w:szCs w:val="21"/>
          <w:u w:val="single"/>
        </w:rPr>
      </w:pPr>
    </w:p>
    <w:p w14:paraId="3719900B">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132C9790">
      <w:pPr>
        <w:snapToGrid w:val="0"/>
        <w:spacing w:line="288" w:lineRule="auto"/>
        <w:ind w:firstLine="424" w:firstLineChars="202"/>
        <w:rPr>
          <w:rFonts w:ascii="宋体" w:hAnsi="宋体" w:eastAsia="宋体" w:cs="宋体"/>
          <w:szCs w:val="21"/>
        </w:rPr>
      </w:pPr>
      <w:r>
        <w:rPr>
          <w:rFonts w:hint="eastAsia" w:ascii="宋体" w:hAnsi="宋体" w:eastAsia="宋体" w:cs="仿宋_GB2312"/>
          <w:szCs w:val="21"/>
          <w:lang w:val="zh-CN"/>
        </w:rPr>
        <w:t>我方</w:t>
      </w:r>
      <w:r>
        <w:rPr>
          <w:rFonts w:ascii="宋体" w:hAnsi="宋体" w:eastAsia="宋体" w:cs="仿宋_GB2312"/>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5ABA62F5">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5794FB6B">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39C870DB">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00808C2D">
      <w:pPr>
        <w:snapToGrid w:val="0"/>
        <w:spacing w:line="288" w:lineRule="auto"/>
        <w:rPr>
          <w:rFonts w:ascii="宋体" w:hAnsi="宋体" w:eastAsia="宋体" w:cs="宋体"/>
          <w:b/>
          <w:bCs/>
          <w:szCs w:val="21"/>
        </w:rPr>
      </w:pPr>
    </w:p>
    <w:p w14:paraId="4910FAC8">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tbl>
      <w:tblPr>
        <w:tblStyle w:val="24"/>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5"/>
        <w:gridCol w:w="4706"/>
      </w:tblGrid>
      <w:tr w14:paraId="7CB1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4" w:type="dxa"/>
          </w:tcPr>
          <w:p w14:paraId="7BE6747C">
            <w:pPr>
              <w:snapToGrid w:val="0"/>
              <w:spacing w:line="288" w:lineRule="auto"/>
              <w:rPr>
                <w:rFonts w:ascii="宋体" w:hAnsi="宋体" w:eastAsia="宋体" w:cs="宋体"/>
                <w:szCs w:val="21"/>
              </w:rPr>
            </w:pPr>
          </w:p>
        </w:tc>
        <w:tc>
          <w:tcPr>
            <w:tcW w:w="4814" w:type="dxa"/>
          </w:tcPr>
          <w:p w14:paraId="65B2DB77">
            <w:pPr>
              <w:snapToGrid w:val="0"/>
              <w:spacing w:line="288" w:lineRule="auto"/>
              <w:rPr>
                <w:rFonts w:ascii="宋体" w:hAnsi="宋体" w:eastAsia="宋体" w:cs="宋体"/>
                <w:szCs w:val="21"/>
              </w:rPr>
            </w:pPr>
          </w:p>
        </w:tc>
      </w:tr>
    </w:tbl>
    <w:p w14:paraId="15855312"/>
    <w:p w14:paraId="791387F0">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EB6F8C1">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019ED54D">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411D625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7319C203">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64924CA7">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w:t>
      </w:r>
      <w:r>
        <w:rPr>
          <w:rFonts w:hint="eastAsia" w:ascii="宋体" w:hAnsi="宋体" w:eastAsia="宋体" w:cs="仿宋_GB2312"/>
          <w:color w:val="000000" w:themeColor="text1"/>
          <w:kern w:val="0"/>
          <w:szCs w:val="21"/>
          <w:lang w:val="zh-CN"/>
          <w14:textFill>
            <w14:solidFill>
              <w14:schemeClr w14:val="tx1"/>
            </w14:solidFill>
          </w14:textFill>
        </w:rPr>
        <w:t>清及</w:t>
      </w:r>
      <w:r>
        <w:rPr>
          <w:rFonts w:hint="eastAsia" w:ascii="宋体" w:hAnsi="宋体" w:eastAsia="宋体" w:cs="仿宋_GB2312"/>
          <w:color w:val="000000" w:themeColor="text1"/>
          <w:kern w:val="0"/>
          <w:szCs w:val="21"/>
          <w14:textFill>
            <w14:solidFill>
              <w14:schemeClr w14:val="tx1"/>
            </w14:solidFill>
          </w14:textFill>
        </w:rPr>
        <w:t>响应</w:t>
      </w:r>
      <w:r>
        <w:rPr>
          <w:rFonts w:hint="eastAsia" w:ascii="宋体" w:hAnsi="宋体" w:eastAsia="宋体" w:cs="仿宋_GB2312"/>
          <w:color w:val="000000" w:themeColor="text1"/>
          <w:kern w:val="0"/>
          <w:szCs w:val="21"/>
          <w:lang w:val="zh-CN"/>
          <w14:textFill>
            <w14:solidFill>
              <w14:schemeClr w14:val="tx1"/>
            </w14:solidFill>
          </w14:textFill>
        </w:rPr>
        <w:t>等均</w:t>
      </w:r>
      <w:r>
        <w:rPr>
          <w:rFonts w:hint="eastAsia" w:ascii="宋体" w:hAnsi="宋体" w:eastAsia="宋体" w:cs="仿宋_GB2312"/>
          <w:kern w:val="0"/>
          <w:szCs w:val="21"/>
          <w:lang w:val="zh-CN"/>
        </w:rPr>
        <w:t>对联合投标各方产生约束力。</w:t>
      </w:r>
    </w:p>
    <w:p w14:paraId="3D0B508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464F1555">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14:paraId="435BC85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721A2EFC">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7A5AC6D2">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0804C0CA">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33BF698A">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60D35DEA">
      <w:pPr>
        <w:snapToGrid w:val="0"/>
        <w:spacing w:line="288" w:lineRule="auto"/>
        <w:ind w:firstLine="422" w:firstLineChars="201"/>
        <w:rPr>
          <w:rFonts w:ascii="宋体" w:hAnsi="宋体" w:eastAsia="宋体" w:cs="仿宋_GB2312"/>
          <w:kern w:val="0"/>
          <w:szCs w:val="21"/>
          <w:lang w:val="zh-CN"/>
        </w:rPr>
      </w:pPr>
    </w:p>
    <w:p w14:paraId="7E283694">
      <w:pPr>
        <w:snapToGrid w:val="0"/>
        <w:spacing w:line="288" w:lineRule="auto"/>
        <w:ind w:firstLine="422" w:firstLineChars="201"/>
        <w:rPr>
          <w:rFonts w:ascii="宋体" w:hAnsi="宋体" w:eastAsia="宋体" w:cs="仿宋_GB2312"/>
          <w:kern w:val="0"/>
          <w:szCs w:val="21"/>
          <w:lang w:val="zh-CN"/>
        </w:rPr>
      </w:pPr>
    </w:p>
    <w:p w14:paraId="6349129C">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5DCF04FF">
      <w:pPr>
        <w:snapToGrid w:val="0"/>
        <w:spacing w:line="288" w:lineRule="auto"/>
        <w:ind w:firstLine="424" w:firstLineChars="201"/>
        <w:rPr>
          <w:rFonts w:ascii="宋体" w:hAnsi="宋体" w:eastAsia="宋体" w:cs="仿宋_GB2312"/>
          <w:b/>
          <w:bCs/>
          <w:kern w:val="0"/>
          <w:szCs w:val="21"/>
          <w:lang w:val="zh-CN"/>
        </w:rPr>
      </w:pPr>
    </w:p>
    <w:p w14:paraId="3ACA4043">
      <w:pPr>
        <w:snapToGrid w:val="0"/>
        <w:spacing w:line="288" w:lineRule="auto"/>
        <w:ind w:firstLine="424" w:firstLineChars="201"/>
        <w:rPr>
          <w:rFonts w:ascii="宋体" w:hAnsi="宋体" w:eastAsia="宋体" w:cs="Times New Roman"/>
          <w:b/>
          <w:bCs/>
          <w:szCs w:val="21"/>
        </w:rPr>
      </w:pPr>
    </w:p>
    <w:p w14:paraId="4616573E">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5C66BFC7">
      <w:pPr>
        <w:widowControl/>
        <w:jc w:val="left"/>
        <w:rPr>
          <w:rFonts w:ascii="宋体" w:hAnsi="宋体" w:eastAsia="宋体" w:cs="仿宋_GB2312"/>
          <w:b/>
          <w:kern w:val="0"/>
          <w:szCs w:val="21"/>
        </w:rPr>
      </w:pPr>
      <w:r>
        <w:rPr>
          <w:rFonts w:ascii="宋体" w:hAnsi="宋体" w:eastAsia="宋体" w:cs="仿宋_GB2312"/>
          <w:b/>
          <w:kern w:val="0"/>
          <w:szCs w:val="21"/>
        </w:rPr>
        <w:br w:type="page"/>
      </w:r>
    </w:p>
    <w:p w14:paraId="76356F04">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5E0CBDCD">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6850F2D3">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324D0D1C">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5C74FB62">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73FAD09B">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14:paraId="2F2BF231">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2B22BA89">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14:paraId="59B4324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14:paraId="08585049">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7E4C9776">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74995647">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74A86E08">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3547CB02">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58F76EDB">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2F6523ED">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23EDAE26">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14:paraId="3CF7EC36">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14:paraId="4FA57D01">
      <w:pPr>
        <w:snapToGrid w:val="0"/>
        <w:spacing w:line="288" w:lineRule="auto"/>
        <w:rPr>
          <w:rFonts w:ascii="宋体" w:hAnsi="宋体" w:eastAsia="宋体" w:cs="仿宋_GB2312"/>
          <w:kern w:val="0"/>
          <w:szCs w:val="21"/>
          <w:lang w:val="zh-CN"/>
        </w:rPr>
      </w:pPr>
    </w:p>
    <w:p w14:paraId="3574D5A3">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10B35E34">
      <w:pPr>
        <w:snapToGrid w:val="0"/>
        <w:spacing w:line="288" w:lineRule="auto"/>
        <w:ind w:firstLine="424" w:firstLineChars="201"/>
        <w:rPr>
          <w:rFonts w:ascii="宋体" w:hAnsi="宋体" w:eastAsia="宋体" w:cs="仿宋_GB2312"/>
          <w:b/>
          <w:bCs/>
          <w:kern w:val="0"/>
          <w:szCs w:val="21"/>
          <w:lang w:val="zh-CN"/>
        </w:rPr>
      </w:pPr>
    </w:p>
    <w:p w14:paraId="79240DDD">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455F7402">
      <w:pPr>
        <w:snapToGrid w:val="0"/>
        <w:spacing w:line="288" w:lineRule="auto"/>
        <w:rPr>
          <w:rFonts w:ascii="宋体" w:hAnsi="宋体" w:eastAsia="宋体" w:cs="仿宋_GB2312"/>
          <w:b/>
          <w:bCs/>
          <w:kern w:val="0"/>
          <w:szCs w:val="21"/>
          <w:lang w:val="zh-CN"/>
        </w:rPr>
      </w:pPr>
    </w:p>
    <w:p w14:paraId="50154715">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60F051BB">
      <w:pPr>
        <w:rPr>
          <w:rFonts w:ascii="等线" w:hAnsi="等线" w:eastAsia="等线" w:cs="Times New Roman"/>
        </w:rPr>
      </w:pPr>
    </w:p>
    <w:p w14:paraId="440AA213">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9C4E8">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ADEFF">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3A3DB">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45</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C130E">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46178"/>
    <w:multiLevelType w:val="singleLevel"/>
    <w:tmpl w:val="A7646178"/>
    <w:lvl w:ilvl="0" w:tentative="0">
      <w:start w:val="3"/>
      <w:numFmt w:val="decimal"/>
      <w:suff w:val="nothing"/>
      <w:lvlText w:val="（%1）"/>
      <w:lvlJc w:val="left"/>
    </w:lvl>
  </w:abstractNum>
  <w:abstractNum w:abstractNumId="1">
    <w:nsid w:val="D195FA7F"/>
    <w:multiLevelType w:val="singleLevel"/>
    <w:tmpl w:val="D195FA7F"/>
    <w:lvl w:ilvl="0" w:tentative="0">
      <w:start w:val="1"/>
      <w:numFmt w:val="decimal"/>
      <w:suff w:val="nothing"/>
      <w:lvlText w:val="（%1）"/>
      <w:lvlJc w:val="left"/>
      <w:rPr>
        <w:rFonts w:hint="default" w:ascii="宋体" w:hAnsi="宋体" w:eastAsia="宋体" w:cs="宋体"/>
        <w:sz w:val="21"/>
        <w:szCs w:val="21"/>
      </w:rPr>
    </w:lvl>
  </w:abstractNum>
  <w:abstractNum w:abstractNumId="2">
    <w:nsid w:val="D3EDE4F0"/>
    <w:multiLevelType w:val="singleLevel"/>
    <w:tmpl w:val="D3EDE4F0"/>
    <w:lvl w:ilvl="0" w:tentative="0">
      <w:start w:val="1"/>
      <w:numFmt w:val="decimal"/>
      <w:suff w:val="nothing"/>
      <w:lvlText w:val="（%1）"/>
      <w:lvlJc w:val="left"/>
      <w:rPr>
        <w:rFonts w:hint="default" w:ascii="宋体" w:hAnsi="宋体" w:eastAsia="宋体" w:cs="宋体"/>
        <w:sz w:val="21"/>
        <w:szCs w:val="21"/>
      </w:rPr>
    </w:lvl>
  </w:abstractNum>
  <w:abstractNum w:abstractNumId="3">
    <w:nsid w:val="EF20F112"/>
    <w:multiLevelType w:val="singleLevel"/>
    <w:tmpl w:val="EF20F112"/>
    <w:lvl w:ilvl="0" w:tentative="0">
      <w:start w:val="1"/>
      <w:numFmt w:val="decimal"/>
      <w:suff w:val="nothing"/>
      <w:lvlText w:val="（%1）"/>
      <w:lvlJc w:val="left"/>
    </w:lvl>
  </w:abstractNum>
  <w:abstractNum w:abstractNumId="4">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C57732D"/>
    <w:multiLevelType w:val="singleLevel"/>
    <w:tmpl w:val="0C57732D"/>
    <w:lvl w:ilvl="0" w:tentative="0">
      <w:start w:val="1"/>
      <w:numFmt w:val="decimal"/>
      <w:suff w:val="nothing"/>
      <w:lvlText w:val="（%1）"/>
      <w:lvlJc w:val="left"/>
    </w:lvl>
  </w:abstractNum>
  <w:abstractNum w:abstractNumId="6">
    <w:nsid w:val="2CDD5239"/>
    <w:multiLevelType w:val="multilevel"/>
    <w:tmpl w:val="2CDD5239"/>
    <w:lvl w:ilvl="0" w:tentative="0">
      <w:start w:val="1"/>
      <w:numFmt w:val="decimal"/>
      <w:lvlText w:val="%1"/>
      <w:lvlJc w:val="left"/>
      <w:pPr>
        <w:ind w:left="360" w:hanging="360"/>
      </w:pPr>
      <w:rPr>
        <w:rFonts w:hint="default" w:hAnsi="宋体"/>
      </w:rPr>
    </w:lvl>
    <w:lvl w:ilvl="1" w:tentative="0">
      <w:start w:val="2"/>
      <w:numFmt w:val="decimal"/>
      <w:lvlText w:val="%1.%2"/>
      <w:lvlJc w:val="left"/>
      <w:pPr>
        <w:ind w:left="360" w:hanging="360"/>
      </w:pPr>
      <w:rPr>
        <w:rFonts w:hint="default" w:hAnsi="宋体"/>
      </w:rPr>
    </w:lvl>
    <w:lvl w:ilvl="2" w:tentative="0">
      <w:start w:val="1"/>
      <w:numFmt w:val="decimal"/>
      <w:lvlText w:val="%1.%2.%3"/>
      <w:lvlJc w:val="left"/>
      <w:pPr>
        <w:ind w:left="720" w:hanging="720"/>
      </w:pPr>
      <w:rPr>
        <w:rFonts w:hint="default" w:hAnsi="宋体"/>
      </w:rPr>
    </w:lvl>
    <w:lvl w:ilvl="3" w:tentative="0">
      <w:start w:val="1"/>
      <w:numFmt w:val="decimal"/>
      <w:lvlText w:val="%1.%2.%3.%4"/>
      <w:lvlJc w:val="left"/>
      <w:pPr>
        <w:ind w:left="720" w:hanging="720"/>
      </w:pPr>
      <w:rPr>
        <w:rFonts w:hint="default" w:hAnsi="宋体"/>
      </w:rPr>
    </w:lvl>
    <w:lvl w:ilvl="4" w:tentative="0">
      <w:start w:val="1"/>
      <w:numFmt w:val="decimal"/>
      <w:lvlText w:val="%1.%2.%3.%4.%5"/>
      <w:lvlJc w:val="left"/>
      <w:pPr>
        <w:ind w:left="1080" w:hanging="1080"/>
      </w:pPr>
      <w:rPr>
        <w:rFonts w:hint="default" w:hAnsi="宋体"/>
      </w:rPr>
    </w:lvl>
    <w:lvl w:ilvl="5" w:tentative="0">
      <w:start w:val="1"/>
      <w:numFmt w:val="decimal"/>
      <w:lvlText w:val="%1.%2.%3.%4.%5.%6"/>
      <w:lvlJc w:val="left"/>
      <w:pPr>
        <w:ind w:left="1080" w:hanging="1080"/>
      </w:pPr>
      <w:rPr>
        <w:rFonts w:hint="default" w:hAnsi="宋体"/>
      </w:rPr>
    </w:lvl>
    <w:lvl w:ilvl="6" w:tentative="0">
      <w:start w:val="1"/>
      <w:numFmt w:val="decimal"/>
      <w:lvlText w:val="%1.%2.%3.%4.%5.%6.%7"/>
      <w:lvlJc w:val="left"/>
      <w:pPr>
        <w:ind w:left="1440" w:hanging="1440"/>
      </w:pPr>
      <w:rPr>
        <w:rFonts w:hint="default" w:hAnsi="宋体"/>
      </w:rPr>
    </w:lvl>
    <w:lvl w:ilvl="7" w:tentative="0">
      <w:start w:val="1"/>
      <w:numFmt w:val="decimal"/>
      <w:lvlText w:val="%1.%2.%3.%4.%5.%6.%7.%8"/>
      <w:lvlJc w:val="left"/>
      <w:pPr>
        <w:ind w:left="1440" w:hanging="1440"/>
      </w:pPr>
      <w:rPr>
        <w:rFonts w:hint="default" w:hAnsi="宋体"/>
      </w:rPr>
    </w:lvl>
    <w:lvl w:ilvl="8" w:tentative="0">
      <w:start w:val="1"/>
      <w:numFmt w:val="decimal"/>
      <w:lvlText w:val="%1.%2.%3.%4.%5.%6.%7.%8.%9"/>
      <w:lvlJc w:val="left"/>
      <w:pPr>
        <w:ind w:left="1800" w:hanging="1800"/>
      </w:pPr>
      <w:rPr>
        <w:rFonts w:hint="default" w:hAnsi="宋体"/>
      </w:rPr>
    </w:lvl>
  </w:abstractNum>
  <w:abstractNum w:abstractNumId="7">
    <w:nsid w:val="560D06BD"/>
    <w:multiLevelType w:val="multilevel"/>
    <w:tmpl w:val="560D06BD"/>
    <w:lvl w:ilvl="0" w:tentative="0">
      <w:start w:val="2"/>
      <w:numFmt w:val="decimal"/>
      <w:lvlText w:val="%1"/>
      <w:lvlJc w:val="left"/>
      <w:pPr>
        <w:ind w:left="360" w:hanging="360"/>
      </w:pPr>
      <w:rPr>
        <w:rFonts w:hint="default" w:hAnsi="宋体"/>
      </w:rPr>
    </w:lvl>
    <w:lvl w:ilvl="1" w:tentative="0">
      <w:start w:val="2"/>
      <w:numFmt w:val="decimal"/>
      <w:lvlText w:val="%1.%2"/>
      <w:lvlJc w:val="left"/>
      <w:pPr>
        <w:ind w:left="360" w:hanging="360"/>
      </w:pPr>
      <w:rPr>
        <w:rFonts w:hint="default" w:hAnsi="宋体"/>
      </w:rPr>
    </w:lvl>
    <w:lvl w:ilvl="2" w:tentative="0">
      <w:start w:val="1"/>
      <w:numFmt w:val="decimal"/>
      <w:lvlText w:val="%1.%2.%3"/>
      <w:lvlJc w:val="left"/>
      <w:pPr>
        <w:ind w:left="720" w:hanging="720"/>
      </w:pPr>
      <w:rPr>
        <w:rFonts w:hint="default" w:hAnsi="宋体"/>
      </w:rPr>
    </w:lvl>
    <w:lvl w:ilvl="3" w:tentative="0">
      <w:start w:val="1"/>
      <w:numFmt w:val="decimal"/>
      <w:lvlText w:val="%1.%2.%3.%4"/>
      <w:lvlJc w:val="left"/>
      <w:pPr>
        <w:ind w:left="720" w:hanging="720"/>
      </w:pPr>
      <w:rPr>
        <w:rFonts w:hint="default" w:hAnsi="宋体"/>
      </w:rPr>
    </w:lvl>
    <w:lvl w:ilvl="4" w:tentative="0">
      <w:start w:val="1"/>
      <w:numFmt w:val="decimal"/>
      <w:lvlText w:val="%1.%2.%3.%4.%5"/>
      <w:lvlJc w:val="left"/>
      <w:pPr>
        <w:ind w:left="1080" w:hanging="1080"/>
      </w:pPr>
      <w:rPr>
        <w:rFonts w:hint="default" w:hAnsi="宋体"/>
      </w:rPr>
    </w:lvl>
    <w:lvl w:ilvl="5" w:tentative="0">
      <w:start w:val="1"/>
      <w:numFmt w:val="decimal"/>
      <w:lvlText w:val="%1.%2.%3.%4.%5.%6"/>
      <w:lvlJc w:val="left"/>
      <w:pPr>
        <w:ind w:left="1080" w:hanging="1080"/>
      </w:pPr>
      <w:rPr>
        <w:rFonts w:hint="default" w:hAnsi="宋体"/>
      </w:rPr>
    </w:lvl>
    <w:lvl w:ilvl="6" w:tentative="0">
      <w:start w:val="1"/>
      <w:numFmt w:val="decimal"/>
      <w:lvlText w:val="%1.%2.%3.%4.%5.%6.%7"/>
      <w:lvlJc w:val="left"/>
      <w:pPr>
        <w:ind w:left="1440" w:hanging="1440"/>
      </w:pPr>
      <w:rPr>
        <w:rFonts w:hint="default" w:hAnsi="宋体"/>
      </w:rPr>
    </w:lvl>
    <w:lvl w:ilvl="7" w:tentative="0">
      <w:start w:val="1"/>
      <w:numFmt w:val="decimal"/>
      <w:lvlText w:val="%1.%2.%3.%4.%5.%6.%7.%8"/>
      <w:lvlJc w:val="left"/>
      <w:pPr>
        <w:ind w:left="1440" w:hanging="1440"/>
      </w:pPr>
      <w:rPr>
        <w:rFonts w:hint="default" w:hAnsi="宋体"/>
      </w:rPr>
    </w:lvl>
    <w:lvl w:ilvl="8" w:tentative="0">
      <w:start w:val="1"/>
      <w:numFmt w:val="decimal"/>
      <w:lvlText w:val="%1.%2.%3.%4.%5.%6.%7.%8.%9"/>
      <w:lvlJc w:val="left"/>
      <w:pPr>
        <w:ind w:left="1800" w:hanging="1800"/>
      </w:pPr>
      <w:rPr>
        <w:rFonts w:hint="default" w:hAnsi="宋体"/>
      </w:rPr>
    </w:lvl>
  </w:abstractNum>
  <w:abstractNum w:abstractNumId="8">
    <w:nsid w:val="7BBD4ADA"/>
    <w:multiLevelType w:val="multilevel"/>
    <w:tmpl w:val="7BBD4ADA"/>
    <w:lvl w:ilvl="0" w:tentative="0">
      <w:start w:val="1"/>
      <w:numFmt w:val="decimal"/>
      <w:lvlText w:val="%1"/>
      <w:lvlJc w:val="left"/>
      <w:pPr>
        <w:ind w:left="360" w:hanging="360"/>
      </w:pPr>
      <w:rPr>
        <w:rFonts w:hint="default" w:hAnsi="宋体"/>
      </w:rPr>
    </w:lvl>
    <w:lvl w:ilvl="1" w:tentative="0">
      <w:start w:val="4"/>
      <w:numFmt w:val="decimal"/>
      <w:lvlText w:val="%1.%2"/>
      <w:lvlJc w:val="left"/>
      <w:pPr>
        <w:ind w:left="360" w:hanging="360"/>
      </w:pPr>
      <w:rPr>
        <w:rFonts w:hint="default" w:hAnsi="宋体"/>
      </w:rPr>
    </w:lvl>
    <w:lvl w:ilvl="2" w:tentative="0">
      <w:start w:val="1"/>
      <w:numFmt w:val="decimal"/>
      <w:lvlText w:val="%1.%2.%3"/>
      <w:lvlJc w:val="left"/>
      <w:pPr>
        <w:ind w:left="720" w:hanging="720"/>
      </w:pPr>
      <w:rPr>
        <w:rFonts w:hint="default" w:hAnsi="宋体"/>
      </w:rPr>
    </w:lvl>
    <w:lvl w:ilvl="3" w:tentative="0">
      <w:start w:val="1"/>
      <w:numFmt w:val="decimal"/>
      <w:lvlText w:val="%1.%2.%3.%4"/>
      <w:lvlJc w:val="left"/>
      <w:pPr>
        <w:ind w:left="720" w:hanging="720"/>
      </w:pPr>
      <w:rPr>
        <w:rFonts w:hint="default" w:hAnsi="宋体"/>
      </w:rPr>
    </w:lvl>
    <w:lvl w:ilvl="4" w:tentative="0">
      <w:start w:val="1"/>
      <w:numFmt w:val="decimal"/>
      <w:lvlText w:val="%1.%2.%3.%4.%5"/>
      <w:lvlJc w:val="left"/>
      <w:pPr>
        <w:ind w:left="1080" w:hanging="1080"/>
      </w:pPr>
      <w:rPr>
        <w:rFonts w:hint="default" w:hAnsi="宋体"/>
      </w:rPr>
    </w:lvl>
    <w:lvl w:ilvl="5" w:tentative="0">
      <w:start w:val="1"/>
      <w:numFmt w:val="decimal"/>
      <w:lvlText w:val="%1.%2.%3.%4.%5.%6"/>
      <w:lvlJc w:val="left"/>
      <w:pPr>
        <w:ind w:left="1080" w:hanging="1080"/>
      </w:pPr>
      <w:rPr>
        <w:rFonts w:hint="default" w:hAnsi="宋体"/>
      </w:rPr>
    </w:lvl>
    <w:lvl w:ilvl="6" w:tentative="0">
      <w:start w:val="1"/>
      <w:numFmt w:val="decimal"/>
      <w:lvlText w:val="%1.%2.%3.%4.%5.%6.%7"/>
      <w:lvlJc w:val="left"/>
      <w:pPr>
        <w:ind w:left="1440" w:hanging="1440"/>
      </w:pPr>
      <w:rPr>
        <w:rFonts w:hint="default" w:hAnsi="宋体"/>
      </w:rPr>
    </w:lvl>
    <w:lvl w:ilvl="7" w:tentative="0">
      <w:start w:val="1"/>
      <w:numFmt w:val="decimal"/>
      <w:lvlText w:val="%1.%2.%3.%4.%5.%6.%7.%8"/>
      <w:lvlJc w:val="left"/>
      <w:pPr>
        <w:ind w:left="1440" w:hanging="1440"/>
      </w:pPr>
      <w:rPr>
        <w:rFonts w:hint="default" w:hAnsi="宋体"/>
      </w:rPr>
    </w:lvl>
    <w:lvl w:ilvl="8" w:tentative="0">
      <w:start w:val="1"/>
      <w:numFmt w:val="decimal"/>
      <w:lvlText w:val="%1.%2.%3.%4.%5.%6.%7.%8.%9"/>
      <w:lvlJc w:val="left"/>
      <w:pPr>
        <w:ind w:left="1800" w:hanging="1800"/>
      </w:pPr>
      <w:rPr>
        <w:rFonts w:hint="default" w:hAnsi="宋体"/>
      </w:rPr>
    </w:lvl>
  </w:abstractNum>
  <w:num w:numId="1">
    <w:abstractNumId w:val="4"/>
  </w:num>
  <w:num w:numId="2">
    <w:abstractNumId w:val="6"/>
  </w:num>
  <w:num w:numId="3">
    <w:abstractNumId w:val="8"/>
  </w:num>
  <w:num w:numId="4">
    <w:abstractNumId w:val="7"/>
  </w:num>
  <w:num w:numId="5">
    <w:abstractNumId w:val="5"/>
  </w:num>
  <w:num w:numId="6">
    <w:abstractNumId w:val="3"/>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NjQyZTEwMThkZmRmNDAyZTZiYmEzYjZiNGZmYTU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6DB"/>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3FF"/>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4FA5"/>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4D"/>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31C"/>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46E39"/>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C54BD"/>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02BF"/>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27A0"/>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06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5D68"/>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2682"/>
    <w:rsid w:val="00FF3198"/>
    <w:rsid w:val="00FF5A34"/>
    <w:rsid w:val="00FF6F04"/>
    <w:rsid w:val="010033FE"/>
    <w:rsid w:val="01285229"/>
    <w:rsid w:val="01F81427"/>
    <w:rsid w:val="03F93561"/>
    <w:rsid w:val="04C840C5"/>
    <w:rsid w:val="05D34727"/>
    <w:rsid w:val="062F07EF"/>
    <w:rsid w:val="06B331CE"/>
    <w:rsid w:val="082246DF"/>
    <w:rsid w:val="08931933"/>
    <w:rsid w:val="0A011D83"/>
    <w:rsid w:val="0A851326"/>
    <w:rsid w:val="0ABF3657"/>
    <w:rsid w:val="0AEA54F5"/>
    <w:rsid w:val="0AF24B9B"/>
    <w:rsid w:val="0B4A1776"/>
    <w:rsid w:val="0C786503"/>
    <w:rsid w:val="0D1A04C9"/>
    <w:rsid w:val="0D240045"/>
    <w:rsid w:val="0DD51C7C"/>
    <w:rsid w:val="0E0544D1"/>
    <w:rsid w:val="0E434661"/>
    <w:rsid w:val="0F55482C"/>
    <w:rsid w:val="0F7D2DA5"/>
    <w:rsid w:val="10757130"/>
    <w:rsid w:val="10BE6606"/>
    <w:rsid w:val="112B34AD"/>
    <w:rsid w:val="11DF3E08"/>
    <w:rsid w:val="11FD732D"/>
    <w:rsid w:val="11FF5827"/>
    <w:rsid w:val="124D3697"/>
    <w:rsid w:val="12AD3208"/>
    <w:rsid w:val="140A0A73"/>
    <w:rsid w:val="14130142"/>
    <w:rsid w:val="16694FE2"/>
    <w:rsid w:val="169326D4"/>
    <w:rsid w:val="16D30781"/>
    <w:rsid w:val="173D2504"/>
    <w:rsid w:val="17FD48E5"/>
    <w:rsid w:val="18090C43"/>
    <w:rsid w:val="1820601B"/>
    <w:rsid w:val="18FB5F15"/>
    <w:rsid w:val="1AE11B9B"/>
    <w:rsid w:val="1B321622"/>
    <w:rsid w:val="1C8E7CEB"/>
    <w:rsid w:val="1C9E2B33"/>
    <w:rsid w:val="1D886D0B"/>
    <w:rsid w:val="1E8A0D47"/>
    <w:rsid w:val="1EC80042"/>
    <w:rsid w:val="1ED61CF8"/>
    <w:rsid w:val="1EF33837"/>
    <w:rsid w:val="1F9C38D3"/>
    <w:rsid w:val="20175E92"/>
    <w:rsid w:val="20767551"/>
    <w:rsid w:val="207C31C3"/>
    <w:rsid w:val="208714FC"/>
    <w:rsid w:val="20A52646"/>
    <w:rsid w:val="21110DC5"/>
    <w:rsid w:val="21380A0A"/>
    <w:rsid w:val="21DB64E2"/>
    <w:rsid w:val="221C4C30"/>
    <w:rsid w:val="22A70B6C"/>
    <w:rsid w:val="23550631"/>
    <w:rsid w:val="23A1192D"/>
    <w:rsid w:val="23C14303"/>
    <w:rsid w:val="23FF4622"/>
    <w:rsid w:val="24244F5F"/>
    <w:rsid w:val="2555021A"/>
    <w:rsid w:val="2589792B"/>
    <w:rsid w:val="267267AA"/>
    <w:rsid w:val="269C0FD7"/>
    <w:rsid w:val="27432BC1"/>
    <w:rsid w:val="27BD1A2E"/>
    <w:rsid w:val="27F0275A"/>
    <w:rsid w:val="28234CC2"/>
    <w:rsid w:val="28580092"/>
    <w:rsid w:val="28BC23D4"/>
    <w:rsid w:val="2AA10ED5"/>
    <w:rsid w:val="2ADA0518"/>
    <w:rsid w:val="2BAE62DC"/>
    <w:rsid w:val="2BE81AE0"/>
    <w:rsid w:val="2C403817"/>
    <w:rsid w:val="2C921974"/>
    <w:rsid w:val="2DA35CF6"/>
    <w:rsid w:val="2DBE14C9"/>
    <w:rsid w:val="2DD92567"/>
    <w:rsid w:val="2F6A64D8"/>
    <w:rsid w:val="2FB64281"/>
    <w:rsid w:val="2FF25686"/>
    <w:rsid w:val="301765BD"/>
    <w:rsid w:val="30616EA9"/>
    <w:rsid w:val="30E75142"/>
    <w:rsid w:val="313E5C07"/>
    <w:rsid w:val="31A44D82"/>
    <w:rsid w:val="31EC174B"/>
    <w:rsid w:val="32BE120D"/>
    <w:rsid w:val="32E612B7"/>
    <w:rsid w:val="330C0EF9"/>
    <w:rsid w:val="33506DE6"/>
    <w:rsid w:val="344B5501"/>
    <w:rsid w:val="348E75AB"/>
    <w:rsid w:val="356674DA"/>
    <w:rsid w:val="35A54CED"/>
    <w:rsid w:val="362C0724"/>
    <w:rsid w:val="37534CA7"/>
    <w:rsid w:val="37D824F1"/>
    <w:rsid w:val="39986745"/>
    <w:rsid w:val="3A3519D1"/>
    <w:rsid w:val="3ACE7AB8"/>
    <w:rsid w:val="3AFF06C5"/>
    <w:rsid w:val="3B0C4DFA"/>
    <w:rsid w:val="3C4D26C6"/>
    <w:rsid w:val="3C6D5D2F"/>
    <w:rsid w:val="3D044EFC"/>
    <w:rsid w:val="3D09324B"/>
    <w:rsid w:val="3D714641"/>
    <w:rsid w:val="3E6946AD"/>
    <w:rsid w:val="3E907376"/>
    <w:rsid w:val="3EB60CB3"/>
    <w:rsid w:val="3EC436F9"/>
    <w:rsid w:val="3F740895"/>
    <w:rsid w:val="3FB93DC6"/>
    <w:rsid w:val="3FCB5409"/>
    <w:rsid w:val="400F48E4"/>
    <w:rsid w:val="402369E7"/>
    <w:rsid w:val="402A691C"/>
    <w:rsid w:val="403A1C8F"/>
    <w:rsid w:val="40E165AE"/>
    <w:rsid w:val="414B0270"/>
    <w:rsid w:val="422E66F3"/>
    <w:rsid w:val="4275164D"/>
    <w:rsid w:val="430A3262"/>
    <w:rsid w:val="4488746D"/>
    <w:rsid w:val="448F18B0"/>
    <w:rsid w:val="46A824B9"/>
    <w:rsid w:val="46BB170B"/>
    <w:rsid w:val="47510906"/>
    <w:rsid w:val="476E3E73"/>
    <w:rsid w:val="47D66741"/>
    <w:rsid w:val="48E649AE"/>
    <w:rsid w:val="495D70F7"/>
    <w:rsid w:val="4A5E5147"/>
    <w:rsid w:val="4B0275FC"/>
    <w:rsid w:val="4B7D5F80"/>
    <w:rsid w:val="4BD458ED"/>
    <w:rsid w:val="4BF40741"/>
    <w:rsid w:val="4C14506B"/>
    <w:rsid w:val="4C5E019B"/>
    <w:rsid w:val="4DDC4386"/>
    <w:rsid w:val="4E724CEA"/>
    <w:rsid w:val="4F64249F"/>
    <w:rsid w:val="4F6E1200"/>
    <w:rsid w:val="4FEE189E"/>
    <w:rsid w:val="4FEF27CF"/>
    <w:rsid w:val="50A1482A"/>
    <w:rsid w:val="51936BF0"/>
    <w:rsid w:val="52157B5B"/>
    <w:rsid w:val="52937A30"/>
    <w:rsid w:val="53F038EA"/>
    <w:rsid w:val="54B9218E"/>
    <w:rsid w:val="553C5FC1"/>
    <w:rsid w:val="56B65CC1"/>
    <w:rsid w:val="5936697F"/>
    <w:rsid w:val="596674B0"/>
    <w:rsid w:val="59BA69E3"/>
    <w:rsid w:val="5A661DF4"/>
    <w:rsid w:val="5ACF0178"/>
    <w:rsid w:val="5B3F5F54"/>
    <w:rsid w:val="5B535726"/>
    <w:rsid w:val="5B5E287E"/>
    <w:rsid w:val="5BB75372"/>
    <w:rsid w:val="5C3E17F9"/>
    <w:rsid w:val="5CD5691D"/>
    <w:rsid w:val="5D3A6920"/>
    <w:rsid w:val="5D56239D"/>
    <w:rsid w:val="5D8135CC"/>
    <w:rsid w:val="5E4519DC"/>
    <w:rsid w:val="600446EC"/>
    <w:rsid w:val="600D2EE6"/>
    <w:rsid w:val="61A6685E"/>
    <w:rsid w:val="61AB569B"/>
    <w:rsid w:val="621760F6"/>
    <w:rsid w:val="62246B60"/>
    <w:rsid w:val="644041B0"/>
    <w:rsid w:val="644F1ACD"/>
    <w:rsid w:val="65000A5F"/>
    <w:rsid w:val="67FF1998"/>
    <w:rsid w:val="680D1D99"/>
    <w:rsid w:val="69431270"/>
    <w:rsid w:val="6A1A2066"/>
    <w:rsid w:val="6A4924D4"/>
    <w:rsid w:val="6A7F4F75"/>
    <w:rsid w:val="6AA73316"/>
    <w:rsid w:val="6ACA16F9"/>
    <w:rsid w:val="6ADF127C"/>
    <w:rsid w:val="6B0F32F3"/>
    <w:rsid w:val="6B16774A"/>
    <w:rsid w:val="6BBD3B1A"/>
    <w:rsid w:val="6C304422"/>
    <w:rsid w:val="6C48473F"/>
    <w:rsid w:val="6C852C9E"/>
    <w:rsid w:val="6CE77AD2"/>
    <w:rsid w:val="6CE90920"/>
    <w:rsid w:val="6EB93B1F"/>
    <w:rsid w:val="6ECE2681"/>
    <w:rsid w:val="6ED07EFC"/>
    <w:rsid w:val="700B5C22"/>
    <w:rsid w:val="709D6190"/>
    <w:rsid w:val="717165A8"/>
    <w:rsid w:val="71DA4A4F"/>
    <w:rsid w:val="72340F9C"/>
    <w:rsid w:val="728D7448"/>
    <w:rsid w:val="740B1B14"/>
    <w:rsid w:val="74951B72"/>
    <w:rsid w:val="74EB1DB0"/>
    <w:rsid w:val="75B93A51"/>
    <w:rsid w:val="75C12BF5"/>
    <w:rsid w:val="76FF6603"/>
    <w:rsid w:val="774152C9"/>
    <w:rsid w:val="78104467"/>
    <w:rsid w:val="78EF2620"/>
    <w:rsid w:val="793070F8"/>
    <w:rsid w:val="79D825C1"/>
    <w:rsid w:val="7B5D131E"/>
    <w:rsid w:val="7DB41B16"/>
    <w:rsid w:val="7DEB79E2"/>
    <w:rsid w:val="7DFC5027"/>
    <w:rsid w:val="7E002D54"/>
    <w:rsid w:val="7EEC3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Char"/>
    <w:basedOn w:val="25"/>
    <w:link w:val="17"/>
    <w:qFormat/>
    <w:uiPriority w:val="99"/>
    <w:rPr>
      <w:sz w:val="18"/>
      <w:szCs w:val="18"/>
    </w:rPr>
  </w:style>
  <w:style w:type="character" w:customStyle="1" w:styleId="36">
    <w:name w:val="页脚 Char"/>
    <w:basedOn w:val="25"/>
    <w:link w:val="16"/>
    <w:qFormat/>
    <w:uiPriority w:val="99"/>
    <w:rPr>
      <w:sz w:val="18"/>
      <w:szCs w:val="18"/>
    </w:rPr>
  </w:style>
  <w:style w:type="character" w:customStyle="1" w:styleId="37">
    <w:name w:val="标题 1 Char"/>
    <w:basedOn w:val="25"/>
    <w:link w:val="2"/>
    <w:qFormat/>
    <w:uiPriority w:val="9"/>
    <w:rPr>
      <w:rFonts w:ascii="Times New Roman" w:hAnsi="Times New Roman" w:eastAsia="宋体" w:cs="Times New Roman"/>
      <w:b/>
      <w:bCs/>
      <w:kern w:val="44"/>
      <w:sz w:val="44"/>
      <w:szCs w:val="44"/>
    </w:rPr>
  </w:style>
  <w:style w:type="character" w:customStyle="1" w:styleId="38">
    <w:name w:val="标题 2 Char"/>
    <w:basedOn w:val="25"/>
    <w:link w:val="3"/>
    <w:qFormat/>
    <w:uiPriority w:val="9"/>
    <w:rPr>
      <w:rFonts w:ascii="Cambria" w:hAnsi="Cambria" w:eastAsia="宋体" w:cs="Times New Roman"/>
      <w:b/>
      <w:bCs/>
      <w:sz w:val="32"/>
      <w:szCs w:val="32"/>
    </w:rPr>
  </w:style>
  <w:style w:type="character" w:customStyle="1" w:styleId="39">
    <w:name w:val="标题 3 Char"/>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Char"/>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Char"/>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Char2"/>
    <w:link w:val="13"/>
    <w:qFormat/>
    <w:uiPriority w:val="99"/>
    <w:rPr>
      <w:rFonts w:ascii="宋体" w:hAnsi="Courier New"/>
      <w:sz w:val="24"/>
      <w:szCs w:val="24"/>
    </w:rPr>
  </w:style>
  <w:style w:type="character" w:customStyle="1" w:styleId="56">
    <w:name w:val="批注主题 Char"/>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Char"/>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Char"/>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Char"/>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Char"/>
    <w:basedOn w:val="25"/>
    <w:link w:val="10"/>
    <w:qFormat/>
    <w:uiPriority w:val="99"/>
    <w:rPr>
      <w:rFonts w:ascii="Times New Roman" w:hAnsi="Times New Roman" w:eastAsia="宋体" w:cs="Times New Roman"/>
      <w:sz w:val="28"/>
      <w:szCs w:val="24"/>
    </w:rPr>
  </w:style>
  <w:style w:type="character" w:customStyle="1" w:styleId="84">
    <w:name w:val="批注框文本 Char"/>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Char"/>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首行缩进 2 Char"/>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Unresolved Mention"/>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8E11E-4CEB-4460-BBEA-200B8F2143DE}">
  <ds:schemaRefs/>
</ds:datastoreItem>
</file>

<file path=docProps/app.xml><?xml version="1.0" encoding="utf-8"?>
<Properties xmlns="http://schemas.openxmlformats.org/officeDocument/2006/extended-properties" xmlns:vt="http://schemas.openxmlformats.org/officeDocument/2006/docPropsVTypes">
  <Template>Normal</Template>
  <Pages>50</Pages>
  <Words>26183</Words>
  <Characters>27543</Characters>
  <Lines>233</Lines>
  <Paragraphs>65</Paragraphs>
  <TotalTime>1</TotalTime>
  <ScaleCrop>false</ScaleCrop>
  <LinksUpToDate>false</LinksUpToDate>
  <CharactersWithSpaces>27754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温瑶</cp:lastModifiedBy>
  <cp:lastPrinted>2022-10-31T00:58:00Z</cp:lastPrinted>
  <dcterms:modified xsi:type="dcterms:W3CDTF">2025-07-11T01:52:39Z</dcterms:modified>
  <cp:revision>1058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B363B45C01FF4C5A8AB2573BD522DAF7</vt:lpwstr>
  </property>
  <property fmtid="{D5CDD505-2E9C-101B-9397-08002B2CF9AE}" pid="4" name="KSOTemplateDocerSaveRecord">
    <vt:lpwstr>eyJoZGlkIjoiYmFjNjQyZTEwMThkZmRmNDAyZTZiYmEzYjZiNGZmYTUiLCJ1c2VySWQiOiIxNjEzNDM1NjUyIn0=</vt:lpwstr>
  </property>
</Properties>
</file>