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杭州医学院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杭州医学院大仪平台扩容建设</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杭州医学院大仪平台扩容建设</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HMC20250609091</w:t>
      </w:r>
      <w:r>
        <w:rPr>
          <w:rFonts w:hint="eastAsia" w:ascii="楷体" w:hAnsi="楷体" w:eastAsia="楷体" w:cs="Times New Roman"/>
          <w:b/>
          <w:spacing w:val="-6"/>
          <w:sz w:val="30"/>
          <w:szCs w:val="30"/>
          <w:highlight w:val="none"/>
          <w:lang w:eastAsia="zh-CN"/>
        </w:rPr>
        <w:tab/>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杭州医学院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[2025]32481号</w:t>
      </w:r>
    </w:p>
    <w:p w14:paraId="6DF20D90">
      <w:pPr>
        <w:adjustRightInd w:val="0"/>
        <w:snapToGrid w:val="0"/>
        <w:spacing w:line="288" w:lineRule="auto"/>
        <w:rPr>
          <w:rFonts w:ascii="楷体" w:hAnsi="楷体" w:eastAsia="楷体" w:cs="Times New Roman"/>
          <w:b/>
          <w:szCs w:val="21"/>
          <w:highlight w:val="none"/>
        </w:rPr>
      </w:pPr>
    </w:p>
    <w:p w14:paraId="5742F435">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AF4741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杭州医学院大仪平台扩容建设</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w:t>
      </w:r>
      <w:r>
        <w:rPr>
          <w:rFonts w:hint="eastAsia" w:ascii="宋体" w:hAnsi="宋体" w:eastAsia="宋体" w:cs="Times New Roman"/>
          <w:b/>
          <w:szCs w:val="21"/>
          <w:highlight w:val="none"/>
          <w:u w:val="single"/>
        </w:rPr>
        <w:t>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5</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val="en-US" w:eastAsia="zh-CN"/>
        </w:rPr>
        <w:t>7</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11</w:t>
      </w:r>
      <w:r>
        <w:rPr>
          <w:rFonts w:hint="eastAsia" w:ascii="宋体" w:hAnsi="宋体" w:eastAsia="宋体" w:cs="Times New Roman"/>
          <w:b/>
          <w:szCs w:val="21"/>
          <w:highlight w:val="none"/>
          <w:u w:val="single"/>
        </w:rPr>
        <w:t>日9:</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w:t>
      </w:r>
      <w:r>
        <w:rPr>
          <w:rFonts w:ascii="宋体" w:hAnsi="宋体" w:eastAsia="宋体" w:cs="Times New Roman"/>
          <w:b/>
          <w:bCs/>
          <w:szCs w:val="21"/>
          <w:highlight w:val="none"/>
        </w:rPr>
        <w:t>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HMC20250609091</w:t>
      </w:r>
      <w:r>
        <w:rPr>
          <w:rFonts w:hint="eastAsia" w:ascii="宋体" w:hAnsi="宋体" w:eastAsia="宋体" w:cs="Times New Roman"/>
          <w:szCs w:val="21"/>
          <w:highlight w:val="none"/>
          <w:lang w:eastAsia="zh-CN"/>
        </w:rPr>
        <w:tab/>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杭州医学院大仪平台扩容建设</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.预算金额：24</w:t>
      </w:r>
      <w:r>
        <w:rPr>
          <w:rFonts w:hint="eastAsia" w:ascii="宋体" w:hAnsi="宋体" w:eastAsia="宋体" w:cs="Times New Roman"/>
          <w:szCs w:val="21"/>
          <w:highlight w:val="none"/>
          <w:lang w:val="en-US" w:eastAsia="zh-CN"/>
        </w:rPr>
        <w:t>0000元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.最高限价：24</w:t>
      </w:r>
      <w:r>
        <w:rPr>
          <w:rFonts w:hint="eastAsia" w:ascii="宋体" w:hAnsi="宋体" w:eastAsia="宋体" w:cs="Times New Roman"/>
          <w:szCs w:val="21"/>
          <w:highlight w:val="none"/>
          <w:lang w:val="en-US" w:eastAsia="zh-CN"/>
        </w:rPr>
        <w:t>0000元</w:t>
      </w:r>
    </w:p>
    <w:p w14:paraId="1AC75271">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.合同履约期限：自合同签订之日起，90个日历日内供货到位。</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rPr>
        <w:t>7</w:t>
      </w:r>
      <w:r>
        <w:rPr>
          <w:rFonts w:hint="eastAsia" w:ascii="宋体" w:hAnsi="宋体" w:eastAsia="宋体" w:cs="Times New Roman"/>
          <w:szCs w:val="21"/>
        </w:rPr>
        <w:t>.采</w:t>
      </w:r>
      <w:r>
        <w:rPr>
          <w:rFonts w:hint="eastAsia" w:ascii="宋体" w:hAnsi="宋体" w:eastAsia="宋体" w:cs="Times New Roman"/>
          <w:szCs w:val="21"/>
          <w:highlight w:val="none"/>
        </w:rPr>
        <w:t>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675" w:type="dxa"/>
            <w:tcBorders>
              <w:tl2br w:val="nil"/>
              <w:tr2bl w:val="nil"/>
            </w:tcBorders>
            <w:vAlign w:val="center"/>
          </w:tcPr>
          <w:p w14:paraId="328CEC5F">
            <w:pPr>
              <w:adjustRightInd w:val="0"/>
              <w:snapToGrid w:val="0"/>
              <w:spacing w:line="288" w:lineRule="auto"/>
              <w:jc w:val="both"/>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006" w:type="dxa"/>
            <w:tcBorders>
              <w:right w:val="single" w:color="auto" w:sz="4" w:space="0"/>
              <w:tl2br w:val="nil"/>
              <w:tr2bl w:val="nil"/>
            </w:tcBorders>
            <w:vAlign w:val="center"/>
          </w:tcPr>
          <w:p w14:paraId="1105D218">
            <w:pPr>
              <w:wordWrap w:val="0"/>
              <w:spacing w:line="273" w:lineRule="exact"/>
              <w:jc w:val="left"/>
              <w:rPr>
                <w:rFonts w:ascii="宋体" w:hAnsi="宋体" w:eastAsia="宋体" w:cs="宋体"/>
                <w:bCs/>
                <w:szCs w:val="21"/>
                <w:highlight w:val="none"/>
              </w:rPr>
            </w:pPr>
            <w:r>
              <w:rPr>
                <w:rFonts w:ascii="宋体" w:hAnsi="宋体" w:eastAsia="宋体" w:cs="宋体"/>
                <w:color w:val="000000"/>
              </w:rPr>
              <w:t>实验仪器共享账单管理系统</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7EF2B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B81C6A2">
            <w:pPr>
              <w:adjustRightInd w:val="0"/>
              <w:snapToGrid w:val="0"/>
              <w:spacing w:line="288" w:lineRule="auto"/>
              <w:jc w:val="center"/>
              <w:rPr>
                <w:rFonts w:hint="default" w:ascii="宋体" w:hAnsi="宋体" w:eastAsia="宋体" w:cs="宋体"/>
                <w:bCs/>
                <w:szCs w:val="21"/>
                <w:highlight w:val="none"/>
                <w:lang w:val="en-US" w:eastAsia="zh-CN"/>
              </w:rPr>
            </w:pPr>
            <w:bookmarkStart w:id="5" w:name="_Toc28359080"/>
            <w:bookmarkStart w:id="6" w:name="_Toc35393791"/>
            <w:bookmarkStart w:id="7" w:name="_Toc35393622"/>
            <w:bookmarkStart w:id="8" w:name="_Toc28359003"/>
            <w:r>
              <w:rPr>
                <w:rFonts w:hint="eastAsia" w:ascii="宋体" w:hAnsi="宋体" w:eastAsia="宋体" w:cs="宋体"/>
                <w:bCs/>
                <w:szCs w:val="21"/>
                <w:highlight w:val="none"/>
                <w:lang w:val="en-US" w:eastAsia="zh-CN"/>
              </w:rPr>
              <w:t>2</w:t>
            </w:r>
          </w:p>
        </w:tc>
        <w:tc>
          <w:tcPr>
            <w:tcW w:w="3006" w:type="dxa"/>
            <w:tcBorders>
              <w:right w:val="single" w:color="auto" w:sz="4" w:space="0"/>
              <w:tl2br w:val="nil"/>
              <w:tr2bl w:val="nil"/>
            </w:tcBorders>
            <w:vAlign w:val="center"/>
          </w:tcPr>
          <w:p w14:paraId="2F076180">
            <w:pPr>
              <w:wordWrap w:val="0"/>
              <w:spacing w:line="273" w:lineRule="exact"/>
              <w:jc w:val="left"/>
              <w:rPr>
                <w:rFonts w:hint="eastAsia" w:ascii="宋体" w:hAnsi="宋体" w:eastAsia="宋体" w:cs="Times New Roman"/>
                <w:szCs w:val="21"/>
                <w:highlight w:val="none"/>
                <w:lang w:eastAsia="zh-CN"/>
              </w:rPr>
            </w:pPr>
            <w:r>
              <w:rPr>
                <w:rFonts w:ascii="宋体" w:hAnsi="宋体" w:eastAsia="宋体" w:cs="宋体"/>
                <w:color w:val="000000"/>
              </w:rPr>
              <w:t>培训及安全准入系统</w:t>
            </w:r>
          </w:p>
        </w:tc>
        <w:tc>
          <w:tcPr>
            <w:tcW w:w="708" w:type="dxa"/>
            <w:tcBorders>
              <w:tl2br w:val="nil"/>
              <w:tr2bl w:val="nil"/>
            </w:tcBorders>
            <w:vAlign w:val="center"/>
          </w:tcPr>
          <w:p w14:paraId="1DA64FF1">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26628E1F">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6130ABCA">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65F685EE">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0BF9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D681A40">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w:t>
            </w:r>
          </w:p>
        </w:tc>
        <w:tc>
          <w:tcPr>
            <w:tcW w:w="3006" w:type="dxa"/>
            <w:tcBorders>
              <w:right w:val="single" w:color="auto" w:sz="4" w:space="0"/>
              <w:tl2br w:val="nil"/>
              <w:tr2bl w:val="nil"/>
            </w:tcBorders>
            <w:vAlign w:val="center"/>
          </w:tcPr>
          <w:p w14:paraId="266A4168">
            <w:pPr>
              <w:wordWrap w:val="0"/>
              <w:spacing w:line="273" w:lineRule="exact"/>
              <w:jc w:val="left"/>
              <w:rPr>
                <w:rFonts w:hint="eastAsia" w:ascii="宋体" w:hAnsi="宋体" w:eastAsia="宋体" w:cs="Times New Roman"/>
                <w:szCs w:val="21"/>
                <w:highlight w:val="none"/>
                <w:lang w:eastAsia="zh-CN"/>
              </w:rPr>
            </w:pPr>
            <w:r>
              <w:rPr>
                <w:rFonts w:ascii="宋体" w:hAnsi="宋体" w:eastAsia="宋体" w:cs="宋体"/>
                <w:color w:val="000000"/>
              </w:rPr>
              <w:t>大仪平台门禁对接管理模块</w:t>
            </w:r>
          </w:p>
        </w:tc>
        <w:tc>
          <w:tcPr>
            <w:tcW w:w="708" w:type="dxa"/>
            <w:tcBorders>
              <w:tl2br w:val="nil"/>
              <w:tr2bl w:val="nil"/>
            </w:tcBorders>
            <w:vAlign w:val="center"/>
          </w:tcPr>
          <w:p w14:paraId="1FFCA949">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011D58A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48239085">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4D9DF417">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43DB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45D574C">
            <w:pPr>
              <w:adjustRightInd w:val="0"/>
              <w:snapToGrid w:val="0"/>
              <w:spacing w:line="288" w:lineRule="auto"/>
              <w:jc w:val="center"/>
              <w:rPr>
                <w:rFonts w:hint="default" w:ascii="宋体" w:hAnsi="宋体" w:eastAsia="宋体" w:cs="宋体"/>
                <w:bCs/>
                <w:szCs w:val="21"/>
                <w:highlight w:val="none"/>
                <w:lang w:val="en-US" w:eastAsia="zh-CN"/>
              </w:rPr>
            </w:pPr>
            <w:bookmarkStart w:id="59" w:name="_GoBack"/>
            <w:r>
              <w:rPr>
                <w:rFonts w:hint="eastAsia" w:ascii="宋体" w:hAnsi="宋体" w:eastAsia="宋体" w:cs="宋体"/>
                <w:bCs/>
                <w:szCs w:val="21"/>
                <w:highlight w:val="none"/>
                <w:lang w:val="en-US" w:eastAsia="zh-CN"/>
              </w:rPr>
              <w:t>4</w:t>
            </w:r>
          </w:p>
        </w:tc>
        <w:tc>
          <w:tcPr>
            <w:tcW w:w="3006" w:type="dxa"/>
            <w:tcBorders>
              <w:right w:val="single" w:color="auto" w:sz="4" w:space="0"/>
              <w:tl2br w:val="nil"/>
              <w:tr2bl w:val="nil"/>
            </w:tcBorders>
            <w:vAlign w:val="center"/>
          </w:tcPr>
          <w:p w14:paraId="39FEAADA">
            <w:pPr>
              <w:wordWrap w:val="0"/>
              <w:spacing w:line="273" w:lineRule="exact"/>
              <w:jc w:val="left"/>
              <w:rPr>
                <w:rFonts w:hint="eastAsia" w:ascii="宋体" w:hAnsi="宋体" w:eastAsia="宋体" w:cs="Times New Roman"/>
                <w:szCs w:val="21"/>
                <w:highlight w:val="none"/>
                <w:lang w:eastAsia="zh-CN"/>
              </w:rPr>
            </w:pPr>
            <w:r>
              <w:rPr>
                <w:rFonts w:ascii="宋体" w:hAnsi="宋体" w:eastAsia="宋体" w:cs="宋体"/>
                <w:color w:val="000000"/>
                <w:highlight w:val="none"/>
              </w:rPr>
              <w:t>科研实验数据存储及溯源系统</w:t>
            </w:r>
          </w:p>
        </w:tc>
        <w:tc>
          <w:tcPr>
            <w:tcW w:w="708" w:type="dxa"/>
            <w:tcBorders>
              <w:tl2br w:val="nil"/>
              <w:tr2bl w:val="nil"/>
            </w:tcBorders>
            <w:vAlign w:val="center"/>
          </w:tcPr>
          <w:p w14:paraId="7B3D32A2">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1966F1D1">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6AE26A36">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26694B4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090E04F">
      <w:pPr>
        <w:adjustRightInd w:val="0"/>
        <w:snapToGrid w:val="0"/>
        <w:spacing w:line="288" w:lineRule="auto"/>
        <w:ind w:firstLine="420" w:firstLineChars="200"/>
        <w:rPr>
          <w:rFonts w:hint="eastAsia" w:ascii="宋体" w:hAnsi="宋体" w:eastAsia="宋体" w:cs="Times New Roman"/>
          <w:b/>
          <w:bCs/>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b/>
          <w:bCs/>
          <w:szCs w:val="21"/>
          <w:highlight w:val="none"/>
        </w:rPr>
        <w:t>本项目专门面向中小企业采购，提供中小企业声明函；</w:t>
      </w:r>
    </w:p>
    <w:p w14:paraId="20F9E9F4">
      <w:pPr>
        <w:adjustRightInd w:val="0"/>
        <w:snapToGrid w:val="0"/>
        <w:spacing w:line="288" w:lineRule="auto"/>
        <w:ind w:firstLine="422" w:firstLineChars="200"/>
        <w:rPr>
          <w:rFonts w:hint="eastAsia" w:ascii="宋体" w:hAnsi="宋体" w:eastAsia="宋体" w:cs="Times New Roman"/>
          <w:b/>
          <w:bCs/>
          <w:szCs w:val="21"/>
          <w:highlight w:val="none"/>
        </w:rPr>
      </w:pPr>
      <w:bookmarkStart w:id="11" w:name="_Hlk162425753"/>
      <w:r>
        <w:rPr>
          <w:rFonts w:hint="eastAsia" w:ascii="宋体" w:hAnsi="宋体" w:eastAsia="宋体" w:cs="Times New Roman"/>
          <w:b/>
          <w:bCs/>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bookmarkEnd w:id="11"/>
    </w:p>
    <w:p w14:paraId="2E90F269">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监狱企业、残疾人福利性单位视同小型、微型企业；</w:t>
      </w:r>
    </w:p>
    <w:p w14:paraId="09B0658A">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本项目属性为：货物</w:t>
      </w:r>
    </w:p>
    <w:p w14:paraId="4F3405DF">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采购标的对应的中小企业划分标准所属行业：软件和信息技术服务业</w:t>
      </w:r>
    </w:p>
    <w:p w14:paraId="19D21255">
      <w:pPr>
        <w:adjustRightInd w:val="0"/>
        <w:snapToGrid w:val="0"/>
        <w:spacing w:line="288" w:lineRule="auto"/>
        <w:ind w:firstLine="422" w:firstLineChars="200"/>
        <w:rPr>
          <w:rFonts w:hint="eastAsia" w:ascii="宋体" w:hAnsi="宋体" w:eastAsia="宋体" w:cs="Times New Roman"/>
          <w:szCs w:val="21"/>
          <w:highlight w:val="none"/>
        </w:rPr>
      </w:pPr>
      <w:r>
        <w:rPr>
          <w:rFonts w:hint="eastAsia" w:ascii="宋体" w:hAnsi="宋体" w:eastAsia="宋体" w:cs="Times New Roman"/>
          <w:b/>
          <w:bCs/>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792"/>
      <w:bookmarkStart w:id="13" w:name="_Toc35393623"/>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82"/>
      <w:bookmarkStart w:id="15" w:name="_Toc28359005"/>
      <w:bookmarkStart w:id="16" w:name="_Toc35393624"/>
      <w:bookmarkStart w:id="17"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highlight w:val="none"/>
        </w:rPr>
      </w:pPr>
      <w:bookmarkStart w:id="20" w:name="_Toc35393625"/>
      <w:bookmarkStart w:id="21" w:name="_Toc28359084"/>
      <w:bookmarkStart w:id="22" w:name="_Toc28359007"/>
      <w:bookmarkStart w:id="23" w:name="_Toc35393794"/>
      <w:r>
        <w:rPr>
          <w:rFonts w:hint="eastAsia" w:ascii="宋体" w:hAnsi="宋体" w:eastAsia="宋体" w:cs="宋体"/>
          <w:b/>
          <w:szCs w:val="21"/>
          <w:highlight w:val="none"/>
        </w:rPr>
        <w:t>五、公告期限</w:t>
      </w:r>
      <w:bookmarkEnd w:id="20"/>
      <w:bookmarkEnd w:id="21"/>
      <w:bookmarkEnd w:id="22"/>
      <w:bookmarkEnd w:id="23"/>
    </w:p>
    <w:bookmarkEnd w:id="59"/>
    <w:p w14:paraId="30EEB98F">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ascii="宋体" w:hAnsi="宋体" w:eastAsia="宋体" w:cs="宋体"/>
          <w:b/>
          <w:szCs w:val="21"/>
        </w:rPr>
      </w:pPr>
      <w:bookmarkStart w:id="24" w:name="_Toc35393795"/>
      <w:bookmarkStart w:id="25" w:name="_Toc35393626"/>
      <w:r>
        <w:rPr>
          <w:rFonts w:hint="eastAsia" w:ascii="宋体" w:hAnsi="宋体" w:eastAsia="宋体" w:cs="宋体"/>
          <w:b/>
          <w:szCs w:val="21"/>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highlight w:val="none"/>
        </w:rPr>
      </w:pPr>
      <w:bookmarkStart w:id="30" w:name="_Toc28359008"/>
      <w:bookmarkStart w:id="31" w:name="_Toc35393627"/>
      <w:bookmarkStart w:id="32" w:name="_Toc35393796"/>
      <w:bookmarkStart w:id="33" w:name="_Toc28359085"/>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30"/>
      <w:bookmarkEnd w:id="31"/>
      <w:bookmarkEnd w:id="32"/>
      <w:bookmarkEnd w:id="33"/>
    </w:p>
    <w:p w14:paraId="1495D425">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669684C7">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名称：杭州医学院</w:t>
      </w:r>
    </w:p>
    <w:p w14:paraId="6CB0BF45">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地址：杭州市临安区颐康街8号</w:t>
      </w:r>
    </w:p>
    <w:p w14:paraId="7E0FA1D0">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采购项目联系人：韩老师</w:t>
      </w:r>
    </w:p>
    <w:p w14:paraId="194EE6F5">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采购项目联系方式：0571-88926237</w:t>
      </w:r>
    </w:p>
    <w:p w14:paraId="2FC7160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质疑联系人：毛老师</w:t>
      </w:r>
    </w:p>
    <w:p w14:paraId="55B3BA24">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质疑联系方式：0571-87692652</w:t>
      </w:r>
    </w:p>
    <w:p w14:paraId="00F43DF0">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王莹、王鑫涛</w:t>
      </w:r>
    </w:p>
    <w:p w14:paraId="2506E43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项目联系方式（询问）：0571-8766</w:t>
      </w:r>
      <w:r>
        <w:rPr>
          <w:rFonts w:hint="eastAsia" w:ascii="宋体" w:hAnsi="宋体" w:eastAsia="宋体" w:cs="Times New Roman"/>
          <w:szCs w:val="21"/>
          <w:highlight w:val="none"/>
          <w:lang w:val="en-US" w:eastAsia="zh-CN"/>
        </w:rPr>
        <w:t>6117</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4" w:name="_Hlk124147873"/>
    </w:p>
    <w:p w14:paraId="413F16A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FF0000"/>
          <w:spacing w:val="-6"/>
          <w:szCs w:val="21"/>
          <w:highlight w:val="none"/>
        </w:rPr>
      </w:pPr>
      <w:r>
        <w:rPr>
          <w:rFonts w:ascii="宋体" w:hAnsi="宋体" w:eastAsia="宋体" w:cs="Times New Roman"/>
          <w:spacing w:val="-6"/>
          <w:szCs w:val="21"/>
          <w:highlight w:val="none"/>
        </w:rPr>
        <w:t>地址：</w:t>
      </w:r>
      <w:r>
        <w:rPr>
          <w:rFonts w:hint="eastAsia" w:ascii="宋体" w:hAnsi="宋体" w:eastAsia="宋体" w:cs="Times New Roman"/>
          <w:color w:val="FF0000"/>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w:t>
      </w:r>
      <w:r>
        <w:rPr>
          <w:rFonts w:hint="eastAsia" w:ascii="宋体" w:hAnsi="宋体" w:eastAsia="宋体" w:cs="Times New Roman"/>
          <w:color w:val="FF0000"/>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6A72CF4F">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投诉联系人：唐老师/朱老师</w:t>
      </w:r>
    </w:p>
    <w:p w14:paraId="0EAFD24C">
      <w:pPr>
        <w:adjustRightInd w:val="0"/>
        <w:snapToGrid w:val="0"/>
        <w:spacing w:line="288" w:lineRule="auto"/>
        <w:ind w:firstLine="370"/>
        <w:rPr>
          <w:rFonts w:hint="eastAsia" w:ascii="宋体" w:hAnsi="宋体" w:eastAsia="宋体" w:cs="Times New Roman"/>
          <w:spacing w:val="-6"/>
          <w:szCs w:val="21"/>
        </w:rPr>
      </w:pPr>
      <w:r>
        <w:rPr>
          <w:rFonts w:hint="eastAsia" w:ascii="宋体" w:hAnsi="宋体" w:eastAsia="宋体" w:cs="Times New Roman"/>
          <w:spacing w:val="-6"/>
          <w:szCs w:val="21"/>
        </w:rPr>
        <w:t>投诉联系方式：</w:t>
      </w:r>
      <w:r>
        <w:rPr>
          <w:rFonts w:ascii="宋体" w:hAnsi="宋体" w:eastAsia="宋体" w:cs="Times New Roman"/>
          <w:spacing w:val="-6"/>
          <w:szCs w:val="21"/>
        </w:rPr>
        <w:t>0571-</w:t>
      </w:r>
      <w:r>
        <w:rPr>
          <w:rFonts w:hint="eastAsia" w:ascii="宋体" w:hAnsi="宋体" w:eastAsia="宋体" w:cs="Times New Roman"/>
          <w:spacing w:val="-6"/>
          <w:szCs w:val="21"/>
        </w:rPr>
        <w:t>87695030</w:t>
      </w:r>
    </w:p>
    <w:p w14:paraId="73A68AD5">
      <w:pPr>
        <w:adjustRightInd w:val="0"/>
        <w:snapToGrid w:val="0"/>
        <w:spacing w:line="288" w:lineRule="auto"/>
        <w:ind w:firstLine="370"/>
        <w:rPr>
          <w:rFonts w:hint="eastAsia" w:ascii="宋体" w:hAnsi="宋体" w:eastAsia="宋体" w:cs="Times New Roman"/>
          <w:spacing w:val="-6"/>
          <w:szCs w:val="21"/>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bookmarkEnd w:id="36"/>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yellow"/>
              </w:rPr>
            </w:pPr>
            <w:bookmarkStart w:id="37"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A1E4F10">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ascii="宋体" w:hAnsi="宋体" w:eastAsia="宋体" w:cs="宋体"/>
                <w:spacing w:val="-6"/>
                <w:kern w:val="0"/>
                <w:szCs w:val="21"/>
              </w:rPr>
              <w:t>合同生效以及具备实施条件后7个工作日内，采购人向供应商支付合同总价的50％；合同内容完成后，经采购人验收通过后支付至合同总价的100％。</w:t>
            </w:r>
          </w:p>
        </w:tc>
      </w:tr>
      <w:bookmarkEnd w:id="37"/>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自合同签订之日起，90个日历日内供货到位。</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7D94533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59EBC2E2">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4.质保期内投标人确保本次招标的软件安全稳定的运行，硬件免费保修，需提供对应的售后服务支持；质保期结束后若无新增模块及功能，投标人需提供平台服务支持（服务支持包含在本次报价中）。</w:t>
            </w:r>
          </w:p>
          <w:p w14:paraId="6FE9744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lang w:val="en-US" w:eastAsia="zh-CN"/>
              </w:rPr>
              <w:t>5</w:t>
            </w:r>
            <w:r>
              <w:rPr>
                <w:rFonts w:ascii="宋体" w:hAnsi="宋体" w:eastAsia="宋体" w:cs="宋体"/>
                <w:szCs w:val="21"/>
              </w:rPr>
              <w:t>.</w:t>
            </w:r>
            <w:r>
              <w:rPr>
                <w:rFonts w:hint="eastAsia" w:ascii="宋体" w:hAnsi="宋体" w:eastAsia="宋体" w:cs="宋体"/>
                <w:szCs w:val="21"/>
              </w:rPr>
              <w:t>因人为因素出现的故障不在免费保修范围内。</w:t>
            </w:r>
          </w:p>
          <w:p w14:paraId="5668B07A">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u w:val="none"/>
              </w:rPr>
              <w:t>如在使用过程中发生质量问题，供应商维修响应时间：</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小时以内；</w:t>
            </w:r>
          </w:p>
          <w:p w14:paraId="60AD32F3">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none"/>
              </w:rPr>
              <w:t>电话技术支持时间：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小时以内；</w:t>
            </w:r>
          </w:p>
          <w:p w14:paraId="02CD017E">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Cs w:val="21"/>
                <w:highlight w:val="none"/>
                <w:u w:val="none"/>
              </w:rPr>
              <w:t>若需上门维修，则在：</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小时内到达现场并进行维修；</w:t>
            </w:r>
          </w:p>
          <w:p w14:paraId="1E88F10E">
            <w:pPr>
              <w:adjustRightInd w:val="0"/>
              <w:snapToGrid w:val="0"/>
              <w:spacing w:line="288" w:lineRule="auto"/>
              <w:rPr>
                <w:rFonts w:hint="default" w:ascii="宋体" w:hAnsi="宋体" w:eastAsia="宋体" w:cs="宋体"/>
                <w:szCs w:val="21"/>
                <w:u w:val="single"/>
                <w:lang w:val="en-US" w:eastAsia="zh-CN"/>
              </w:rPr>
            </w:pPr>
            <w:r>
              <w:rPr>
                <w:rFonts w:hint="eastAsia" w:ascii="宋体" w:hAnsi="宋体" w:eastAsia="宋体" w:cs="宋体"/>
                <w:szCs w:val="21"/>
                <w:highlight w:val="none"/>
                <w:u w:val="none"/>
                <w:lang w:val="en-US" w:eastAsia="zh-CN"/>
              </w:rPr>
              <w:t>7.供应商应提供详细的</w:t>
            </w:r>
            <w:r>
              <w:rPr>
                <w:rFonts w:hint="eastAsia" w:ascii="宋体" w:hAnsi="宋体" w:eastAsia="宋体" w:cs="宋体"/>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w:t>
            </w:r>
            <w:r>
              <w:rPr>
                <w:rFonts w:hint="eastAsia" w:ascii="宋体" w:hAnsi="宋体" w:eastAsia="宋体" w:cs="Times New Roman"/>
                <w:spacing w:val="-6"/>
                <w:szCs w:val="21"/>
                <w:highlight w:val="none"/>
              </w:rPr>
              <w:t>供应商应保证所提供的货物或其中任何一部分均不会侵犯第三方的知识产权。</w:t>
            </w:r>
          </w:p>
          <w:p w14:paraId="20304E85">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供应商应</w:t>
            </w:r>
            <w:r>
              <w:rPr>
                <w:rFonts w:hint="eastAsia" w:ascii="宋体" w:hAnsi="宋体" w:eastAsia="宋体" w:cs="宋体"/>
                <w:szCs w:val="21"/>
              </w:rPr>
              <w:t>提供有关的全套技术文件。</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4CB3E1D2">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r>
              <w:rPr>
                <w:rFonts w:hint="eastAsia" w:ascii="宋体" w:hAnsi="宋体" w:eastAsia="宋体" w:cs="宋体"/>
                <w:szCs w:val="21"/>
                <w:highlight w:val="none"/>
              </w:rPr>
              <w:br w:type="textWrapping"/>
            </w:r>
            <w:r>
              <w:rPr>
                <w:rFonts w:hint="eastAsia" w:ascii="宋体" w:hAnsi="宋体" w:eastAsia="宋体" w:cs="宋体"/>
                <w:szCs w:val="21"/>
                <w:highlight w:val="none"/>
                <w:lang w:val="en-US" w:eastAsia="zh-CN"/>
              </w:rPr>
              <w:t>6.合同签订后90个工作日内完成软件交付,提供不少于1个月的试运行期,试运行期满后方可组织项目验收</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ascii="宋体" w:hAnsi="宋体" w:eastAsia="宋体" w:cs="宋体"/>
                <w:b/>
                <w:bCs/>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428120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1.软件验收文档要求（顺序如下）：项目验收申请、需求完成情况索引、招标文件（如果很多就放招标需求 和 商务条款）、中标通知书、合同复印件、实施方案报审表、项目实施方案、进度计划报审表、项目进度计划、开工资料（开工报审表、开工报告、开工令）、需求报审表、需求规格说明书、设计报审表、项目概要设计、项目详细设计、数据库设计说明书、测试报审表、测试方案、测试用例、测试记录、测试报告、项目初验意见、试运行报审表、试运行方案、试运行记录、试运行报告、项目总结/完工总结、上线申请、安装备份方案、用户使用手册、培训文档、应急预案/运维手册、周报/月报、第三方检测（等保、密评、第三方机构测试）--视情况提供、项目后期服务承诺。</w:t>
            </w:r>
          </w:p>
          <w:p w14:paraId="03CDEB0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硬件项目验收文档要求：项目验收申请、招标文件、中标通知书、合同复印件、需求完成情况索引、开工资料（报审表、开工报告、开工令）、实施方案报审表、项目实施方案、进度计划报审表、项目进度计划、拓扑图及安装机位图纸(安装记录)（加电测试/通电测试）、现阶段维保记录、设备维保服务函（原厂服务承诺函）、设备维保清单、用户使用手册、应急方案、培训文档、周报/月报、初验意见、项目总结/完工报告、用户使用报告、售后服务承诺函。</w:t>
            </w:r>
          </w:p>
          <w:p w14:paraId="414E345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3.最终验收合格的条件必须至少满足：</w:t>
            </w:r>
          </w:p>
          <w:p w14:paraId="7C9FB6B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(1)已提供了本项目的全部产品和资料；</w:t>
            </w:r>
          </w:p>
          <w:p w14:paraId="5C5DB08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(2)试运行时间满足项目要求；</w:t>
            </w:r>
          </w:p>
          <w:p w14:paraId="1826B79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(3)试运行时出现的问题已被解决。</w:t>
            </w:r>
          </w:p>
          <w:p w14:paraId="351ACBA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4.验收形式：业务系统使用单位（处室）出具正式《使用报告》，信息与教育技术中心出具正式《数据交换报告》，组织专家组评审，出具《专家验收报告》。</w:t>
            </w:r>
          </w:p>
        </w:tc>
      </w:tr>
    </w:tbl>
    <w:p w14:paraId="162F4628">
      <w:pPr>
        <w:adjustRightInd w:val="0"/>
        <w:snapToGrid w:val="0"/>
        <w:spacing w:line="288" w:lineRule="auto"/>
        <w:rPr>
          <w:rFonts w:ascii="宋体" w:hAnsi="宋体" w:eastAsia="宋体" w:cs="Times New Roman"/>
          <w:b/>
          <w:szCs w:val="21"/>
        </w:rPr>
      </w:pPr>
    </w:p>
    <w:p w14:paraId="74CDE17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03740775">
      <w:pPr>
        <w:adjustRightInd w:val="0"/>
        <w:snapToGrid w:val="0"/>
        <w:spacing w:line="288" w:lineRule="auto"/>
        <w:rPr>
          <w:rFonts w:ascii="宋体" w:hAnsi="宋体" w:eastAsia="宋体" w:cs="Times New Roman"/>
          <w:szCs w:val="21"/>
          <w:highlight w:val="none"/>
        </w:rPr>
      </w:pPr>
      <w:bookmarkStart w:id="38" w:name="_Hlk45005556"/>
    </w:p>
    <w:bookmarkEnd w:id="38"/>
    <w:p w14:paraId="73EA20CD">
      <w:pPr>
        <w:adjustRightInd w:val="0"/>
        <w:snapToGrid w:val="0"/>
        <w:spacing w:line="288" w:lineRule="auto"/>
        <w:rPr>
          <w:rFonts w:ascii="宋体" w:hAnsi="宋体" w:eastAsia="宋体" w:cs="宋体"/>
          <w:b/>
          <w:bCs/>
          <w:szCs w:val="21"/>
          <w:highlight w:val="none"/>
        </w:rPr>
      </w:pPr>
      <w:bookmarkStart w:id="39"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40"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0"/>
    </w:p>
    <w:bookmarkEnd w:id="39"/>
    <w:p w14:paraId="4F981D64">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20"/>
        <w:gridCol w:w="427"/>
        <w:gridCol w:w="427"/>
        <w:gridCol w:w="6194"/>
        <w:gridCol w:w="1123"/>
      </w:tblGrid>
      <w:tr w14:paraId="09CF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0FBFD68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531" w:type="pct"/>
            <w:vAlign w:val="center"/>
          </w:tcPr>
          <w:p w14:paraId="7BA616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221" w:type="pct"/>
            <w:vAlign w:val="center"/>
          </w:tcPr>
          <w:p w14:paraId="70EB087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221" w:type="pct"/>
            <w:vAlign w:val="center"/>
          </w:tcPr>
          <w:p w14:paraId="7B3CDAC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218" w:type="pct"/>
            <w:vAlign w:val="center"/>
          </w:tcPr>
          <w:p w14:paraId="634E8A4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c>
          <w:tcPr>
            <w:tcW w:w="584" w:type="pct"/>
            <w:vAlign w:val="center"/>
          </w:tcPr>
          <w:p w14:paraId="46E82297">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b/>
                <w:bCs/>
                <w:szCs w:val="21"/>
                <w:highlight w:val="none"/>
                <w:lang w:val="en-US" w:eastAsia="zh-CN"/>
              </w:rPr>
              <w:t>单价最高限价（元）</w:t>
            </w:r>
          </w:p>
        </w:tc>
      </w:tr>
      <w:tr w14:paraId="55B2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4CEE67D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531" w:type="pct"/>
            <w:vAlign w:val="center"/>
          </w:tcPr>
          <w:p w14:paraId="5FC6D00D">
            <w:pPr>
              <w:adjustRightInd w:val="0"/>
              <w:snapToGrid w:val="0"/>
              <w:spacing w:line="288" w:lineRule="auto"/>
              <w:jc w:val="center"/>
              <w:rPr>
                <w:rFonts w:ascii="宋体" w:hAnsi="宋体" w:eastAsia="宋体" w:cs="Times New Roman"/>
                <w:szCs w:val="21"/>
                <w:highlight w:val="none"/>
              </w:rPr>
            </w:pPr>
            <w:r>
              <w:rPr>
                <w:rFonts w:ascii="宋体" w:hAnsi="宋体" w:eastAsia="宋体" w:cs="宋体"/>
                <w:color w:val="000000"/>
              </w:rPr>
              <w:t>实验仪器共享账单管理系统</w:t>
            </w:r>
          </w:p>
        </w:tc>
        <w:tc>
          <w:tcPr>
            <w:tcW w:w="221" w:type="pct"/>
            <w:vAlign w:val="center"/>
          </w:tcPr>
          <w:p w14:paraId="1C98CF16">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21" w:type="pct"/>
            <w:vAlign w:val="center"/>
          </w:tcPr>
          <w:p w14:paraId="01A58C1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lang w:val="en-US" w:eastAsia="zh-CN"/>
              </w:rPr>
              <w:t>套</w:t>
            </w:r>
          </w:p>
        </w:tc>
        <w:tc>
          <w:tcPr>
            <w:tcW w:w="3218" w:type="pct"/>
            <w:vAlign w:val="center"/>
          </w:tcPr>
          <w:p w14:paraId="36E7B933">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60D49C2D">
            <w:pPr>
              <w:adjustRightInd w:val="0"/>
              <w:snapToGrid w:val="0"/>
              <w:spacing w:line="288"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2.对接</w:t>
            </w:r>
          </w:p>
          <w:p w14:paraId="3D3CCAC4">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★2.</w:t>
            </w:r>
            <w:r>
              <w:rPr>
                <w:rFonts w:hint="eastAsia" w:ascii="宋体" w:hAnsi="宋体" w:eastAsia="宋体" w:cs="宋体"/>
                <w:szCs w:val="21"/>
                <w:highlight w:val="none"/>
                <w:lang w:val="en-US" w:eastAsia="zh-CN"/>
              </w:rPr>
              <w:t>1.</w:t>
            </w:r>
            <w:r>
              <w:rPr>
                <w:rFonts w:ascii="宋体" w:hAnsi="宋体" w:eastAsia="宋体" w:cs="宋体"/>
                <w:szCs w:val="21"/>
                <w:highlight w:val="none"/>
              </w:rPr>
              <w:t>通过接口与杭州医学院大型仪器共享管理系统无缝数据对接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需提供承诺函。格式自拟</w:t>
            </w:r>
            <w:r>
              <w:rPr>
                <w:rFonts w:hint="eastAsia" w:ascii="宋体" w:hAnsi="宋体" w:eastAsia="宋体" w:cs="宋体"/>
                <w:szCs w:val="21"/>
                <w:highlight w:val="none"/>
                <w:lang w:eastAsia="zh-CN"/>
              </w:rPr>
              <w:t>）。</w:t>
            </w:r>
          </w:p>
          <w:p w14:paraId="53C502BA">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w:t>
            </w:r>
            <w:r>
              <w:rPr>
                <w:rFonts w:hint="eastAsia" w:ascii="宋体" w:hAnsi="宋体" w:eastAsia="宋体" w:cs="宋体"/>
                <w:szCs w:val="21"/>
                <w:highlight w:val="none"/>
                <w:lang w:val="en-US" w:eastAsia="zh-CN"/>
              </w:rPr>
              <w:t>2.2.</w:t>
            </w:r>
            <w:r>
              <w:rPr>
                <w:rFonts w:ascii="宋体" w:hAnsi="宋体" w:eastAsia="宋体" w:cs="宋体"/>
                <w:szCs w:val="21"/>
                <w:highlight w:val="none"/>
              </w:rPr>
              <w:t>根据学校的仪器费用核销流程定制仪器共享账单功能，定期为所有课题组自动生成账单，提供账单确认、申诉、打印、领取和线下核销的功能。</w:t>
            </w:r>
          </w:p>
          <w:p w14:paraId="0CA2E06E">
            <w:pPr>
              <w:adjustRightInd w:val="0"/>
              <w:snapToGrid w:val="0"/>
              <w:spacing w:line="288" w:lineRule="auto"/>
              <w:jc w:val="left"/>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2.3.</w:t>
            </w:r>
            <w:r>
              <w:rPr>
                <w:rFonts w:ascii="宋体" w:hAnsi="宋体" w:eastAsia="宋体" w:cs="宋体"/>
                <w:b/>
                <w:bCs/>
                <w:szCs w:val="21"/>
                <w:highlight w:val="none"/>
              </w:rPr>
              <w:t>现有大型仪器共享管理系统为：品牌：安徽朋德；型号：LIMS-ICT300。接口总费用不超过2万元，包含在采购人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6DF25A71">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3.仪器共享账单流程</w:t>
            </w:r>
          </w:p>
          <w:p w14:paraId="5C180008">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3.1.平台管理员设置每个课题组信用额度。信用额度不足，课题组成员将无法预约仪器。</w:t>
            </w:r>
          </w:p>
          <w:p w14:paraId="6F7ACCFF">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3.2.课题组负责人或管理员可将用户加入到课题组内。课题组成员可以用课题组额度进行预约仪器。未加入课题组的用户，将无法预约仪器。</w:t>
            </w:r>
          </w:p>
          <w:p w14:paraId="7C425316">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3.3.用户预约仪器，预约实验完成后系统自动产生实验记录并自动生成计费明细（例如：用户、仪器名称、实验开始时间、实验结束时间、使用时间、收费等信息）。</w:t>
            </w:r>
          </w:p>
          <w:p w14:paraId="106BF6EF">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3.4.系统自动生成待确认的课题组账单。需课题组负责人或管理员对账单明细是否有无异议的实验记录进行确认，如有可申诉。课题组负责人完成账单确认后，可选择是否需要发票，提交保存后，更新为待推送的账单。</w:t>
            </w:r>
          </w:p>
          <w:p w14:paraId="09B89D44">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3.5.财务管理员可上传账单的盖章件并推送给PI，推送后的账单更新为待下载。</w:t>
            </w:r>
          </w:p>
          <w:p w14:paraId="4281D4DC">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3.6.PI下载打印账单后，进行线下缴费，完成缴费后可在系统中输入缴费信息和上传缴费凭证，账单状态更新为待核销。</w:t>
            </w:r>
          </w:p>
          <w:p w14:paraId="0CE850FD">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3.7.财务管理员确认待核销账单，若已完成缴费，则结算成功，系统自动恢复课题组信用额度，账单完成结算。</w:t>
            </w:r>
          </w:p>
        </w:tc>
        <w:tc>
          <w:tcPr>
            <w:tcW w:w="584" w:type="pct"/>
            <w:vAlign w:val="center"/>
          </w:tcPr>
          <w:p w14:paraId="585665E6">
            <w:pPr>
              <w:adjustRightInd w:val="0"/>
              <w:snapToGrid w:val="0"/>
              <w:spacing w:line="288"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60000</w:t>
            </w:r>
          </w:p>
        </w:tc>
      </w:tr>
      <w:tr w14:paraId="5F36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704780C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531" w:type="pct"/>
            <w:vAlign w:val="center"/>
          </w:tcPr>
          <w:p w14:paraId="48484415">
            <w:pPr>
              <w:adjustRightInd w:val="0"/>
              <w:snapToGrid w:val="0"/>
              <w:spacing w:line="288" w:lineRule="auto"/>
              <w:jc w:val="center"/>
              <w:rPr>
                <w:rFonts w:ascii="宋体" w:hAnsi="宋体" w:eastAsia="宋体" w:cs="Times New Roman"/>
                <w:szCs w:val="21"/>
              </w:rPr>
            </w:pPr>
            <w:r>
              <w:rPr>
                <w:rFonts w:ascii="宋体" w:hAnsi="宋体" w:eastAsia="宋体" w:cs="宋体"/>
                <w:color w:val="000000"/>
              </w:rPr>
              <w:t>培训及安全准入系统</w:t>
            </w:r>
          </w:p>
        </w:tc>
        <w:tc>
          <w:tcPr>
            <w:tcW w:w="221" w:type="pct"/>
            <w:vAlign w:val="center"/>
          </w:tcPr>
          <w:p w14:paraId="07E36991">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21" w:type="pct"/>
            <w:vAlign w:val="center"/>
          </w:tcPr>
          <w:p w14:paraId="27AC61A2">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c>
          <w:tcPr>
            <w:tcW w:w="3218" w:type="pct"/>
            <w:vAlign w:val="center"/>
          </w:tcPr>
          <w:p w14:paraId="03C22485">
            <w:pPr>
              <w:adjustRightInd w:val="0"/>
              <w:snapToGrid w:val="0"/>
              <w:spacing w:line="288" w:lineRule="auto"/>
              <w:jc w:val="left"/>
              <w:rPr>
                <w:rFonts w:ascii="宋体" w:hAnsi="宋体" w:eastAsia="宋体" w:cs="宋体"/>
                <w:szCs w:val="21"/>
              </w:rPr>
            </w:pPr>
            <w:r>
              <w:rPr>
                <w:rFonts w:ascii="宋体" w:hAnsi="宋体" w:eastAsia="宋体" w:cs="宋体"/>
                <w:szCs w:val="21"/>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0B1DBCCB">
            <w:pPr>
              <w:adjustRightInd w:val="0"/>
              <w:snapToGrid w:val="0"/>
              <w:spacing w:line="288" w:lineRule="auto"/>
              <w:jc w:val="left"/>
              <w:rPr>
                <w:rFonts w:hint="default" w:ascii="宋体" w:hAnsi="宋体" w:eastAsia="宋体" w:cs="宋体"/>
                <w:szCs w:val="21"/>
                <w:highlight w:val="none"/>
                <w:lang w:val="en-US" w:eastAsia="zh-CN"/>
              </w:rPr>
            </w:pPr>
            <w:r>
              <w:rPr>
                <w:rFonts w:ascii="宋体" w:hAnsi="宋体" w:eastAsia="宋体" w:cs="宋体"/>
                <w:szCs w:val="21"/>
              </w:rPr>
              <w:t>2.</w:t>
            </w:r>
            <w:r>
              <w:rPr>
                <w:rFonts w:hint="eastAsia" w:ascii="宋体" w:hAnsi="宋体" w:eastAsia="宋体" w:cs="宋体"/>
                <w:szCs w:val="21"/>
                <w:highlight w:val="none"/>
                <w:lang w:val="en-US" w:eastAsia="zh-CN"/>
              </w:rPr>
              <w:t>对接</w:t>
            </w:r>
          </w:p>
          <w:p w14:paraId="0591A319">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2.1.</w:t>
            </w:r>
            <w:r>
              <w:rPr>
                <w:rFonts w:ascii="宋体" w:hAnsi="宋体" w:eastAsia="宋体" w:cs="宋体"/>
                <w:szCs w:val="21"/>
              </w:rPr>
              <w:t>通过接口与杭州医学院大型仪器共享管理系统无缝数据对接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需提供承诺函。格式自拟</w:t>
            </w:r>
            <w:r>
              <w:rPr>
                <w:rFonts w:hint="eastAsia" w:ascii="宋体" w:hAnsi="宋体" w:eastAsia="宋体" w:cs="宋体"/>
                <w:szCs w:val="21"/>
                <w:highlight w:val="none"/>
                <w:lang w:eastAsia="zh-CN"/>
              </w:rPr>
              <w:t>）。</w:t>
            </w:r>
          </w:p>
          <w:p w14:paraId="36DB9000">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2.2</w:t>
            </w:r>
            <w:r>
              <w:rPr>
                <w:rFonts w:ascii="宋体" w:hAnsi="宋体" w:eastAsia="宋体" w:cs="宋体"/>
                <w:szCs w:val="21"/>
              </w:rPr>
              <w:t>实现线上安全考试和线下仪器培训与用户的实验室及仪器准入权限的关联。</w:t>
            </w:r>
          </w:p>
          <w:p w14:paraId="1A2A95C7">
            <w:pPr>
              <w:adjustRightInd w:val="0"/>
              <w:snapToGrid w:val="0"/>
              <w:spacing w:line="288" w:lineRule="auto"/>
              <w:jc w:val="left"/>
              <w:rPr>
                <w:rFonts w:ascii="宋体" w:hAnsi="宋体" w:eastAsia="宋体" w:cs="宋体"/>
                <w:szCs w:val="21"/>
              </w:rPr>
            </w:pPr>
            <w:r>
              <w:rPr>
                <w:rFonts w:hint="eastAsia" w:ascii="宋体" w:hAnsi="宋体" w:eastAsia="宋体" w:cs="宋体"/>
                <w:b/>
                <w:bCs/>
                <w:szCs w:val="21"/>
                <w:lang w:val="en-US" w:eastAsia="zh-CN"/>
              </w:rPr>
              <w:t>2.3.</w:t>
            </w:r>
            <w:r>
              <w:rPr>
                <w:rFonts w:ascii="宋体" w:hAnsi="宋体" w:eastAsia="宋体" w:cs="宋体"/>
                <w:b/>
                <w:bCs/>
                <w:szCs w:val="21"/>
              </w:rPr>
              <w:t>现有大型仪器共享管理系统为：品牌：安徽朋德；型号：LIMS-ICT300。接口总费用不超过2万元，</w:t>
            </w:r>
            <w:r>
              <w:rPr>
                <w:rFonts w:ascii="宋体" w:hAnsi="宋体" w:eastAsia="宋体" w:cs="宋体"/>
                <w:b/>
                <w:bCs/>
                <w:szCs w:val="21"/>
                <w:highlight w:val="none"/>
              </w:rPr>
              <w:t>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5486B758">
            <w:pPr>
              <w:adjustRightInd w:val="0"/>
              <w:snapToGrid w:val="0"/>
              <w:spacing w:line="288" w:lineRule="auto"/>
              <w:jc w:val="left"/>
              <w:rPr>
                <w:rFonts w:ascii="宋体" w:hAnsi="宋体" w:eastAsia="宋体" w:cs="宋体"/>
                <w:szCs w:val="21"/>
              </w:rPr>
            </w:pPr>
            <w:r>
              <w:rPr>
                <w:rFonts w:ascii="宋体" w:hAnsi="宋体" w:eastAsia="宋体" w:cs="宋体"/>
                <w:szCs w:val="21"/>
              </w:rPr>
              <w:t>3.系统功能</w:t>
            </w:r>
          </w:p>
          <w:p w14:paraId="05ABEB71">
            <w:pPr>
              <w:adjustRightInd w:val="0"/>
              <w:snapToGrid w:val="0"/>
              <w:spacing w:line="288" w:lineRule="auto"/>
              <w:jc w:val="left"/>
              <w:rPr>
                <w:rFonts w:ascii="宋体" w:hAnsi="宋体" w:eastAsia="宋体" w:cs="宋体"/>
                <w:szCs w:val="21"/>
              </w:rPr>
            </w:pPr>
            <w:r>
              <w:rPr>
                <w:rFonts w:ascii="宋体" w:hAnsi="宋体" w:eastAsia="宋体" w:cs="宋体"/>
                <w:szCs w:val="21"/>
              </w:rPr>
              <w:t>3.1学习资料管理</w:t>
            </w:r>
          </w:p>
          <w:p w14:paraId="456A8EFC">
            <w:pPr>
              <w:adjustRightInd w:val="0"/>
              <w:snapToGrid w:val="0"/>
              <w:spacing w:line="288" w:lineRule="auto"/>
              <w:jc w:val="left"/>
              <w:rPr>
                <w:rFonts w:ascii="宋体" w:hAnsi="宋体" w:eastAsia="宋体" w:cs="宋体"/>
                <w:szCs w:val="21"/>
              </w:rPr>
            </w:pPr>
            <w:r>
              <w:rPr>
                <w:rFonts w:ascii="宋体" w:hAnsi="宋体" w:eastAsia="宋体" w:cs="宋体"/>
                <w:szCs w:val="21"/>
              </w:rPr>
              <w:t>3.1.1支持管理员将需要录入的学习资料上传至系统，用户可以在系统上进行自助学习，学习资料包括文档、视频等不同格式；</w:t>
            </w:r>
          </w:p>
          <w:p w14:paraId="18BACDFD">
            <w:pPr>
              <w:adjustRightInd w:val="0"/>
              <w:snapToGrid w:val="0"/>
              <w:spacing w:line="288" w:lineRule="auto"/>
              <w:jc w:val="left"/>
              <w:rPr>
                <w:rFonts w:ascii="宋体" w:hAnsi="宋体" w:eastAsia="宋体" w:cs="宋体"/>
                <w:szCs w:val="21"/>
              </w:rPr>
            </w:pPr>
            <w:r>
              <w:rPr>
                <w:rFonts w:ascii="宋体" w:hAnsi="宋体" w:eastAsia="宋体" w:cs="宋体"/>
                <w:szCs w:val="21"/>
              </w:rPr>
              <w:t>3.2试题管理</w:t>
            </w:r>
          </w:p>
          <w:p w14:paraId="14B1CA26">
            <w:pPr>
              <w:adjustRightInd w:val="0"/>
              <w:snapToGrid w:val="0"/>
              <w:spacing w:line="288" w:lineRule="auto"/>
              <w:jc w:val="left"/>
              <w:rPr>
                <w:rFonts w:ascii="宋体" w:hAnsi="宋体" w:eastAsia="宋体" w:cs="宋体"/>
                <w:szCs w:val="21"/>
              </w:rPr>
            </w:pPr>
            <w:r>
              <w:rPr>
                <w:rFonts w:ascii="宋体" w:hAnsi="宋体" w:eastAsia="宋体" w:cs="宋体"/>
                <w:szCs w:val="21"/>
              </w:rPr>
              <w:t>3.2.1分类管理：支持自定义不同试题分类；</w:t>
            </w:r>
          </w:p>
          <w:p w14:paraId="20809354">
            <w:pPr>
              <w:adjustRightInd w:val="0"/>
              <w:snapToGrid w:val="0"/>
              <w:spacing w:line="288" w:lineRule="auto"/>
              <w:jc w:val="left"/>
              <w:rPr>
                <w:rFonts w:ascii="宋体" w:hAnsi="宋体" w:eastAsia="宋体" w:cs="宋体"/>
                <w:szCs w:val="21"/>
              </w:rPr>
            </w:pPr>
            <w:r>
              <w:rPr>
                <w:rFonts w:ascii="宋体" w:hAnsi="宋体" w:eastAsia="宋体" w:cs="宋体"/>
                <w:szCs w:val="21"/>
              </w:rPr>
              <w:t>3.2.2试卷模版管理：支持对考试时间、考试题数、及格线、考试有效期限进行设置；</w:t>
            </w:r>
          </w:p>
          <w:p w14:paraId="6C77E0D2">
            <w:pPr>
              <w:adjustRightInd w:val="0"/>
              <w:snapToGrid w:val="0"/>
              <w:spacing w:line="288" w:lineRule="auto"/>
              <w:jc w:val="left"/>
              <w:rPr>
                <w:rFonts w:ascii="宋体" w:hAnsi="宋体" w:eastAsia="宋体" w:cs="宋体"/>
                <w:szCs w:val="21"/>
              </w:rPr>
            </w:pPr>
            <w:r>
              <w:rPr>
                <w:rFonts w:ascii="宋体" w:hAnsi="宋体" w:eastAsia="宋体" w:cs="宋体"/>
                <w:szCs w:val="21"/>
              </w:rPr>
              <w:t>3.2.3试题管理：支持客观题（单选、多选、判断题）答题模式，支持新增单题与批量导入；</w:t>
            </w:r>
          </w:p>
          <w:p w14:paraId="3D12AEC2">
            <w:pPr>
              <w:adjustRightInd w:val="0"/>
              <w:snapToGrid w:val="0"/>
              <w:spacing w:line="288" w:lineRule="auto"/>
              <w:jc w:val="left"/>
              <w:rPr>
                <w:rFonts w:ascii="宋体" w:hAnsi="宋体" w:eastAsia="宋体" w:cs="宋体"/>
                <w:szCs w:val="21"/>
              </w:rPr>
            </w:pPr>
            <w:r>
              <w:rPr>
                <w:rFonts w:ascii="宋体" w:hAnsi="宋体" w:eastAsia="宋体" w:cs="宋体"/>
                <w:szCs w:val="21"/>
              </w:rPr>
              <w:t>3.3考试管理</w:t>
            </w:r>
          </w:p>
          <w:p w14:paraId="0D536D38">
            <w:pPr>
              <w:adjustRightInd w:val="0"/>
              <w:snapToGrid w:val="0"/>
              <w:spacing w:line="288" w:lineRule="auto"/>
              <w:jc w:val="left"/>
              <w:rPr>
                <w:rFonts w:ascii="宋体" w:hAnsi="宋体" w:eastAsia="宋体" w:cs="宋体"/>
                <w:szCs w:val="21"/>
              </w:rPr>
            </w:pPr>
            <w:r>
              <w:rPr>
                <w:rFonts w:ascii="宋体" w:hAnsi="宋体" w:eastAsia="宋体" w:cs="宋体"/>
                <w:szCs w:val="21"/>
              </w:rPr>
              <w:t>3.3.1自助考试：系统自动从题库中随机抽取试题形成试卷，用户在允许的时间范围内对试题进行作答，系统自动生成考试结果；</w:t>
            </w:r>
          </w:p>
          <w:p w14:paraId="097034E7">
            <w:pPr>
              <w:adjustRightInd w:val="0"/>
              <w:snapToGrid w:val="0"/>
              <w:spacing w:line="288" w:lineRule="auto"/>
              <w:jc w:val="left"/>
              <w:rPr>
                <w:rFonts w:ascii="宋体" w:hAnsi="宋体" w:eastAsia="宋体" w:cs="宋体"/>
                <w:szCs w:val="21"/>
              </w:rPr>
            </w:pPr>
            <w:r>
              <w:rPr>
                <w:rFonts w:ascii="宋体" w:hAnsi="宋体" w:eastAsia="宋体" w:cs="宋体"/>
                <w:szCs w:val="21"/>
              </w:rPr>
              <w:t>3.3.2模拟考试：支持模拟考试，模拟考试成绩不计入考试记录；</w:t>
            </w:r>
          </w:p>
          <w:p w14:paraId="5FCCF5D8">
            <w:pPr>
              <w:adjustRightInd w:val="0"/>
              <w:snapToGrid w:val="0"/>
              <w:spacing w:line="288" w:lineRule="auto"/>
              <w:jc w:val="left"/>
              <w:rPr>
                <w:rFonts w:ascii="宋体" w:hAnsi="宋体" w:eastAsia="宋体" w:cs="宋体"/>
                <w:szCs w:val="21"/>
              </w:rPr>
            </w:pPr>
            <w:r>
              <w:rPr>
                <w:rFonts w:ascii="宋体" w:hAnsi="宋体" w:eastAsia="宋体" w:cs="宋体"/>
                <w:szCs w:val="21"/>
              </w:rPr>
              <w:t>3.3.2考试记录：支持查看历史考试记录；</w:t>
            </w:r>
          </w:p>
          <w:p w14:paraId="5B6095C5">
            <w:pPr>
              <w:adjustRightInd w:val="0"/>
              <w:snapToGrid w:val="0"/>
              <w:spacing w:line="288" w:lineRule="auto"/>
              <w:jc w:val="left"/>
              <w:rPr>
                <w:rFonts w:ascii="宋体" w:hAnsi="宋体" w:eastAsia="宋体" w:cs="宋体"/>
                <w:szCs w:val="21"/>
              </w:rPr>
            </w:pPr>
            <w:r>
              <w:rPr>
                <w:rFonts w:ascii="宋体" w:hAnsi="宋体" w:eastAsia="宋体" w:cs="宋体"/>
                <w:szCs w:val="21"/>
              </w:rPr>
              <w:t>★3.4准入管理</w:t>
            </w:r>
          </w:p>
          <w:p w14:paraId="54573B40">
            <w:pPr>
              <w:adjustRightInd w:val="0"/>
              <w:snapToGrid w:val="0"/>
              <w:spacing w:line="288" w:lineRule="auto"/>
              <w:jc w:val="left"/>
              <w:rPr>
                <w:rFonts w:ascii="宋体" w:hAnsi="宋体" w:eastAsia="宋体" w:cs="宋体"/>
                <w:szCs w:val="21"/>
              </w:rPr>
            </w:pPr>
            <w:r>
              <w:rPr>
                <w:rFonts w:ascii="宋体" w:hAnsi="宋体" w:eastAsia="宋体" w:cs="宋体"/>
                <w:szCs w:val="21"/>
              </w:rPr>
              <w:t>3.4.1系统准入：支持设置系统准入，用户在使用系统前必须通过诸如考试才能使用系统功能；</w:t>
            </w:r>
          </w:p>
          <w:p w14:paraId="5611A585">
            <w:pPr>
              <w:adjustRightInd w:val="0"/>
              <w:snapToGrid w:val="0"/>
              <w:spacing w:line="288" w:lineRule="auto"/>
              <w:jc w:val="left"/>
              <w:rPr>
                <w:rFonts w:ascii="宋体" w:hAnsi="宋体" w:eastAsia="宋体" w:cs="宋体"/>
                <w:szCs w:val="21"/>
              </w:rPr>
            </w:pPr>
            <w:r>
              <w:rPr>
                <w:rFonts w:ascii="宋体" w:hAnsi="宋体" w:eastAsia="宋体" w:cs="宋体"/>
                <w:szCs w:val="21"/>
              </w:rPr>
              <w:t>3.4.2仪器准入：支持将仪器与线上考试模板和线下培训进行关联，用户如果需要预约及使用该仪器，在第一次预约前必须通过线上相关考试和参加线下仪器培训后才能获得该仪器预约及使用权限。</w:t>
            </w:r>
          </w:p>
          <w:p w14:paraId="5ADE599F">
            <w:pPr>
              <w:adjustRightInd w:val="0"/>
              <w:snapToGrid w:val="0"/>
              <w:spacing w:line="288" w:lineRule="auto"/>
              <w:jc w:val="left"/>
              <w:rPr>
                <w:rFonts w:ascii="宋体" w:hAnsi="宋体" w:eastAsia="宋体" w:cs="宋体"/>
                <w:szCs w:val="21"/>
              </w:rPr>
            </w:pPr>
            <w:r>
              <w:rPr>
                <w:rFonts w:ascii="宋体" w:hAnsi="宋体" w:eastAsia="宋体" w:cs="宋体"/>
                <w:szCs w:val="21"/>
              </w:rPr>
              <w:t>3.5培训管理</w:t>
            </w:r>
          </w:p>
          <w:p w14:paraId="4FC0EC09">
            <w:pPr>
              <w:adjustRightInd w:val="0"/>
              <w:snapToGrid w:val="0"/>
              <w:spacing w:line="288" w:lineRule="auto"/>
              <w:jc w:val="left"/>
              <w:rPr>
                <w:rFonts w:ascii="宋体" w:hAnsi="宋体" w:eastAsia="宋体" w:cs="宋体"/>
                <w:szCs w:val="21"/>
              </w:rPr>
            </w:pPr>
            <w:r>
              <w:rPr>
                <w:rFonts w:ascii="宋体" w:hAnsi="宋体" w:eastAsia="宋体" w:cs="宋体"/>
                <w:szCs w:val="21"/>
              </w:rPr>
              <w:t>3.5.1 培训发布：管理员可以在系统内发布仪器培训信息，包含培训仪器信息、培训内容、培训时间、培训地点等信息。</w:t>
            </w:r>
          </w:p>
          <w:p w14:paraId="5D3531BE">
            <w:pPr>
              <w:adjustRightInd w:val="0"/>
              <w:snapToGrid w:val="0"/>
              <w:spacing w:line="288" w:lineRule="auto"/>
              <w:jc w:val="left"/>
              <w:rPr>
                <w:rFonts w:ascii="宋体" w:hAnsi="宋体" w:eastAsia="宋体" w:cs="宋体"/>
                <w:szCs w:val="21"/>
              </w:rPr>
            </w:pPr>
            <w:r>
              <w:rPr>
                <w:rFonts w:ascii="宋体" w:hAnsi="宋体" w:eastAsia="宋体" w:cs="宋体"/>
                <w:szCs w:val="21"/>
              </w:rPr>
              <w:t>3.5.2 培训日历及培训报名：用户在系统门户的“培训日历”页面可查看近期的培训信息，并点击报名。</w:t>
            </w:r>
          </w:p>
          <w:p w14:paraId="59D3F7E3">
            <w:pPr>
              <w:adjustRightInd w:val="0"/>
              <w:snapToGrid w:val="0"/>
              <w:spacing w:line="288" w:lineRule="auto"/>
              <w:jc w:val="left"/>
              <w:rPr>
                <w:rFonts w:ascii="宋体" w:hAnsi="宋体" w:eastAsia="宋体" w:cs="宋体"/>
                <w:szCs w:val="21"/>
              </w:rPr>
            </w:pPr>
            <w:r>
              <w:rPr>
                <w:rFonts w:ascii="宋体" w:hAnsi="宋体" w:eastAsia="宋体" w:cs="宋体"/>
                <w:szCs w:val="21"/>
              </w:rPr>
              <w:t>3.5.3 培训签到：用户参加培训可在仪器终端机上刷卡进行培训签到。</w:t>
            </w:r>
          </w:p>
        </w:tc>
        <w:tc>
          <w:tcPr>
            <w:tcW w:w="584" w:type="pct"/>
            <w:vAlign w:val="center"/>
          </w:tcPr>
          <w:p w14:paraId="48210C4B">
            <w:p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40000</w:t>
            </w:r>
          </w:p>
        </w:tc>
      </w:tr>
      <w:tr w14:paraId="1BED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5124040C">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531" w:type="pct"/>
            <w:vAlign w:val="center"/>
          </w:tcPr>
          <w:p w14:paraId="5D36FE53">
            <w:pPr>
              <w:adjustRightInd w:val="0"/>
              <w:snapToGrid w:val="0"/>
              <w:spacing w:line="288" w:lineRule="auto"/>
              <w:jc w:val="center"/>
              <w:rPr>
                <w:rFonts w:hint="eastAsia" w:ascii="宋体" w:hAnsi="宋体" w:eastAsia="宋体" w:cs="Times New Roman"/>
                <w:b/>
                <w:bCs/>
                <w:szCs w:val="21"/>
                <w:lang w:eastAsia="zh-CN"/>
              </w:rPr>
            </w:pPr>
            <w:r>
              <w:rPr>
                <w:rFonts w:hint="eastAsia" w:ascii="宋体" w:hAnsi="宋体" w:eastAsia="宋体" w:cs="宋体"/>
                <w:color w:val="000000"/>
                <w:sz w:val="21"/>
                <w:lang w:eastAsia="zh-CN"/>
              </w:rPr>
              <w:t>大仪平台门禁对接管理模块</w:t>
            </w:r>
            <w:r>
              <w:rPr>
                <w:rFonts w:hint="eastAsia" w:ascii="宋体" w:hAnsi="宋体" w:eastAsia="宋体" w:cs="宋体"/>
                <w:b/>
                <w:bCs/>
                <w:color w:val="000000"/>
                <w:sz w:val="21"/>
                <w:lang w:eastAsia="zh-CN"/>
              </w:rPr>
              <w:t>（</w:t>
            </w:r>
            <w:r>
              <w:rPr>
                <w:rFonts w:hint="eastAsia" w:ascii="宋体" w:hAnsi="宋体" w:eastAsia="宋体" w:cs="宋体"/>
                <w:b/>
                <w:bCs/>
                <w:color w:val="000000"/>
                <w:sz w:val="21"/>
                <w:lang w:val="en-US" w:eastAsia="zh-CN"/>
              </w:rPr>
              <w:t>核心产品</w:t>
            </w:r>
            <w:r>
              <w:rPr>
                <w:rFonts w:hint="eastAsia" w:ascii="宋体" w:hAnsi="宋体" w:eastAsia="宋体" w:cs="宋体"/>
                <w:b/>
                <w:bCs/>
                <w:color w:val="000000"/>
                <w:sz w:val="21"/>
                <w:lang w:eastAsia="zh-CN"/>
              </w:rPr>
              <w:t>）</w:t>
            </w:r>
          </w:p>
        </w:tc>
        <w:tc>
          <w:tcPr>
            <w:tcW w:w="221" w:type="pct"/>
            <w:vAlign w:val="center"/>
          </w:tcPr>
          <w:p w14:paraId="7BDF373C">
            <w:pPr>
              <w:adjustRightInd w:val="0"/>
              <w:snapToGrid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221" w:type="pct"/>
            <w:vAlign w:val="center"/>
          </w:tcPr>
          <w:p w14:paraId="41BB114D">
            <w:pPr>
              <w:adjustRightInd w:val="0"/>
              <w:snapToGrid w:val="0"/>
              <w:spacing w:line="288" w:lineRule="auto"/>
              <w:jc w:val="center"/>
              <w:rPr>
                <w:rFonts w:ascii="宋体" w:hAnsi="宋体" w:eastAsia="宋体" w:cs="宋体"/>
                <w:szCs w:val="21"/>
              </w:rPr>
            </w:pPr>
            <w:r>
              <w:rPr>
                <w:rFonts w:hint="eastAsia" w:ascii="宋体" w:hAnsi="宋体" w:eastAsia="宋体" w:cs="宋体"/>
                <w:szCs w:val="21"/>
                <w:lang w:val="en-US" w:eastAsia="zh-CN"/>
              </w:rPr>
              <w:t>套</w:t>
            </w:r>
          </w:p>
        </w:tc>
        <w:tc>
          <w:tcPr>
            <w:tcW w:w="3218" w:type="pct"/>
            <w:vAlign w:val="center"/>
          </w:tcPr>
          <w:p w14:paraId="7A10490E">
            <w:pPr>
              <w:adjustRightInd w:val="0"/>
              <w:snapToGrid w:val="0"/>
              <w:spacing w:line="288" w:lineRule="auto"/>
              <w:jc w:val="left"/>
              <w:rPr>
                <w:rFonts w:ascii="宋体" w:hAnsi="宋体" w:eastAsia="宋体" w:cs="宋体"/>
                <w:szCs w:val="21"/>
              </w:rPr>
            </w:pPr>
            <w:r>
              <w:rPr>
                <w:rFonts w:ascii="宋体" w:hAnsi="宋体" w:eastAsia="宋体" w:cs="宋体"/>
                <w:szCs w:val="21"/>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574D5671">
            <w:pPr>
              <w:adjustRightInd w:val="0"/>
              <w:snapToGrid w:val="0"/>
              <w:spacing w:line="288" w:lineRule="auto"/>
              <w:jc w:val="left"/>
              <w:rPr>
                <w:rFonts w:ascii="宋体" w:hAnsi="宋体" w:eastAsia="宋体" w:cs="宋体"/>
                <w:szCs w:val="21"/>
              </w:rPr>
            </w:pPr>
            <w:r>
              <w:rPr>
                <w:rFonts w:ascii="宋体" w:hAnsi="宋体" w:eastAsia="宋体" w:cs="宋体"/>
                <w:szCs w:val="21"/>
              </w:rPr>
              <w:t>2.门禁对接</w:t>
            </w:r>
          </w:p>
          <w:p w14:paraId="3B3CEF59">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2.1.</w:t>
            </w:r>
            <w:r>
              <w:rPr>
                <w:rFonts w:ascii="宋体" w:hAnsi="宋体" w:eastAsia="宋体" w:cs="宋体"/>
                <w:szCs w:val="21"/>
              </w:rPr>
              <w:t>通过接口与杭州医学院大型仪器共享管理系统进行无缝数据对接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需提供承诺函。格式自拟</w:t>
            </w:r>
            <w:r>
              <w:rPr>
                <w:rFonts w:hint="eastAsia" w:ascii="宋体" w:hAnsi="宋体" w:eastAsia="宋体" w:cs="宋体"/>
                <w:szCs w:val="21"/>
                <w:highlight w:val="none"/>
                <w:lang w:eastAsia="zh-CN"/>
              </w:rPr>
              <w:t>）。</w:t>
            </w:r>
          </w:p>
          <w:p w14:paraId="538092B8">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2.2.</w:t>
            </w:r>
            <w:r>
              <w:rPr>
                <w:rFonts w:ascii="宋体" w:hAnsi="宋体" w:eastAsia="宋体" w:cs="宋体"/>
                <w:szCs w:val="21"/>
              </w:rPr>
              <w:t>从该系统获得门禁权限授权，包括根据大型仪器使用资格获得的长期门禁权限及根据仪器使用预约获得的临时门禁权限，同时可以将门禁进出记录反馈至大型仪器共享管理系统；</w:t>
            </w:r>
          </w:p>
          <w:p w14:paraId="32986FD8">
            <w:pPr>
              <w:adjustRightInd w:val="0"/>
              <w:snapToGrid w:val="0"/>
              <w:spacing w:line="288" w:lineRule="auto"/>
              <w:jc w:val="left"/>
              <w:rPr>
                <w:rFonts w:ascii="宋体" w:hAnsi="宋体" w:eastAsia="宋体" w:cs="宋体"/>
                <w:szCs w:val="21"/>
              </w:rPr>
            </w:pPr>
            <w:r>
              <w:rPr>
                <w:rFonts w:hint="eastAsia" w:ascii="宋体" w:hAnsi="宋体" w:eastAsia="宋体" w:cs="宋体"/>
                <w:b/>
                <w:bCs/>
                <w:szCs w:val="21"/>
                <w:lang w:val="en-US" w:eastAsia="zh-CN"/>
              </w:rPr>
              <w:t>2.3.</w:t>
            </w:r>
            <w:r>
              <w:rPr>
                <w:rFonts w:ascii="宋体" w:hAnsi="宋体" w:eastAsia="宋体" w:cs="宋体"/>
                <w:b/>
                <w:bCs/>
                <w:szCs w:val="21"/>
              </w:rPr>
              <w:t>现有门禁为：品牌：浙江大华；型号：DH-ASI31C-M；接口类型：SDK。接口总费用不超过4万元，</w:t>
            </w:r>
            <w:r>
              <w:rPr>
                <w:rFonts w:ascii="宋体" w:hAnsi="宋体" w:eastAsia="宋体" w:cs="宋体"/>
                <w:b/>
                <w:bCs/>
                <w:szCs w:val="21"/>
                <w:highlight w:val="none"/>
              </w:rPr>
              <w:t>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4D625344">
            <w:pPr>
              <w:adjustRightInd w:val="0"/>
              <w:snapToGrid w:val="0"/>
              <w:spacing w:line="288" w:lineRule="auto"/>
              <w:jc w:val="left"/>
              <w:rPr>
                <w:rFonts w:ascii="宋体" w:hAnsi="宋体" w:eastAsia="宋体" w:cs="宋体"/>
                <w:szCs w:val="21"/>
              </w:rPr>
            </w:pPr>
            <w:r>
              <w:rPr>
                <w:rFonts w:ascii="宋体" w:hAnsi="宋体" w:eastAsia="宋体" w:cs="宋体"/>
                <w:szCs w:val="21"/>
              </w:rPr>
              <w:t>3.门禁权限管理</w:t>
            </w:r>
          </w:p>
          <w:p w14:paraId="2A915B07">
            <w:pPr>
              <w:adjustRightInd w:val="0"/>
              <w:snapToGrid w:val="0"/>
              <w:spacing w:line="288" w:lineRule="auto"/>
              <w:jc w:val="left"/>
              <w:rPr>
                <w:rFonts w:ascii="宋体" w:hAnsi="宋体" w:eastAsia="宋体" w:cs="宋体"/>
                <w:szCs w:val="21"/>
              </w:rPr>
            </w:pPr>
            <w:r>
              <w:rPr>
                <w:rFonts w:ascii="宋体" w:hAnsi="宋体" w:eastAsia="宋体" w:cs="宋体"/>
                <w:szCs w:val="21"/>
              </w:rPr>
              <w:t>3.1 在平台端可以实现对各类系统用户针对各个门的长期、临时出入权限进行自由配置，所有配置在确定保存后实时生效；</w:t>
            </w:r>
          </w:p>
          <w:p w14:paraId="3E3C15BE">
            <w:pPr>
              <w:adjustRightInd w:val="0"/>
              <w:snapToGrid w:val="0"/>
              <w:spacing w:line="288" w:lineRule="auto"/>
              <w:jc w:val="left"/>
              <w:rPr>
                <w:rFonts w:ascii="宋体" w:hAnsi="宋体" w:eastAsia="宋体" w:cs="宋体"/>
                <w:szCs w:val="21"/>
              </w:rPr>
            </w:pPr>
            <w:r>
              <w:rPr>
                <w:rFonts w:ascii="宋体" w:hAnsi="宋体" w:eastAsia="宋体" w:cs="宋体"/>
                <w:szCs w:val="21"/>
              </w:rPr>
              <w:t>3.2 在系统中仪器预约生成或取消时自动产生门禁相关权限，自动下发到门禁控制器中并实时生效；</w:t>
            </w:r>
          </w:p>
          <w:p w14:paraId="0309646D">
            <w:pPr>
              <w:adjustRightInd w:val="0"/>
              <w:snapToGrid w:val="0"/>
              <w:spacing w:line="288" w:lineRule="auto"/>
              <w:jc w:val="left"/>
              <w:rPr>
                <w:rFonts w:ascii="宋体" w:hAnsi="宋体" w:eastAsia="宋体" w:cs="宋体"/>
                <w:szCs w:val="21"/>
              </w:rPr>
            </w:pPr>
            <w:r>
              <w:rPr>
                <w:rFonts w:ascii="宋体" w:hAnsi="宋体" w:eastAsia="宋体" w:cs="宋体"/>
                <w:szCs w:val="21"/>
              </w:rPr>
              <w:t>3.3 当用户仪器使用资格发生变化时，对应的门禁权限自动变更，并自动下发到相应门禁控制器中，实时生效，该功能可自主开启或关闭；</w:t>
            </w:r>
          </w:p>
          <w:p w14:paraId="6C929DD3">
            <w:pPr>
              <w:adjustRightInd w:val="0"/>
              <w:snapToGrid w:val="0"/>
              <w:spacing w:line="288" w:lineRule="auto"/>
              <w:jc w:val="left"/>
              <w:rPr>
                <w:rFonts w:ascii="宋体" w:hAnsi="宋体" w:eastAsia="宋体" w:cs="宋体"/>
                <w:szCs w:val="21"/>
              </w:rPr>
            </w:pPr>
            <w:r>
              <w:rPr>
                <w:rFonts w:ascii="宋体" w:hAnsi="宋体" w:eastAsia="宋体" w:cs="宋体"/>
                <w:szCs w:val="21"/>
              </w:rPr>
              <w:t>3.4 系统中需有临时卡管理功能，针对在系统中未授权用户，以及只需使用一天或几天的外来人员添加临时权限；</w:t>
            </w:r>
          </w:p>
          <w:p w14:paraId="77012105">
            <w:pPr>
              <w:adjustRightInd w:val="0"/>
              <w:snapToGrid w:val="0"/>
              <w:spacing w:line="288" w:lineRule="auto"/>
              <w:jc w:val="left"/>
              <w:rPr>
                <w:rFonts w:ascii="宋体" w:hAnsi="宋体" w:eastAsia="宋体" w:cs="宋体"/>
                <w:szCs w:val="21"/>
              </w:rPr>
            </w:pPr>
            <w:r>
              <w:rPr>
                <w:rFonts w:ascii="宋体" w:hAnsi="宋体" w:eastAsia="宋体" w:cs="宋体"/>
                <w:szCs w:val="21"/>
              </w:rPr>
              <w:t>4.远程开门</w:t>
            </w:r>
          </w:p>
          <w:p w14:paraId="087CB2D0">
            <w:pPr>
              <w:adjustRightInd w:val="0"/>
              <w:snapToGrid w:val="0"/>
              <w:spacing w:line="288" w:lineRule="auto"/>
              <w:jc w:val="left"/>
              <w:rPr>
                <w:rFonts w:ascii="宋体" w:hAnsi="宋体" w:eastAsia="宋体" w:cs="宋体"/>
                <w:szCs w:val="21"/>
              </w:rPr>
            </w:pPr>
            <w:r>
              <w:rPr>
                <w:rFonts w:ascii="宋体" w:hAnsi="宋体" w:eastAsia="宋体" w:cs="宋体"/>
                <w:szCs w:val="21"/>
              </w:rPr>
              <w:t>仪器管理员或以上级别人员可进行所管理权限下对应的门，进行远程开启，可在系统中加入一个门列表，并在右边设置开门按钮；</w:t>
            </w:r>
          </w:p>
          <w:p w14:paraId="213BFA88">
            <w:pPr>
              <w:adjustRightInd w:val="0"/>
              <w:snapToGrid w:val="0"/>
              <w:spacing w:line="288" w:lineRule="auto"/>
              <w:jc w:val="left"/>
              <w:rPr>
                <w:rFonts w:ascii="宋体" w:hAnsi="宋体" w:eastAsia="宋体" w:cs="宋体"/>
                <w:szCs w:val="21"/>
              </w:rPr>
            </w:pPr>
            <w:r>
              <w:rPr>
                <w:rFonts w:ascii="宋体" w:hAnsi="宋体" w:eastAsia="宋体" w:cs="宋体"/>
                <w:szCs w:val="21"/>
              </w:rPr>
              <w:t>5.门禁记录</w:t>
            </w:r>
          </w:p>
          <w:p w14:paraId="4519A8FD">
            <w:pPr>
              <w:adjustRightInd w:val="0"/>
              <w:snapToGrid w:val="0"/>
              <w:spacing w:line="288" w:lineRule="auto"/>
              <w:jc w:val="left"/>
              <w:rPr>
                <w:rFonts w:ascii="宋体" w:hAnsi="宋体" w:eastAsia="宋体" w:cs="宋体"/>
                <w:szCs w:val="21"/>
              </w:rPr>
            </w:pPr>
            <w:r>
              <w:rPr>
                <w:rFonts w:ascii="宋体" w:hAnsi="宋体" w:eastAsia="宋体" w:cs="宋体"/>
                <w:szCs w:val="21"/>
              </w:rPr>
              <w:t>具备所有进出门的日志查看和导出；</w:t>
            </w:r>
          </w:p>
          <w:p w14:paraId="09C3C212">
            <w:pPr>
              <w:adjustRightInd w:val="0"/>
              <w:snapToGrid w:val="0"/>
              <w:spacing w:line="288" w:lineRule="auto"/>
              <w:jc w:val="left"/>
              <w:rPr>
                <w:rFonts w:ascii="宋体" w:hAnsi="宋体" w:eastAsia="宋体" w:cs="宋体"/>
                <w:szCs w:val="21"/>
              </w:rPr>
            </w:pPr>
            <w:r>
              <w:rPr>
                <w:rFonts w:ascii="宋体" w:hAnsi="宋体" w:eastAsia="宋体" w:cs="宋体"/>
                <w:szCs w:val="21"/>
              </w:rPr>
              <w:t>6.设备管理</w:t>
            </w:r>
          </w:p>
          <w:p w14:paraId="51D1F34C">
            <w:pPr>
              <w:adjustRightInd w:val="0"/>
              <w:snapToGrid w:val="0"/>
              <w:spacing w:line="288" w:lineRule="auto"/>
              <w:jc w:val="left"/>
              <w:rPr>
                <w:rFonts w:ascii="宋体" w:hAnsi="宋体" w:eastAsia="宋体" w:cs="宋体"/>
                <w:szCs w:val="21"/>
              </w:rPr>
            </w:pPr>
            <w:r>
              <w:rPr>
                <w:rFonts w:ascii="宋体" w:hAnsi="宋体" w:eastAsia="宋体" w:cs="宋体"/>
                <w:szCs w:val="21"/>
              </w:rPr>
              <w:t>6.1 可以配置门名称及相关参数；</w:t>
            </w:r>
          </w:p>
          <w:p w14:paraId="785EFA8A">
            <w:pPr>
              <w:adjustRightInd w:val="0"/>
              <w:snapToGrid w:val="0"/>
              <w:spacing w:line="288" w:lineRule="auto"/>
              <w:jc w:val="left"/>
              <w:rPr>
                <w:rFonts w:ascii="宋体" w:hAnsi="宋体" w:eastAsia="宋体" w:cs="宋体"/>
                <w:szCs w:val="21"/>
              </w:rPr>
            </w:pPr>
            <w:r>
              <w:rPr>
                <w:rFonts w:ascii="宋体" w:hAnsi="宋体" w:eastAsia="宋体" w:cs="宋体"/>
                <w:szCs w:val="21"/>
              </w:rPr>
              <w:t>6.2 可以实时手动下发或清除单个或全部门禁控制器上的数据；</w:t>
            </w:r>
          </w:p>
          <w:p w14:paraId="0B28D228">
            <w:pPr>
              <w:adjustRightInd w:val="0"/>
              <w:snapToGrid w:val="0"/>
              <w:spacing w:line="288" w:lineRule="auto"/>
              <w:jc w:val="left"/>
              <w:rPr>
                <w:rFonts w:ascii="宋体" w:hAnsi="宋体" w:eastAsia="宋体" w:cs="宋体"/>
                <w:szCs w:val="21"/>
              </w:rPr>
            </w:pPr>
            <w:r>
              <w:rPr>
                <w:rFonts w:ascii="宋体" w:hAnsi="宋体" w:eastAsia="宋体" w:cs="宋体"/>
                <w:szCs w:val="21"/>
              </w:rPr>
              <w:t>6.3 添加、搜索及管理门禁控制器设备；</w:t>
            </w:r>
          </w:p>
          <w:p w14:paraId="3FF30B37">
            <w:pPr>
              <w:adjustRightInd w:val="0"/>
              <w:snapToGrid w:val="0"/>
              <w:spacing w:line="288" w:lineRule="auto"/>
              <w:jc w:val="left"/>
              <w:rPr>
                <w:rFonts w:ascii="宋体" w:hAnsi="宋体" w:eastAsia="宋体" w:cs="宋体"/>
                <w:szCs w:val="21"/>
              </w:rPr>
            </w:pPr>
            <w:r>
              <w:rPr>
                <w:rFonts w:ascii="宋体" w:hAnsi="宋体" w:eastAsia="宋体" w:cs="宋体"/>
                <w:szCs w:val="21"/>
              </w:rPr>
              <w:t>6.4 所有在预约中产生的有效权限下发前，自动加入手动设置的权限生效与结束时间段，该时间为全局配置。</w:t>
            </w:r>
          </w:p>
          <w:p w14:paraId="2A41337F">
            <w:pPr>
              <w:adjustRightInd w:val="0"/>
              <w:snapToGrid w:val="0"/>
              <w:spacing w:line="288" w:lineRule="auto"/>
              <w:jc w:val="left"/>
              <w:rPr>
                <w:rFonts w:ascii="宋体" w:hAnsi="宋体" w:eastAsia="宋体" w:cs="宋体"/>
                <w:szCs w:val="21"/>
              </w:rPr>
            </w:pPr>
            <w:r>
              <w:rPr>
                <w:rFonts w:ascii="宋体" w:hAnsi="宋体" w:eastAsia="宋体" w:cs="宋体"/>
                <w:szCs w:val="21"/>
              </w:rPr>
              <w:t>7.门禁智能控制中心</w:t>
            </w:r>
          </w:p>
          <w:p w14:paraId="2A524D5F">
            <w:pPr>
              <w:adjustRightInd w:val="0"/>
              <w:snapToGrid w:val="0"/>
              <w:spacing w:line="288" w:lineRule="auto"/>
              <w:jc w:val="left"/>
              <w:rPr>
                <w:rFonts w:ascii="宋体" w:hAnsi="宋体" w:eastAsia="宋体" w:cs="宋体"/>
                <w:szCs w:val="21"/>
              </w:rPr>
            </w:pPr>
            <w:r>
              <w:rPr>
                <w:rFonts w:ascii="宋体" w:hAnsi="宋体" w:eastAsia="宋体" w:cs="宋体"/>
                <w:szCs w:val="21"/>
              </w:rPr>
              <w:t>处理器：不低于英特尔至强E-2314 四核2.8GHz；内存：大于等于16G；硬盘：大于等于2T；电源：300W以上；网卡：双口千兆。</w:t>
            </w:r>
          </w:p>
        </w:tc>
        <w:tc>
          <w:tcPr>
            <w:tcW w:w="584" w:type="pct"/>
            <w:vAlign w:val="center"/>
          </w:tcPr>
          <w:p w14:paraId="7AF55B01">
            <w:p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100000</w:t>
            </w:r>
          </w:p>
        </w:tc>
      </w:tr>
      <w:tr w14:paraId="277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12695479">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531" w:type="pct"/>
            <w:vAlign w:val="center"/>
          </w:tcPr>
          <w:p w14:paraId="1DDB1674">
            <w:pPr>
              <w:adjustRightInd w:val="0"/>
              <w:snapToGrid w:val="0"/>
              <w:spacing w:line="288" w:lineRule="auto"/>
              <w:jc w:val="center"/>
              <w:rPr>
                <w:rFonts w:ascii="宋体" w:hAnsi="宋体" w:eastAsia="宋体" w:cs="Times New Roman"/>
                <w:b/>
                <w:bCs/>
                <w:szCs w:val="21"/>
              </w:rPr>
            </w:pPr>
            <w:r>
              <w:rPr>
                <w:rFonts w:ascii="宋体" w:hAnsi="宋体" w:eastAsia="宋体" w:cs="宋体"/>
                <w:color w:val="000000"/>
              </w:rPr>
              <w:t>科研实验数据存储及溯源系统</w:t>
            </w:r>
          </w:p>
        </w:tc>
        <w:tc>
          <w:tcPr>
            <w:tcW w:w="221" w:type="pct"/>
            <w:vAlign w:val="center"/>
          </w:tcPr>
          <w:p w14:paraId="051302EE">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21" w:type="pct"/>
            <w:vAlign w:val="center"/>
          </w:tcPr>
          <w:p w14:paraId="4C25872B">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c>
          <w:tcPr>
            <w:tcW w:w="3218" w:type="pct"/>
            <w:vAlign w:val="center"/>
          </w:tcPr>
          <w:p w14:paraId="133734A6">
            <w:pPr>
              <w:adjustRightInd w:val="0"/>
              <w:snapToGrid w:val="0"/>
              <w:spacing w:line="288" w:lineRule="auto"/>
              <w:jc w:val="left"/>
              <w:rPr>
                <w:rFonts w:ascii="宋体" w:hAnsi="宋体" w:eastAsia="宋体" w:cs="宋体"/>
                <w:szCs w:val="21"/>
              </w:rPr>
            </w:pPr>
            <w:r>
              <w:rPr>
                <w:rFonts w:ascii="宋体" w:hAnsi="宋体" w:eastAsia="宋体" w:cs="宋体"/>
                <w:szCs w:val="21"/>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3E6ECFD6">
            <w:pPr>
              <w:adjustRightInd w:val="0"/>
              <w:snapToGrid w:val="0"/>
              <w:spacing w:line="288" w:lineRule="auto"/>
              <w:jc w:val="left"/>
              <w:rPr>
                <w:rFonts w:ascii="宋体" w:hAnsi="宋体" w:eastAsia="宋体" w:cs="宋体"/>
                <w:szCs w:val="21"/>
              </w:rPr>
            </w:pPr>
            <w:r>
              <w:rPr>
                <w:rFonts w:ascii="宋体" w:hAnsi="宋体" w:eastAsia="宋体" w:cs="宋体"/>
                <w:szCs w:val="21"/>
              </w:rPr>
              <w:t>2.数据上传</w:t>
            </w:r>
          </w:p>
          <w:p w14:paraId="5C9FA6E8">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val="en-US" w:eastAsia="zh-CN"/>
              </w:rPr>
              <w:t>2.1.</w:t>
            </w:r>
            <w:r>
              <w:rPr>
                <w:rFonts w:ascii="宋体" w:hAnsi="宋体" w:eastAsia="宋体" w:cs="宋体"/>
                <w:szCs w:val="21"/>
              </w:rPr>
              <w:t>支持在仪器附属电脑不连接网络的情况下，通过杭州医学院大型仪器共享管理系统智能控制终端进行实验数据单向传输，避免电脑联网染毒风险；</w:t>
            </w:r>
          </w:p>
          <w:p w14:paraId="66D4DED9">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lang w:val="en-US" w:eastAsia="zh-CN"/>
              </w:rPr>
              <w:t>2.2.</w:t>
            </w:r>
            <w:r>
              <w:rPr>
                <w:rFonts w:ascii="宋体" w:hAnsi="宋体" w:eastAsia="宋体" w:cs="宋体"/>
                <w:b/>
                <w:bCs/>
                <w:szCs w:val="21"/>
              </w:rPr>
              <w:t>现有大型仪器共享管理系统为：品牌：安徽朋德；型号：LIMS-ICT300。硬件对接费用不超过2万元，</w:t>
            </w:r>
            <w:r>
              <w:rPr>
                <w:rFonts w:ascii="宋体" w:hAnsi="宋体" w:eastAsia="宋体" w:cs="宋体"/>
                <w:b/>
                <w:bCs/>
                <w:szCs w:val="21"/>
                <w:highlight w:val="none"/>
              </w:rPr>
              <w:t>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4205EB6D">
            <w:pPr>
              <w:adjustRightInd w:val="0"/>
              <w:snapToGrid w:val="0"/>
              <w:spacing w:line="288" w:lineRule="auto"/>
              <w:jc w:val="left"/>
              <w:rPr>
                <w:rFonts w:ascii="宋体" w:hAnsi="宋体" w:eastAsia="宋体" w:cs="宋体"/>
                <w:szCs w:val="21"/>
              </w:rPr>
            </w:pPr>
            <w:r>
              <w:rPr>
                <w:rFonts w:ascii="宋体" w:hAnsi="宋体" w:eastAsia="宋体" w:cs="宋体"/>
                <w:szCs w:val="21"/>
              </w:rPr>
              <w:t>3.数据存储</w:t>
            </w:r>
          </w:p>
          <w:p w14:paraId="1E134614">
            <w:pPr>
              <w:adjustRightInd w:val="0"/>
              <w:snapToGrid w:val="0"/>
              <w:spacing w:line="288" w:lineRule="auto"/>
              <w:jc w:val="left"/>
              <w:rPr>
                <w:rFonts w:ascii="宋体" w:hAnsi="宋体" w:eastAsia="宋体" w:cs="宋体"/>
                <w:szCs w:val="21"/>
              </w:rPr>
            </w:pPr>
            <w:r>
              <w:rPr>
                <w:rFonts w:ascii="宋体" w:hAnsi="宋体" w:eastAsia="宋体" w:cs="宋体"/>
                <w:szCs w:val="21"/>
              </w:rPr>
              <w:t>上传的实验数据在存储服务器进行存储，避免因本地硬盘意外损坏带来的数据丢失风险；</w:t>
            </w:r>
          </w:p>
          <w:p w14:paraId="2E4C8D6E">
            <w:pPr>
              <w:adjustRightInd w:val="0"/>
              <w:snapToGrid w:val="0"/>
              <w:spacing w:line="288" w:lineRule="auto"/>
              <w:jc w:val="left"/>
              <w:rPr>
                <w:rFonts w:ascii="宋体" w:hAnsi="宋体" w:eastAsia="宋体" w:cs="宋体"/>
                <w:szCs w:val="21"/>
              </w:rPr>
            </w:pPr>
            <w:r>
              <w:rPr>
                <w:rFonts w:ascii="宋体" w:hAnsi="宋体" w:eastAsia="宋体" w:cs="宋体"/>
                <w:szCs w:val="21"/>
              </w:rPr>
              <w:t>4.数据管理</w:t>
            </w:r>
          </w:p>
          <w:p w14:paraId="1D6192E1">
            <w:pPr>
              <w:adjustRightInd w:val="0"/>
              <w:snapToGrid w:val="0"/>
              <w:spacing w:line="288" w:lineRule="auto"/>
              <w:jc w:val="left"/>
              <w:rPr>
                <w:rFonts w:ascii="宋体" w:hAnsi="宋体" w:eastAsia="宋体" w:cs="宋体"/>
                <w:szCs w:val="21"/>
              </w:rPr>
            </w:pPr>
            <w:r>
              <w:rPr>
                <w:rFonts w:ascii="宋体" w:hAnsi="宋体" w:eastAsia="宋体" w:cs="宋体"/>
                <w:szCs w:val="21"/>
              </w:rPr>
              <w:t>实验数据进行分级管理，具有权限的人员可以从杭州医学院大型仪器共享管理系统下载、删除及分享实验数据；</w:t>
            </w:r>
          </w:p>
          <w:p w14:paraId="226260EC">
            <w:pPr>
              <w:adjustRightInd w:val="0"/>
              <w:snapToGrid w:val="0"/>
              <w:spacing w:line="288" w:lineRule="auto"/>
              <w:jc w:val="left"/>
              <w:rPr>
                <w:rFonts w:ascii="宋体" w:hAnsi="宋体" w:eastAsia="宋体" w:cs="宋体"/>
                <w:szCs w:val="21"/>
              </w:rPr>
            </w:pPr>
            <w:r>
              <w:rPr>
                <w:rFonts w:ascii="宋体" w:hAnsi="宋体" w:eastAsia="宋体" w:cs="宋体"/>
                <w:szCs w:val="21"/>
              </w:rPr>
              <w:t>5.数据溯源</w:t>
            </w:r>
          </w:p>
          <w:p w14:paraId="52EC5DB3">
            <w:pPr>
              <w:adjustRightInd w:val="0"/>
              <w:snapToGrid w:val="0"/>
              <w:spacing w:line="288" w:lineRule="auto"/>
              <w:jc w:val="left"/>
              <w:rPr>
                <w:rFonts w:ascii="宋体" w:hAnsi="宋体" w:eastAsia="宋体" w:cs="宋体"/>
                <w:szCs w:val="21"/>
              </w:rPr>
            </w:pPr>
            <w:r>
              <w:rPr>
                <w:rFonts w:ascii="宋体" w:hAnsi="宋体" w:eastAsia="宋体" w:cs="宋体"/>
                <w:szCs w:val="21"/>
              </w:rPr>
              <w:t>根据实验记录对实验数据进行溯源，为科研数据真实性提供诚信监督。</w:t>
            </w:r>
          </w:p>
        </w:tc>
        <w:tc>
          <w:tcPr>
            <w:tcW w:w="584" w:type="pct"/>
            <w:vAlign w:val="center"/>
          </w:tcPr>
          <w:p w14:paraId="6FB9BF3A">
            <w:p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40000</w:t>
            </w:r>
          </w:p>
        </w:tc>
      </w:tr>
    </w:tbl>
    <w:p w14:paraId="51B373D5">
      <w:pPr>
        <w:adjustRightInd w:val="0"/>
        <w:snapToGrid w:val="0"/>
        <w:spacing w:line="288" w:lineRule="auto"/>
        <w:rPr>
          <w:rFonts w:hint="eastAsia" w:ascii="宋体" w:hAnsi="宋体" w:eastAsia="宋体" w:cs="Times New Roman"/>
          <w:b/>
          <w:bCs/>
          <w:szCs w:val="21"/>
          <w:lang w:val="en-US" w:eastAsia="zh-CN"/>
        </w:rPr>
      </w:pPr>
    </w:p>
    <w:p w14:paraId="04520A2A">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五、演示要求（以截图、PPT为主的演示或未提供演示的，演示分为0分）</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799"/>
        <w:gridCol w:w="6928"/>
      </w:tblGrid>
      <w:tr w14:paraId="1831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25953CDB">
            <w:pPr>
              <w:widowControl/>
              <w:adjustRightInd w:val="0"/>
              <w:snapToGrid w:val="0"/>
              <w:spacing w:line="288" w:lineRule="auto"/>
              <w:jc w:val="center"/>
              <w:rPr>
                <w:rFonts w:hint="eastAsia" w:ascii="宋体" w:hAnsi="宋体" w:eastAsia="宋体" w:cs="Times New Roman"/>
                <w:b/>
                <w:bCs/>
                <w:szCs w:val="21"/>
                <w:lang w:val="en-US"/>
              </w:rPr>
            </w:pPr>
            <w:r>
              <w:rPr>
                <w:rFonts w:hint="eastAsia" w:ascii="宋体" w:hAnsi="宋体" w:eastAsia="宋体" w:cs="Times New Roman"/>
                <w:b/>
                <w:bCs/>
                <w:szCs w:val="21"/>
              </w:rPr>
              <w:t>序号</w:t>
            </w:r>
          </w:p>
        </w:tc>
        <w:tc>
          <w:tcPr>
            <w:tcW w:w="934" w:type="pct"/>
            <w:vAlign w:val="center"/>
          </w:tcPr>
          <w:p w14:paraId="2513EC83">
            <w:pPr>
              <w:widowControl/>
              <w:adjustRightInd w:val="0"/>
              <w:snapToGrid w:val="0"/>
              <w:spacing w:line="288" w:lineRule="auto"/>
              <w:jc w:val="center"/>
              <w:rPr>
                <w:rFonts w:hint="eastAsia" w:ascii="宋体" w:hAnsi="宋体" w:eastAsia="宋体" w:cs="Times New Roman"/>
                <w:b/>
                <w:bCs/>
                <w:szCs w:val="21"/>
                <w:lang w:val="en-US"/>
              </w:rPr>
            </w:pPr>
            <w:r>
              <w:rPr>
                <w:rFonts w:hint="eastAsia" w:ascii="宋体" w:hAnsi="宋体" w:eastAsia="宋体" w:cs="Times New Roman"/>
                <w:b/>
                <w:bCs/>
                <w:szCs w:val="21"/>
              </w:rPr>
              <w:t>名称</w:t>
            </w:r>
          </w:p>
        </w:tc>
        <w:tc>
          <w:tcPr>
            <w:tcW w:w="3597" w:type="pct"/>
            <w:vAlign w:val="center"/>
          </w:tcPr>
          <w:p w14:paraId="38378592">
            <w:pPr>
              <w:widowControl/>
              <w:adjustRightInd w:val="0"/>
              <w:snapToGrid w:val="0"/>
              <w:spacing w:line="288" w:lineRule="auto"/>
              <w:jc w:val="center"/>
              <w:rPr>
                <w:rFonts w:hint="eastAsia" w:ascii="宋体" w:hAnsi="宋体" w:eastAsia="宋体" w:cs="Times New Roman"/>
                <w:b/>
                <w:bCs/>
                <w:szCs w:val="21"/>
                <w:lang w:val="en-US"/>
              </w:rPr>
            </w:pPr>
            <w:r>
              <w:rPr>
                <w:rFonts w:hint="eastAsia" w:ascii="宋体" w:hAnsi="宋体" w:eastAsia="宋体" w:cs="Times New Roman"/>
                <w:b/>
                <w:bCs/>
                <w:szCs w:val="21"/>
              </w:rPr>
              <w:t>演示内容</w:t>
            </w:r>
          </w:p>
        </w:tc>
      </w:tr>
      <w:tr w14:paraId="5729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71DCDEA7">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p>
        </w:tc>
        <w:tc>
          <w:tcPr>
            <w:tcW w:w="934" w:type="pct"/>
            <w:vAlign w:val="center"/>
          </w:tcPr>
          <w:p w14:paraId="7DE47293">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实验室共享账单管理系统</w:t>
            </w:r>
          </w:p>
        </w:tc>
        <w:tc>
          <w:tcPr>
            <w:tcW w:w="3597" w:type="pct"/>
            <w:vAlign w:val="center"/>
          </w:tcPr>
          <w:p w14:paraId="02D6A30F">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用户预约仪器，预约实验完成后系统自动产生实验记录并自动生成计费明细（例如：用户、仪器名称、实验开始时间、实验结束时间、使用时间、收费等信息）。</w:t>
            </w:r>
          </w:p>
          <w:p w14:paraId="65BCF55D">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系统自动生成待确认的课题组账单。需课题组负责人或管理员对账单明细是否有无异议的实验记录进行确认，如有可申诉。课题组负责人完成账单确认后，可选择是否需要发票，提交保存后，更新为待推送的账单。</w:t>
            </w:r>
          </w:p>
          <w:p w14:paraId="0E6B559A">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.财务管理员可上传账单的盖章件并推送给PI，推送后的账单更新为待下载。</w:t>
            </w:r>
          </w:p>
        </w:tc>
      </w:tr>
      <w:tr w14:paraId="4A92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4E7285F4">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w:t>
            </w:r>
          </w:p>
        </w:tc>
        <w:tc>
          <w:tcPr>
            <w:tcW w:w="934" w:type="pct"/>
            <w:vAlign w:val="center"/>
          </w:tcPr>
          <w:p w14:paraId="42CC1092">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培训及安全准入系统</w:t>
            </w:r>
          </w:p>
        </w:tc>
        <w:tc>
          <w:tcPr>
            <w:tcW w:w="3597" w:type="pct"/>
            <w:vAlign w:val="center"/>
          </w:tcPr>
          <w:p w14:paraId="50853C8C">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试卷模版管理：支持对考试时间、考试题数、及格线、考试有效期限进行设置；</w:t>
            </w:r>
          </w:p>
          <w:p w14:paraId="61695D88">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试题管理：支持客观题（单选、多选、判断题）答题模式，支持新增单题与批量导入；</w:t>
            </w:r>
          </w:p>
          <w:p w14:paraId="69CC1465">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自助考试：系统自动从题库中随机抽取试题形成试卷，用户在允许的时间范围内对试题进行作答，系统自动生成考试结果；</w:t>
            </w:r>
          </w:p>
          <w:p w14:paraId="72B51A59">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4.</w:t>
            </w:r>
            <w:r>
              <w:rPr>
                <w:rFonts w:hint="eastAsia" w:ascii="宋体" w:hAnsi="宋体" w:eastAsia="宋体" w:cs="Times New Roman"/>
                <w:b w:val="0"/>
                <w:bCs w:val="0"/>
                <w:szCs w:val="21"/>
                <w:lang w:eastAsia="zh-CN"/>
              </w:rPr>
              <w:t>系统准入：支持设置系统准入，用户在使用系统前必须通过诸如考试才能使用系统功能。</w:t>
            </w:r>
          </w:p>
        </w:tc>
      </w:tr>
      <w:tr w14:paraId="4D5E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2C350E26">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w:t>
            </w:r>
          </w:p>
        </w:tc>
        <w:tc>
          <w:tcPr>
            <w:tcW w:w="934" w:type="pct"/>
            <w:vAlign w:val="center"/>
          </w:tcPr>
          <w:p w14:paraId="378C5890">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大仪平台门禁对接管理模块</w:t>
            </w:r>
          </w:p>
        </w:tc>
        <w:tc>
          <w:tcPr>
            <w:tcW w:w="3597" w:type="pct"/>
            <w:vAlign w:val="center"/>
          </w:tcPr>
          <w:p w14:paraId="3AA5F718">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在平台端可以实现对各类系统用户针对各个门的长期、临时出入权限进行自由配置，所有配置在确定保存后实时生效；</w:t>
            </w:r>
          </w:p>
          <w:p w14:paraId="061D2C5A">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远程开门</w:t>
            </w:r>
          </w:p>
          <w:p w14:paraId="5FCE69C7">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仪器管理员或以上级别人员可进行所管理权限下对应的门，进行远程开启，可在系统中加入一个门列表，并在右边设置开门按钮；</w:t>
            </w:r>
          </w:p>
          <w:p w14:paraId="34AB2BFE">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.门禁记录</w:t>
            </w:r>
          </w:p>
          <w:p w14:paraId="551A7189">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具备所有进出门的日志查看和导出。</w:t>
            </w:r>
          </w:p>
        </w:tc>
      </w:tr>
      <w:tr w14:paraId="2330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53B9D8A0">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w:t>
            </w:r>
          </w:p>
        </w:tc>
        <w:tc>
          <w:tcPr>
            <w:tcW w:w="934" w:type="pct"/>
            <w:vAlign w:val="center"/>
          </w:tcPr>
          <w:p w14:paraId="0E6F56FF">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科研实验数据存储及溯源系统</w:t>
            </w:r>
          </w:p>
        </w:tc>
        <w:tc>
          <w:tcPr>
            <w:tcW w:w="3597" w:type="pct"/>
            <w:vAlign w:val="center"/>
          </w:tcPr>
          <w:p w14:paraId="1FE7DF1B">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.数据上传</w:t>
            </w:r>
          </w:p>
          <w:p w14:paraId="02297725">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支持在仪器附属电脑不连接网络的情况下，通过大型仪器共享管理系统智能控制终端（</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）向数据中心单向传输实验数据。</w:t>
            </w:r>
          </w:p>
          <w:p w14:paraId="51A5BCB7">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.数据管理</w:t>
            </w:r>
          </w:p>
          <w:p w14:paraId="1D9E9A29">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实验数据进行分级管理，具有权限的人员可以从大型仪器共享管理系统（</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）下载、删除及分享实验数据；</w:t>
            </w:r>
          </w:p>
        </w:tc>
      </w:tr>
    </w:tbl>
    <w:p w14:paraId="0CE6A76B">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lang w:val="en-US" w:eastAsia="zh-CN"/>
        </w:rPr>
        <w:t>1.</w:t>
      </w:r>
      <w:r>
        <w:rPr>
          <w:rFonts w:hint="eastAsia" w:ascii="宋体" w:hAnsi="宋体" w:eastAsia="宋体" w:cs="Times New Roman"/>
          <w:b/>
          <w:bCs/>
          <w:szCs w:val="21"/>
        </w:rPr>
        <w:t>演示时间不超过15分钟（所有演示总时长）</w:t>
      </w:r>
    </w:p>
    <w:p w14:paraId="3731A6C4">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2.演示U盘：</w:t>
      </w:r>
    </w:p>
    <w:p w14:paraId="6226C5FF">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2.1供应商需将以上演示过程录制视频，演示时长不超过15分钟以mp4.格式存储于U盘。</w:t>
      </w:r>
    </w:p>
    <w:p w14:paraId="5789DF7F">
      <w:pPr>
        <w:widowControl/>
        <w:adjustRightInd w:val="0"/>
        <w:snapToGrid w:val="0"/>
        <w:spacing w:line="288"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2.2与商务技术文件一并密封在响应</w:t>
      </w:r>
      <w:r>
        <w:rPr>
          <w:rFonts w:hint="eastAsia" w:ascii="宋体" w:hAnsi="宋体" w:eastAsia="宋体" w:cs="Times New Roman"/>
          <w:b/>
          <w:bCs/>
          <w:szCs w:val="21"/>
        </w:rPr>
        <w:t>文件提交截止时间前</w:t>
      </w:r>
      <w:r>
        <w:rPr>
          <w:rFonts w:hint="eastAsia" w:ascii="宋体" w:hAnsi="宋体" w:eastAsia="宋体" w:cs="Times New Roman"/>
          <w:b/>
          <w:bCs/>
          <w:szCs w:val="21"/>
          <w:lang w:val="en-US" w:eastAsia="zh-CN"/>
        </w:rPr>
        <w:t>递交。供应商须自行核验U盘中的视频能正常播放，保证视频无需转码即可直接用主流播放器打开播放。</w:t>
      </w:r>
    </w:p>
    <w:p w14:paraId="5B111A8A">
      <w:pPr>
        <w:widowControl/>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lang w:val="en-US" w:eastAsia="zh-CN"/>
        </w:rPr>
        <w:t>2.3未按招标文件要求提供演示U盘造成评审专家无法正常评审的风险由供应商自行承担。</w:t>
      </w: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杭州医学院杭州医学院大仪平台扩容建设</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w:t>
            </w:r>
            <w:r>
              <w:rPr>
                <w:rFonts w:ascii="宋体" w:hAnsi="宋体" w:eastAsia="宋体"/>
                <w:szCs w:val="21"/>
                <w:highlight w:val="none"/>
              </w:rPr>
              <w:t>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2025年3月（含）以后任意一月</w:t>
            </w:r>
            <w:r>
              <w:rPr>
                <w:rFonts w:ascii="宋体" w:hAnsi="宋体" w:eastAsia="宋体"/>
                <w:szCs w:val="21"/>
                <w:highlight w:val="none"/>
              </w:rPr>
              <w:t>）</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w:t>
            </w:r>
            <w:r>
              <w:rPr>
                <w:rFonts w:hint="eastAsia" w:ascii="宋体" w:hAnsi="宋体" w:eastAsia="宋体"/>
                <w:szCs w:val="21"/>
              </w:rPr>
              <w:t>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w:t>
            </w:r>
            <w:r>
              <w:rPr>
                <w:rFonts w:hint="eastAsia" w:ascii="宋体" w:hAnsi="宋体" w:eastAsia="宋体"/>
                <w:szCs w:val="21"/>
                <w:highlight w:val="none"/>
              </w:rPr>
              <w:t>受理费和仲裁处理费）均由中标人承担。</w:t>
            </w:r>
          </w:p>
          <w:p w14:paraId="637CAF0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hint="eastAsia"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szCs w:val="21"/>
                      <w:highlight w:val="none"/>
                    </w:rPr>
                  </w:pPr>
                  <w:r>
                    <w:rPr>
                      <w:rFonts w:hint="eastAsia" w:ascii="宋体" w:hAnsi="宋体" w:eastAsia="宋体"/>
                      <w:szCs w:val="21"/>
                      <w:highlight w:val="none"/>
                    </w:rPr>
                    <w:t>1.05</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15EF731">
                  <w:pPr>
                    <w:adjustRightInd w:val="0"/>
                    <w:snapToGrid w:val="0"/>
                    <w:spacing w:line="288" w:lineRule="auto"/>
                    <w:jc w:val="center"/>
                    <w:rPr>
                      <w:rFonts w:hint="eastAsia" w:ascii="宋体" w:hAnsi="宋体" w:eastAsia="宋体"/>
                      <w:szCs w:val="21"/>
                      <w:highlight w:val="none"/>
                    </w:rPr>
                  </w:pPr>
                  <w:r>
                    <w:rPr>
                      <w:rFonts w:hint="eastAsia" w:ascii="宋体" w:hAnsi="宋体" w:eastAsia="宋体"/>
                      <w:szCs w:val="21"/>
                      <w:highlight w:val="none"/>
                    </w:rPr>
                    <w:t>不足2000元的按照2000元收收取</w:t>
                  </w:r>
                </w:p>
              </w:tc>
            </w:tr>
          </w:tbl>
          <w:p w14:paraId="3B730E48">
            <w:pPr>
              <w:adjustRightInd w:val="0"/>
              <w:snapToGrid w:val="0"/>
              <w:spacing w:line="288" w:lineRule="auto"/>
              <w:rPr>
                <w:rFonts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14:paraId="1C74A21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4D984B3E">
            <w:pPr>
              <w:adjustRightInd w:val="0"/>
              <w:snapToGrid w:val="0"/>
              <w:spacing w:line="288" w:lineRule="auto"/>
              <w:rPr>
                <w:rFonts w:hint="default" w:ascii="宋体" w:hAnsi="宋体" w:eastAsia="宋体" w:cs="Times New Roman"/>
                <w:color w:val="auto"/>
                <w:spacing w:val="-6"/>
                <w:szCs w:val="21"/>
                <w:lang w:val="en-US" w:eastAsia="zh-CN"/>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b/>
                <w:bCs/>
                <w:color w:val="auto"/>
                <w:szCs w:val="21"/>
                <w:lang w:val="en-US" w:eastAsia="zh-CN"/>
              </w:rPr>
              <w:t>1.</w:t>
            </w:r>
            <w:r>
              <w:rPr>
                <w:rFonts w:hint="eastAsia" w:ascii="宋体" w:hAnsi="宋体" w:eastAsia="宋体"/>
                <w:b/>
                <w:bCs/>
                <w:color w:val="auto"/>
                <w:szCs w:val="21"/>
                <w:u w:val="single"/>
              </w:rPr>
              <w:t>保障技术的一致性和协同性：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color w:val="auto"/>
                <w:szCs w:val="21"/>
                <w:u w:val="single"/>
              </w:rPr>
              <w:t>涉及多个技术领域和专业知识，这些设备和技术之间往往存在紧密的联系和依赖关系。如果允许分包，不同分包商可能采用不同的技术方案和标准，导致技术上的不一致性和协同性问题</w:t>
            </w:r>
            <w:r>
              <w:rPr>
                <w:rFonts w:hint="eastAsia" w:ascii="宋体" w:hAnsi="宋体" w:eastAsia="宋体"/>
                <w:color w:val="auto"/>
                <w:szCs w:val="21"/>
                <w:u w:val="single"/>
                <w:lang w:eastAsia="zh-CN"/>
              </w:rPr>
              <w:t>；</w:t>
            </w:r>
            <w:r>
              <w:rPr>
                <w:rFonts w:hint="eastAsia" w:ascii="宋体" w:hAnsi="宋体" w:eastAsia="宋体"/>
                <w:b/>
                <w:bCs/>
                <w:color w:val="auto"/>
                <w:szCs w:val="21"/>
                <w:u w:val="single"/>
                <w:lang w:val="en-US" w:eastAsia="zh-CN"/>
              </w:rPr>
              <w:t>2.保障数据安全性：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b w:val="0"/>
                <w:bCs w:val="0"/>
                <w:color w:val="auto"/>
                <w:szCs w:val="21"/>
                <w:u w:val="single"/>
                <w:lang w:val="en-US" w:eastAsia="zh-CN"/>
              </w:rPr>
              <w:t>涉及与杭州医学院大型仪器共享管理系统无缝数据对接，如果允许分包，可能会有数据泄露的风险。</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2）符合参加政府采购活动应当</w:t>
            </w:r>
            <w:r>
              <w:rPr>
                <w:rFonts w:hint="eastAsia" w:ascii="宋体" w:hAnsi="宋体" w:eastAsia="宋体"/>
                <w:bCs/>
                <w:szCs w:val="21"/>
                <w:highlight w:val="none"/>
              </w:rPr>
              <w:t>具备的一般条件的承诺函</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4C7D81EE">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1）</w:t>
            </w:r>
            <w:r>
              <w:rPr>
                <w:rFonts w:ascii="宋体" w:hAnsi="宋体" w:eastAsia="宋体"/>
                <w:bCs/>
                <w:color w:val="auto"/>
                <w:szCs w:val="21"/>
                <w:highlight w:val="none"/>
              </w:rPr>
              <w:t>中小企业声明函（若属于中小企业）</w:t>
            </w:r>
          </w:p>
          <w:p w14:paraId="5735F93B">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2）</w:t>
            </w:r>
            <w:r>
              <w:rPr>
                <w:rFonts w:ascii="宋体" w:hAnsi="宋体" w:eastAsia="宋体"/>
                <w:bCs/>
                <w:color w:val="auto"/>
                <w:szCs w:val="21"/>
                <w:highlight w:val="none"/>
              </w:rPr>
              <w:t>属于监狱企业的证明文件（若属于监狱企业）</w:t>
            </w:r>
          </w:p>
          <w:p w14:paraId="089960CC">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w:t>
            </w:r>
            <w:r>
              <w:rPr>
                <w:rFonts w:ascii="宋体" w:hAnsi="宋体" w:eastAsia="宋体"/>
                <w:bCs/>
                <w:color w:val="auto"/>
                <w:szCs w:val="21"/>
                <w:highlight w:val="none"/>
              </w:rPr>
              <w:t>残疾人福利性单位声明函（若属于残疾人福利性单位）</w:t>
            </w:r>
          </w:p>
          <w:p w14:paraId="6EB84528">
            <w:pPr>
              <w:adjustRightInd w:val="0"/>
              <w:snapToGrid w:val="0"/>
              <w:spacing w:line="288" w:lineRule="auto"/>
              <w:rPr>
                <w:highlight w:val="none"/>
              </w:rPr>
            </w:pPr>
            <w:r>
              <w:rPr>
                <w:rFonts w:hint="eastAsia" w:ascii="宋体" w:hAnsi="宋体" w:eastAsia="宋体"/>
                <w:bCs/>
                <w:color w:val="auto"/>
                <w:szCs w:val="21"/>
                <w:highlight w:val="none"/>
              </w:rPr>
              <w:t>▲联合体投标的，联合体各方均应提供资格文件（1）、（2）、（3）材料。</w:t>
            </w:r>
          </w:p>
          <w:p w14:paraId="2B4E7EC7">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w:t>
            </w:r>
            <w:r>
              <w:rPr>
                <w:rFonts w:hint="eastAsia" w:ascii="宋体" w:hAnsi="宋体" w:eastAsia="宋体" w:cs="宋体"/>
                <w:bCs/>
                <w:szCs w:val="21"/>
                <w:highlight w:val="none"/>
              </w:rPr>
              <w:t>浙江求是招标代理有限公司（</w:t>
            </w:r>
            <w:r>
              <w:rPr>
                <w:rFonts w:hint="eastAsia" w:ascii="宋体" w:hAnsi="宋体" w:eastAsia="宋体" w:cs="宋体"/>
                <w:bCs/>
                <w:szCs w:val="21"/>
                <w:highlight w:val="none"/>
                <w:lang w:val="en-US" w:eastAsia="zh-CN"/>
              </w:rPr>
              <w:t>王莹</w:t>
            </w:r>
            <w:r>
              <w:rPr>
                <w:rFonts w:hint="eastAsia" w:ascii="宋体" w:hAnsi="宋体" w:eastAsia="宋体" w:cs="宋体"/>
                <w:bCs/>
                <w:szCs w:val="21"/>
                <w:highlight w:val="none"/>
              </w:rPr>
              <w:t>）收，电话：0571-8766</w:t>
            </w:r>
            <w:r>
              <w:rPr>
                <w:rFonts w:hint="eastAsia" w:ascii="宋体" w:hAnsi="宋体" w:eastAsia="宋体" w:cs="宋体"/>
                <w:bCs/>
                <w:szCs w:val="21"/>
                <w:highlight w:val="none"/>
                <w:lang w:val="en-US" w:eastAsia="zh-CN"/>
              </w:rPr>
              <w:t>6117</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05</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highlight w:val="none"/>
              </w:rPr>
              <w:t>特别说明：双休日和法定节假日不收件，投标人自</w:t>
            </w:r>
            <w:r>
              <w:rPr>
                <w:rFonts w:hint="eastAsia" w:ascii="宋体" w:hAnsi="宋体" w:eastAsia="宋体" w:cs="宋体"/>
                <w:b/>
                <w:szCs w:val="21"/>
              </w:rPr>
              <w:t>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012AD94C">
            <w:pPr>
              <w:pStyle w:val="14"/>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rPr>
            </w:pPr>
            <w:r>
              <w:rPr>
                <w:rFonts w:ascii="宋体" w:hAnsi="宋体" w:eastAsia="宋体"/>
                <w:color w:val="auto"/>
                <w:szCs w:val="21"/>
              </w:rPr>
              <w:t>详见“</w:t>
            </w:r>
            <w:r>
              <w:rPr>
                <w:rFonts w:hint="eastAsia" w:ascii="宋体" w:hAnsi="宋体" w:eastAsia="宋体"/>
                <w:color w:val="auto"/>
                <w:szCs w:val="21"/>
              </w:rPr>
              <w:t>第四章  评标方法和评标标准</w:t>
            </w:r>
            <w:r>
              <w:rPr>
                <w:rFonts w:ascii="宋体" w:hAnsi="宋体" w:eastAsia="宋体"/>
                <w:color w:val="auto"/>
                <w:szCs w:val="21"/>
              </w:rPr>
              <w:t>”</w:t>
            </w:r>
            <w:r>
              <w:rPr>
                <w:rFonts w:hint="eastAsia" w:ascii="宋体" w:hAnsi="宋体" w:eastAsia="宋体"/>
                <w:color w:val="auto"/>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评标结果公示</w:t>
            </w:r>
          </w:p>
        </w:tc>
        <w:tc>
          <w:tcPr>
            <w:tcW w:w="6663" w:type="dxa"/>
            <w:vAlign w:val="center"/>
          </w:tcPr>
          <w:p w14:paraId="019E608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签订合同</w:t>
            </w:r>
          </w:p>
        </w:tc>
        <w:tc>
          <w:tcPr>
            <w:tcW w:w="6663" w:type="dxa"/>
            <w:vAlign w:val="center"/>
          </w:tcPr>
          <w:p w14:paraId="12ECDAE4">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杭州医学院杭州医学院大仪平台扩容建设</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杭州医学院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w:t>
      </w:r>
      <w:r>
        <w:rPr>
          <w:rFonts w:hint="eastAsia" w:ascii="宋体" w:hAnsi="宋体" w:eastAsia="宋体" w:cs="宋体"/>
          <w:szCs w:val="21"/>
          <w:highlight w:val="none"/>
        </w:rPr>
        <w:t>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14:paraId="72F04CC7">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不足2000元的按照2000元收收取</w:t>
            </w:r>
          </w:p>
        </w:tc>
      </w:tr>
    </w:tbl>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2025年3月（含）以后任意一月</w:t>
      </w:r>
      <w:r>
        <w:rPr>
          <w:rFonts w:ascii="宋体" w:hAnsi="宋体" w:eastAsia="宋体" w:cs="Times New Roman"/>
          <w:spacing w:val="-6"/>
          <w:szCs w:val="21"/>
          <w:highlight w:val="none"/>
        </w:rPr>
        <w:t>）；</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w:t>
      </w:r>
      <w:r>
        <w:rPr>
          <w:rFonts w:ascii="宋体" w:hAnsi="宋体" w:eastAsia="宋体" w:cs="Times New Roman"/>
          <w:spacing w:val="-6"/>
          <w:szCs w:val="21"/>
        </w:rPr>
        <w:t>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w:t>
      </w:r>
      <w:r>
        <w:rPr>
          <w:rFonts w:hint="eastAsia" w:ascii="宋体" w:hAnsi="宋体" w:eastAsia="宋体" w:cs="宋体"/>
          <w:b/>
          <w:bCs/>
          <w:szCs w:val="21"/>
          <w:highlight w:val="none"/>
        </w:rPr>
        <w:t>）联合体投标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C383D1F">
      <w:pPr>
        <w:adjustRightInd w:val="0"/>
        <w:snapToGrid w:val="0"/>
        <w:spacing w:line="288" w:lineRule="auto"/>
        <w:ind w:firstLine="424" w:firstLineChars="202"/>
        <w:jc w:val="left"/>
        <w:rPr>
          <w:rFonts w:ascii="宋体" w:hAnsi="宋体" w:eastAsia="宋体"/>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b/>
          <w:bCs/>
          <w:color w:val="auto"/>
          <w:szCs w:val="21"/>
          <w:lang w:val="en-US" w:eastAsia="zh-CN"/>
        </w:rPr>
        <w:t>1.</w:t>
      </w:r>
      <w:r>
        <w:rPr>
          <w:rFonts w:hint="eastAsia" w:ascii="宋体" w:hAnsi="宋体" w:eastAsia="宋体"/>
          <w:b/>
          <w:bCs/>
          <w:color w:val="auto"/>
          <w:szCs w:val="21"/>
          <w:u w:val="single"/>
        </w:rPr>
        <w:t>保障技术的一致性和协同性：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color w:val="auto"/>
          <w:szCs w:val="21"/>
          <w:u w:val="single"/>
        </w:rPr>
        <w:t>涉及多个技术领域和专业知识，这些设备和技术之间往往存在紧密的联系和依赖关系。如果允许分包，不同分包商可能采用不同的技术方案和标准，导致技术上的不一致性和协同性问题</w:t>
      </w:r>
      <w:r>
        <w:rPr>
          <w:rFonts w:hint="eastAsia" w:ascii="宋体" w:hAnsi="宋体" w:eastAsia="宋体"/>
          <w:color w:val="auto"/>
          <w:szCs w:val="21"/>
          <w:u w:val="single"/>
          <w:lang w:eastAsia="zh-CN"/>
        </w:rPr>
        <w:t>；</w:t>
      </w:r>
      <w:r>
        <w:rPr>
          <w:rFonts w:hint="eastAsia" w:ascii="宋体" w:hAnsi="宋体" w:eastAsia="宋体"/>
          <w:b/>
          <w:bCs/>
          <w:color w:val="auto"/>
          <w:szCs w:val="21"/>
          <w:u w:val="single"/>
          <w:lang w:val="en-US" w:eastAsia="zh-CN"/>
        </w:rPr>
        <w:t>2.保障数据安全性：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b w:val="0"/>
          <w:bCs w:val="0"/>
          <w:color w:val="auto"/>
          <w:szCs w:val="21"/>
          <w:u w:val="single"/>
          <w:lang w:val="en-US" w:eastAsia="zh-CN"/>
        </w:rPr>
        <w:t>涉及与杭州医学院大型仪器共享管理系统无缝数据对接，如果允许分包，可能会有数据泄露的风险。</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4"/>
    <w:bookmarkEnd w:id="45"/>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w:t>
      </w:r>
      <w:r>
        <w:rPr>
          <w:rFonts w:hint="eastAsia" w:ascii="宋体" w:hAnsi="宋体" w:eastAsia="宋体" w:cs="宋体"/>
          <w:i w:val="0"/>
          <w:iCs w:val="0"/>
          <w:color w:val="auto"/>
          <w:sz w:val="21"/>
          <w:szCs w:val="21"/>
          <w:highlight w:val="none"/>
        </w:rPr>
        <w:t>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384D55B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中小企业声明函》填写不全（从业人员、营业收入、资产总额在中小企业划型标准规定中不涉及的除外），或未按照《中小企业声明函》要求填写的，视为未提供《中小企业声明函》，不享受中小企业扶持政策。</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14:paraId="5357531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val="en-US" w:eastAsia="zh-CN"/>
        </w:rPr>
        <w:t>王莹</w:t>
      </w:r>
      <w:r>
        <w:rPr>
          <w:rFonts w:hint="eastAsia" w:ascii="宋体" w:hAnsi="宋体" w:eastAsia="宋体" w:cs="宋体"/>
          <w:b/>
          <w:bCs/>
          <w:szCs w:val="21"/>
          <w:highlight w:val="none"/>
        </w:rPr>
        <w:t>）收，电话：0571-8766</w:t>
      </w:r>
      <w:r>
        <w:rPr>
          <w:rFonts w:hint="eastAsia" w:ascii="宋体" w:hAnsi="宋体" w:eastAsia="宋体" w:cs="宋体"/>
          <w:b/>
          <w:bCs/>
          <w:szCs w:val="21"/>
          <w:highlight w:val="none"/>
          <w:lang w:val="en-US" w:eastAsia="zh-CN"/>
        </w:rPr>
        <w:t>6117</w:t>
      </w:r>
      <w:r>
        <w:rPr>
          <w:rFonts w:hint="eastAsia" w:ascii="宋体" w:hAnsi="宋体" w:eastAsia="宋体" w:cs="宋体"/>
          <w:b/>
          <w:bCs/>
          <w:szCs w:val="21"/>
          <w:highlight w:val="none"/>
        </w:rPr>
        <w:t>，寄出后将（快递单号、项目名称、公司名称、联系方式等相关信息）发至：zb</w:t>
      </w:r>
      <w:r>
        <w:rPr>
          <w:rFonts w:hint="eastAsia" w:ascii="宋体" w:hAnsi="宋体" w:eastAsia="宋体" w:cs="宋体"/>
          <w:b/>
          <w:bCs/>
          <w:szCs w:val="21"/>
          <w:highlight w:val="none"/>
          <w:lang w:val="en-US" w:eastAsia="zh-CN"/>
        </w:rPr>
        <w:t>05</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2C43C32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9"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4FE6AE9">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9"/>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w:t>
      </w:r>
      <w:r>
        <w:rPr>
          <w:rFonts w:hAnsi="宋体" w:eastAsia="宋体"/>
          <w:spacing w:val="-6"/>
          <w:sz w:val="21"/>
          <w:szCs w:val="21"/>
        </w:rPr>
        <w:t>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w:t>
      </w:r>
      <w:r>
        <w:rPr>
          <w:rFonts w:ascii="宋体" w:hAnsi="宋体" w:eastAsia="宋体" w:cs="Times New Roman"/>
          <w:spacing w:val="-6"/>
          <w:szCs w:val="21"/>
          <w:highlight w:val="none"/>
        </w:rPr>
        <w:t>标函、授权委托书；</w:t>
      </w:r>
    </w:p>
    <w:p w14:paraId="3A5662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w:t>
      </w:r>
      <w:r>
        <w:rPr>
          <w:rFonts w:hint="eastAsia" w:ascii="宋体" w:hAnsi="宋体" w:eastAsia="宋体" w:cs="Times New Roman"/>
          <w:spacing w:val="-6"/>
          <w:szCs w:val="21"/>
        </w:rPr>
        <w:t>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spacing w:val="-6"/>
          <w:szCs w:val="21"/>
        </w:rPr>
        <w:t>（2）不同投标人委托</w:t>
      </w:r>
      <w:r>
        <w:rPr>
          <w:rFonts w:hint="eastAsia" w:ascii="宋体" w:hAnsi="宋体" w:eastAsia="宋体" w:cs="Times New Roman"/>
          <w:color w:val="auto"/>
          <w:spacing w:val="-6"/>
          <w:szCs w:val="21"/>
        </w:rPr>
        <w:t>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5D57FFF1">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w:t>
      </w:r>
      <w:r>
        <w:rPr>
          <w:rFonts w:ascii="宋体" w:hAnsi="宋体" w:cs="仿宋"/>
          <w:color w:val="auto"/>
          <w:kern w:val="0"/>
          <w:sz w:val="21"/>
          <w:szCs w:val="21"/>
          <w:highlight w:val="none"/>
        </w:rPr>
        <w:t>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2E78927">
      <w:pPr>
        <w:pStyle w:val="99"/>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9"/>
        <w:adjustRightInd w:val="0"/>
        <w:snapToGrid w:val="0"/>
        <w:spacing w:before="0" w:line="288" w:lineRule="auto"/>
        <w:ind w:firstLine="424" w:firstLineChars="202"/>
        <w:rPr>
          <w:rFonts w:hint="eastAsia" w:ascii="宋体" w:hAnsi="宋体" w:cs="仿宋"/>
          <w:kern w:val="0"/>
          <w:sz w:val="21"/>
          <w:szCs w:val="21"/>
          <w:highlight w:val="yellow"/>
        </w:rPr>
      </w:pPr>
    </w:p>
    <w:p w14:paraId="73B51F5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zb**@qszb.net）或传真号码（0571-87666116）提交。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w:t>
      </w:r>
      <w:r>
        <w:rPr>
          <w:rFonts w:ascii="宋体" w:hAnsi="宋体" w:eastAsia="宋体" w:cs="Arial"/>
          <w:kern w:val="0"/>
          <w:szCs w:val="21"/>
          <w:highlight w:val="none"/>
        </w:rPr>
        <w:t>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highlight w:val="none"/>
        </w:rPr>
        <w:t>本次评标采用综合评分法，总分为100分。评分</w:t>
      </w:r>
      <w:r>
        <w:rPr>
          <w:rFonts w:hint="eastAsia" w:ascii="宋体" w:hAnsi="宋体" w:eastAsia="宋体" w:cs="Times New Roman"/>
          <w:bCs/>
          <w:spacing w:val="-6"/>
          <w:szCs w:val="21"/>
        </w:rPr>
        <w:t>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4</w:t>
            </w:r>
            <w:r>
              <w:rPr>
                <w:rFonts w:ascii="宋体" w:hAnsi="宋体" w:eastAsia="宋体" w:cs="Times New Roman"/>
                <w:b/>
                <w:bCs/>
                <w:szCs w:val="21"/>
              </w:rPr>
              <w:t>0</w:t>
            </w:r>
            <w:r>
              <w:rPr>
                <w:rFonts w:hint="eastAsia" w:ascii="宋体" w:hAnsi="宋体" w:eastAsia="宋体" w:cs="Times New Roman"/>
                <w:b/>
                <w:bCs/>
                <w:szCs w:val="21"/>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价格分采用低价优先法计算，即满足招标文件要求且投标价</w:t>
            </w:r>
            <w:r>
              <w:rPr>
                <w:rFonts w:hint="eastAsia" w:ascii="宋体" w:hAnsi="宋体" w:eastAsia="宋体" w:cs="宋体"/>
                <w:szCs w:val="21"/>
                <w:highlight w:val="none"/>
              </w:rPr>
              <w:t>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0%×100</w:t>
            </w:r>
          </w:p>
          <w:p w14:paraId="7E9609CD">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22</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1030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BEBA95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38D544BA">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2</w:t>
            </w:r>
          </w:p>
        </w:tc>
        <w:tc>
          <w:tcPr>
            <w:tcW w:w="7072" w:type="dxa"/>
            <w:vAlign w:val="center"/>
          </w:tcPr>
          <w:p w14:paraId="2ED8F649">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1D5A0F6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质保期满足招标文件要求的</w:t>
            </w:r>
            <w:r>
              <w:rPr>
                <w:rFonts w:hint="eastAsia" w:ascii="宋体" w:hAnsi="宋体" w:eastAsia="宋体" w:cs="宋体"/>
                <w:szCs w:val="21"/>
                <w:lang w:val="en-US" w:eastAsia="zh-CN"/>
              </w:rPr>
              <w:t>基础上</w:t>
            </w:r>
            <w:r>
              <w:rPr>
                <w:rFonts w:hint="eastAsia" w:ascii="宋体" w:hAnsi="宋体" w:eastAsia="宋体" w:cs="宋体"/>
                <w:szCs w:val="21"/>
              </w:rPr>
              <w:t>，每增加一年得1分，最高2分，延长时间不足一年的不计入得分。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55</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18</w:t>
            </w:r>
          </w:p>
        </w:tc>
        <w:tc>
          <w:tcPr>
            <w:tcW w:w="7072" w:type="dxa"/>
            <w:vAlign w:val="center"/>
          </w:tcPr>
          <w:p w14:paraId="6B2FDA10">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11ED377">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58ECF8FF">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4E92C32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rPr>
              <w:t>技术条款低于技术要求（负偏离）</w:t>
            </w:r>
            <w:r>
              <w:rPr>
                <w:rFonts w:hint="eastAsia" w:ascii="宋体" w:hAnsi="宋体" w:eastAsia="宋体" w:cs="宋体"/>
                <w:szCs w:val="21"/>
                <w:highlight w:val="none"/>
              </w:rPr>
              <w:t>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51D3FD9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标注“★”条款的技术条款低于技术要求（负偏离）的每项扣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4F2646A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标注“★”</w:t>
            </w:r>
            <w:r>
              <w:rPr>
                <w:rFonts w:hint="eastAsia" w:ascii="宋体" w:hAnsi="宋体" w:eastAsia="宋体" w:cs="宋体"/>
                <w:szCs w:val="21"/>
                <w:highlight w:val="none"/>
                <w:lang w:val="en-US" w:eastAsia="zh-CN"/>
              </w:rPr>
              <w:t>或者</w:t>
            </w:r>
            <w:r>
              <w:rPr>
                <w:rFonts w:hint="eastAsia" w:ascii="宋体" w:hAnsi="宋体" w:eastAsia="宋体" w:cs="宋体"/>
                <w:szCs w:val="21"/>
                <w:highlight w:val="none"/>
              </w:rPr>
              <w:t>“▲”条款须提供官方的佐证材料（如厂家官方网站截图、厂家宣传彩页、产品说明书等</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要求提供承诺函的需提供承诺函</w:t>
            </w:r>
            <w:r>
              <w:rPr>
                <w:rFonts w:hint="eastAsia" w:ascii="宋体" w:hAnsi="宋体" w:eastAsia="宋体" w:cs="宋体"/>
                <w:szCs w:val="21"/>
                <w:highlight w:val="none"/>
              </w:rPr>
              <w:t>），未提供佐证材料或提供材料不符合技术要求均视为该指标负偏离）；</w:t>
            </w:r>
          </w:p>
          <w:p w14:paraId="0045AF5D">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该项≤0分的</w:t>
            </w:r>
            <w:r>
              <w:rPr>
                <w:rFonts w:ascii="宋体" w:hAnsi="宋体" w:eastAsia="宋体" w:cs="宋体"/>
                <w:szCs w:val="21"/>
                <w:highlight w:val="none"/>
              </w:rPr>
              <w:t>，视为采购人不能接受的附加条件。</w:t>
            </w:r>
          </w:p>
        </w:tc>
      </w:tr>
      <w:tr w14:paraId="34DC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5D5E66D">
            <w:pPr>
              <w:autoSpaceDE w:val="0"/>
              <w:autoSpaceDN w:val="0"/>
              <w:adjustRightInd w:val="0"/>
              <w:snapToGrid w:val="0"/>
              <w:spacing w:line="288" w:lineRule="auto"/>
              <w:jc w:val="center"/>
              <w:rPr>
                <w:rFonts w:hint="eastAsia" w:ascii="宋体" w:hAnsi="宋体" w:eastAsia="宋体" w:cs="仿宋_GB2312"/>
                <w:b/>
                <w:bCs/>
                <w:kern w:val="0"/>
                <w:szCs w:val="21"/>
                <w:lang w:val="en-US" w:eastAsia="zh-CN"/>
              </w:rPr>
            </w:pPr>
            <w:r>
              <w:rPr>
                <w:rFonts w:hint="eastAsia" w:ascii="宋体" w:hAnsi="宋体" w:eastAsia="宋体" w:cs="仿宋_GB2312"/>
                <w:b/>
                <w:bCs/>
                <w:kern w:val="0"/>
                <w:szCs w:val="21"/>
                <w:lang w:val="en-US" w:eastAsia="zh-CN"/>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29F9C453">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6B45D9C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C9FA6A4">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hAnsi="宋体" w:eastAsia="宋体" w:cs="宋体"/>
                <w:szCs w:val="21"/>
                <w:lang w:val="en-US" w:eastAsia="zh-CN"/>
              </w:rPr>
              <w:t>投标人针对本项目分别提供实验仪器共享账单管理系统、培训及安全准入系统、大仪平台门禁对接管理模块、科研实验数据存储及溯源系统的建设实施方案，方案专业、全面、</w:t>
            </w:r>
            <w:r>
              <w:rPr>
                <w:rFonts w:hint="eastAsia" w:ascii="宋体" w:hAnsi="宋体" w:eastAsia="宋体" w:cs="宋体"/>
                <w:color w:val="auto"/>
                <w:sz w:val="21"/>
                <w:szCs w:val="21"/>
              </w:rPr>
              <w:t>技术路线可行、软件系统结构合理</w:t>
            </w:r>
            <w:r>
              <w:rPr>
                <w:rFonts w:hint="eastAsia" w:ascii="宋体" w:hAnsi="宋体" w:eastAsia="宋体" w:cs="宋体"/>
                <w:szCs w:val="21"/>
                <w:lang w:val="en-US" w:eastAsia="zh-CN"/>
              </w:rPr>
              <w:t>。</w:t>
            </w:r>
          </w:p>
          <w:p w14:paraId="323907C5">
            <w:pPr>
              <w:adjustRightInd w:val="0"/>
              <w:snapToGrid w:val="0"/>
              <w:spacing w:line="288" w:lineRule="auto"/>
              <w:rPr>
                <w:rFonts w:hint="default" w:ascii="宋体" w:hAnsi="宋体" w:eastAsia="宋体" w:cs="宋体"/>
                <w:szCs w:val="21"/>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9DCC02">
            <w:pPr>
              <w:autoSpaceDE w:val="0"/>
              <w:autoSpaceDN w:val="0"/>
              <w:adjustRightInd w:val="0"/>
              <w:snapToGrid w:val="0"/>
              <w:spacing w:line="288" w:lineRule="auto"/>
              <w:jc w:val="center"/>
              <w:rPr>
                <w:rFonts w:ascii="宋体" w:hAnsi="宋体" w:eastAsia="宋体" w:cs="宋体"/>
                <w:b/>
                <w:bCs/>
                <w:kern w:val="0"/>
                <w:szCs w:val="21"/>
              </w:rPr>
            </w:pPr>
            <w:r>
              <w:rPr>
                <w:rFonts w:hint="eastAsia" w:ascii="宋体" w:hAnsi="宋体" w:eastAsia="宋体" w:cs="宋体"/>
                <w:b/>
                <w:bCs/>
                <w:kern w:val="0"/>
                <w:szCs w:val="21"/>
                <w:lang w:val="en-US"/>
              </w:rPr>
              <w:t>实施进度计划</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22220B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24A2DE3">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eastAsia="宋体"/>
                <w:color w:val="auto"/>
                <w:kern w:val="0"/>
                <w:sz w:val="21"/>
                <w:szCs w:val="21"/>
                <w:lang w:val="en-US" w:eastAsia="zh-CN"/>
              </w:rPr>
              <w:t>投标人提供的系统建设进度计划科学、完整、实施进度计划组织合理、内容详尽。</w:t>
            </w:r>
          </w:p>
          <w:p w14:paraId="156FA271">
            <w:pPr>
              <w:pStyle w:val="23"/>
              <w:ind w:left="0" w:leftChars="0" w:firstLine="0" w:firstLineChars="0"/>
              <w:rPr>
                <w:rFonts w:hint="default" w:eastAsia="宋体"/>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3BAF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AA3DE8B">
            <w:pPr>
              <w:adjustRightInd w:val="0"/>
              <w:snapToGrid w:val="0"/>
              <w:spacing w:line="288"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kern w:val="0"/>
                <w:szCs w:val="21"/>
                <w:lang w:val="en-US" w:eastAsia="zh-CN"/>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14:paraId="297EBE92">
            <w:pPr>
              <w:adjustRightInd w:val="0"/>
              <w:snapToGrid w:val="0"/>
              <w:spacing w:line="288" w:lineRule="auto"/>
              <w:jc w:val="center"/>
              <w:rPr>
                <w:rFonts w:ascii="宋体" w:hAnsi="宋体" w:eastAsia="宋体" w:cs="宋体"/>
                <w:b/>
                <w:bCs/>
                <w:szCs w:val="21"/>
              </w:rPr>
            </w:pPr>
            <w:r>
              <w:rPr>
                <w:rFonts w:hint="eastAsia" w:ascii="宋体" w:hAnsi="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top"/>
          </w:tcPr>
          <w:p w14:paraId="6E025E61">
            <w:pPr>
              <w:adjustRightInd w:val="0"/>
              <w:snapToGrid w:val="0"/>
              <w:spacing w:line="288"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【主观分】</w:t>
            </w:r>
          </w:p>
          <w:p w14:paraId="2BCEC16A">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hAnsi="Courier New" w:eastAsia="宋体" w:cstheme="minorBidi"/>
                <w:color w:val="auto"/>
                <w:spacing w:val="-4"/>
                <w:kern w:val="0"/>
                <w:sz w:val="21"/>
                <w:szCs w:val="21"/>
                <w:lang w:val="en-US" w:eastAsia="zh-CN" w:bidi="ar-SA"/>
              </w:rPr>
              <w:t>项目团队成员数量充足、专业配备满足本项目需求、工作经验丰富。</w:t>
            </w:r>
            <w:r>
              <w:rPr>
                <w:rFonts w:hint="eastAsia" w:ascii="宋体" w:hAnsi="Courier New" w:eastAsia="宋体" w:cstheme="minorBidi"/>
                <w:color w:val="auto"/>
                <w:spacing w:val="-4"/>
                <w:kern w:val="0"/>
                <w:sz w:val="21"/>
                <w:szCs w:val="21"/>
                <w:lang w:val="en-US" w:eastAsia="zh-CN" w:bidi="ar-SA"/>
              </w:rPr>
              <w:br w:type="textWrapping"/>
            </w:r>
            <w:r>
              <w:rPr>
                <w:rFonts w:hint="eastAsia" w:ascii="宋体" w:hAnsi="Courier New" w:eastAsia="宋体" w:cstheme="minorBidi"/>
                <w:color w:val="auto"/>
                <w:spacing w:val="-4"/>
                <w:kern w:val="0"/>
                <w:sz w:val="21"/>
                <w:szCs w:val="21"/>
                <w:lang w:val="en-US" w:eastAsia="zh-CN" w:bidi="ar-SA"/>
              </w:rPr>
              <w:t>注：需提供项目团队人员配置清单及人员在职社保缴纳证明，未提供不得分。</w:t>
            </w:r>
          </w:p>
          <w:p w14:paraId="02C32F9A">
            <w:pPr>
              <w:adjustRightInd w:val="0"/>
              <w:snapToGrid w:val="0"/>
              <w:spacing w:line="288" w:lineRule="auto"/>
              <w:rPr>
                <w:rFonts w:hint="eastAsia" w:ascii="宋体" w:eastAsia="宋体"/>
                <w:color w:val="auto"/>
                <w:kern w:val="0"/>
                <w:sz w:val="21"/>
                <w:szCs w:val="21"/>
                <w:lang w:val="en-US" w:eastAsia="zh-CN"/>
              </w:rPr>
            </w:pPr>
            <w:r>
              <w:rPr>
                <w:rFonts w:hint="default" w:ascii="宋体" w:hAnsi="Courier New" w:eastAsia="宋体" w:cstheme="minorBidi"/>
                <w:color w:val="auto"/>
                <w:spacing w:val="-4"/>
                <w:kern w:val="0"/>
                <w:sz w:val="21"/>
                <w:szCs w:val="21"/>
                <w:lang w:val="en-US" w:eastAsia="zh-CN" w:bidi="ar-SA"/>
              </w:rPr>
              <w:t>（评分范围：</w:t>
            </w:r>
            <w:r>
              <w:rPr>
                <w:rFonts w:hint="eastAsia" w:ascii="宋体" w:hAnsi="Courier New" w:eastAsia="宋体" w:cstheme="minorBidi"/>
                <w:color w:val="auto"/>
                <w:spacing w:val="-4"/>
                <w:kern w:val="0"/>
                <w:sz w:val="21"/>
                <w:szCs w:val="21"/>
                <w:lang w:val="en-US" w:eastAsia="zh-CN" w:bidi="ar-SA"/>
              </w:rPr>
              <w:t>5</w:t>
            </w:r>
            <w:r>
              <w:rPr>
                <w:rFonts w:hint="default" w:ascii="宋体" w:hAnsi="Courier New" w:eastAsia="宋体" w:cstheme="minorBidi"/>
                <w:color w:val="auto"/>
                <w:spacing w:val="-4"/>
                <w:kern w:val="0"/>
                <w:sz w:val="21"/>
                <w:szCs w:val="21"/>
                <w:lang w:val="en-US" w:eastAsia="zh-CN" w:bidi="ar-SA"/>
              </w:rPr>
              <w:t>,4,3,2,1,0）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color w:val="auto"/>
                <w:kern w:val="0"/>
                <w:sz w:val="21"/>
                <w:szCs w:val="21"/>
                <w:lang w:val="en-US" w:eastAsia="zh-CN"/>
              </w:rPr>
              <w:t>应急处理方案</w:t>
            </w:r>
          </w:p>
        </w:tc>
        <w:tc>
          <w:tcPr>
            <w:tcW w:w="654" w:type="dxa"/>
            <w:tcBorders>
              <w:top w:val="single" w:color="auto" w:sz="4" w:space="0"/>
              <w:left w:val="single" w:color="auto" w:sz="4" w:space="0"/>
              <w:bottom w:val="single" w:color="auto" w:sz="4" w:space="0"/>
              <w:right w:val="single" w:color="auto" w:sz="4" w:space="0"/>
            </w:tcBorders>
            <w:vAlign w:val="center"/>
          </w:tcPr>
          <w:p w14:paraId="7C4FE371">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563C603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F209A3D">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eastAsia="宋体"/>
                <w:color w:val="auto"/>
                <w:kern w:val="0"/>
                <w:sz w:val="21"/>
                <w:szCs w:val="21"/>
                <w:lang w:val="en-US" w:eastAsia="zh-CN"/>
              </w:rPr>
              <w:t>投标人针对本项目应急突发故障发生后人员调动、服务响应时间、到场时间、故障修复等具体实施方案情况。</w:t>
            </w:r>
          </w:p>
          <w:p w14:paraId="2302892E">
            <w:pPr>
              <w:pStyle w:val="23"/>
              <w:ind w:left="0" w:leftChars="0" w:firstLine="0" w:firstLineChars="0"/>
            </w:pPr>
            <w:r>
              <w:rPr>
                <w:rFonts w:hint="default" w:ascii="宋体" w:hAnsi="Courier New" w:eastAsia="宋体" w:cstheme="minorBidi"/>
                <w:color w:val="auto"/>
                <w:spacing w:val="-4"/>
                <w:kern w:val="0"/>
                <w:sz w:val="21"/>
                <w:szCs w:val="21"/>
                <w:lang w:val="en-US" w:eastAsia="zh-CN" w:bidi="ar-SA"/>
              </w:rPr>
              <w:t>（评分范围：4,3,2,1,0）</w:t>
            </w:r>
          </w:p>
        </w:tc>
      </w:tr>
      <w:tr w14:paraId="5573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008C466">
            <w:pPr>
              <w:adjustRightInd w:val="0"/>
              <w:snapToGrid w:val="0"/>
              <w:spacing w:line="288" w:lineRule="auto"/>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培训计划</w:t>
            </w:r>
          </w:p>
        </w:tc>
        <w:tc>
          <w:tcPr>
            <w:tcW w:w="654" w:type="dxa"/>
            <w:tcBorders>
              <w:top w:val="single" w:color="auto" w:sz="4" w:space="0"/>
              <w:left w:val="single" w:color="auto" w:sz="4" w:space="0"/>
              <w:bottom w:val="single" w:color="auto" w:sz="4" w:space="0"/>
              <w:right w:val="single" w:color="auto" w:sz="4" w:space="0"/>
            </w:tcBorders>
            <w:vAlign w:val="center"/>
          </w:tcPr>
          <w:p w14:paraId="0D9BBFD2">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44CCB6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2C37D4F">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hAnsi="宋体" w:eastAsia="宋体" w:cs="宋体"/>
                <w:szCs w:val="21"/>
              </w:rPr>
              <w:t>培训流程（理论知识培训、实践</w:t>
            </w:r>
            <w:r>
              <w:rPr>
                <w:rFonts w:hint="eastAsia" w:ascii="宋体" w:hAnsi="宋体" w:eastAsia="宋体" w:cs="宋体"/>
                <w:szCs w:val="21"/>
                <w:lang w:val="en-US" w:eastAsia="zh-CN"/>
              </w:rPr>
              <w:t>操作培训</w:t>
            </w:r>
            <w:r>
              <w:rPr>
                <w:rFonts w:hint="eastAsia" w:ascii="宋体" w:hAnsi="宋体" w:eastAsia="宋体" w:cs="宋体"/>
                <w:szCs w:val="21"/>
              </w:rPr>
              <w:t>、技能训练）完善、培训方式（面对面培训、在线培训等）全面、培训内容丰富，可使采购人对投标产品充分了解且正确使用。</w:t>
            </w:r>
          </w:p>
          <w:p w14:paraId="07C80ABE">
            <w:pPr>
              <w:adjustRightInd w:val="0"/>
              <w:snapToGrid w:val="0"/>
              <w:spacing w:line="288" w:lineRule="auto"/>
              <w:rPr>
                <w:rFonts w:hint="eastAsia" w:ascii="宋体" w:eastAsia="宋体"/>
                <w:color w:val="auto"/>
                <w:kern w:val="0"/>
                <w:sz w:val="21"/>
                <w:szCs w:val="21"/>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szCs w:val="21"/>
              </w:rPr>
            </w:pPr>
            <w:r>
              <w:rPr>
                <w:rFonts w:hint="eastAsia" w:ascii="宋体" w:hAnsi="宋体" w:eastAsia="宋体" w:cs="宋体"/>
                <w:b/>
                <w:bCs/>
                <w:color w:val="auto"/>
                <w:kern w:val="0"/>
                <w:sz w:val="21"/>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25798B9E">
            <w:pPr>
              <w:adjustRightInd w:val="0"/>
              <w:snapToGrid w:val="0"/>
              <w:spacing w:line="288" w:lineRule="auto"/>
              <w:jc w:val="center"/>
              <w:rPr>
                <w:rFonts w:hint="eastAsia" w:ascii="宋体" w:eastAsia="宋体"/>
                <w:color w:val="auto"/>
                <w:kern w:val="0"/>
                <w:sz w:val="21"/>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57102AE">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【主观分】</w:t>
            </w:r>
          </w:p>
          <w:p w14:paraId="06631BE9">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eastAsia="宋体"/>
                <w:color w:val="auto"/>
                <w:kern w:val="0"/>
                <w:sz w:val="21"/>
                <w:szCs w:val="21"/>
                <w:lang w:val="en-US" w:eastAsia="zh-CN"/>
              </w:rPr>
              <w:t>投标人售后服务方案、售后服务承诺的可行性及服务承诺落实的保障措施情况。</w:t>
            </w:r>
          </w:p>
          <w:p w14:paraId="6C9E94B1">
            <w:pPr>
              <w:pStyle w:val="23"/>
              <w:ind w:left="0" w:leftChars="0" w:firstLine="0" w:firstLineChars="0"/>
              <w:rPr>
                <w:rFonts w:hint="eastAsia" w:ascii="宋体" w:eastAsia="宋体"/>
                <w:color w:val="auto"/>
                <w:kern w:val="0"/>
                <w:sz w:val="21"/>
                <w:szCs w:val="21"/>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38CC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DB7CF9E">
            <w:pPr>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演示</w:t>
            </w:r>
          </w:p>
        </w:tc>
        <w:tc>
          <w:tcPr>
            <w:tcW w:w="7726" w:type="dxa"/>
            <w:gridSpan w:val="2"/>
            <w:tcBorders>
              <w:top w:val="single" w:color="auto" w:sz="4" w:space="0"/>
              <w:left w:val="single" w:color="auto" w:sz="4" w:space="0"/>
              <w:bottom w:val="single" w:color="auto" w:sz="4" w:space="0"/>
              <w:right w:val="single" w:color="auto" w:sz="4" w:space="0"/>
            </w:tcBorders>
            <w:vAlign w:val="center"/>
          </w:tcPr>
          <w:p w14:paraId="49B95A1D">
            <w:pPr>
              <w:widowControl/>
              <w:adjustRightInd w:val="0"/>
              <w:snapToGrid w:val="0"/>
              <w:spacing w:line="288" w:lineRule="auto"/>
              <w:jc w:val="left"/>
              <w:rPr>
                <w:rFonts w:hint="eastAsia" w:ascii="宋体" w:hAnsi="宋体" w:eastAsia="宋体" w:cs="Times New Roman"/>
                <w:b w:val="0"/>
                <w:bCs w:val="0"/>
                <w:szCs w:val="21"/>
                <w:lang w:val="en-US" w:eastAsia="zh-CN"/>
              </w:rPr>
            </w:pPr>
            <w:r>
              <w:rPr>
                <w:rFonts w:ascii="宋体" w:hAnsi="宋体" w:eastAsia="宋体" w:cs="宋体"/>
                <w:b/>
                <w:bCs/>
                <w:color w:val="000000"/>
              </w:rPr>
              <w:t>从功能实现度、效果展示度对系统演示进行</w:t>
            </w:r>
            <w:r>
              <w:rPr>
                <w:rFonts w:hint="eastAsia" w:ascii="宋体" w:hAnsi="宋体" w:eastAsia="宋体" w:cs="宋体"/>
                <w:b/>
                <w:bCs/>
                <w:color w:val="000000"/>
                <w:lang w:val="en-US" w:eastAsia="zh-CN"/>
              </w:rPr>
              <w:t>评分</w:t>
            </w:r>
            <w:r>
              <w:rPr>
                <w:rFonts w:ascii="宋体" w:hAnsi="宋体" w:eastAsia="宋体" w:cs="宋体"/>
                <w:b/>
                <w:bCs/>
                <w:color w:val="000000"/>
              </w:rPr>
              <w:t>，未提供对应条款的内容则对应条款内容不得分</w:t>
            </w:r>
            <w:r>
              <w:rPr>
                <w:rFonts w:hint="eastAsia" w:ascii="宋体" w:hAnsi="宋体" w:eastAsia="宋体" w:cs="宋体"/>
                <w:color w:val="000000"/>
              </w:rPr>
              <w:t>；</w:t>
            </w:r>
            <w:r>
              <w:rPr>
                <w:rFonts w:hint="eastAsia" w:ascii="宋体" w:hAnsi="宋体" w:eastAsia="宋体" w:cs="宋体"/>
                <w:b/>
                <w:bCs/>
                <w:szCs w:val="21"/>
              </w:rPr>
              <w:t>每项演示内容完整、设计合理、操作简便，满足采购需求，运行流畅、未卡顿。具体演示内容如下：</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hint="eastAsia" w:ascii="宋体" w:hAnsi="宋体" w:eastAsia="宋体" w:cs="Times New Roman"/>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E9C9018">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6FD9C300">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2ADDC034">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用户预约仪器，预约实验完成后系统自动产生实验记录并自动生成计费明细（例如：用户、仪器名称、实验开始时间、实验结束时间、使用时间、收费等信息）。</w:t>
            </w:r>
          </w:p>
          <w:p w14:paraId="67423C6E">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系统自动生成待确认的课题组账单。需课题组负责人或管理员对账单明细是否有无异议的实验记录进行确认，如有可申诉。课题组负责人完成账单确认后，可选择是否需要发票，提交保存后，更新为待推送的账单。</w:t>
            </w:r>
          </w:p>
          <w:p w14:paraId="2BA58B71">
            <w:pPr>
              <w:widowControl/>
              <w:adjustRightInd w:val="0"/>
              <w:snapToGrid w:val="0"/>
              <w:spacing w:line="288" w:lineRule="auto"/>
              <w:jc w:val="left"/>
              <w:rPr>
                <w:rFonts w:hint="default" w:ascii="宋体" w:hAnsi="宋体" w:eastAsia="宋体" w:cs="宋体"/>
                <w:szCs w:val="21"/>
                <w:lang w:val="en-US"/>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.财务管理员可上传账单的盖章件并推送给PI，推送后的账单更新为待下载。</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0650CEE">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6F565AC4">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试卷模版管理：支持对考试时间、考试题数、及格线、考试有效期限进行设置；</w:t>
            </w:r>
          </w:p>
          <w:p w14:paraId="37788312">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试题管理：支持客观题（单选、多选、判断题）答题模式，支持新增单题与批量导入；</w:t>
            </w:r>
          </w:p>
          <w:p w14:paraId="1961784F">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自助考试：系统自动从题库中随机抽取试题形成试卷，用户在允许的时间范围内对试题进行作答，系统自动生成考试结果；</w:t>
            </w:r>
          </w:p>
          <w:p w14:paraId="12384B63">
            <w:pPr>
              <w:widowControl/>
              <w:adjustRightInd w:val="0"/>
              <w:snapToGrid w:val="0"/>
              <w:spacing w:line="288" w:lineRule="auto"/>
              <w:jc w:val="left"/>
              <w:rPr>
                <w:rFonts w:ascii="宋体" w:hAnsi="宋体" w:eastAsia="宋体" w:cs="宋体"/>
                <w:szCs w:val="21"/>
              </w:rPr>
            </w:pPr>
            <w:r>
              <w:rPr>
                <w:rFonts w:hint="eastAsia" w:ascii="宋体" w:hAnsi="宋体" w:eastAsia="宋体" w:cs="Times New Roman"/>
                <w:b w:val="0"/>
                <w:bCs w:val="0"/>
                <w:szCs w:val="21"/>
                <w:lang w:val="en-US" w:eastAsia="zh-CN"/>
              </w:rPr>
              <w:t>4.</w:t>
            </w:r>
            <w:r>
              <w:rPr>
                <w:rFonts w:hint="eastAsia" w:ascii="宋体" w:hAnsi="宋体" w:eastAsia="宋体" w:cs="Times New Roman"/>
                <w:b w:val="0"/>
                <w:bCs w:val="0"/>
                <w:szCs w:val="21"/>
                <w:lang w:eastAsia="zh-CN"/>
              </w:rPr>
              <w:t>系统准入：支持设置系统准入，用户在使用系统前必须通过诸如考试才能使用系统功能。</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085909">
            <w:pPr>
              <w:adjustRightInd w:val="0"/>
              <w:snapToGrid w:val="0"/>
              <w:spacing w:line="288" w:lineRule="auto"/>
              <w:jc w:val="center"/>
              <w:rPr>
                <w:rFonts w:ascii="宋体" w:hAnsi="宋体" w:eastAsia="宋体" w:cs="宋体"/>
                <w:b/>
                <w:bCs/>
                <w:szCs w:val="21"/>
                <w:highlight w:val="yellow"/>
              </w:rPr>
            </w:pPr>
          </w:p>
        </w:tc>
        <w:tc>
          <w:tcPr>
            <w:tcW w:w="654" w:type="dxa"/>
            <w:tcBorders>
              <w:top w:val="single" w:color="auto" w:sz="4" w:space="0"/>
              <w:left w:val="single" w:color="auto" w:sz="4" w:space="0"/>
              <w:bottom w:val="single" w:color="auto" w:sz="4" w:space="0"/>
              <w:right w:val="single" w:color="auto" w:sz="4" w:space="0"/>
            </w:tcBorders>
            <w:vAlign w:val="center"/>
          </w:tcPr>
          <w:p w14:paraId="116B2FD9">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D65C964">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65330B4B">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在平台端可以实现对各类系统用户针对各个门的长期、临时出入权限进行自由配置，所有配置在确定保存后实时生效；</w:t>
            </w:r>
          </w:p>
          <w:p w14:paraId="4E15BE31">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远程开门</w:t>
            </w:r>
          </w:p>
          <w:p w14:paraId="38A73C5D">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仪器管理员或以上级别人员可进行所管理权限下对应的门，进行远程开启，可在系统中加入一个门列表，并在右边设置开门按钮；</w:t>
            </w:r>
          </w:p>
          <w:p w14:paraId="0ED4952B">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.门禁记录</w:t>
            </w:r>
          </w:p>
          <w:p w14:paraId="7BE5260D">
            <w:pPr>
              <w:widowControl/>
              <w:adjustRightInd w:val="0"/>
              <w:snapToGrid w:val="0"/>
              <w:spacing w:line="288" w:lineRule="auto"/>
              <w:jc w:val="left"/>
              <w:rPr>
                <w:rFonts w:ascii="宋体" w:hAnsi="宋体" w:eastAsia="宋体" w:cs="宋体"/>
                <w:szCs w:val="21"/>
              </w:rPr>
            </w:pPr>
            <w:r>
              <w:rPr>
                <w:rFonts w:hint="eastAsia" w:ascii="宋体" w:hAnsi="宋体" w:eastAsia="宋体" w:cs="Times New Roman"/>
                <w:b w:val="0"/>
                <w:bCs w:val="0"/>
                <w:szCs w:val="21"/>
                <w:lang w:eastAsia="zh-CN"/>
              </w:rPr>
              <w:t>具备所有进出门的日志查看和导出。</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D6130C">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4F6C36AE">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.数据上传</w:t>
            </w:r>
          </w:p>
          <w:p w14:paraId="72BA4A52">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支持在仪器附属电脑不连接网络的情况下，通过大型仪器共享管理系统智能控制终端（</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）向数据中心单向传输实验数据。</w:t>
            </w:r>
          </w:p>
          <w:p w14:paraId="6E339757">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.数据管理</w:t>
            </w:r>
          </w:p>
          <w:p w14:paraId="326019EA">
            <w:pPr>
              <w:widowControl/>
              <w:adjustRightInd w:val="0"/>
              <w:snapToGrid w:val="0"/>
              <w:spacing w:line="288" w:lineRule="auto"/>
              <w:jc w:val="left"/>
              <w:rPr>
                <w:rFonts w:hint="eastAsia" w:ascii="宋体" w:hAnsi="宋体" w:eastAsia="宋体" w:cs="宋体"/>
                <w:kern w:val="2"/>
                <w:sz w:val="21"/>
                <w:szCs w:val="21"/>
                <w:lang w:val="en-US" w:eastAsia="zh-CN" w:bidi="ar-SA"/>
              </w:rPr>
            </w:pPr>
            <w:r>
              <w:rPr>
                <w:rFonts w:hint="eastAsia" w:ascii="宋体" w:hAnsi="宋体" w:eastAsia="宋体" w:cs="Times New Roman"/>
                <w:b w:val="0"/>
                <w:bCs w:val="0"/>
                <w:szCs w:val="21"/>
                <w:lang w:eastAsia="zh-CN"/>
              </w:rPr>
              <w:t>实验数据进行分级管理，具有权限的人员可以从大型仪器共享管理系统（</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）下载、删除及分享实验数据；</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杭州医学院</w:t>
      </w:r>
      <w:r>
        <w:rPr>
          <w:rFonts w:hint="eastAsia" w:ascii="宋体" w:hAnsi="宋体" w:eastAsia="宋体" w:cs="宋体"/>
          <w:b/>
          <w:spacing w:val="-6"/>
          <w:szCs w:val="21"/>
        </w:rPr>
        <w:t xml:space="preserve"> 政府采购合同</w:t>
      </w:r>
    </w:p>
    <w:p w14:paraId="44E40843">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14:paraId="225BDCF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w:t>
      </w:r>
    </w:p>
    <w:p w14:paraId="5CA1929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项目编号：</w:t>
      </w:r>
    </w:p>
    <w:p w14:paraId="0A0BE474">
      <w:pPr>
        <w:pStyle w:val="11"/>
        <w:ind w:left="0" w:leftChars="0" w:firstLine="0" w:firstLineChars="0"/>
        <w:rPr>
          <w:rFonts w:hint="default" w:eastAsia="宋体"/>
          <w:lang w:val="en-US" w:eastAsia="zh-CN"/>
        </w:rPr>
      </w:pPr>
      <w:r>
        <w:rPr>
          <w:rFonts w:hint="eastAsia" w:ascii="宋体" w:hAnsi="宋体" w:cs="Times New Roman"/>
          <w:b/>
          <w:bCs/>
          <w:spacing w:val="-6"/>
          <w:szCs w:val="21"/>
          <w:lang w:val="en-US" w:eastAsia="zh-CN"/>
        </w:rPr>
        <w:t>合同编号：</w:t>
      </w:r>
    </w:p>
    <w:p w14:paraId="4DD001AE">
      <w:pPr>
        <w:adjustRightInd w:val="0"/>
        <w:snapToGrid w:val="0"/>
        <w:spacing w:line="288" w:lineRule="auto"/>
        <w:rPr>
          <w:rFonts w:hint="eastAsia" w:ascii="宋体" w:hAnsi="宋体" w:eastAsia="宋体" w:cs="宋体"/>
          <w:b/>
          <w:bCs/>
          <w:spacing w:val="-6"/>
          <w:szCs w:val="21"/>
        </w:rPr>
      </w:pPr>
      <w:r>
        <w:rPr>
          <w:rFonts w:hint="eastAsia" w:ascii="宋体" w:hAnsi="宋体" w:eastAsia="宋体" w:cs="宋体"/>
          <w:b/>
          <w:bCs/>
          <w:spacing w:val="-6"/>
          <w:szCs w:val="21"/>
        </w:rPr>
        <w:t>采购计划文号（如有）：</w:t>
      </w:r>
    </w:p>
    <w:p w14:paraId="5C33065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甲方（需方）：杭州医学院</w:t>
      </w:r>
    </w:p>
    <w:p w14:paraId="5680003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0C88E4A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202FE8D7">
      <w:pPr>
        <w:adjustRightInd w:val="0"/>
        <w:snapToGrid w:val="0"/>
        <w:spacing w:line="288" w:lineRule="auto"/>
        <w:rPr>
          <w:rFonts w:ascii="宋体" w:hAnsi="宋体" w:eastAsia="宋体" w:cs="Times New Roman"/>
          <w:spacing w:val="-6"/>
          <w:szCs w:val="21"/>
        </w:rPr>
      </w:pPr>
    </w:p>
    <w:p w14:paraId="4DB38CBC">
      <w:pPr>
        <w:adjustRightInd w:val="0"/>
        <w:snapToGrid w:val="0"/>
        <w:spacing w:line="288" w:lineRule="auto"/>
        <w:ind w:firstLine="420"/>
        <w:rPr>
          <w:rFonts w:ascii="宋体" w:hAnsi="宋体" w:eastAsia="宋体"/>
          <w:szCs w:val="21"/>
        </w:rPr>
      </w:pPr>
      <w:r>
        <w:rPr>
          <w:rFonts w:hint="eastAsia" w:ascii="宋体" w:hAnsi="宋体" w:eastAsia="宋体"/>
          <w:szCs w:val="21"/>
        </w:rPr>
        <w:t>甲、乙双方根据浙江求是招标代理有限公司关于</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ascii="宋体" w:hAnsi="宋体" w:eastAsia="宋体"/>
          <w:szCs w:val="21"/>
          <w:u w:val="single"/>
        </w:rPr>
        <w:t xml:space="preserve"> </w:t>
      </w:r>
      <w:r>
        <w:rPr>
          <w:rFonts w:hint="eastAsia" w:ascii="宋体" w:hAnsi="宋体" w:eastAsia="宋体"/>
          <w:szCs w:val="21"/>
        </w:rPr>
        <w:t>项目</w:t>
      </w:r>
      <w:r>
        <w:rPr>
          <w:rFonts w:hint="eastAsia" w:ascii="宋体" w:hAnsi="宋体" w:eastAsia="宋体" w:cs="Times New Roman"/>
          <w:spacing w:val="-6"/>
          <w:szCs w:val="21"/>
          <w:u w:val="none"/>
        </w:rPr>
        <w:t xml:space="preserve">（项目编号： </w:t>
      </w:r>
      <w:r>
        <w:rPr>
          <w:rFonts w:hint="eastAsia" w:ascii="宋体" w:hAnsi="宋体" w:eastAsia="宋体" w:cs="Times New Roman"/>
          <w:spacing w:val="-6"/>
          <w:szCs w:val="21"/>
          <w:u w:val="none"/>
          <w:lang w:val="en-US" w:eastAsia="zh-CN"/>
        </w:rPr>
        <w:t xml:space="preserve">         </w:t>
      </w:r>
      <w:r>
        <w:rPr>
          <w:rFonts w:hint="eastAsia" w:ascii="宋体" w:hAnsi="宋体" w:eastAsia="宋体" w:cs="Times New Roman"/>
          <w:spacing w:val="-6"/>
          <w:szCs w:val="21"/>
          <w:u w:val="none"/>
        </w:rPr>
        <w:t>）</w:t>
      </w:r>
      <w:r>
        <w:rPr>
          <w:rFonts w:hint="eastAsia" w:ascii="宋体" w:hAnsi="宋体" w:eastAsia="宋体" w:cs="Times New Roman"/>
          <w:spacing w:val="-6"/>
          <w:szCs w:val="21"/>
          <w:u w:val="single"/>
          <w:lang w:val="en-US" w:eastAsia="zh-CN"/>
        </w:rPr>
        <w:t xml:space="preserve">        </w:t>
      </w:r>
      <w:r>
        <w:rPr>
          <w:rFonts w:hint="eastAsia" w:ascii="宋体" w:hAnsi="宋体" w:eastAsia="宋体"/>
          <w:szCs w:val="21"/>
        </w:rPr>
        <w:t>的采购结果，签署本合同。</w:t>
      </w:r>
    </w:p>
    <w:p w14:paraId="5BCCC419">
      <w:pPr>
        <w:adjustRightInd w:val="0"/>
        <w:snapToGrid w:val="0"/>
        <w:spacing w:line="288" w:lineRule="auto"/>
        <w:ind w:firstLine="422"/>
        <w:rPr>
          <w:rFonts w:ascii="宋体" w:hAnsi="宋体" w:eastAsia="宋体"/>
          <w:b/>
          <w:bCs/>
          <w:szCs w:val="21"/>
        </w:rPr>
      </w:pPr>
    </w:p>
    <w:p w14:paraId="058E28F3">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第一条：采购货物清单及合同价格</w:t>
      </w:r>
    </w:p>
    <w:tbl>
      <w:tblPr>
        <w:tblStyle w:val="25"/>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785"/>
        <w:gridCol w:w="790"/>
        <w:gridCol w:w="791"/>
        <w:gridCol w:w="1668"/>
        <w:gridCol w:w="1348"/>
        <w:gridCol w:w="1348"/>
      </w:tblGrid>
      <w:tr w14:paraId="2389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72" w:type="dxa"/>
            <w:vAlign w:val="center"/>
          </w:tcPr>
          <w:p w14:paraId="70565FBB">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序号</w:t>
            </w:r>
          </w:p>
        </w:tc>
        <w:tc>
          <w:tcPr>
            <w:tcW w:w="2785" w:type="dxa"/>
            <w:vAlign w:val="center"/>
          </w:tcPr>
          <w:p w14:paraId="78AA2169">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货物名称</w:t>
            </w:r>
          </w:p>
        </w:tc>
        <w:tc>
          <w:tcPr>
            <w:tcW w:w="790" w:type="dxa"/>
            <w:vAlign w:val="center"/>
          </w:tcPr>
          <w:p w14:paraId="6951647E">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数量</w:t>
            </w:r>
          </w:p>
        </w:tc>
        <w:tc>
          <w:tcPr>
            <w:tcW w:w="791" w:type="dxa"/>
            <w:vAlign w:val="center"/>
          </w:tcPr>
          <w:p w14:paraId="7FA0038B">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单位</w:t>
            </w:r>
          </w:p>
        </w:tc>
        <w:tc>
          <w:tcPr>
            <w:tcW w:w="1668" w:type="dxa"/>
            <w:vAlign w:val="center"/>
          </w:tcPr>
          <w:p w14:paraId="042F5F1B">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品牌、型号</w:t>
            </w:r>
          </w:p>
        </w:tc>
        <w:tc>
          <w:tcPr>
            <w:tcW w:w="1348" w:type="dxa"/>
            <w:vAlign w:val="center"/>
          </w:tcPr>
          <w:p w14:paraId="6DB6CA97">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单价</w:t>
            </w:r>
          </w:p>
          <w:p w14:paraId="391CFCAD">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（人民币元）</w:t>
            </w:r>
          </w:p>
        </w:tc>
        <w:tc>
          <w:tcPr>
            <w:tcW w:w="1348" w:type="dxa"/>
            <w:vAlign w:val="center"/>
          </w:tcPr>
          <w:p w14:paraId="7A34F5A9">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合计</w:t>
            </w:r>
          </w:p>
          <w:p w14:paraId="3DE302FE">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（人民币元）</w:t>
            </w:r>
          </w:p>
        </w:tc>
      </w:tr>
      <w:tr w14:paraId="172B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50D8C513">
            <w:pPr>
              <w:jc w:val="center"/>
              <w:rPr>
                <w:rFonts w:ascii="宋体" w:hAnsi="宋体" w:eastAsia="宋体"/>
              </w:rPr>
            </w:pPr>
            <w:r>
              <w:rPr>
                <w:rFonts w:hint="eastAsia" w:ascii="宋体" w:hAnsi="宋体" w:eastAsia="宋体"/>
              </w:rPr>
              <w:t>1</w:t>
            </w:r>
          </w:p>
        </w:tc>
        <w:tc>
          <w:tcPr>
            <w:tcW w:w="2785" w:type="dxa"/>
            <w:vAlign w:val="center"/>
          </w:tcPr>
          <w:p w14:paraId="15659A12">
            <w:pPr>
              <w:wordWrap w:val="0"/>
              <w:spacing w:line="273" w:lineRule="exact"/>
              <w:jc w:val="left"/>
              <w:rPr>
                <w:rFonts w:ascii="宋体" w:hAnsi="宋体" w:eastAsia="宋体"/>
              </w:rPr>
            </w:pPr>
            <w:r>
              <w:rPr>
                <w:rFonts w:ascii="宋体" w:hAnsi="宋体" w:eastAsia="宋体" w:cs="宋体"/>
                <w:color w:val="000000"/>
              </w:rPr>
              <w:t>实验仪器共享账单管理系统</w:t>
            </w:r>
          </w:p>
        </w:tc>
        <w:tc>
          <w:tcPr>
            <w:tcW w:w="790" w:type="dxa"/>
            <w:vAlign w:val="center"/>
          </w:tcPr>
          <w:p w14:paraId="488FA8D2">
            <w:pPr>
              <w:jc w:val="center"/>
              <w:rPr>
                <w:rFonts w:hint="eastAsia" w:ascii="宋体" w:hAnsi="宋体" w:eastAsia="宋体"/>
                <w:lang w:val="en-US" w:eastAsia="zh-CN"/>
              </w:rPr>
            </w:pPr>
            <w:r>
              <w:rPr>
                <w:rFonts w:hint="eastAsia" w:ascii="宋体" w:hAnsi="宋体" w:eastAsia="宋体"/>
                <w:lang w:val="en-US" w:eastAsia="zh-CN"/>
              </w:rPr>
              <w:t>1</w:t>
            </w:r>
          </w:p>
        </w:tc>
        <w:tc>
          <w:tcPr>
            <w:tcW w:w="791" w:type="dxa"/>
            <w:vAlign w:val="center"/>
          </w:tcPr>
          <w:p w14:paraId="1D50DD84">
            <w:pPr>
              <w:jc w:val="center"/>
              <w:rPr>
                <w:rFonts w:hint="eastAsia" w:ascii="宋体" w:hAnsi="宋体" w:eastAsia="宋体"/>
                <w:lang w:val="en-US" w:eastAsia="zh-CN"/>
              </w:rPr>
            </w:pPr>
            <w:r>
              <w:rPr>
                <w:rFonts w:hint="eastAsia" w:ascii="宋体" w:hAnsi="宋体" w:eastAsia="宋体"/>
                <w:lang w:val="en-US" w:eastAsia="zh-CN"/>
              </w:rPr>
              <w:t>套</w:t>
            </w:r>
          </w:p>
        </w:tc>
        <w:tc>
          <w:tcPr>
            <w:tcW w:w="1668" w:type="dxa"/>
            <w:vAlign w:val="center"/>
          </w:tcPr>
          <w:p w14:paraId="2346D0DF">
            <w:pPr>
              <w:jc w:val="center"/>
              <w:rPr>
                <w:rFonts w:ascii="宋体" w:hAnsi="宋体" w:eastAsia="宋体"/>
              </w:rPr>
            </w:pPr>
          </w:p>
        </w:tc>
        <w:tc>
          <w:tcPr>
            <w:tcW w:w="1348" w:type="dxa"/>
            <w:vAlign w:val="center"/>
          </w:tcPr>
          <w:p w14:paraId="12B0BB2A">
            <w:pPr>
              <w:jc w:val="center"/>
              <w:rPr>
                <w:rFonts w:ascii="宋体" w:hAnsi="宋体" w:eastAsia="宋体"/>
              </w:rPr>
            </w:pPr>
          </w:p>
        </w:tc>
        <w:tc>
          <w:tcPr>
            <w:tcW w:w="1348" w:type="dxa"/>
            <w:vAlign w:val="center"/>
          </w:tcPr>
          <w:p w14:paraId="27F4552C">
            <w:pPr>
              <w:jc w:val="center"/>
              <w:rPr>
                <w:rFonts w:ascii="宋体" w:hAnsi="宋体" w:eastAsia="宋体"/>
              </w:rPr>
            </w:pPr>
          </w:p>
        </w:tc>
      </w:tr>
      <w:tr w14:paraId="5F65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1665ED4D">
            <w:pPr>
              <w:jc w:val="center"/>
              <w:rPr>
                <w:rFonts w:ascii="宋体" w:hAnsi="宋体" w:eastAsia="宋体"/>
              </w:rPr>
            </w:pPr>
            <w:r>
              <w:rPr>
                <w:rFonts w:hint="eastAsia" w:ascii="宋体" w:hAnsi="宋体" w:eastAsia="宋体"/>
              </w:rPr>
              <w:t>2</w:t>
            </w:r>
          </w:p>
        </w:tc>
        <w:tc>
          <w:tcPr>
            <w:tcW w:w="2785" w:type="dxa"/>
            <w:vAlign w:val="center"/>
          </w:tcPr>
          <w:p w14:paraId="2594DCCF">
            <w:pPr>
              <w:wordWrap w:val="0"/>
              <w:spacing w:line="273" w:lineRule="exact"/>
              <w:jc w:val="left"/>
              <w:rPr>
                <w:rFonts w:ascii="宋体" w:hAnsi="宋体" w:eastAsia="宋体"/>
              </w:rPr>
            </w:pPr>
            <w:r>
              <w:rPr>
                <w:rFonts w:ascii="宋体" w:hAnsi="宋体" w:eastAsia="宋体" w:cs="宋体"/>
                <w:color w:val="000000"/>
              </w:rPr>
              <w:t>培训及安全准入系统</w:t>
            </w:r>
          </w:p>
        </w:tc>
        <w:tc>
          <w:tcPr>
            <w:tcW w:w="790" w:type="dxa"/>
            <w:vAlign w:val="center"/>
          </w:tcPr>
          <w:p w14:paraId="2382ECED">
            <w:pPr>
              <w:jc w:val="center"/>
              <w:rPr>
                <w:rFonts w:ascii="宋体" w:hAnsi="宋体" w:eastAsia="宋体"/>
              </w:rPr>
            </w:pPr>
            <w:r>
              <w:rPr>
                <w:rFonts w:hint="eastAsia" w:ascii="宋体" w:hAnsi="宋体" w:eastAsia="宋体"/>
                <w:lang w:val="en-US" w:eastAsia="zh-CN"/>
              </w:rPr>
              <w:t>1</w:t>
            </w:r>
          </w:p>
        </w:tc>
        <w:tc>
          <w:tcPr>
            <w:tcW w:w="791" w:type="dxa"/>
            <w:vAlign w:val="center"/>
          </w:tcPr>
          <w:p w14:paraId="39414723">
            <w:pPr>
              <w:jc w:val="center"/>
              <w:rPr>
                <w:rFonts w:ascii="宋体" w:hAnsi="宋体" w:eastAsia="宋体"/>
              </w:rPr>
            </w:pPr>
            <w:r>
              <w:rPr>
                <w:rFonts w:hint="eastAsia" w:ascii="宋体" w:hAnsi="宋体" w:eastAsia="宋体"/>
                <w:lang w:val="en-US" w:eastAsia="zh-CN"/>
              </w:rPr>
              <w:t>套</w:t>
            </w:r>
          </w:p>
        </w:tc>
        <w:tc>
          <w:tcPr>
            <w:tcW w:w="1668" w:type="dxa"/>
            <w:vAlign w:val="center"/>
          </w:tcPr>
          <w:p w14:paraId="6FAC93A5">
            <w:pPr>
              <w:jc w:val="center"/>
              <w:rPr>
                <w:rFonts w:ascii="宋体" w:hAnsi="宋体" w:eastAsia="宋体"/>
              </w:rPr>
            </w:pPr>
          </w:p>
        </w:tc>
        <w:tc>
          <w:tcPr>
            <w:tcW w:w="1348" w:type="dxa"/>
            <w:vAlign w:val="center"/>
          </w:tcPr>
          <w:p w14:paraId="53B5A9E7">
            <w:pPr>
              <w:jc w:val="center"/>
              <w:rPr>
                <w:rFonts w:ascii="宋体" w:hAnsi="宋体" w:eastAsia="宋体"/>
              </w:rPr>
            </w:pPr>
          </w:p>
        </w:tc>
        <w:tc>
          <w:tcPr>
            <w:tcW w:w="1348" w:type="dxa"/>
            <w:vAlign w:val="center"/>
          </w:tcPr>
          <w:p w14:paraId="1D524C32">
            <w:pPr>
              <w:jc w:val="center"/>
              <w:rPr>
                <w:rFonts w:ascii="宋体" w:hAnsi="宋体" w:eastAsia="宋体"/>
              </w:rPr>
            </w:pPr>
          </w:p>
        </w:tc>
      </w:tr>
      <w:tr w14:paraId="1CF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6F83B632">
            <w:pPr>
              <w:jc w:val="center"/>
              <w:rPr>
                <w:rFonts w:ascii="宋体" w:hAnsi="宋体" w:eastAsia="宋体"/>
              </w:rPr>
            </w:pPr>
            <w:r>
              <w:rPr>
                <w:rFonts w:hint="eastAsia" w:ascii="宋体" w:hAnsi="宋体" w:eastAsia="宋体"/>
              </w:rPr>
              <w:t>3</w:t>
            </w:r>
          </w:p>
        </w:tc>
        <w:tc>
          <w:tcPr>
            <w:tcW w:w="2785" w:type="dxa"/>
            <w:vAlign w:val="center"/>
          </w:tcPr>
          <w:p w14:paraId="0FB41983">
            <w:pPr>
              <w:wordWrap w:val="0"/>
              <w:spacing w:line="273" w:lineRule="exact"/>
              <w:jc w:val="left"/>
              <w:rPr>
                <w:rFonts w:ascii="宋体" w:hAnsi="宋体" w:eastAsia="宋体"/>
              </w:rPr>
            </w:pPr>
            <w:r>
              <w:rPr>
                <w:rFonts w:ascii="宋体" w:hAnsi="宋体" w:eastAsia="宋体" w:cs="宋体"/>
                <w:color w:val="000000"/>
              </w:rPr>
              <w:t>大仪平台门禁对接管理模块</w:t>
            </w:r>
          </w:p>
        </w:tc>
        <w:tc>
          <w:tcPr>
            <w:tcW w:w="790" w:type="dxa"/>
            <w:vAlign w:val="center"/>
          </w:tcPr>
          <w:p w14:paraId="13A53397">
            <w:pPr>
              <w:jc w:val="center"/>
              <w:rPr>
                <w:rFonts w:ascii="宋体" w:hAnsi="宋体" w:eastAsia="宋体"/>
              </w:rPr>
            </w:pPr>
            <w:r>
              <w:rPr>
                <w:rFonts w:hint="eastAsia" w:ascii="宋体" w:hAnsi="宋体" w:eastAsia="宋体"/>
                <w:lang w:val="en-US" w:eastAsia="zh-CN"/>
              </w:rPr>
              <w:t>1</w:t>
            </w:r>
          </w:p>
        </w:tc>
        <w:tc>
          <w:tcPr>
            <w:tcW w:w="791" w:type="dxa"/>
            <w:vAlign w:val="center"/>
          </w:tcPr>
          <w:p w14:paraId="6676D336">
            <w:pPr>
              <w:jc w:val="center"/>
              <w:rPr>
                <w:rFonts w:ascii="宋体" w:hAnsi="宋体" w:eastAsia="宋体"/>
              </w:rPr>
            </w:pPr>
            <w:r>
              <w:rPr>
                <w:rFonts w:hint="eastAsia" w:ascii="宋体" w:hAnsi="宋体" w:eastAsia="宋体"/>
                <w:lang w:val="en-US" w:eastAsia="zh-CN"/>
              </w:rPr>
              <w:t>套</w:t>
            </w:r>
          </w:p>
        </w:tc>
        <w:tc>
          <w:tcPr>
            <w:tcW w:w="1668" w:type="dxa"/>
            <w:vAlign w:val="center"/>
          </w:tcPr>
          <w:p w14:paraId="701BE141">
            <w:pPr>
              <w:jc w:val="center"/>
              <w:rPr>
                <w:rFonts w:ascii="宋体" w:hAnsi="宋体" w:eastAsia="宋体"/>
              </w:rPr>
            </w:pPr>
          </w:p>
        </w:tc>
        <w:tc>
          <w:tcPr>
            <w:tcW w:w="1348" w:type="dxa"/>
            <w:vAlign w:val="center"/>
          </w:tcPr>
          <w:p w14:paraId="32C8FF2E">
            <w:pPr>
              <w:jc w:val="center"/>
              <w:rPr>
                <w:rFonts w:ascii="宋体" w:hAnsi="宋体" w:eastAsia="宋体"/>
              </w:rPr>
            </w:pPr>
          </w:p>
        </w:tc>
        <w:tc>
          <w:tcPr>
            <w:tcW w:w="1348" w:type="dxa"/>
            <w:vAlign w:val="center"/>
          </w:tcPr>
          <w:p w14:paraId="40F8F81F">
            <w:pPr>
              <w:jc w:val="center"/>
              <w:rPr>
                <w:rFonts w:ascii="宋体" w:hAnsi="宋体" w:eastAsia="宋体"/>
              </w:rPr>
            </w:pPr>
          </w:p>
        </w:tc>
      </w:tr>
      <w:tr w14:paraId="4DA1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008CC417">
            <w:pPr>
              <w:jc w:val="center"/>
              <w:rPr>
                <w:rFonts w:ascii="宋体" w:hAnsi="宋体" w:eastAsia="宋体"/>
              </w:rPr>
            </w:pPr>
            <w:r>
              <w:rPr>
                <w:rFonts w:hint="eastAsia" w:ascii="宋体" w:hAnsi="宋体" w:eastAsia="宋体"/>
              </w:rPr>
              <w:t>4</w:t>
            </w:r>
          </w:p>
        </w:tc>
        <w:tc>
          <w:tcPr>
            <w:tcW w:w="2785" w:type="dxa"/>
            <w:vAlign w:val="center"/>
          </w:tcPr>
          <w:p w14:paraId="0DB2D251">
            <w:pPr>
              <w:wordWrap w:val="0"/>
              <w:spacing w:line="273" w:lineRule="exact"/>
              <w:jc w:val="left"/>
              <w:rPr>
                <w:rFonts w:ascii="宋体" w:hAnsi="宋体" w:eastAsia="宋体"/>
              </w:rPr>
            </w:pPr>
            <w:r>
              <w:rPr>
                <w:rFonts w:ascii="宋体" w:hAnsi="宋体" w:eastAsia="宋体" w:cs="宋体"/>
                <w:color w:val="000000"/>
              </w:rPr>
              <w:t>科研实验数据存储及溯源系统</w:t>
            </w:r>
          </w:p>
        </w:tc>
        <w:tc>
          <w:tcPr>
            <w:tcW w:w="790" w:type="dxa"/>
            <w:vAlign w:val="center"/>
          </w:tcPr>
          <w:p w14:paraId="7FE7EFFA">
            <w:pPr>
              <w:jc w:val="center"/>
              <w:rPr>
                <w:rFonts w:ascii="宋体" w:hAnsi="宋体" w:eastAsia="宋体"/>
              </w:rPr>
            </w:pPr>
            <w:r>
              <w:rPr>
                <w:rFonts w:hint="eastAsia" w:ascii="宋体" w:hAnsi="宋体" w:eastAsia="宋体"/>
                <w:lang w:val="en-US" w:eastAsia="zh-CN"/>
              </w:rPr>
              <w:t>1</w:t>
            </w:r>
          </w:p>
        </w:tc>
        <w:tc>
          <w:tcPr>
            <w:tcW w:w="791" w:type="dxa"/>
            <w:vAlign w:val="center"/>
          </w:tcPr>
          <w:p w14:paraId="4ACED81E">
            <w:pPr>
              <w:jc w:val="center"/>
              <w:rPr>
                <w:rFonts w:ascii="宋体" w:hAnsi="宋体" w:eastAsia="宋体"/>
              </w:rPr>
            </w:pPr>
            <w:r>
              <w:rPr>
                <w:rFonts w:hint="eastAsia" w:ascii="宋体" w:hAnsi="宋体" w:eastAsia="宋体"/>
                <w:lang w:val="en-US" w:eastAsia="zh-CN"/>
              </w:rPr>
              <w:t>套</w:t>
            </w:r>
          </w:p>
        </w:tc>
        <w:tc>
          <w:tcPr>
            <w:tcW w:w="1668" w:type="dxa"/>
            <w:vAlign w:val="center"/>
          </w:tcPr>
          <w:p w14:paraId="41107C98">
            <w:pPr>
              <w:jc w:val="center"/>
              <w:rPr>
                <w:rFonts w:ascii="宋体" w:hAnsi="宋体" w:eastAsia="宋体"/>
              </w:rPr>
            </w:pPr>
          </w:p>
        </w:tc>
        <w:tc>
          <w:tcPr>
            <w:tcW w:w="1348" w:type="dxa"/>
            <w:vAlign w:val="center"/>
          </w:tcPr>
          <w:p w14:paraId="63504B39">
            <w:pPr>
              <w:jc w:val="center"/>
              <w:rPr>
                <w:rFonts w:ascii="宋体" w:hAnsi="宋体" w:eastAsia="宋体"/>
              </w:rPr>
            </w:pPr>
          </w:p>
        </w:tc>
        <w:tc>
          <w:tcPr>
            <w:tcW w:w="1348" w:type="dxa"/>
            <w:vAlign w:val="center"/>
          </w:tcPr>
          <w:p w14:paraId="5C7DDFE5">
            <w:pPr>
              <w:jc w:val="center"/>
              <w:rPr>
                <w:rFonts w:ascii="宋体" w:hAnsi="宋体" w:eastAsia="宋体"/>
              </w:rPr>
            </w:pPr>
          </w:p>
        </w:tc>
      </w:tr>
      <w:tr w14:paraId="1F94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2" w:type="dxa"/>
            <w:gridSpan w:val="7"/>
            <w:vAlign w:val="center"/>
          </w:tcPr>
          <w:p w14:paraId="5AC66727">
            <w:pPr>
              <w:adjustRightInd w:val="0"/>
              <w:snapToGrid w:val="0"/>
              <w:spacing w:line="288" w:lineRule="auto"/>
              <w:rPr>
                <w:rFonts w:ascii="宋体" w:hAnsi="宋体" w:eastAsia="宋体"/>
                <w:kern w:val="0"/>
                <w:szCs w:val="21"/>
              </w:rPr>
            </w:pPr>
            <w:r>
              <w:rPr>
                <w:rFonts w:hint="eastAsia" w:ascii="宋体" w:hAnsi="宋体" w:eastAsia="宋体"/>
                <w:kern w:val="0"/>
                <w:szCs w:val="21"/>
              </w:rPr>
              <w:t>合同总价（人民币元）：</w:t>
            </w:r>
          </w:p>
          <w:p w14:paraId="499CACEC">
            <w:pPr>
              <w:adjustRightInd w:val="0"/>
              <w:snapToGrid w:val="0"/>
              <w:spacing w:line="288" w:lineRule="auto"/>
              <w:rPr>
                <w:rFonts w:ascii="宋体" w:hAnsi="宋体" w:eastAsia="宋体"/>
                <w:kern w:val="0"/>
                <w:szCs w:val="21"/>
              </w:rPr>
            </w:pPr>
            <w:r>
              <w:rPr>
                <w:rFonts w:hint="eastAsia" w:ascii="宋体" w:hAnsi="宋体" w:eastAsia="宋体"/>
                <w:kern w:val="0"/>
                <w:szCs w:val="21"/>
              </w:rPr>
              <w:t>注：以上合同总价包括将货物运抵甲方指定地点的运费及安装调试、培训等一切费用。</w:t>
            </w:r>
          </w:p>
        </w:tc>
      </w:tr>
    </w:tbl>
    <w:p w14:paraId="3A721A7C">
      <w:pPr>
        <w:adjustRightInd w:val="0"/>
        <w:snapToGrid w:val="0"/>
        <w:spacing w:line="288" w:lineRule="auto"/>
        <w:ind w:firstLine="420"/>
        <w:rPr>
          <w:rFonts w:ascii="宋体" w:hAnsi="宋体" w:eastAsia="宋体"/>
          <w:szCs w:val="21"/>
        </w:rPr>
      </w:pPr>
    </w:p>
    <w:p w14:paraId="2470C4E5">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第二条：交货时间、地点</w:t>
      </w:r>
    </w:p>
    <w:p w14:paraId="6E90DE79">
      <w:pPr>
        <w:adjustRightInd w:val="0"/>
        <w:snapToGrid w:val="0"/>
        <w:spacing w:line="348" w:lineRule="auto"/>
        <w:ind w:firstLine="422"/>
        <w:rPr>
          <w:rFonts w:hint="eastAsia" w:ascii="宋体" w:hAnsi="宋体" w:eastAsia="宋体" w:cs="宋体"/>
          <w:b/>
          <w:bCs/>
          <w:szCs w:val="21"/>
        </w:rPr>
      </w:pPr>
    </w:p>
    <w:p w14:paraId="02752B26">
      <w:pPr>
        <w:adjustRightInd w:val="0"/>
        <w:snapToGrid w:val="0"/>
        <w:spacing w:line="348" w:lineRule="auto"/>
        <w:ind w:firstLine="422"/>
        <w:rPr>
          <w:rFonts w:ascii="宋体" w:hAnsi="宋体" w:eastAsia="宋体" w:cs="宋体"/>
          <w:b/>
          <w:bCs/>
          <w:szCs w:val="21"/>
        </w:rPr>
      </w:pPr>
      <w:r>
        <w:rPr>
          <w:rFonts w:hint="eastAsia" w:ascii="宋体" w:hAnsi="宋体" w:eastAsia="宋体" w:cs="宋体"/>
          <w:b/>
          <w:bCs/>
          <w:szCs w:val="21"/>
        </w:rPr>
        <w:t>第三条：履约保证金和付款方式</w:t>
      </w:r>
    </w:p>
    <w:p w14:paraId="2F7970A4">
      <w:pPr>
        <w:adjustRightInd w:val="0"/>
        <w:snapToGrid w:val="0"/>
        <w:spacing w:line="288" w:lineRule="auto"/>
        <w:ind w:firstLine="420"/>
        <w:rPr>
          <w:rFonts w:ascii="宋体" w:hAnsi="宋体" w:eastAsia="宋体"/>
          <w:szCs w:val="21"/>
        </w:rPr>
      </w:pPr>
      <w:r>
        <w:rPr>
          <w:rFonts w:hint="eastAsia" w:ascii="宋体" w:hAnsi="宋体" w:eastAsia="宋体"/>
          <w:b/>
          <w:bCs/>
          <w:szCs w:val="21"/>
        </w:rPr>
        <w:t>履约保证金：</w:t>
      </w:r>
      <w:r>
        <w:rPr>
          <w:rFonts w:hint="eastAsia" w:ascii="宋体" w:hAnsi="宋体" w:eastAsia="宋体"/>
          <w:sz w:val="21"/>
          <w:szCs w:val="21"/>
          <w:lang w:val="en-US" w:eastAsia="zh-CN"/>
        </w:rPr>
        <w:t>无</w:t>
      </w:r>
      <w:r>
        <w:rPr>
          <w:rFonts w:hint="eastAsia" w:ascii="宋体" w:hAnsi="宋体"/>
          <w:sz w:val="21"/>
          <w:szCs w:val="21"/>
        </w:rPr>
        <w:t>。</w:t>
      </w:r>
    </w:p>
    <w:p w14:paraId="1733EF48">
      <w:pPr>
        <w:adjustRightInd w:val="0"/>
        <w:snapToGrid w:val="0"/>
        <w:spacing w:line="288" w:lineRule="auto"/>
        <w:ind w:firstLine="420"/>
        <w:rPr>
          <w:rFonts w:ascii="宋体" w:hAnsi="宋体" w:eastAsia="宋体"/>
          <w:szCs w:val="21"/>
        </w:rPr>
      </w:pPr>
      <w:r>
        <w:rPr>
          <w:rFonts w:hint="eastAsia" w:ascii="宋体" w:hAnsi="宋体" w:eastAsia="宋体"/>
          <w:b/>
          <w:bCs/>
          <w:szCs w:val="21"/>
        </w:rPr>
        <w:t>付款方式：</w:t>
      </w:r>
      <w:r>
        <w:rPr>
          <w:rFonts w:hint="eastAsia" w:ascii="宋体" w:hAnsi="宋体" w:eastAsia="宋体"/>
          <w:b w:val="0"/>
          <w:bCs w:val="0"/>
          <w:szCs w:val="21"/>
        </w:rPr>
        <w:t>合同生效以及具备实施条件后7个工作日内，</w:t>
      </w:r>
      <w:r>
        <w:rPr>
          <w:rFonts w:hint="eastAsia" w:ascii="宋体" w:hAnsi="宋体" w:eastAsia="宋体"/>
          <w:b w:val="0"/>
          <w:bCs w:val="0"/>
          <w:szCs w:val="21"/>
          <w:lang w:val="en-US" w:eastAsia="zh-CN"/>
        </w:rPr>
        <w:t>甲方</w:t>
      </w:r>
      <w:r>
        <w:rPr>
          <w:rFonts w:hint="eastAsia" w:ascii="宋体" w:hAnsi="宋体" w:eastAsia="宋体"/>
          <w:b w:val="0"/>
          <w:bCs w:val="0"/>
          <w:szCs w:val="21"/>
        </w:rPr>
        <w:t>向</w:t>
      </w:r>
      <w:r>
        <w:rPr>
          <w:rFonts w:hint="eastAsia" w:ascii="宋体" w:hAnsi="宋体" w:eastAsia="宋体"/>
          <w:b w:val="0"/>
          <w:bCs w:val="0"/>
          <w:szCs w:val="21"/>
          <w:lang w:val="en-US" w:eastAsia="zh-CN"/>
        </w:rPr>
        <w:t>乙方</w:t>
      </w:r>
      <w:r>
        <w:rPr>
          <w:rFonts w:hint="eastAsia" w:ascii="宋体" w:hAnsi="宋体" w:eastAsia="宋体"/>
          <w:b w:val="0"/>
          <w:bCs w:val="0"/>
          <w:szCs w:val="21"/>
        </w:rPr>
        <w:t>支付合同总价的50％；合同内容完成后，经</w:t>
      </w:r>
      <w:r>
        <w:rPr>
          <w:rFonts w:hint="eastAsia" w:ascii="宋体" w:hAnsi="宋体" w:eastAsia="宋体"/>
          <w:b w:val="0"/>
          <w:bCs w:val="0"/>
          <w:szCs w:val="21"/>
          <w:lang w:val="en-US" w:eastAsia="zh-CN"/>
        </w:rPr>
        <w:t>甲方</w:t>
      </w:r>
      <w:r>
        <w:rPr>
          <w:rFonts w:hint="eastAsia" w:ascii="宋体" w:hAnsi="宋体" w:eastAsia="宋体"/>
          <w:b w:val="0"/>
          <w:bCs w:val="0"/>
          <w:szCs w:val="21"/>
        </w:rPr>
        <w:t>验收通过后支付至合同总价的100％。</w:t>
      </w:r>
    </w:p>
    <w:p w14:paraId="5D65D4DA">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第四条：售后服务</w:t>
      </w:r>
    </w:p>
    <w:p w14:paraId="30E0B7DE">
      <w:pPr>
        <w:adjustRightInd w:val="0"/>
        <w:snapToGrid w:val="0"/>
        <w:spacing w:line="288" w:lineRule="auto"/>
        <w:ind w:firstLine="420"/>
        <w:rPr>
          <w:rFonts w:ascii="宋体" w:hAnsi="宋体" w:eastAsia="宋体"/>
          <w:szCs w:val="21"/>
        </w:rPr>
      </w:pPr>
      <w:r>
        <w:rPr>
          <w:rFonts w:hint="eastAsia" w:ascii="宋体" w:hAnsi="宋体" w:eastAsia="宋体"/>
          <w:szCs w:val="21"/>
        </w:rPr>
        <w:t>1.上述的货物质保期为____年，因人为因素出现的故障不在免费保修范围内。超过质保期的货物，终生维修，维修时只收部件成本费。</w:t>
      </w:r>
    </w:p>
    <w:p w14:paraId="42DE7E42">
      <w:pPr>
        <w:adjustRightInd w:val="0"/>
        <w:snapToGrid w:val="0"/>
        <w:spacing w:line="288" w:lineRule="auto"/>
        <w:ind w:firstLine="420"/>
        <w:rPr>
          <w:rFonts w:ascii="宋体" w:hAnsi="宋体" w:eastAsia="宋体"/>
          <w:szCs w:val="21"/>
        </w:rPr>
      </w:pPr>
      <w:r>
        <w:rPr>
          <w:rFonts w:hint="eastAsia" w:ascii="宋体" w:hAnsi="宋体" w:eastAsia="宋体"/>
          <w:szCs w:val="21"/>
        </w:rPr>
        <w:t>2.如在使用过程中发生质量问题，乙方维修响应时间：____小时以内，电话技术支持：____小时以内；若需上门维修，则在____小时内到达现场并进行维修；质保期满后，乙方继续为甲方服务，仅收取零配件成本费。保修期内出现无法排除的故障，乙方需无条件为甲方更换同型号产品。</w:t>
      </w:r>
    </w:p>
    <w:p w14:paraId="240C2A37">
      <w:pPr>
        <w:adjustRightInd w:val="0"/>
        <w:snapToGrid w:val="0"/>
        <w:spacing w:line="288" w:lineRule="auto"/>
        <w:ind w:firstLine="420"/>
        <w:rPr>
          <w:rFonts w:ascii="宋体" w:hAnsi="宋体" w:eastAsia="宋体"/>
          <w:szCs w:val="21"/>
        </w:rPr>
      </w:pPr>
      <w:r>
        <w:rPr>
          <w:rFonts w:hint="eastAsia" w:ascii="宋体" w:hAnsi="宋体" w:eastAsia="宋体"/>
          <w:szCs w:val="21"/>
        </w:rPr>
        <w:t>3.在质保期内，乙方应对货物出现的质量及安全问题负责处理解决并承担一切费用。</w:t>
      </w:r>
    </w:p>
    <w:p w14:paraId="4A8CB9BD">
      <w:pPr>
        <w:adjustRightInd w:val="0"/>
        <w:snapToGrid w:val="0"/>
        <w:spacing w:line="288" w:lineRule="auto"/>
        <w:ind w:firstLine="420"/>
        <w:rPr>
          <w:rFonts w:ascii="宋体" w:hAnsi="宋体" w:eastAsia="宋体"/>
          <w:szCs w:val="21"/>
        </w:rPr>
      </w:pPr>
      <w:r>
        <w:rPr>
          <w:rFonts w:hint="eastAsia" w:ascii="宋体" w:hAnsi="宋体" w:eastAsia="宋体"/>
          <w:szCs w:val="21"/>
        </w:rPr>
        <w:t>4.培训：</w:t>
      </w:r>
    </w:p>
    <w:p w14:paraId="022B15E5">
      <w:pPr>
        <w:adjustRightInd w:val="0"/>
        <w:snapToGrid w:val="0"/>
        <w:spacing w:line="288" w:lineRule="auto"/>
        <w:ind w:firstLine="420"/>
        <w:rPr>
          <w:rFonts w:ascii="宋体" w:hAnsi="宋体" w:eastAsia="宋体"/>
          <w:szCs w:val="21"/>
        </w:rPr>
      </w:pPr>
      <w:r>
        <w:rPr>
          <w:rFonts w:hint="eastAsia" w:ascii="宋体" w:hAnsi="宋体" w:eastAsia="宋体"/>
          <w:szCs w:val="21"/>
        </w:rPr>
        <w:t>1）培训时间：</w:t>
      </w:r>
    </w:p>
    <w:p w14:paraId="681E3C4C">
      <w:pPr>
        <w:adjustRightInd w:val="0"/>
        <w:snapToGrid w:val="0"/>
        <w:spacing w:line="288" w:lineRule="auto"/>
        <w:ind w:firstLine="420"/>
        <w:rPr>
          <w:rFonts w:ascii="宋体" w:hAnsi="宋体" w:eastAsia="宋体"/>
          <w:szCs w:val="21"/>
        </w:rPr>
      </w:pPr>
      <w:r>
        <w:rPr>
          <w:rFonts w:hint="eastAsia" w:ascii="宋体" w:hAnsi="宋体" w:eastAsia="宋体"/>
          <w:szCs w:val="21"/>
        </w:rPr>
        <w:t>2）培训地点：</w:t>
      </w:r>
    </w:p>
    <w:p w14:paraId="2DCB8CAA">
      <w:pPr>
        <w:adjustRightInd w:val="0"/>
        <w:snapToGrid w:val="0"/>
        <w:spacing w:line="288" w:lineRule="auto"/>
        <w:ind w:firstLine="420"/>
        <w:rPr>
          <w:rFonts w:ascii="宋体" w:hAnsi="宋体" w:eastAsia="宋体"/>
          <w:szCs w:val="21"/>
        </w:rPr>
      </w:pPr>
      <w:r>
        <w:rPr>
          <w:rFonts w:hint="eastAsia" w:ascii="宋体" w:hAnsi="宋体" w:eastAsia="宋体"/>
          <w:szCs w:val="21"/>
        </w:rPr>
        <w:t>3）培训方式：</w:t>
      </w:r>
    </w:p>
    <w:p w14:paraId="1922E171">
      <w:pPr>
        <w:adjustRightInd w:val="0"/>
        <w:snapToGrid w:val="0"/>
        <w:spacing w:line="288" w:lineRule="auto"/>
        <w:ind w:firstLine="420"/>
        <w:rPr>
          <w:rFonts w:ascii="宋体" w:hAnsi="宋体" w:eastAsia="宋体"/>
          <w:szCs w:val="21"/>
        </w:rPr>
      </w:pPr>
      <w:r>
        <w:rPr>
          <w:rFonts w:hint="eastAsia" w:ascii="宋体" w:hAnsi="宋体" w:eastAsia="宋体"/>
          <w:szCs w:val="21"/>
        </w:rPr>
        <w:t>4）培训费用：已经包括在投标报价中。</w:t>
      </w:r>
    </w:p>
    <w:p w14:paraId="54EA82E0">
      <w:pPr>
        <w:adjustRightInd w:val="0"/>
        <w:snapToGrid w:val="0"/>
        <w:spacing w:line="288" w:lineRule="auto"/>
        <w:ind w:firstLine="420"/>
        <w:rPr>
          <w:rFonts w:ascii="宋体" w:hAnsi="宋体" w:eastAsia="宋体"/>
          <w:szCs w:val="21"/>
        </w:rPr>
      </w:pPr>
      <w:r>
        <w:rPr>
          <w:rFonts w:hint="eastAsia" w:ascii="宋体" w:hAnsi="宋体" w:eastAsia="宋体"/>
          <w:szCs w:val="21"/>
        </w:rPr>
        <w:t>5）培训内容：</w:t>
      </w:r>
    </w:p>
    <w:p w14:paraId="165583C5">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第五条：质量保证</w:t>
      </w:r>
    </w:p>
    <w:p w14:paraId="755E3516">
      <w:pPr>
        <w:adjustRightInd w:val="0"/>
        <w:snapToGrid w:val="0"/>
        <w:spacing w:line="288" w:lineRule="auto"/>
        <w:ind w:firstLine="420"/>
        <w:rPr>
          <w:rFonts w:ascii="宋体" w:hAnsi="宋体" w:eastAsia="宋体"/>
          <w:szCs w:val="21"/>
        </w:rPr>
      </w:pPr>
      <w:r>
        <w:rPr>
          <w:rFonts w:hint="eastAsia" w:ascii="宋体" w:hAnsi="宋体" w:eastAsia="宋体"/>
          <w:szCs w:val="21"/>
        </w:rPr>
        <w:t>1.乙方应按采购文件规定的货物性能、技术要求、质量标准向甲方提供未经使用的全新产品，符合国家法律规定和技术规格、质量标准的出厂原装合格产品；进口商品是获得国家商检局颁布安全许可证的出厂原装合格产品。</w:t>
      </w:r>
    </w:p>
    <w:p w14:paraId="7817775E">
      <w:pPr>
        <w:adjustRightInd w:val="0"/>
        <w:snapToGrid w:val="0"/>
        <w:spacing w:line="288" w:lineRule="auto"/>
        <w:ind w:firstLine="420"/>
        <w:rPr>
          <w:rFonts w:ascii="宋体" w:hAnsi="宋体" w:eastAsia="宋体"/>
          <w:szCs w:val="21"/>
        </w:rPr>
      </w:pPr>
      <w:r>
        <w:rPr>
          <w:rFonts w:hint="eastAsia" w:ascii="宋体" w:hAnsi="宋体" w:eastAsia="宋体"/>
          <w:szCs w:val="21"/>
        </w:rPr>
        <w:t>2.乙方提供的货物在质保期内因货物本身的质量问题发生故障，乙方应负责免费更换。对达不到技术要求者，根据实际情况，经双方协商，可按以下办法处理：</w:t>
      </w:r>
    </w:p>
    <w:p w14:paraId="7535CA54">
      <w:pPr>
        <w:adjustRightInd w:val="0"/>
        <w:snapToGrid w:val="0"/>
        <w:spacing w:line="288" w:lineRule="auto"/>
        <w:ind w:firstLine="420"/>
        <w:rPr>
          <w:rFonts w:ascii="宋体" w:hAnsi="宋体" w:eastAsia="宋体"/>
          <w:szCs w:val="21"/>
        </w:rPr>
      </w:pPr>
      <w:r>
        <w:rPr>
          <w:rFonts w:hint="eastAsia" w:ascii="宋体" w:hAnsi="宋体" w:eastAsia="宋体"/>
          <w:szCs w:val="21"/>
        </w:rPr>
        <w:t>1）更换：由乙方承担所发生的全部费用。</w:t>
      </w:r>
    </w:p>
    <w:p w14:paraId="094A36CC">
      <w:pPr>
        <w:adjustRightInd w:val="0"/>
        <w:snapToGrid w:val="0"/>
        <w:spacing w:line="288" w:lineRule="auto"/>
        <w:ind w:firstLine="420"/>
        <w:rPr>
          <w:rFonts w:ascii="宋体" w:hAnsi="宋体" w:eastAsia="宋体"/>
          <w:szCs w:val="21"/>
        </w:rPr>
      </w:pPr>
      <w:r>
        <w:rPr>
          <w:rFonts w:hint="eastAsia" w:ascii="宋体" w:hAnsi="宋体" w:eastAsia="宋体"/>
          <w:szCs w:val="21"/>
        </w:rPr>
        <w:t>2）贬值处理：由甲乙双方合议定价。</w:t>
      </w:r>
    </w:p>
    <w:p w14:paraId="79873E99">
      <w:pPr>
        <w:adjustRightInd w:val="0"/>
        <w:snapToGrid w:val="0"/>
        <w:spacing w:line="288" w:lineRule="auto"/>
        <w:ind w:firstLine="420"/>
        <w:rPr>
          <w:rFonts w:ascii="宋体" w:hAnsi="宋体" w:eastAsia="宋体"/>
          <w:szCs w:val="21"/>
        </w:rPr>
      </w:pPr>
      <w:r>
        <w:rPr>
          <w:rFonts w:hint="eastAsia" w:ascii="宋体" w:hAnsi="宋体" w:eastAsia="宋体"/>
          <w:szCs w:val="21"/>
        </w:rPr>
        <w:t>3）退货处理：乙方应退还甲方支付的合同款，同时应承担该货物的直接费用（运输、保险、检验、货款利息及银行手续费等）。</w:t>
      </w:r>
    </w:p>
    <w:p w14:paraId="1307837A">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第六条：技术资料</w:t>
      </w:r>
    </w:p>
    <w:p w14:paraId="6C37F3CD">
      <w:pPr>
        <w:adjustRightInd w:val="0"/>
        <w:snapToGrid w:val="0"/>
        <w:spacing w:line="288" w:lineRule="auto"/>
        <w:ind w:firstLine="420"/>
        <w:rPr>
          <w:rFonts w:ascii="宋体" w:hAnsi="宋体" w:eastAsia="宋体"/>
          <w:szCs w:val="21"/>
        </w:rPr>
      </w:pPr>
      <w:r>
        <w:rPr>
          <w:rFonts w:hint="eastAsia" w:ascii="宋体" w:hAnsi="宋体" w:eastAsia="宋体"/>
          <w:szCs w:val="21"/>
        </w:rPr>
        <w:t>1.乙方应按采购文件规定的时间向甲方提供使用货物的有关技术资料。</w:t>
      </w:r>
    </w:p>
    <w:p w14:paraId="21FE9653">
      <w:pPr>
        <w:adjustRightInd w:val="0"/>
        <w:snapToGrid w:val="0"/>
        <w:spacing w:line="288" w:lineRule="auto"/>
        <w:ind w:firstLine="420"/>
        <w:rPr>
          <w:rFonts w:ascii="宋体" w:hAnsi="宋体" w:eastAsia="宋体"/>
          <w:szCs w:val="21"/>
        </w:rPr>
      </w:pPr>
      <w:r>
        <w:rPr>
          <w:rFonts w:hint="eastAsia" w:ascii="宋体" w:hAnsi="宋体" w:eastAsia="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28D666">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第七条：知识产权</w:t>
      </w:r>
    </w:p>
    <w:p w14:paraId="509C2B2A">
      <w:pPr>
        <w:adjustRightInd w:val="0"/>
        <w:snapToGrid w:val="0"/>
        <w:spacing w:line="288" w:lineRule="auto"/>
        <w:ind w:firstLine="420"/>
        <w:rPr>
          <w:rFonts w:ascii="宋体" w:hAnsi="宋体" w:eastAsia="宋体"/>
          <w:szCs w:val="21"/>
        </w:rPr>
      </w:pPr>
      <w:r>
        <w:rPr>
          <w:rFonts w:hint="eastAsia" w:ascii="宋体" w:hAnsi="宋体" w:eastAsia="宋体"/>
          <w:szCs w:val="21"/>
        </w:rPr>
        <w:t>乙方应保证所提供的货物或其任何一部分均不会侵犯任何第三方的知识产权。</w:t>
      </w:r>
    </w:p>
    <w:p w14:paraId="50BBA921">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第八条：调试与验收</w:t>
      </w:r>
    </w:p>
    <w:p w14:paraId="3D94BAF0">
      <w:pPr>
        <w:adjustRightInd w:val="0"/>
        <w:snapToGrid w:val="0"/>
        <w:spacing w:line="288" w:lineRule="auto"/>
        <w:ind w:firstLine="420"/>
        <w:rPr>
          <w:rFonts w:ascii="宋体" w:hAnsi="宋体" w:eastAsia="宋体"/>
          <w:szCs w:val="21"/>
        </w:rPr>
      </w:pPr>
      <w:r>
        <w:rPr>
          <w:rFonts w:hint="eastAsia" w:ascii="宋体" w:hAnsi="宋体" w:eastAsia="宋体"/>
          <w:szCs w:val="21"/>
        </w:rPr>
        <w:t>1.乙方交货前应对产品作出全面检查和对验收文件进行整理，并列出清单，作为甲方收货验收和使用的技术条件依据，检验的结果应随货物交甲方。</w:t>
      </w:r>
    </w:p>
    <w:p w14:paraId="27B37119">
      <w:pPr>
        <w:adjustRightInd w:val="0"/>
        <w:snapToGrid w:val="0"/>
        <w:spacing w:line="288" w:lineRule="auto"/>
        <w:ind w:firstLine="420"/>
        <w:rPr>
          <w:rFonts w:ascii="宋体" w:hAnsi="宋体" w:eastAsia="宋体"/>
          <w:szCs w:val="21"/>
        </w:rPr>
      </w:pPr>
      <w:r>
        <w:rPr>
          <w:rFonts w:hint="eastAsia" w:ascii="宋体" w:hAnsi="宋体" w:eastAsia="宋体"/>
          <w:szCs w:val="21"/>
        </w:rPr>
        <w:t>2.甲方对乙方提交的货物依据采购文件上的技术规格要求和国家有关质量标准进行现场初步验收，外观、说明书符合采购文件技术要求的，给予签收，初步验收不合格的不予签收。</w:t>
      </w:r>
    </w:p>
    <w:p w14:paraId="7E3EE02C">
      <w:pPr>
        <w:adjustRightInd w:val="0"/>
        <w:snapToGrid w:val="0"/>
        <w:spacing w:line="288" w:lineRule="auto"/>
        <w:ind w:firstLine="420"/>
        <w:rPr>
          <w:rFonts w:ascii="宋体" w:hAnsi="宋体" w:eastAsia="宋体"/>
          <w:szCs w:val="21"/>
        </w:rPr>
      </w:pPr>
      <w:r>
        <w:rPr>
          <w:rFonts w:hint="eastAsia" w:ascii="宋体" w:hAnsi="宋体" w:eastAsia="宋体"/>
          <w:szCs w:val="21"/>
        </w:rPr>
        <w:t>3.甲方对乙方提供的货物在使用前进行调试时，乙方需负责安装并培训甲方的使用操作人员，并协助甲方一起调试，直到符合技术要求，甲方才做最终验收。</w:t>
      </w:r>
    </w:p>
    <w:p w14:paraId="69E0D0C1">
      <w:pPr>
        <w:adjustRightInd w:val="0"/>
        <w:snapToGrid w:val="0"/>
        <w:spacing w:line="288" w:lineRule="auto"/>
        <w:ind w:firstLine="420"/>
        <w:rPr>
          <w:rFonts w:ascii="宋体" w:hAnsi="宋体" w:eastAsia="宋体"/>
          <w:szCs w:val="21"/>
        </w:rPr>
      </w:pPr>
      <w:r>
        <w:rPr>
          <w:rFonts w:hint="eastAsia" w:ascii="宋体" w:hAnsi="宋体" w:eastAsia="宋体"/>
          <w:szCs w:val="21"/>
        </w:rPr>
        <w:t>4.对技术复杂的货物，甲方应请国家认可的专业检测机构参与初步验收及最终验收，并由其出具质量检测报告。</w:t>
      </w:r>
    </w:p>
    <w:p w14:paraId="1B397C91">
      <w:pPr>
        <w:adjustRightInd w:val="0"/>
        <w:snapToGrid w:val="0"/>
        <w:spacing w:line="288" w:lineRule="auto"/>
        <w:ind w:firstLine="420"/>
        <w:rPr>
          <w:rFonts w:ascii="宋体" w:hAnsi="宋体" w:eastAsia="宋体"/>
          <w:szCs w:val="21"/>
        </w:rPr>
      </w:pPr>
      <w:r>
        <w:rPr>
          <w:rFonts w:hint="eastAsia" w:ascii="宋体" w:hAnsi="宋体" w:eastAsia="宋体"/>
          <w:szCs w:val="21"/>
        </w:rPr>
        <w:t>5.验收时乙方必须在现场，验收完毕后作出验收结果报告；</w:t>
      </w:r>
      <w:r>
        <w:rPr>
          <w:rFonts w:hint="eastAsia" w:ascii="宋体" w:hAnsi="宋体" w:eastAsia="宋体"/>
          <w:szCs w:val="21"/>
          <w:u w:val="single"/>
        </w:rPr>
        <w:t>验收费用由乙方负责。</w:t>
      </w:r>
    </w:p>
    <w:p w14:paraId="7234B3DC">
      <w:pPr>
        <w:adjustRightInd w:val="0"/>
        <w:snapToGrid w:val="0"/>
        <w:spacing w:line="288" w:lineRule="auto"/>
        <w:ind w:firstLine="420"/>
        <w:rPr>
          <w:rFonts w:ascii="宋体" w:hAnsi="宋体" w:eastAsia="宋体"/>
          <w:szCs w:val="21"/>
        </w:rPr>
      </w:pPr>
      <w:r>
        <w:rPr>
          <w:rFonts w:hint="eastAsia" w:ascii="宋体" w:hAnsi="宋体" w:eastAsia="宋体"/>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645779CB">
      <w:pPr>
        <w:adjustRightInd w:val="0"/>
        <w:snapToGrid w:val="0"/>
        <w:spacing w:line="348" w:lineRule="auto"/>
        <w:ind w:firstLine="422"/>
        <w:rPr>
          <w:rFonts w:ascii="宋体" w:hAnsi="宋体" w:eastAsia="宋体" w:cs="宋体"/>
          <w:b/>
          <w:bCs/>
          <w:szCs w:val="21"/>
        </w:rPr>
      </w:pPr>
      <w:bookmarkStart w:id="55" w:name="_Hlk46390417"/>
      <w:r>
        <w:rPr>
          <w:rFonts w:hint="eastAsia" w:ascii="宋体" w:hAnsi="宋体" w:eastAsia="宋体" w:cs="宋体"/>
          <w:b/>
          <w:bCs/>
          <w:szCs w:val="21"/>
        </w:rPr>
        <w:t>第九条：违约责任</w:t>
      </w:r>
    </w:p>
    <w:p w14:paraId="6074EEE9">
      <w:pPr>
        <w:pStyle w:val="11"/>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1.甲方逾期支付货款的，自逾期之日起，向乙方每日偿付未付价款</w:t>
      </w:r>
      <w:r>
        <w:rPr>
          <w:rFonts w:hint="eastAsia" w:ascii="宋体" w:hAnsi="宋体" w:cstheme="minorBidi"/>
          <w:kern w:val="2"/>
          <w:sz w:val="21"/>
          <w:szCs w:val="21"/>
          <w:lang w:val="en-US" w:eastAsia="zh-CN" w:bidi="ar-SA"/>
        </w:rPr>
        <w:t>万</w:t>
      </w:r>
      <w:r>
        <w:rPr>
          <w:rFonts w:hint="eastAsia" w:ascii="宋体" w:hAnsi="宋体" w:eastAsia="宋体" w:cstheme="minorBidi"/>
          <w:kern w:val="2"/>
          <w:sz w:val="21"/>
          <w:szCs w:val="21"/>
          <w:lang w:val="en-US" w:eastAsia="zh-CN" w:bidi="ar-SA"/>
        </w:rPr>
        <w:t>分之五的违约金。</w:t>
      </w:r>
    </w:p>
    <w:p w14:paraId="4D9D9347">
      <w:pPr>
        <w:adjustRightInd w:val="0"/>
        <w:snapToGrid w:val="0"/>
        <w:spacing w:line="288" w:lineRule="auto"/>
        <w:ind w:firstLine="42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2.乙方逾期履行合同的，自逾期之日起，向甲方每日偿付合同总价万分之五的违约金，由甲方从合同款项中扣除。</w:t>
      </w:r>
    </w:p>
    <w:p w14:paraId="7576FF67">
      <w:pPr>
        <w:adjustRightInd w:val="0"/>
        <w:snapToGrid w:val="0"/>
        <w:spacing w:line="288" w:lineRule="auto"/>
        <w:ind w:firstLine="42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3甲方无正当理由拒收验收项目的，甲方向乙方偿付拒收合同总价的百分之五违约金。</w:t>
      </w:r>
    </w:p>
    <w:p w14:paraId="3AE1E8E7">
      <w:pPr>
        <w:adjustRightInd w:val="0"/>
        <w:snapToGrid w:val="0"/>
        <w:spacing w:line="288" w:lineRule="auto"/>
        <w:ind w:firstLine="42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乙方所交的货物品种、型号、规格、技术参数、质量不符合合同约定及采购文件等规定标准的，甲方有权拒收该货物，乙方愿意更换货物但逾期交货的，按乙方逾期交货处理。乙方拒绝更换货物或逾期超过30个日历日的，甲方有权单方面解除本合同，乙方支付给甲方总货款的20%作为违约赔偿金，并不再退还履约保证金（如有）。验收不合格的合同商品由乙方在验收后一周内运离安装地点，所需费用由乙方承担。如乙方在一个月内不处理（搬走）合同商品，视为乙方放弃该商品，甲方有权自行处置（包括废物处理）。</w:t>
      </w:r>
    </w:p>
    <w:p w14:paraId="067F4E86">
      <w:pPr>
        <w:pStyle w:val="11"/>
        <w:adjustRightInd w:val="0"/>
        <w:snapToGrid w:val="0"/>
        <w:spacing w:line="288"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 xml:space="preserve">5. </w:t>
      </w:r>
      <w:bookmarkStart w:id="56" w:name="_Hlk130465490"/>
      <w:r>
        <w:rPr>
          <w:rFonts w:hint="eastAsia" w:ascii="宋体" w:hAnsi="宋体" w:eastAsia="宋体" w:cstheme="minorBidi"/>
          <w:kern w:val="2"/>
          <w:sz w:val="21"/>
          <w:szCs w:val="21"/>
          <w:lang w:val="en-US" w:eastAsia="zh-CN" w:bidi="ar-SA"/>
        </w:rPr>
        <w:t>因乙方违约造成的甲方维权成本由乙方承担（包括但不限于公证费、律师费、保全费、诉讼费等）</w:t>
      </w:r>
      <w:bookmarkEnd w:id="56"/>
      <w:r>
        <w:rPr>
          <w:rFonts w:hint="eastAsia" w:ascii="宋体" w:hAnsi="宋体" w:eastAsia="宋体" w:cstheme="minorBidi"/>
          <w:kern w:val="2"/>
          <w:sz w:val="21"/>
          <w:szCs w:val="21"/>
          <w:lang w:val="en-US" w:eastAsia="zh-CN" w:bidi="ar-SA"/>
        </w:rPr>
        <w:t xml:space="preserve"> </w:t>
      </w:r>
    </w:p>
    <w:p w14:paraId="04F51FB6">
      <w:pPr>
        <w:adjustRightInd w:val="0"/>
        <w:snapToGrid w:val="0"/>
        <w:spacing w:line="288" w:lineRule="auto"/>
        <w:ind w:firstLine="420"/>
        <w:rPr>
          <w:rFonts w:ascii="宋体" w:hAnsi="宋体" w:eastAsia="宋体"/>
          <w:b/>
          <w:bCs/>
          <w:szCs w:val="21"/>
        </w:rPr>
      </w:pPr>
      <w:r>
        <w:rPr>
          <w:rFonts w:hint="eastAsia" w:ascii="宋体" w:hAnsi="宋体" w:eastAsia="宋体"/>
          <w:b/>
          <w:bCs/>
          <w:szCs w:val="21"/>
        </w:rPr>
        <w:t>第十条：不可抗力事件处理</w:t>
      </w:r>
    </w:p>
    <w:p w14:paraId="7E8E8823">
      <w:pPr>
        <w:adjustRightInd w:val="0"/>
        <w:snapToGrid w:val="0"/>
        <w:spacing w:line="288" w:lineRule="auto"/>
        <w:ind w:firstLine="420"/>
        <w:rPr>
          <w:rFonts w:ascii="宋体" w:hAnsi="宋体" w:eastAsia="宋体"/>
          <w:szCs w:val="21"/>
        </w:rPr>
      </w:pPr>
      <w:r>
        <w:rPr>
          <w:rFonts w:hint="eastAsia" w:ascii="宋体" w:hAnsi="宋体" w:eastAsia="宋体"/>
          <w:szCs w:val="21"/>
        </w:rPr>
        <w:t>1.在合同有效期内，任何一方因不可抗力事件导致不能履行合同，则合同履行期可延长，其延长期与不可抗力影响期相同。</w:t>
      </w:r>
    </w:p>
    <w:p w14:paraId="2C15BC5D">
      <w:pPr>
        <w:adjustRightInd w:val="0"/>
        <w:snapToGrid w:val="0"/>
        <w:spacing w:line="288" w:lineRule="auto"/>
        <w:ind w:firstLine="420"/>
        <w:rPr>
          <w:rFonts w:ascii="宋体" w:hAnsi="宋体" w:eastAsia="宋体"/>
          <w:szCs w:val="21"/>
        </w:rPr>
      </w:pPr>
      <w:r>
        <w:rPr>
          <w:rFonts w:hint="eastAsia" w:ascii="宋体" w:hAnsi="宋体" w:eastAsia="宋体"/>
          <w:szCs w:val="21"/>
        </w:rPr>
        <w:t>2.不可抗力事件发生后，应立即通知对方，并寄送有关权威机构出具的证明。</w:t>
      </w:r>
    </w:p>
    <w:p w14:paraId="504C8D44">
      <w:pPr>
        <w:adjustRightInd w:val="0"/>
        <w:snapToGrid w:val="0"/>
        <w:spacing w:line="288" w:lineRule="auto"/>
        <w:ind w:firstLine="420"/>
        <w:rPr>
          <w:rFonts w:ascii="宋体" w:hAnsi="宋体" w:eastAsia="宋体"/>
          <w:szCs w:val="21"/>
        </w:rPr>
      </w:pPr>
      <w:r>
        <w:rPr>
          <w:rFonts w:hint="eastAsia" w:ascii="宋体" w:hAnsi="宋体" w:eastAsia="宋体"/>
          <w:szCs w:val="21"/>
        </w:rPr>
        <w:t>3.不可抗力事件延续120天以上，双方应通过友好协商，确定是否继续履行合同。</w:t>
      </w:r>
    </w:p>
    <w:p w14:paraId="3368DDED">
      <w:pPr>
        <w:adjustRightInd w:val="0"/>
        <w:snapToGrid w:val="0"/>
        <w:spacing w:line="288" w:lineRule="auto"/>
        <w:ind w:firstLine="420"/>
        <w:rPr>
          <w:rFonts w:ascii="宋体" w:hAnsi="宋体" w:eastAsia="宋体"/>
          <w:szCs w:val="21"/>
        </w:rPr>
      </w:pPr>
      <w:r>
        <w:rPr>
          <w:rFonts w:hint="eastAsia" w:ascii="宋体" w:hAnsi="宋体" w:eastAsia="宋体"/>
          <w:b/>
          <w:bCs/>
          <w:szCs w:val="21"/>
        </w:rPr>
        <w:t>第十一条：争议解决</w:t>
      </w:r>
    </w:p>
    <w:p w14:paraId="528AFD77">
      <w:pPr>
        <w:adjustRightInd w:val="0"/>
        <w:snapToGrid w:val="0"/>
        <w:spacing w:line="288" w:lineRule="auto"/>
        <w:ind w:firstLine="420"/>
        <w:rPr>
          <w:rFonts w:ascii="宋体" w:hAnsi="宋体" w:eastAsia="宋体"/>
          <w:szCs w:val="21"/>
        </w:rPr>
      </w:pPr>
      <w:r>
        <w:rPr>
          <w:rFonts w:hint="eastAsia" w:ascii="宋体" w:hAnsi="宋体" w:eastAsia="宋体"/>
          <w:szCs w:val="21"/>
        </w:rPr>
        <w:t>本合同未尽事宜由三方协商解决，如协商不成，三方同意将本合同引起的争议提交甲方所在地人民法院起诉解决。</w:t>
      </w:r>
    </w:p>
    <w:p w14:paraId="49AD7647">
      <w:pPr>
        <w:adjustRightInd w:val="0"/>
        <w:snapToGrid w:val="0"/>
        <w:spacing w:line="288" w:lineRule="auto"/>
        <w:ind w:firstLine="420"/>
        <w:rPr>
          <w:rFonts w:ascii="宋体" w:hAnsi="宋体" w:eastAsia="宋体"/>
          <w:b/>
          <w:bCs/>
          <w:szCs w:val="21"/>
        </w:rPr>
      </w:pPr>
      <w:r>
        <w:rPr>
          <w:rFonts w:hint="eastAsia" w:ascii="宋体" w:hAnsi="宋体" w:eastAsia="宋体"/>
          <w:b/>
          <w:bCs/>
          <w:szCs w:val="21"/>
        </w:rPr>
        <w:t>第十二条：合同生效</w:t>
      </w:r>
    </w:p>
    <w:p w14:paraId="03EFCB4E">
      <w:pPr>
        <w:adjustRightInd w:val="0"/>
        <w:snapToGrid w:val="0"/>
        <w:spacing w:line="288" w:lineRule="auto"/>
        <w:ind w:firstLine="420"/>
        <w:rPr>
          <w:rFonts w:ascii="宋体" w:hAnsi="宋体" w:eastAsia="宋体"/>
          <w:szCs w:val="21"/>
        </w:rPr>
      </w:pPr>
      <w:r>
        <w:rPr>
          <w:rFonts w:hint="eastAsia" w:ascii="宋体" w:hAnsi="宋体" w:eastAsia="宋体"/>
          <w:szCs w:val="21"/>
        </w:rPr>
        <w:t>合同经甲、乙双方法定代表人或授权代表签字并加盖单位公章</w:t>
      </w:r>
      <w:r>
        <w:rPr>
          <w:rFonts w:hint="eastAsia" w:ascii="宋体" w:hAnsi="宋体" w:eastAsia="宋体"/>
          <w:szCs w:val="21"/>
          <w:lang w:val="en-US" w:eastAsia="zh-CN"/>
        </w:rPr>
        <w:t>或合同专用章</w:t>
      </w:r>
      <w:r>
        <w:rPr>
          <w:rFonts w:hint="eastAsia" w:ascii="宋体" w:hAnsi="宋体" w:eastAsia="宋体"/>
          <w:szCs w:val="21"/>
        </w:rPr>
        <w:t>后生效。</w:t>
      </w:r>
    </w:p>
    <w:p w14:paraId="738380F8">
      <w:pPr>
        <w:adjustRightInd w:val="0"/>
        <w:snapToGrid w:val="0"/>
        <w:spacing w:line="288" w:lineRule="auto"/>
        <w:ind w:firstLine="420"/>
        <w:rPr>
          <w:rFonts w:ascii="宋体" w:hAnsi="宋体" w:eastAsia="宋体"/>
          <w:b/>
          <w:bCs/>
          <w:szCs w:val="21"/>
        </w:rPr>
      </w:pPr>
      <w:r>
        <w:rPr>
          <w:rFonts w:hint="eastAsia" w:ascii="宋体" w:hAnsi="宋体" w:eastAsia="宋体"/>
          <w:b/>
          <w:bCs/>
          <w:szCs w:val="21"/>
        </w:rPr>
        <w:t>第十三条：其他</w:t>
      </w:r>
    </w:p>
    <w:p w14:paraId="3DC322C3">
      <w:pPr>
        <w:adjustRightInd w:val="0"/>
        <w:snapToGrid w:val="0"/>
        <w:spacing w:line="288" w:lineRule="auto"/>
        <w:ind w:firstLine="420"/>
        <w:rPr>
          <w:rFonts w:ascii="宋体" w:hAnsi="宋体" w:eastAsia="宋体"/>
          <w:szCs w:val="21"/>
        </w:rPr>
      </w:pPr>
      <w:r>
        <w:rPr>
          <w:rFonts w:hint="eastAsia" w:ascii="宋体" w:hAnsi="宋体" w:eastAsia="宋体"/>
          <w:szCs w:val="21"/>
        </w:rPr>
        <w:t>1.合同执行中涉及采购资金和采购内容修改或补充的，须经财政部门审批，并签书面补充协议报政府采购监督管理部门备案，方可作为主合同不可分割的一部分。</w:t>
      </w:r>
    </w:p>
    <w:p w14:paraId="1EA3EC67">
      <w:pPr>
        <w:adjustRightInd w:val="0"/>
        <w:snapToGrid w:val="0"/>
        <w:spacing w:line="288" w:lineRule="auto"/>
        <w:ind w:firstLine="420"/>
        <w:rPr>
          <w:rFonts w:ascii="宋体" w:hAnsi="宋体" w:eastAsia="宋体"/>
          <w:szCs w:val="21"/>
        </w:rPr>
      </w:pPr>
      <w:r>
        <w:rPr>
          <w:rFonts w:hint="eastAsia" w:ascii="宋体" w:hAnsi="宋体" w:eastAsia="宋体"/>
          <w:szCs w:val="21"/>
        </w:rPr>
        <w:t>2.相关招标文件、投标文件及书面澄清（承诺）与本合同具有同等法律效力。</w:t>
      </w:r>
    </w:p>
    <w:p w14:paraId="21966A15">
      <w:pPr>
        <w:adjustRightInd w:val="0"/>
        <w:snapToGrid w:val="0"/>
        <w:spacing w:line="288" w:lineRule="auto"/>
        <w:ind w:firstLine="420"/>
        <w:rPr>
          <w:rFonts w:ascii="宋体" w:hAnsi="宋体" w:eastAsia="宋体"/>
          <w:szCs w:val="21"/>
        </w:rPr>
      </w:pPr>
      <w:r>
        <w:rPr>
          <w:rFonts w:hint="eastAsia" w:ascii="宋体" w:hAnsi="宋体" w:eastAsia="宋体"/>
          <w:szCs w:val="21"/>
        </w:rPr>
        <w:t>3.本合同一式陆份，甲方执肆份，乙方执壹份，采购代理机构执壹份。</w:t>
      </w:r>
    </w:p>
    <w:bookmarkEnd w:id="55"/>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F2D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57C206">
            <w:pPr>
              <w:adjustRightInd w:val="0"/>
              <w:snapToGrid w:val="0"/>
              <w:spacing w:line="288" w:lineRule="auto"/>
              <w:rPr>
                <w:rFonts w:ascii="宋体" w:hAnsi="宋体"/>
                <w:spacing w:val="-6"/>
                <w:sz w:val="21"/>
                <w:szCs w:val="21"/>
              </w:rPr>
            </w:pPr>
            <w:r>
              <w:rPr>
                <w:rFonts w:hint="eastAsia" w:ascii="宋体" w:hAnsi="宋体" w:eastAsia="宋体"/>
                <w:sz w:val="21"/>
                <w:szCs w:val="21"/>
              </w:rPr>
              <w:t>甲方（需方）：</w:t>
            </w:r>
            <w:r>
              <w:rPr>
                <w:rFonts w:hint="eastAsia" w:ascii="宋体" w:hAnsi="宋体" w:eastAsia="宋体"/>
                <w:sz w:val="21"/>
                <w:szCs w:val="21"/>
                <w:lang w:val="en-US" w:eastAsia="zh-CN"/>
              </w:rPr>
              <w:t>杭州医学院</w:t>
            </w:r>
            <w:r>
              <w:rPr>
                <w:rFonts w:hint="eastAsia" w:ascii="宋体" w:hAnsi="宋体" w:eastAsia="宋体"/>
                <w:sz w:val="21"/>
                <w:szCs w:val="21"/>
              </w:rPr>
              <w:t>（公章/合同专用章）</w:t>
            </w:r>
          </w:p>
        </w:tc>
        <w:tc>
          <w:tcPr>
            <w:tcW w:w="4678" w:type="dxa"/>
            <w:vAlign w:val="center"/>
          </w:tcPr>
          <w:p w14:paraId="50DBB739">
            <w:pPr>
              <w:adjustRightInd w:val="0"/>
              <w:snapToGrid w:val="0"/>
              <w:spacing w:line="288" w:lineRule="auto"/>
              <w:rPr>
                <w:rFonts w:ascii="宋体" w:hAnsi="宋体"/>
                <w:spacing w:val="-6"/>
                <w:sz w:val="21"/>
                <w:szCs w:val="21"/>
              </w:rPr>
            </w:pPr>
            <w:r>
              <w:rPr>
                <w:rFonts w:hint="eastAsia" w:ascii="宋体" w:hAnsi="宋体" w:eastAsia="宋体"/>
                <w:sz w:val="21"/>
                <w:szCs w:val="21"/>
              </w:rPr>
              <w:t>乙方（供方）：（公章/合同专用章）</w:t>
            </w:r>
          </w:p>
        </w:tc>
      </w:tr>
      <w:tr w14:paraId="398E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EA5EC45">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甲方法定或授权代表：</w:t>
            </w:r>
          </w:p>
          <w:p w14:paraId="2602CABA">
            <w:pPr>
              <w:adjustRightInd w:val="0"/>
              <w:snapToGrid w:val="0"/>
              <w:spacing w:line="288" w:lineRule="auto"/>
              <w:rPr>
                <w:rFonts w:ascii="宋体" w:hAnsi="宋体"/>
                <w:spacing w:val="-6"/>
                <w:sz w:val="21"/>
                <w:szCs w:val="21"/>
              </w:rPr>
            </w:pPr>
            <w:r>
              <w:rPr>
                <w:rFonts w:hint="eastAsia" w:ascii="宋体" w:hAnsi="宋体" w:eastAsia="宋体"/>
                <w:sz w:val="21"/>
                <w:szCs w:val="21"/>
              </w:rPr>
              <w:t>（签名）</w:t>
            </w:r>
          </w:p>
        </w:tc>
        <w:tc>
          <w:tcPr>
            <w:tcW w:w="4678" w:type="dxa"/>
            <w:vAlign w:val="center"/>
          </w:tcPr>
          <w:p w14:paraId="6067BEE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乙方法定或授权代表：</w:t>
            </w:r>
          </w:p>
          <w:p w14:paraId="214817A4">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w:t>
            </w:r>
          </w:p>
        </w:tc>
      </w:tr>
      <w:tr w14:paraId="319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23A25A6">
            <w:pPr>
              <w:adjustRightInd w:val="0"/>
              <w:snapToGrid w:val="0"/>
              <w:spacing w:line="288" w:lineRule="auto"/>
              <w:rPr>
                <w:rFonts w:hint="eastAsia" w:ascii="宋体" w:hAnsi="宋体"/>
                <w:spacing w:val="-6"/>
                <w:sz w:val="21"/>
                <w:szCs w:val="21"/>
              </w:rPr>
            </w:pPr>
            <w:r>
              <w:rPr>
                <w:rFonts w:hint="eastAsia" w:ascii="宋体" w:hAnsi="宋体" w:eastAsia="宋体"/>
                <w:sz w:val="21"/>
                <w:szCs w:val="21"/>
              </w:rPr>
              <w:t>统一社会信用代码：12330000470051857B</w:t>
            </w:r>
          </w:p>
        </w:tc>
        <w:tc>
          <w:tcPr>
            <w:tcW w:w="4678" w:type="dxa"/>
            <w:vAlign w:val="center"/>
          </w:tcPr>
          <w:p w14:paraId="61762ED1">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统一社会信用代码：</w:t>
            </w:r>
          </w:p>
        </w:tc>
      </w:tr>
      <w:tr w14:paraId="73F9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605434B">
            <w:pPr>
              <w:adjustRightInd w:val="0"/>
              <w:snapToGrid w:val="0"/>
              <w:spacing w:line="288" w:lineRule="auto"/>
              <w:rPr>
                <w:rFonts w:ascii="宋体" w:hAnsi="宋体"/>
                <w:sz w:val="21"/>
                <w:szCs w:val="21"/>
              </w:rPr>
            </w:pPr>
            <w:r>
              <w:rPr>
                <w:rFonts w:hint="eastAsia" w:ascii="宋体" w:hAnsi="宋体" w:eastAsia="宋体"/>
                <w:sz w:val="21"/>
                <w:szCs w:val="21"/>
              </w:rPr>
              <w:t>地址：浙江省杭州市临安区颐康街8号</w:t>
            </w:r>
          </w:p>
        </w:tc>
        <w:tc>
          <w:tcPr>
            <w:tcW w:w="4678" w:type="dxa"/>
            <w:vAlign w:val="center"/>
          </w:tcPr>
          <w:p w14:paraId="08EB2493">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地址：</w:t>
            </w:r>
          </w:p>
        </w:tc>
      </w:tr>
      <w:tr w14:paraId="5540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7E3E78">
            <w:pPr>
              <w:adjustRightInd w:val="0"/>
              <w:snapToGrid w:val="0"/>
              <w:spacing w:line="288" w:lineRule="auto"/>
              <w:rPr>
                <w:rFonts w:ascii="宋体" w:hAnsi="宋体"/>
                <w:sz w:val="21"/>
                <w:szCs w:val="21"/>
              </w:rPr>
            </w:pPr>
            <w:r>
              <w:rPr>
                <w:rFonts w:hint="eastAsia" w:ascii="宋体" w:hAnsi="宋体" w:eastAsia="宋体"/>
                <w:sz w:val="21"/>
                <w:szCs w:val="21"/>
              </w:rPr>
              <w:t>电话：0571-87692652</w:t>
            </w:r>
          </w:p>
        </w:tc>
        <w:tc>
          <w:tcPr>
            <w:tcW w:w="4678" w:type="dxa"/>
            <w:vAlign w:val="center"/>
          </w:tcPr>
          <w:p w14:paraId="3DC7BA47">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电话：</w:t>
            </w:r>
          </w:p>
        </w:tc>
      </w:tr>
      <w:tr w14:paraId="0FFB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E85118">
            <w:pPr>
              <w:adjustRightInd w:val="0"/>
              <w:snapToGrid w:val="0"/>
              <w:spacing w:line="288" w:lineRule="auto"/>
              <w:rPr>
                <w:rFonts w:ascii="宋体" w:hAnsi="宋体"/>
                <w:sz w:val="21"/>
                <w:szCs w:val="21"/>
              </w:rPr>
            </w:pPr>
            <w:r>
              <w:rPr>
                <w:rFonts w:hint="eastAsia" w:ascii="宋体" w:hAnsi="宋体" w:eastAsia="宋体"/>
                <w:sz w:val="21"/>
                <w:szCs w:val="21"/>
              </w:rPr>
              <w:t>开户银行：中国工商银行杭州城站支行</w:t>
            </w:r>
          </w:p>
        </w:tc>
        <w:tc>
          <w:tcPr>
            <w:tcW w:w="4678" w:type="dxa"/>
            <w:vAlign w:val="center"/>
          </w:tcPr>
          <w:p w14:paraId="6982AD7F">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开户银行：</w:t>
            </w:r>
          </w:p>
        </w:tc>
      </w:tr>
      <w:tr w14:paraId="17FA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8F3AD80">
            <w:pPr>
              <w:adjustRightInd w:val="0"/>
              <w:snapToGrid w:val="0"/>
              <w:spacing w:line="288" w:lineRule="auto"/>
              <w:rPr>
                <w:rFonts w:ascii="宋体" w:hAnsi="宋体"/>
                <w:sz w:val="21"/>
                <w:szCs w:val="21"/>
              </w:rPr>
            </w:pPr>
            <w:r>
              <w:rPr>
                <w:rFonts w:hint="eastAsia" w:ascii="宋体" w:hAnsi="宋体" w:eastAsia="宋体"/>
                <w:sz w:val="21"/>
                <w:szCs w:val="21"/>
              </w:rPr>
              <w:t>账号：1202027609014402263</w:t>
            </w:r>
          </w:p>
        </w:tc>
        <w:tc>
          <w:tcPr>
            <w:tcW w:w="4678" w:type="dxa"/>
            <w:vAlign w:val="center"/>
          </w:tcPr>
          <w:p w14:paraId="1299CC60">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帐号：</w:t>
            </w:r>
          </w:p>
        </w:tc>
      </w:tr>
      <w:tr w14:paraId="18FA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F3EC8C">
            <w:pPr>
              <w:adjustRightInd w:val="0"/>
              <w:snapToGrid w:val="0"/>
              <w:spacing w:line="288" w:lineRule="auto"/>
              <w:rPr>
                <w:rFonts w:ascii="宋体" w:hAnsi="宋体"/>
                <w:spacing w:val="-6"/>
                <w:sz w:val="21"/>
                <w:szCs w:val="21"/>
              </w:rPr>
            </w:pPr>
            <w:r>
              <w:rPr>
                <w:rFonts w:hint="eastAsia" w:ascii="宋体" w:hAnsi="宋体" w:eastAsia="宋体"/>
                <w:sz w:val="21"/>
                <w:szCs w:val="21"/>
              </w:rPr>
              <w:t>签名日期：      年    月    日</w:t>
            </w:r>
          </w:p>
        </w:tc>
        <w:tc>
          <w:tcPr>
            <w:tcW w:w="4678" w:type="dxa"/>
            <w:vAlign w:val="center"/>
          </w:tcPr>
          <w:p w14:paraId="4588BDFE">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签名日期：      年    月    日</w:t>
            </w:r>
          </w:p>
        </w:tc>
      </w:tr>
      <w:tr w14:paraId="75D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3C15084">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合同鉴证方：浙江求是招标代理有限公司（公章）</w:t>
            </w:r>
          </w:p>
        </w:tc>
      </w:tr>
      <w:tr w14:paraId="56F3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E37767">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采购代理机构代表：</w:t>
            </w:r>
          </w:p>
          <w:p w14:paraId="4789A05D">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w:t>
            </w:r>
          </w:p>
        </w:tc>
      </w:tr>
      <w:tr w14:paraId="51BD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2C488BA">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地址：杭州市玉古路173号中田大厦21楼</w:t>
            </w:r>
          </w:p>
        </w:tc>
      </w:tr>
      <w:tr w14:paraId="608F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D0A371">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电话：0571-87666117</w:t>
            </w:r>
          </w:p>
        </w:tc>
      </w:tr>
      <w:tr w14:paraId="5258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AA62C1F">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鉴证日期：      年    月    日</w:t>
            </w:r>
          </w:p>
        </w:tc>
      </w:tr>
    </w:tbl>
    <w:p w14:paraId="2AA2F238">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7889D2A1">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3B4C399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lang w:val="en-US" w:eastAsia="zh-CN"/>
        </w:rPr>
        <w:t>1）</w:t>
      </w:r>
      <w:r>
        <w:rPr>
          <w:rFonts w:ascii="宋体" w:hAnsi="宋体" w:eastAsia="宋体" w:cs="宋体"/>
          <w:bCs/>
          <w:spacing w:val="-6"/>
          <w:szCs w:val="21"/>
        </w:rPr>
        <w:t>中小企业声明函（若属于中小企业）</w:t>
      </w:r>
    </w:p>
    <w:p w14:paraId="2A501353">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lang w:val="en-US" w:eastAsia="zh-CN"/>
        </w:rPr>
        <w:t>2）</w:t>
      </w:r>
      <w:r>
        <w:rPr>
          <w:rFonts w:ascii="宋体" w:hAnsi="宋体" w:eastAsia="宋体" w:cs="宋体"/>
          <w:bCs/>
          <w:spacing w:val="-6"/>
          <w:szCs w:val="21"/>
        </w:rPr>
        <w:t>属于监狱企业的证明文件（若属于监狱企业）</w:t>
      </w:r>
    </w:p>
    <w:p w14:paraId="7B48321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lang w:val="en-US" w:eastAsia="zh-CN"/>
        </w:rPr>
        <w:t>3）</w:t>
      </w:r>
      <w:r>
        <w:rPr>
          <w:rFonts w:ascii="宋体" w:hAnsi="宋体" w:eastAsia="宋体" w:cs="宋体"/>
          <w:bCs/>
          <w:spacing w:val="-6"/>
          <w:szCs w:val="21"/>
        </w:rPr>
        <w:t>残疾人福利性单位声明函（若属于残疾人福利性单位）</w:t>
      </w:r>
    </w:p>
    <w:p w14:paraId="36B4A94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▲联合体投标的，联合体各方均应提供资格文件（1）、（2）、（3）材料。</w:t>
      </w:r>
    </w:p>
    <w:p w14:paraId="4CFCD947">
      <w:pPr>
        <w:adjustRightInd w:val="0"/>
        <w:snapToGrid w:val="0"/>
        <w:spacing w:line="288" w:lineRule="auto"/>
        <w:ind w:firstLine="396" w:firstLineChars="200"/>
        <w:jc w:val="left"/>
        <w:rPr>
          <w:rFonts w:ascii="宋体" w:hAnsi="宋体" w:eastAsia="宋体" w:cs="宋体"/>
          <w:bCs/>
          <w:spacing w:val="-6"/>
          <w:szCs w:val="21"/>
        </w:rPr>
      </w:pP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2025年3月（含）以后任意一月</w:t>
      </w:r>
      <w:r>
        <w:rPr>
          <w:rFonts w:ascii="宋体" w:hAnsi="宋体" w:eastAsia="宋体" w:cs="Times New Roman"/>
          <w:spacing w:val="-6"/>
          <w:szCs w:val="21"/>
        </w:rPr>
        <w:t>）</w:t>
      </w:r>
    </w:p>
    <w:p w14:paraId="0C37AC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w:t>
      </w:r>
      <w:r>
        <w:rPr>
          <w:rFonts w:hint="eastAsia" w:ascii="宋体" w:hAnsi="宋体" w:eastAsia="宋体" w:cs="宋体"/>
          <w:spacing w:val="-6"/>
          <w:szCs w:val="21"/>
          <w:highlight w:val="none"/>
        </w:rPr>
        <w:t>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24FDE50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实施方案</w:t>
      </w:r>
    </w:p>
    <w:p w14:paraId="7542E903">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实施进度计划</w:t>
      </w:r>
    </w:p>
    <w:p w14:paraId="09F54108">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14:paraId="7E14E8F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应急处理方案</w:t>
      </w:r>
    </w:p>
    <w:p w14:paraId="545F7717">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培训计划</w:t>
      </w:r>
    </w:p>
    <w:p w14:paraId="6C51E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售后服务方案</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rPr>
      </w:pPr>
    </w:p>
    <w:p w14:paraId="4BF7031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70017E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331DBB3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2EB79632">
      <w:pPr>
        <w:adjustRightInd w:val="0"/>
        <w:snapToGrid w:val="0"/>
        <w:spacing w:line="288" w:lineRule="auto"/>
        <w:ind w:firstLine="498" w:firstLineChars="236"/>
        <w:rPr>
          <w:rFonts w:ascii="宋体" w:hAnsi="宋体" w:eastAsia="宋体" w:cs="Times New Roman"/>
          <w:b/>
          <w:szCs w:val="21"/>
        </w:rPr>
      </w:pPr>
    </w:p>
    <w:p w14:paraId="6C0FD75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57" w:name="_Hlk118098443"/>
      <w:r>
        <w:rPr>
          <w:rFonts w:ascii="宋体" w:hAnsi="宋体" w:eastAsia="宋体" w:cs="Times New Roman"/>
          <w:i/>
          <w:szCs w:val="21"/>
          <w:u w:val="single"/>
        </w:rPr>
        <w:t>项目名称</w:t>
      </w:r>
      <w:bookmarkEnd w:id="57"/>
      <w:r>
        <w:rPr>
          <w:rFonts w:ascii="宋体" w:hAnsi="宋体" w:eastAsia="宋体" w:cs="Times New Roman"/>
          <w:i/>
          <w:szCs w:val="21"/>
          <w:u w:val="single"/>
        </w:rPr>
        <w:t>）</w:t>
      </w:r>
      <w:r>
        <w:rPr>
          <w:rFonts w:ascii="宋体" w:hAnsi="宋体" w:eastAsia="宋体" w:cs="Times New Roman"/>
          <w:szCs w:val="21"/>
        </w:rPr>
        <w:t>采购活动，提供的货物</w:t>
      </w:r>
      <w:r>
        <w:rPr>
          <w:rFonts w:ascii="宋体" w:hAnsi="宋体" w:eastAsia="宋体" w:cs="Times New Roman"/>
          <w:szCs w:val="21"/>
          <w:highlight w:val="none"/>
        </w:rPr>
        <w:t>全部</w:t>
      </w:r>
      <w:r>
        <w:rPr>
          <w:rFonts w:ascii="宋体" w:hAnsi="宋体" w:eastAsia="宋体" w:cs="Times New Roman"/>
          <w:szCs w:val="21"/>
        </w:rPr>
        <w:t>由符合政策要求的中小企业制造。相关企业（含联合体中的中小企业、签订分包意向协议的中小企业）的具体情况如下：</w:t>
      </w:r>
    </w:p>
    <w:p w14:paraId="4081872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1. （</w:t>
      </w:r>
      <w:r>
        <w:rPr>
          <w:rFonts w:hint="eastAsia" w:ascii="宋体" w:hAnsi="宋体" w:eastAsia="宋体" w:cs="Times New Roman"/>
          <w:i/>
          <w:szCs w:val="21"/>
          <w:u w:val="single"/>
        </w:rPr>
        <w:t>实验仪器共享账单管理系统</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53AC2FE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2. （</w:t>
      </w:r>
      <w:r>
        <w:rPr>
          <w:rFonts w:hint="eastAsia" w:ascii="宋体" w:hAnsi="宋体" w:eastAsia="宋体" w:cs="Times New Roman"/>
          <w:i/>
          <w:szCs w:val="21"/>
          <w:u w:val="single"/>
        </w:rPr>
        <w:t>培训及安全准入系统</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32D31A52">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lang w:val="en-US" w:eastAsia="zh-CN"/>
        </w:rPr>
        <w:t>3</w:t>
      </w:r>
      <w:r>
        <w:rPr>
          <w:rFonts w:ascii="宋体" w:hAnsi="宋体" w:eastAsia="宋体" w:cs="Times New Roman"/>
          <w:i/>
          <w:szCs w:val="21"/>
          <w:u w:val="single"/>
        </w:rPr>
        <w:t>. （</w:t>
      </w:r>
      <w:r>
        <w:rPr>
          <w:rFonts w:hint="eastAsia" w:ascii="宋体" w:hAnsi="宋体" w:eastAsia="宋体" w:cs="Times New Roman"/>
          <w:i/>
          <w:szCs w:val="21"/>
          <w:u w:val="single"/>
          <w:lang w:eastAsia="zh-CN"/>
        </w:rPr>
        <w:t>大仪平台门禁对接管理模块</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794243DB">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lang w:val="en-US" w:eastAsia="zh-CN"/>
        </w:rPr>
        <w:t>4</w:t>
      </w:r>
      <w:r>
        <w:rPr>
          <w:rFonts w:ascii="宋体" w:hAnsi="宋体" w:eastAsia="宋体" w:cs="Times New Roman"/>
          <w:i/>
          <w:szCs w:val="21"/>
          <w:u w:val="single"/>
        </w:rPr>
        <w:t>. （</w:t>
      </w:r>
      <w:r>
        <w:rPr>
          <w:rFonts w:hint="eastAsia" w:ascii="宋体" w:hAnsi="宋体" w:eastAsia="宋体" w:cs="Times New Roman"/>
          <w:i/>
          <w:szCs w:val="21"/>
          <w:u w:val="single"/>
        </w:rPr>
        <w:t>科研实验数据存储及溯源系统</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627D993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74981A1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BC64AB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4FEEA3E7">
      <w:pPr>
        <w:adjustRightInd w:val="0"/>
        <w:snapToGrid w:val="0"/>
        <w:spacing w:line="288" w:lineRule="auto"/>
        <w:ind w:firstLine="495" w:firstLineChars="236"/>
        <w:rPr>
          <w:rFonts w:ascii="宋体" w:hAnsi="宋体" w:eastAsia="宋体" w:cs="Times New Roman"/>
          <w:szCs w:val="21"/>
        </w:rPr>
      </w:pPr>
    </w:p>
    <w:p w14:paraId="017BF03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51AE6851">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02341EDD">
      <w:pPr>
        <w:adjustRightInd w:val="0"/>
        <w:snapToGrid w:val="0"/>
        <w:spacing w:line="288" w:lineRule="auto"/>
        <w:ind w:firstLine="495" w:firstLineChars="236"/>
        <w:rPr>
          <w:rFonts w:ascii="宋体" w:hAnsi="宋体" w:eastAsia="宋体" w:cs="Times New Roman"/>
          <w:szCs w:val="21"/>
        </w:rPr>
      </w:pPr>
    </w:p>
    <w:p w14:paraId="270980CF">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61E8911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1.标的名称，按照【招标文件】中明确的标的填写；</w:t>
      </w:r>
    </w:p>
    <w:p w14:paraId="2CD50DE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2.所属行业，按照【招标文件】中明确的标的“所属行业”填写；</w:t>
      </w:r>
    </w:p>
    <w:p w14:paraId="7D08DBE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3.</w:t>
      </w:r>
      <w:r>
        <w:rPr>
          <w:rFonts w:hint="eastAsia" w:ascii="宋体" w:hAnsi="宋体" w:eastAsia="宋体" w:cs="宋体"/>
          <w:i w:val="0"/>
          <w:iCs w:val="0"/>
          <w:color w:val="FF0000"/>
          <w:sz w:val="21"/>
          <w:szCs w:val="21"/>
        </w:rPr>
        <w:t>制造商</w:t>
      </w:r>
      <w:r>
        <w:rPr>
          <w:rFonts w:hint="eastAsia" w:ascii="宋体" w:hAnsi="宋体" w:eastAsia="宋体" w:cs="宋体"/>
          <w:i w:val="0"/>
          <w:iCs w:val="0"/>
          <w:color w:val="FF0000"/>
          <w:sz w:val="21"/>
          <w:szCs w:val="21"/>
          <w:lang w:eastAsia="zh-CN"/>
        </w:rPr>
        <w:t>，货物由中小企业制造，即</w:t>
      </w:r>
      <w:r>
        <w:rPr>
          <w:rFonts w:hint="eastAsia" w:ascii="宋体" w:hAnsi="宋体" w:eastAsia="宋体" w:cs="宋体"/>
          <w:i w:val="0"/>
          <w:iCs w:val="0"/>
          <w:color w:val="FF0000"/>
          <w:sz w:val="21"/>
          <w:szCs w:val="21"/>
          <w:lang w:val="en-US" w:eastAsia="zh-CN"/>
        </w:rPr>
        <w:t>货物由中小企业生产且使用该中小企业商号或者注册商标；</w:t>
      </w:r>
    </w:p>
    <w:p w14:paraId="3131B2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.从业人员、营业收入、资产总额填报上一年度数据，无上一年度数据的新成立企业可不填报。</w:t>
      </w:r>
    </w:p>
    <w:p w14:paraId="23C9572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FF0000"/>
          <w:sz w:val="21"/>
          <w:szCs w:val="21"/>
          <w:highlight w:val="none"/>
          <w:u w:val="single"/>
          <w:lang w:val="en-US" w:eastAsia="zh-CN"/>
        </w:rPr>
        <w:t>“中型企业、小型企业、微型企业”</w:t>
      </w:r>
      <w:r>
        <w:rPr>
          <w:rFonts w:hint="eastAsia" w:ascii="宋体" w:hAnsi="宋体" w:eastAsia="宋体" w:cs="宋体"/>
          <w:i w:val="0"/>
          <w:iCs w:val="0"/>
          <w:color w:val="FF0000"/>
          <w:sz w:val="21"/>
          <w:szCs w:val="21"/>
          <w:highlight w:val="none"/>
          <w:lang w:val="en-US" w:eastAsia="zh-CN"/>
        </w:rPr>
        <w:t>其中之一；</w:t>
      </w:r>
    </w:p>
    <w:p w14:paraId="6FC4F537">
      <w:pPr>
        <w:widowControl/>
        <w:adjustRightInd w:val="0"/>
        <w:snapToGrid w:val="0"/>
        <w:spacing w:line="288" w:lineRule="auto"/>
        <w:ind w:firstLine="495" w:firstLineChars="236"/>
        <w:jc w:val="left"/>
        <w:rPr>
          <w:rFonts w:hint="eastAsia" w:ascii="宋体" w:hAnsi="宋体" w:eastAsia="宋体" w:cs="宋体"/>
          <w:i w:val="0"/>
          <w:iCs w:val="0"/>
          <w:color w:val="FF0000"/>
          <w:sz w:val="21"/>
          <w:szCs w:val="21"/>
          <w:highlight w:val="none"/>
        </w:rPr>
      </w:pPr>
      <w:r>
        <w:rPr>
          <w:rFonts w:hint="eastAsia" w:ascii="宋体" w:hAnsi="宋体" w:eastAsia="宋体" w:cs="宋体"/>
          <w:i w:val="0"/>
          <w:iCs w:val="0"/>
          <w:color w:val="FF0000"/>
          <w:sz w:val="21"/>
          <w:szCs w:val="21"/>
          <w:highlight w:val="none"/>
          <w:lang w:val="en-US" w:eastAsia="zh-CN"/>
        </w:rPr>
        <w:t>6.</w:t>
      </w:r>
      <w:r>
        <w:rPr>
          <w:rFonts w:hint="eastAsia" w:ascii="宋体" w:hAnsi="宋体" w:eastAsia="宋体" w:cs="宋体"/>
          <w:i w:val="0"/>
          <w:iCs w:val="0"/>
          <w:color w:val="FF0000"/>
          <w:sz w:val="21"/>
          <w:szCs w:val="21"/>
          <w:highlight w:val="none"/>
        </w:rPr>
        <w:t>招标文件中明确的标的是能够独立发挥功能的产品，配件、辅料不作为标的，不需要在《中小企业声明函》里填列。</w:t>
      </w:r>
    </w:p>
    <w:p w14:paraId="0679B26A">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14:paraId="4E98409B">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2D4F236F">
      <w:pPr>
        <w:adjustRightInd w:val="0"/>
        <w:snapToGrid w:val="0"/>
        <w:spacing w:line="288" w:lineRule="auto"/>
        <w:rPr>
          <w:rFonts w:ascii="宋体" w:hAnsi="宋体" w:eastAsia="宋体" w:cs="宋体"/>
          <w:color w:val="000000"/>
          <w:kern w:val="0"/>
          <w:szCs w:val="21"/>
        </w:rPr>
      </w:pPr>
    </w:p>
    <w:p w14:paraId="47A202F2">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1EF8106">
      <w:pPr>
        <w:adjustRightInd w:val="0"/>
        <w:snapToGrid w:val="0"/>
        <w:spacing w:line="288" w:lineRule="auto"/>
        <w:rPr>
          <w:rFonts w:ascii="宋体" w:hAnsi="宋体" w:eastAsia="宋体"/>
          <w:szCs w:val="21"/>
        </w:rPr>
      </w:pPr>
    </w:p>
    <w:p w14:paraId="2DDF4F13">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32E9DDC">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561C354">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4F822EEB">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495F3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1DA7504B">
      <w:pPr>
        <w:adjustRightInd w:val="0"/>
        <w:snapToGrid w:val="0"/>
        <w:spacing w:line="288" w:lineRule="auto"/>
        <w:rPr>
          <w:rFonts w:ascii="宋体" w:hAnsi="宋体" w:eastAsia="宋体" w:cs="Times New Roman"/>
          <w:b/>
          <w:spacing w:val="6"/>
          <w:szCs w:val="21"/>
        </w:rPr>
      </w:pPr>
    </w:p>
    <w:p w14:paraId="7FE7B1CB">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w:t>
      </w:r>
      <w:r>
        <w:rPr>
          <w:rFonts w:hint="eastAsia" w:ascii="宋体" w:hAnsi="宋体" w:eastAsia="宋体" w:cs="Times New Roman"/>
          <w:spacing w:val="6"/>
          <w:szCs w:val="21"/>
          <w:highlight w:val="none"/>
        </w:rPr>
        <w:t>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0A648D64">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48C9D3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4308CCB9">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14260F00">
      <w:pPr>
        <w:adjustRightInd w:val="0"/>
        <w:snapToGrid w:val="0"/>
        <w:spacing w:line="288" w:lineRule="auto"/>
        <w:rPr>
          <w:rFonts w:ascii="宋体" w:hAnsi="宋体" w:eastAsia="宋体"/>
          <w:szCs w:val="21"/>
        </w:rPr>
      </w:pPr>
    </w:p>
    <w:p w14:paraId="1F84F184">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6504F78A">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33A0FF56">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01ED2ED4">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0E97A299">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4FEC79B">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62FCCE4">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08AD502">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BFB2E0B">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7FFDA465">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4C40CE1">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2D68CB53">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杭州医学院杭州医学院大仪平台扩容建设</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HMC20250609091</w:t>
      </w:r>
      <w:r>
        <w:rPr>
          <w:rFonts w:hint="eastAsia" w:ascii="宋体" w:hAnsi="宋体" w:eastAsia="宋体" w:cs="Times New Roman"/>
          <w:bCs/>
          <w:spacing w:val="-6"/>
          <w:szCs w:val="21"/>
          <w:u w:val="single"/>
          <w:lang w:eastAsia="zh-CN"/>
        </w:rPr>
        <w:tab/>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杭州医学院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杭州医学院杭州医学院大仪平台扩容建设</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HMC20250609091</w:t>
      </w:r>
      <w:r>
        <w:rPr>
          <w:rFonts w:hint="eastAsia" w:ascii="宋体" w:hAnsi="宋体" w:eastAsia="宋体" w:cs="Times New Roman"/>
          <w:bCs/>
          <w:spacing w:val="-6"/>
          <w:szCs w:val="21"/>
          <w:lang w:eastAsia="zh-CN"/>
        </w:rPr>
        <w:tab/>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2025年3月（含）以后任意一月</w:t>
      </w:r>
      <w:r>
        <w:rPr>
          <w:rFonts w:hint="eastAsia" w:ascii="宋体" w:hAnsi="宋体" w:eastAsia="宋体" w:cs="Times New Roman"/>
          <w:spacing w:val="-6"/>
          <w:szCs w:val="21"/>
          <w:u w:val="single"/>
        </w:rPr>
        <w:t>）。</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2025年3月（含）以后任意一月</w:t>
      </w:r>
      <w:r>
        <w:rPr>
          <w:rFonts w:hint="eastAsia" w:ascii="宋体" w:hAnsi="宋体" w:eastAsia="宋体" w:cs="Times New Roman"/>
          <w:b/>
          <w:bCs/>
          <w:szCs w:val="21"/>
        </w:rPr>
        <w:t>）</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杭州医学院大仪平台扩容建设</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HMC20250609091</w:t>
      </w:r>
      <w:r>
        <w:rPr>
          <w:rFonts w:hint="eastAsia" w:ascii="宋体" w:hAnsi="宋体" w:eastAsia="宋体" w:cs="Times New Roman"/>
          <w:bCs/>
          <w:spacing w:val="-6"/>
          <w:szCs w:val="21"/>
          <w:lang w:eastAsia="zh-CN"/>
        </w:rPr>
        <w:tab/>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FEE4730">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4AACCBA4">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实施方案</w:t>
      </w:r>
    </w:p>
    <w:p w14:paraId="0D4D23E8">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实施进度计划</w:t>
      </w:r>
    </w:p>
    <w:p w14:paraId="1933FB2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项目团队</w:t>
      </w:r>
    </w:p>
    <w:p w14:paraId="14FF839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应急处理方案</w:t>
      </w:r>
    </w:p>
    <w:p w14:paraId="4D1F8748">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培训计划</w:t>
      </w:r>
    </w:p>
    <w:p w14:paraId="4ECAA6E2">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售后服务方案</w:t>
      </w:r>
    </w:p>
    <w:p w14:paraId="0DD7FAB6">
      <w:pPr>
        <w:adjustRightInd w:val="0"/>
        <w:snapToGrid w:val="0"/>
        <w:spacing w:line="288" w:lineRule="auto"/>
        <w:ind w:firstLine="396" w:firstLineChars="200"/>
        <w:jc w:val="left"/>
        <w:rPr>
          <w:rFonts w:ascii="宋体" w:hAnsi="宋体" w:eastAsia="宋体" w:cs="Times New Roman"/>
          <w:spacing w:val="-6"/>
          <w:szCs w:val="21"/>
        </w:rPr>
      </w:pPr>
    </w:p>
    <w:p w14:paraId="39F9467C">
      <w:pPr>
        <w:adjustRightInd w:val="0"/>
        <w:snapToGrid w:val="0"/>
        <w:spacing w:line="288" w:lineRule="auto"/>
        <w:rPr>
          <w:rFonts w:ascii="宋体" w:hAnsi="宋体" w:eastAsia="宋体" w:cs="宋体"/>
          <w:b/>
          <w:spacing w:val="-6"/>
          <w:szCs w:val="21"/>
        </w:rPr>
      </w:pP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杭州医学院大仪平台扩容建设</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HMC20250609091</w:t>
      </w:r>
      <w:r>
        <w:rPr>
          <w:rFonts w:hint="eastAsia" w:ascii="宋体" w:hAnsi="宋体" w:eastAsia="宋体" w:cs="Times New Roman"/>
          <w:bCs/>
          <w:spacing w:val="-6"/>
          <w:szCs w:val="21"/>
          <w:lang w:eastAsia="zh-CN"/>
        </w:rPr>
        <w:tab/>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8" w:name="_Hlk177717733"/>
            <w:r>
              <w:rPr>
                <w:rFonts w:hint="eastAsia" w:ascii="宋体" w:hAnsi="宋体" w:eastAsia="宋体" w:cs="宋体"/>
                <w:b/>
                <w:bCs/>
                <w:sz w:val="21"/>
                <w:szCs w:val="21"/>
              </w:rPr>
              <w:t>规格型号</w:t>
            </w:r>
            <w:bookmarkEnd w:id="58"/>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4A93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0944C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3DE91A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85D9F42">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3311F4B">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D747ECE">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D6ACBC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052CF7C">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3A7D940">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12E6954">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服务项目不涉及提供货物的，规格型号、品牌、制造商、产地可不填写；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联合体其他成员承担的部分，应在表中列明。</w:t>
      </w:r>
    </w:p>
    <w:p w14:paraId="1B072AB4">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szCs w:val="21"/>
          <w:highlight w:val="none"/>
        </w:rPr>
        <w:t>▲</w:t>
      </w:r>
      <w:r>
        <w:rPr>
          <w:rFonts w:hint="eastAsia" w:ascii="宋体" w:hAnsi="宋体" w:eastAsia="宋体" w:cs="宋体"/>
          <w:b w:val="0"/>
          <w:bCs w:val="0"/>
          <w:szCs w:val="21"/>
          <w:lang w:val="en-US" w:eastAsia="zh-CN"/>
        </w:rPr>
        <w:t>4.单价不得超过最高限价</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lang w:val="en-US" w:eastAsia="zh-CN"/>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3EC297DB">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414CCC"/>
    <w:rsid w:val="04C840C5"/>
    <w:rsid w:val="05D34727"/>
    <w:rsid w:val="08931933"/>
    <w:rsid w:val="0A851326"/>
    <w:rsid w:val="0ABF3657"/>
    <w:rsid w:val="0B0C7351"/>
    <w:rsid w:val="0B4A1776"/>
    <w:rsid w:val="0B6D6042"/>
    <w:rsid w:val="0C786503"/>
    <w:rsid w:val="0D1A04C9"/>
    <w:rsid w:val="0E434661"/>
    <w:rsid w:val="0ECF0C50"/>
    <w:rsid w:val="0F55482C"/>
    <w:rsid w:val="0F7D2DA5"/>
    <w:rsid w:val="106B68C8"/>
    <w:rsid w:val="10757130"/>
    <w:rsid w:val="10BE6606"/>
    <w:rsid w:val="112B34AD"/>
    <w:rsid w:val="11DF3E08"/>
    <w:rsid w:val="11FF5827"/>
    <w:rsid w:val="12AD3208"/>
    <w:rsid w:val="16694FE2"/>
    <w:rsid w:val="169326D4"/>
    <w:rsid w:val="173D2504"/>
    <w:rsid w:val="18090C43"/>
    <w:rsid w:val="1820601B"/>
    <w:rsid w:val="18FB5F15"/>
    <w:rsid w:val="1B321622"/>
    <w:rsid w:val="1C8F3C79"/>
    <w:rsid w:val="1C9E2B33"/>
    <w:rsid w:val="1D38159F"/>
    <w:rsid w:val="1D4E2784"/>
    <w:rsid w:val="1D886D0B"/>
    <w:rsid w:val="1EAB6DE4"/>
    <w:rsid w:val="1ED61CF8"/>
    <w:rsid w:val="1F9C38D3"/>
    <w:rsid w:val="1FED72F9"/>
    <w:rsid w:val="20144886"/>
    <w:rsid w:val="20175E92"/>
    <w:rsid w:val="20767551"/>
    <w:rsid w:val="208714FC"/>
    <w:rsid w:val="21110DC5"/>
    <w:rsid w:val="21380A0A"/>
    <w:rsid w:val="21DB64E2"/>
    <w:rsid w:val="221C4C30"/>
    <w:rsid w:val="22A70B6C"/>
    <w:rsid w:val="234729F9"/>
    <w:rsid w:val="23933C54"/>
    <w:rsid w:val="23C14303"/>
    <w:rsid w:val="23FF4622"/>
    <w:rsid w:val="24734848"/>
    <w:rsid w:val="247973AD"/>
    <w:rsid w:val="2555021A"/>
    <w:rsid w:val="267267AA"/>
    <w:rsid w:val="27432BC1"/>
    <w:rsid w:val="27BD1A2E"/>
    <w:rsid w:val="27D55A3A"/>
    <w:rsid w:val="27F0275A"/>
    <w:rsid w:val="28580092"/>
    <w:rsid w:val="28BC23D4"/>
    <w:rsid w:val="2A8820F8"/>
    <w:rsid w:val="2AA10ED5"/>
    <w:rsid w:val="2ADA0518"/>
    <w:rsid w:val="2BE3136D"/>
    <w:rsid w:val="2C403817"/>
    <w:rsid w:val="2C921974"/>
    <w:rsid w:val="2DA35CF6"/>
    <w:rsid w:val="2DBB27E5"/>
    <w:rsid w:val="2DBE14C9"/>
    <w:rsid w:val="2E533769"/>
    <w:rsid w:val="2F345295"/>
    <w:rsid w:val="2F6A64D8"/>
    <w:rsid w:val="301765BD"/>
    <w:rsid w:val="30616EA9"/>
    <w:rsid w:val="30756A6C"/>
    <w:rsid w:val="313E5C07"/>
    <w:rsid w:val="31A44D82"/>
    <w:rsid w:val="31D2475F"/>
    <w:rsid w:val="31EC174B"/>
    <w:rsid w:val="32987598"/>
    <w:rsid w:val="32BE120D"/>
    <w:rsid w:val="330C0EF9"/>
    <w:rsid w:val="33506DE6"/>
    <w:rsid w:val="344B5501"/>
    <w:rsid w:val="34B906F4"/>
    <w:rsid w:val="34EE34A0"/>
    <w:rsid w:val="35A54CED"/>
    <w:rsid w:val="37534CA7"/>
    <w:rsid w:val="37C624B2"/>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1694BB9"/>
    <w:rsid w:val="416A0352"/>
    <w:rsid w:val="422E66F3"/>
    <w:rsid w:val="4275164D"/>
    <w:rsid w:val="42C43A92"/>
    <w:rsid w:val="42FF2180"/>
    <w:rsid w:val="430A3262"/>
    <w:rsid w:val="43120CA1"/>
    <w:rsid w:val="4488746D"/>
    <w:rsid w:val="448F18B0"/>
    <w:rsid w:val="46A824B9"/>
    <w:rsid w:val="46BB170B"/>
    <w:rsid w:val="47510906"/>
    <w:rsid w:val="47D66741"/>
    <w:rsid w:val="48A81CB3"/>
    <w:rsid w:val="48F56268"/>
    <w:rsid w:val="493354CD"/>
    <w:rsid w:val="495D70F7"/>
    <w:rsid w:val="4A4623A7"/>
    <w:rsid w:val="4A5E5147"/>
    <w:rsid w:val="4B0275FC"/>
    <w:rsid w:val="4B5736F5"/>
    <w:rsid w:val="4B7D5F80"/>
    <w:rsid w:val="4BD458ED"/>
    <w:rsid w:val="4BF40741"/>
    <w:rsid w:val="4C1B2B12"/>
    <w:rsid w:val="4C547E73"/>
    <w:rsid w:val="4C5E019B"/>
    <w:rsid w:val="4E724CEA"/>
    <w:rsid w:val="4ECA0682"/>
    <w:rsid w:val="4F64249F"/>
    <w:rsid w:val="4F6E1200"/>
    <w:rsid w:val="4FEE189E"/>
    <w:rsid w:val="500735A9"/>
    <w:rsid w:val="50973FE8"/>
    <w:rsid w:val="50A1482A"/>
    <w:rsid w:val="50CD4459"/>
    <w:rsid w:val="52A15798"/>
    <w:rsid w:val="53202F66"/>
    <w:rsid w:val="53F038E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6990580"/>
    <w:rsid w:val="67FF1998"/>
    <w:rsid w:val="680D1D99"/>
    <w:rsid w:val="69431270"/>
    <w:rsid w:val="69D34437"/>
    <w:rsid w:val="6A1A2066"/>
    <w:rsid w:val="6A7F4F75"/>
    <w:rsid w:val="6ACA16F9"/>
    <w:rsid w:val="6ADF127C"/>
    <w:rsid w:val="6B0F32F3"/>
    <w:rsid w:val="6B16774A"/>
    <w:rsid w:val="6B57067B"/>
    <w:rsid w:val="6BB53B2D"/>
    <w:rsid w:val="6C24541E"/>
    <w:rsid w:val="6CE77AD2"/>
    <w:rsid w:val="6CE90920"/>
    <w:rsid w:val="6ECE2681"/>
    <w:rsid w:val="6ED07EFC"/>
    <w:rsid w:val="6EED251B"/>
    <w:rsid w:val="700B5C22"/>
    <w:rsid w:val="709D6190"/>
    <w:rsid w:val="71D51074"/>
    <w:rsid w:val="722A3062"/>
    <w:rsid w:val="72340F9C"/>
    <w:rsid w:val="728D7448"/>
    <w:rsid w:val="72A2709C"/>
    <w:rsid w:val="7428682A"/>
    <w:rsid w:val="748F3650"/>
    <w:rsid w:val="74EB1DB0"/>
    <w:rsid w:val="75B93A51"/>
    <w:rsid w:val="75C12BF5"/>
    <w:rsid w:val="774152C9"/>
    <w:rsid w:val="7776456B"/>
    <w:rsid w:val="782A7FB1"/>
    <w:rsid w:val="793070F8"/>
    <w:rsid w:val="79D825C1"/>
    <w:rsid w:val="7B2A159F"/>
    <w:rsid w:val="7B5D131E"/>
    <w:rsid w:val="7DB41B16"/>
    <w:rsid w:val="7DEB79E2"/>
    <w:rsid w:val="7DFC5027"/>
    <w:rsid w:val="7E002D54"/>
    <w:rsid w:val="7F34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next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1"/>
    <w:link w:val="84"/>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unhideWhenUsed/>
    <w:qFormat/>
    <w:uiPriority w:val="99"/>
    <w:pPr>
      <w:ind w:firstLine="420" w:firstLineChars="100"/>
    </w:pPr>
    <w:rPr>
      <w:sz w:val="21"/>
    </w:rPr>
  </w:style>
  <w:style w:type="paragraph" w:styleId="12">
    <w:name w:val="Body Text Indent"/>
    <w:basedOn w:val="1"/>
    <w:next w:val="6"/>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7"/>
    <w:unhideWhenUsed/>
    <w:qFormat/>
    <w:uiPriority w:val="99"/>
    <w:rPr>
      <w:b/>
      <w:bCs/>
      <w:sz w:val="28"/>
      <w:szCs w:val="24"/>
    </w:rPr>
  </w:style>
  <w:style w:type="paragraph" w:styleId="23">
    <w:name w:val="Body Text First Indent 2"/>
    <w:basedOn w:val="12"/>
    <w:next w:val="1"/>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Table Paragraph"/>
    <w:basedOn w:val="1"/>
    <w:qFormat/>
    <w:uiPriority w:val="1"/>
    <w:pPr>
      <w:autoSpaceDE w:val="0"/>
      <w:autoSpaceDN w:val="0"/>
      <w:jc w:val="left"/>
    </w:pPr>
    <w:rPr>
      <w:rFonts w:ascii="宋体" w:hAnsi="宋体" w:eastAsia="宋体" w:cs="宋体"/>
      <w:kern w:val="0"/>
      <w:sz w:val="22"/>
    </w:rPr>
  </w:style>
  <w:style w:type="table" w:customStyle="1" w:styleId="111">
    <w:name w:val="Table Normal"/>
    <w:semiHidden/>
    <w:unhideWhenUsed/>
    <w:qFormat/>
    <w:uiPriority w:val="2"/>
    <w:pPr>
      <w:widowControl w:val="0"/>
      <w:autoSpaceDE w:val="0"/>
      <w:autoSpaceDN w:val="0"/>
    </w:pPr>
    <w:rPr>
      <w:kern w:val="0"/>
      <w:sz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5380</Words>
  <Characters>6016</Characters>
  <Lines>220</Lines>
  <Paragraphs>61</Paragraphs>
  <TotalTime>8</TotalTime>
  <ScaleCrop>false</ScaleCrop>
  <LinksUpToDate>false</LinksUpToDate>
  <CharactersWithSpaces>6055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王莹</cp:lastModifiedBy>
  <cp:lastPrinted>2022-10-31T00:58:00Z</cp:lastPrinted>
  <dcterms:modified xsi:type="dcterms:W3CDTF">2025-06-20T01:50:08Z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F11B1450D6D643859CEBA1B9A431D2AB_13</vt:lpwstr>
  </property>
  <property fmtid="{D5CDD505-2E9C-101B-9397-08002B2CF9AE}" pid="4" name="KSOTemplateDocerSaveRecord">
    <vt:lpwstr>eyJoZGlkIjoiZGE3Y2I3OTRlNTA1NjUwZGY1NGI3NTM4NWZhMGI4N2IiLCJ1c2VySWQiOiIxNjEzMzI2NTI3In0=</vt:lpwstr>
  </property>
</Properties>
</file>