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7EA83">
      <w:pPr>
        <w:adjustRightInd w:val="0"/>
        <w:snapToGrid w:val="0"/>
        <w:spacing w:line="288" w:lineRule="auto"/>
        <w:rPr>
          <w:rFonts w:hint="eastAsia" w:ascii="楷体" w:hAnsi="楷体" w:eastAsia="楷体" w:cs="Times New Roman"/>
          <w:b/>
          <w:color w:val="auto"/>
          <w:spacing w:val="-6"/>
          <w:sz w:val="44"/>
          <w:szCs w:val="44"/>
          <w:highlight w:val="none"/>
        </w:rPr>
      </w:pPr>
    </w:p>
    <w:p w14:paraId="4FEC9DF2">
      <w:pPr>
        <w:adjustRightInd w:val="0"/>
        <w:snapToGrid w:val="0"/>
        <w:spacing w:line="288" w:lineRule="auto"/>
        <w:rPr>
          <w:rFonts w:hint="eastAsia" w:ascii="楷体" w:hAnsi="楷体" w:eastAsia="楷体" w:cs="Times New Roman"/>
          <w:b/>
          <w:color w:val="auto"/>
          <w:spacing w:val="-6"/>
          <w:sz w:val="44"/>
          <w:szCs w:val="44"/>
          <w:highlight w:val="none"/>
        </w:rPr>
      </w:pPr>
    </w:p>
    <w:p w14:paraId="43743E81">
      <w:pPr>
        <w:adjustRightInd w:val="0"/>
        <w:snapToGrid w:val="0"/>
        <w:spacing w:line="288" w:lineRule="auto"/>
        <w:rPr>
          <w:rFonts w:hint="eastAsia" w:ascii="楷体" w:hAnsi="楷体" w:eastAsia="楷体" w:cs="Times New Roman"/>
          <w:b/>
          <w:color w:val="auto"/>
          <w:spacing w:val="-6"/>
          <w:sz w:val="44"/>
          <w:szCs w:val="44"/>
          <w:highlight w:val="none"/>
        </w:rPr>
      </w:pPr>
    </w:p>
    <w:p w14:paraId="5D8EC2CA">
      <w:pPr>
        <w:adjustRightInd w:val="0"/>
        <w:snapToGrid w:val="0"/>
        <w:spacing w:line="288" w:lineRule="auto"/>
        <w:jc w:val="center"/>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浙江交通职业技术学院</w:t>
      </w:r>
    </w:p>
    <w:p w14:paraId="48D396C0">
      <w:pPr>
        <w:adjustRightInd w:val="0"/>
        <w:snapToGrid w:val="0"/>
        <w:spacing w:line="288" w:lineRule="auto"/>
        <w:jc w:val="center"/>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交院钉运维项目</w:t>
      </w:r>
    </w:p>
    <w:p w14:paraId="784B15A5">
      <w:pPr>
        <w:adjustRightInd w:val="0"/>
        <w:snapToGrid w:val="0"/>
        <w:spacing w:line="288" w:lineRule="auto"/>
        <w:jc w:val="center"/>
        <w:rPr>
          <w:rFonts w:hint="eastAsia" w:ascii="楷体" w:hAnsi="楷体" w:eastAsia="楷体" w:cs="楷体"/>
          <w:b/>
          <w:bCs/>
          <w:color w:val="auto"/>
          <w:sz w:val="48"/>
          <w:szCs w:val="48"/>
          <w:highlight w:val="none"/>
        </w:rPr>
      </w:pPr>
    </w:p>
    <w:p w14:paraId="738A493C">
      <w:pPr>
        <w:adjustRightInd w:val="0"/>
        <w:snapToGrid w:val="0"/>
        <w:spacing w:line="288" w:lineRule="auto"/>
        <w:jc w:val="center"/>
        <w:rPr>
          <w:rFonts w:hint="eastAsia" w:ascii="楷体" w:hAnsi="楷体" w:eastAsia="楷体" w:cs="楷体"/>
          <w:b/>
          <w:bCs/>
          <w:color w:val="auto"/>
          <w:sz w:val="72"/>
          <w:szCs w:val="72"/>
          <w:highlight w:val="none"/>
        </w:rPr>
      </w:pPr>
      <w:r>
        <w:rPr>
          <w:rFonts w:hint="eastAsia" w:ascii="楷体" w:hAnsi="楷体" w:eastAsia="楷体" w:cs="楷体"/>
          <w:b/>
          <w:bCs/>
          <w:color w:val="auto"/>
          <w:sz w:val="72"/>
          <w:szCs w:val="72"/>
          <w:highlight w:val="none"/>
        </w:rPr>
        <w:t>磋商文件</w:t>
      </w:r>
    </w:p>
    <w:p w14:paraId="1B286B06">
      <w:pPr>
        <w:adjustRightInd w:val="0"/>
        <w:snapToGrid w:val="0"/>
        <w:spacing w:line="288" w:lineRule="auto"/>
        <w:jc w:val="center"/>
        <w:rPr>
          <w:rFonts w:hint="eastAsia" w:ascii="楷体" w:hAnsi="楷体" w:eastAsia="楷体" w:cs="楷体"/>
          <w:b/>
          <w:bCs/>
          <w:color w:val="auto"/>
          <w:sz w:val="36"/>
          <w:szCs w:val="36"/>
          <w:highlight w:val="none"/>
        </w:rPr>
      </w:pPr>
      <w:r>
        <w:rPr>
          <w:rFonts w:hint="eastAsia" w:ascii="楷体" w:hAnsi="楷体" w:eastAsia="楷体" w:cs="楷体"/>
          <w:b/>
          <w:bCs/>
          <w:color w:val="auto"/>
          <w:sz w:val="36"/>
          <w:szCs w:val="36"/>
          <w:highlight w:val="none"/>
        </w:rPr>
        <w:t>（线上电子交易）</w:t>
      </w:r>
    </w:p>
    <w:p w14:paraId="789E9221">
      <w:pPr>
        <w:adjustRightInd w:val="0"/>
        <w:snapToGrid w:val="0"/>
        <w:spacing w:line="288" w:lineRule="auto"/>
        <w:jc w:val="center"/>
        <w:rPr>
          <w:rFonts w:hint="eastAsia" w:ascii="楷体" w:hAnsi="楷体" w:eastAsia="楷体" w:cs="楷体"/>
          <w:b/>
          <w:bCs/>
          <w:color w:val="auto"/>
          <w:sz w:val="36"/>
          <w:szCs w:val="36"/>
          <w:highlight w:val="none"/>
        </w:rPr>
      </w:pPr>
    </w:p>
    <w:p w14:paraId="7658EABB">
      <w:pPr>
        <w:adjustRightInd w:val="0"/>
        <w:snapToGrid w:val="0"/>
        <w:spacing w:line="288" w:lineRule="auto"/>
        <w:jc w:val="center"/>
        <w:rPr>
          <w:rFonts w:hint="eastAsia" w:ascii="楷体" w:hAnsi="楷体" w:eastAsia="楷体" w:cs="楷体"/>
          <w:b/>
          <w:bCs/>
          <w:color w:val="auto"/>
          <w:sz w:val="36"/>
          <w:szCs w:val="36"/>
          <w:highlight w:val="none"/>
        </w:rPr>
      </w:pPr>
    </w:p>
    <w:p w14:paraId="4C31F3C1">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项目名称：浙江交通职业技术学院交院钉运维项目</w:t>
      </w:r>
    </w:p>
    <w:p w14:paraId="33611BA4">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项目编号：</w:t>
      </w:r>
      <w:r>
        <w:rPr>
          <w:rFonts w:hint="eastAsia" w:ascii="楷体" w:hAnsi="楷体" w:eastAsia="楷体" w:cs="楷体"/>
          <w:b/>
          <w:bCs/>
          <w:color w:val="auto"/>
          <w:sz w:val="30"/>
          <w:szCs w:val="30"/>
          <w:highlight w:val="none"/>
          <w:lang w:eastAsia="zh-CN"/>
        </w:rPr>
        <w:t>QSZB-Z(F)-C25134(CS)L</w:t>
      </w:r>
      <w:r>
        <w:rPr>
          <w:rFonts w:hint="eastAsia" w:ascii="楷体" w:hAnsi="楷体" w:eastAsia="楷体" w:cs="楷体"/>
          <w:b/>
          <w:bCs/>
          <w:color w:val="auto"/>
          <w:sz w:val="30"/>
          <w:szCs w:val="30"/>
          <w:highlight w:val="none"/>
        </w:rPr>
        <w:t xml:space="preserve"> </w:t>
      </w:r>
    </w:p>
    <w:p w14:paraId="2F6E24F7">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 购 人：浙江交通职业技术学院</w:t>
      </w:r>
    </w:p>
    <w:p w14:paraId="2F8CEF06">
      <w:pPr>
        <w:adjustRightInd w:val="0"/>
        <w:snapToGrid w:val="0"/>
        <w:spacing w:line="288" w:lineRule="auto"/>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采购代理机构：浙江求是招标代理有限公司</w:t>
      </w:r>
    </w:p>
    <w:p w14:paraId="4CBA841C">
      <w:pPr>
        <w:adjustRightInd w:val="0"/>
        <w:snapToGrid w:val="0"/>
        <w:spacing w:line="288" w:lineRule="auto"/>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采购计划文号：</w:t>
      </w:r>
      <w:r>
        <w:rPr>
          <w:rFonts w:hint="eastAsia" w:ascii="楷体" w:hAnsi="楷体" w:eastAsia="楷体" w:cs="Times New Roman"/>
          <w:b/>
          <w:color w:val="auto"/>
          <w:spacing w:val="-6"/>
          <w:sz w:val="30"/>
          <w:szCs w:val="30"/>
          <w:highlight w:val="none"/>
        </w:rPr>
        <w:t>[2025]25902号</w:t>
      </w:r>
      <w:r>
        <w:rPr>
          <w:rFonts w:hint="eastAsia" w:ascii="楷体" w:hAnsi="楷体" w:eastAsia="楷体" w:cs="Times New Roman"/>
          <w:b/>
          <w:color w:val="auto"/>
          <w:spacing w:val="-6"/>
          <w:sz w:val="30"/>
          <w:szCs w:val="30"/>
          <w:highlight w:val="none"/>
          <w:lang w:eastAsia="zh-CN"/>
        </w:rPr>
        <w:t>、[2025]25903号</w:t>
      </w:r>
    </w:p>
    <w:p w14:paraId="2A6AF23A">
      <w:pPr>
        <w:widowControl/>
        <w:adjustRightInd w:val="0"/>
        <w:snapToGrid w:val="0"/>
        <w:spacing w:line="288" w:lineRule="auto"/>
        <w:jc w:val="left"/>
        <w:rPr>
          <w:rFonts w:hint="eastAsia" w:ascii="楷体" w:hAnsi="楷体" w:eastAsia="楷体" w:cs="楷体"/>
          <w:b/>
          <w:bCs/>
          <w:color w:val="auto"/>
          <w:sz w:val="30"/>
          <w:szCs w:val="30"/>
          <w:highlight w:val="none"/>
        </w:rPr>
      </w:pPr>
      <w:r>
        <w:rPr>
          <w:rFonts w:ascii="楷体" w:hAnsi="楷体" w:eastAsia="楷体" w:cs="楷体"/>
          <w:b/>
          <w:bCs/>
          <w:color w:val="auto"/>
          <w:sz w:val="30"/>
          <w:szCs w:val="30"/>
          <w:highlight w:val="none"/>
        </w:rPr>
        <w:br w:type="page"/>
      </w:r>
    </w:p>
    <w:p w14:paraId="63DB5C8E">
      <w:pPr>
        <w:adjustRightInd w:val="0"/>
        <w:snapToGrid w:val="0"/>
        <w:spacing w:line="288" w:lineRule="auto"/>
        <w:rPr>
          <w:rFonts w:hint="eastAsia" w:ascii="楷体" w:hAnsi="楷体" w:eastAsia="楷体" w:cs="楷体"/>
          <w:b/>
          <w:bCs/>
          <w:color w:val="auto"/>
          <w:sz w:val="30"/>
          <w:szCs w:val="30"/>
          <w:highlight w:val="none"/>
        </w:rPr>
      </w:pPr>
    </w:p>
    <w:p w14:paraId="717AAA58">
      <w:pPr>
        <w:adjustRightInd w:val="0"/>
        <w:snapToGrid w:val="0"/>
        <w:spacing w:line="288" w:lineRule="auto"/>
        <w:jc w:val="center"/>
        <w:outlineLvl w:val="0"/>
        <w:rPr>
          <w:rFonts w:hint="eastAsia" w:ascii="楷体" w:hAnsi="楷体" w:eastAsia="楷体" w:cs="楷体"/>
          <w:b/>
          <w:bCs/>
          <w:color w:val="auto"/>
          <w:sz w:val="48"/>
          <w:szCs w:val="48"/>
          <w:highlight w:val="none"/>
        </w:rPr>
      </w:pPr>
      <w:r>
        <w:rPr>
          <w:rFonts w:hint="eastAsia" w:ascii="楷体" w:hAnsi="楷体" w:eastAsia="楷体" w:cs="楷体"/>
          <w:b/>
          <w:bCs/>
          <w:color w:val="auto"/>
          <w:sz w:val="48"/>
          <w:szCs w:val="48"/>
          <w:highlight w:val="none"/>
        </w:rPr>
        <w:t xml:space="preserve">目 </w:t>
      </w:r>
      <w:r>
        <w:rPr>
          <w:rFonts w:ascii="楷体" w:hAnsi="楷体" w:eastAsia="楷体" w:cs="楷体"/>
          <w:b/>
          <w:bCs/>
          <w:color w:val="auto"/>
          <w:sz w:val="48"/>
          <w:szCs w:val="48"/>
          <w:highlight w:val="none"/>
        </w:rPr>
        <w:t xml:space="preserve"> </w:t>
      </w:r>
      <w:r>
        <w:rPr>
          <w:rFonts w:hint="eastAsia" w:ascii="楷体" w:hAnsi="楷体" w:eastAsia="楷体" w:cs="楷体"/>
          <w:b/>
          <w:bCs/>
          <w:color w:val="auto"/>
          <w:sz w:val="48"/>
          <w:szCs w:val="48"/>
          <w:highlight w:val="none"/>
        </w:rPr>
        <w:t>录</w:t>
      </w:r>
    </w:p>
    <w:p w14:paraId="09E5EE5A">
      <w:pPr>
        <w:adjustRightInd w:val="0"/>
        <w:snapToGrid w:val="0"/>
        <w:spacing w:line="288" w:lineRule="auto"/>
        <w:rPr>
          <w:rFonts w:hint="eastAsia" w:ascii="楷体" w:hAnsi="楷体" w:eastAsia="楷体" w:cs="楷体"/>
          <w:b/>
          <w:bCs/>
          <w:color w:val="auto"/>
          <w:sz w:val="30"/>
          <w:szCs w:val="30"/>
          <w:highlight w:val="none"/>
        </w:rPr>
      </w:pPr>
    </w:p>
    <w:p w14:paraId="54F5BA40">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第一章  采购邀请</w:t>
      </w:r>
    </w:p>
    <w:p w14:paraId="71F714FF">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第二章  采购需求</w:t>
      </w:r>
    </w:p>
    <w:p w14:paraId="2EED5C1F">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第三章  供应商须知</w:t>
      </w:r>
    </w:p>
    <w:p w14:paraId="62F3D0E0">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第四章  评审方法和评审标准</w:t>
      </w:r>
    </w:p>
    <w:p w14:paraId="3EA10362">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第五章  拟签订的合同文本</w:t>
      </w:r>
    </w:p>
    <w:p w14:paraId="420B908E">
      <w:pPr>
        <w:adjustRightInd w:val="0"/>
        <w:snapToGrid w:val="0"/>
        <w:spacing w:line="288" w:lineRule="auto"/>
        <w:ind w:firstLine="708" w:firstLineChars="235"/>
        <w:rPr>
          <w:rFonts w:hint="eastAsia" w:ascii="楷体" w:hAnsi="楷体" w:eastAsia="楷体" w:cs="楷体"/>
          <w:b/>
          <w:bCs/>
          <w:color w:val="auto"/>
          <w:sz w:val="30"/>
          <w:szCs w:val="30"/>
          <w:highlight w:val="none"/>
        </w:rPr>
      </w:pPr>
      <w:r>
        <w:rPr>
          <w:rFonts w:hint="eastAsia" w:ascii="楷体" w:hAnsi="楷体" w:eastAsia="楷体" w:cs="楷体"/>
          <w:b/>
          <w:bCs/>
          <w:color w:val="auto"/>
          <w:sz w:val="30"/>
          <w:szCs w:val="30"/>
          <w:highlight w:val="none"/>
        </w:rPr>
        <w:t>第六章  响应文件格式</w:t>
      </w:r>
    </w:p>
    <w:p w14:paraId="50B57C24">
      <w:pPr>
        <w:widowControl/>
        <w:jc w:val="left"/>
        <w:rPr>
          <w:rFonts w:hint="eastAsia"/>
          <w:color w:val="auto"/>
          <w:highlight w:val="none"/>
        </w:rPr>
      </w:pPr>
    </w:p>
    <w:p w14:paraId="5D6841C6">
      <w:pPr>
        <w:widowControl/>
        <w:jc w:val="left"/>
        <w:rPr>
          <w:rFonts w:hint="eastAsia"/>
          <w:color w:val="auto"/>
          <w:highlight w:val="none"/>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03B03AD3">
      <w:pPr>
        <w:adjustRightInd w:val="0"/>
        <w:snapToGrid w:val="0"/>
        <w:spacing w:line="288" w:lineRule="auto"/>
        <w:jc w:val="center"/>
        <w:outlineLvl w:val="0"/>
        <w:rPr>
          <w:rFonts w:hint="eastAsia" w:cs="楷体"/>
          <w:color w:val="auto"/>
          <w:sz w:val="21"/>
          <w:szCs w:val="21"/>
          <w:highlight w:val="none"/>
        </w:rPr>
      </w:pPr>
      <w:r>
        <w:rPr>
          <w:rFonts w:hint="eastAsia"/>
          <w:b/>
          <w:bCs/>
          <w:color w:val="auto"/>
          <w:sz w:val="32"/>
          <w:szCs w:val="32"/>
          <w:highlight w:val="none"/>
        </w:rPr>
        <w:t xml:space="preserve">第一章 </w:t>
      </w:r>
      <w:r>
        <w:rPr>
          <w:b/>
          <w:bCs/>
          <w:color w:val="auto"/>
          <w:sz w:val="32"/>
          <w:szCs w:val="32"/>
          <w:highlight w:val="none"/>
        </w:rPr>
        <w:t xml:space="preserve"> </w:t>
      </w:r>
      <w:r>
        <w:rPr>
          <w:rFonts w:hint="eastAsia"/>
          <w:b/>
          <w:bCs/>
          <w:color w:val="auto"/>
          <w:sz w:val="32"/>
          <w:szCs w:val="32"/>
          <w:highlight w:val="none"/>
        </w:rPr>
        <w:t>采购邀请</w:t>
      </w:r>
    </w:p>
    <w:p w14:paraId="1ACD67BA">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rPr>
        <w:t>项目概况</w:t>
      </w:r>
    </w:p>
    <w:p w14:paraId="55111174">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color w:val="auto"/>
          <w:sz w:val="21"/>
          <w:szCs w:val="21"/>
          <w:highlight w:val="none"/>
        </w:rPr>
      </w:pPr>
      <w:r>
        <w:rPr>
          <w:rFonts w:hint="eastAsia"/>
          <w:b/>
          <w:color w:val="auto"/>
          <w:sz w:val="21"/>
          <w:szCs w:val="21"/>
          <w:highlight w:val="none"/>
          <w:u w:val="single"/>
        </w:rPr>
        <w:t xml:space="preserve"> 浙江交通职业技术学院交院钉运维项目 </w:t>
      </w:r>
      <w:r>
        <w:rPr>
          <w:rFonts w:hint="eastAsia"/>
          <w:b/>
          <w:color w:val="auto"/>
          <w:sz w:val="21"/>
          <w:szCs w:val="21"/>
          <w:highlight w:val="none"/>
        </w:rPr>
        <w:t>采购项目的潜在供应商应在</w:t>
      </w:r>
      <w:r>
        <w:rPr>
          <w:rFonts w:hint="eastAsia"/>
          <w:b/>
          <w:color w:val="auto"/>
          <w:sz w:val="21"/>
          <w:szCs w:val="21"/>
          <w:highlight w:val="none"/>
          <w:u w:val="single"/>
        </w:rPr>
        <w:t xml:space="preserve"> 政府采购云平台（https://www.zcygov.cn） </w:t>
      </w:r>
      <w:r>
        <w:rPr>
          <w:rFonts w:hint="eastAsia"/>
          <w:b/>
          <w:color w:val="auto"/>
          <w:sz w:val="21"/>
          <w:szCs w:val="21"/>
          <w:highlight w:val="none"/>
        </w:rPr>
        <w:t>获取（下载）采购文件，并于</w:t>
      </w:r>
      <w:r>
        <w:rPr>
          <w:rFonts w:hint="eastAsia"/>
          <w:b/>
          <w:color w:val="auto"/>
          <w:sz w:val="21"/>
          <w:szCs w:val="21"/>
          <w:highlight w:val="none"/>
          <w:u w:val="single"/>
        </w:rPr>
        <w:t xml:space="preserve"> </w:t>
      </w:r>
      <w:r>
        <w:rPr>
          <w:rFonts w:hint="eastAsia"/>
          <w:b/>
          <w:color w:val="auto"/>
          <w:sz w:val="21"/>
          <w:szCs w:val="21"/>
          <w:highlight w:val="none"/>
          <w:u w:val="single"/>
          <w:lang w:eastAsia="zh-CN"/>
        </w:rPr>
        <w:t>2025年6月20日9:30:00</w:t>
      </w:r>
      <w:r>
        <w:rPr>
          <w:rFonts w:hint="eastAsia"/>
          <w:b/>
          <w:color w:val="auto"/>
          <w:sz w:val="21"/>
          <w:szCs w:val="21"/>
          <w:highlight w:val="none"/>
          <w:u w:val="single"/>
        </w:rPr>
        <w:t xml:space="preserve"> </w:t>
      </w:r>
      <w:r>
        <w:rPr>
          <w:rFonts w:hint="eastAsia"/>
          <w:b/>
          <w:bCs/>
          <w:color w:val="auto"/>
          <w:sz w:val="21"/>
          <w:szCs w:val="21"/>
          <w:highlight w:val="none"/>
        </w:rPr>
        <w:t>（北京时间）前提交（上传）响应文件</w:t>
      </w:r>
      <w:r>
        <w:rPr>
          <w:rFonts w:hint="eastAsia"/>
          <w:b/>
          <w:color w:val="auto"/>
          <w:sz w:val="21"/>
          <w:szCs w:val="21"/>
          <w:highlight w:val="none"/>
        </w:rPr>
        <w:t>。</w:t>
      </w:r>
    </w:p>
    <w:p w14:paraId="0AD7628A">
      <w:pPr>
        <w:adjustRightInd w:val="0"/>
        <w:snapToGrid w:val="0"/>
        <w:spacing w:line="288" w:lineRule="auto"/>
        <w:rPr>
          <w:rFonts w:hint="eastAsia"/>
          <w:b/>
          <w:color w:val="auto"/>
          <w:sz w:val="21"/>
          <w:szCs w:val="21"/>
          <w:highlight w:val="none"/>
        </w:rPr>
      </w:pPr>
      <w:bookmarkStart w:id="0" w:name="_Toc28359002"/>
      <w:bookmarkStart w:id="1" w:name="_Toc28359079"/>
      <w:bookmarkStart w:id="2" w:name="_Toc35393621"/>
      <w:bookmarkStart w:id="3" w:name="_Toc35393790"/>
      <w:bookmarkStart w:id="4" w:name="_Hlk24379207"/>
      <w:r>
        <w:rPr>
          <w:rFonts w:hint="eastAsia"/>
          <w:b/>
          <w:color w:val="auto"/>
          <w:sz w:val="21"/>
          <w:szCs w:val="21"/>
          <w:highlight w:val="none"/>
        </w:rPr>
        <w:t>一、项目基本情况</w:t>
      </w:r>
      <w:bookmarkEnd w:id="0"/>
      <w:bookmarkEnd w:id="1"/>
      <w:bookmarkEnd w:id="2"/>
      <w:bookmarkEnd w:id="3"/>
    </w:p>
    <w:p w14:paraId="03EC01F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项目编号：</w:t>
      </w:r>
      <w:r>
        <w:rPr>
          <w:rFonts w:hint="eastAsia"/>
          <w:bCs/>
          <w:color w:val="auto"/>
          <w:sz w:val="21"/>
          <w:szCs w:val="21"/>
          <w:highlight w:val="none"/>
          <w:lang w:eastAsia="zh-CN"/>
        </w:rPr>
        <w:t>QSZB-Z(F)-C25134(CS)L</w:t>
      </w:r>
      <w:r>
        <w:rPr>
          <w:rFonts w:hint="eastAsia"/>
          <w:bCs/>
          <w:color w:val="auto"/>
          <w:sz w:val="21"/>
          <w:szCs w:val="21"/>
          <w:highlight w:val="none"/>
        </w:rPr>
        <w:t xml:space="preserve"> </w:t>
      </w:r>
    </w:p>
    <w:p w14:paraId="1014B65B">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2.</w:t>
      </w:r>
      <w:r>
        <w:rPr>
          <w:rFonts w:hint="eastAsia"/>
          <w:color w:val="auto"/>
          <w:sz w:val="21"/>
          <w:szCs w:val="21"/>
          <w:highlight w:val="none"/>
        </w:rPr>
        <w:t>项目名称：浙江交通职业技术学院交院钉运维项目</w:t>
      </w:r>
    </w:p>
    <w:p w14:paraId="05A46F12">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3.</w:t>
      </w:r>
      <w:r>
        <w:rPr>
          <w:rFonts w:hint="eastAsia"/>
          <w:color w:val="auto"/>
          <w:sz w:val="21"/>
          <w:szCs w:val="21"/>
          <w:highlight w:val="none"/>
        </w:rPr>
        <w:t>采购方式：竞争性磋商</w:t>
      </w:r>
    </w:p>
    <w:bookmarkEnd w:id="4"/>
    <w:p w14:paraId="1045A6E3">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4.</w:t>
      </w:r>
      <w:r>
        <w:rPr>
          <w:rFonts w:hint="eastAsia"/>
          <w:color w:val="auto"/>
          <w:sz w:val="21"/>
          <w:szCs w:val="21"/>
          <w:highlight w:val="none"/>
        </w:rPr>
        <w:t>预算金额：42万</w:t>
      </w:r>
    </w:p>
    <w:p w14:paraId="5B1FFF6C">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5.</w:t>
      </w:r>
      <w:r>
        <w:rPr>
          <w:rFonts w:hint="eastAsia"/>
          <w:color w:val="auto"/>
          <w:sz w:val="21"/>
          <w:szCs w:val="21"/>
          <w:highlight w:val="none"/>
        </w:rPr>
        <w:t>最高限价（如有）：42万</w:t>
      </w:r>
    </w:p>
    <w:p w14:paraId="7596AB79">
      <w:pPr>
        <w:adjustRightInd w:val="0"/>
        <w:snapToGrid w:val="0"/>
        <w:spacing w:line="288" w:lineRule="auto"/>
        <w:ind w:firstLine="420" w:firstLineChars="200"/>
        <w:rPr>
          <w:rFonts w:hint="eastAsia"/>
          <w:color w:val="auto"/>
          <w:spacing w:val="-6"/>
          <w:sz w:val="21"/>
          <w:szCs w:val="21"/>
          <w:highlight w:val="none"/>
        </w:rPr>
      </w:pPr>
      <w:r>
        <w:rPr>
          <w:color w:val="auto"/>
          <w:sz w:val="21"/>
          <w:szCs w:val="21"/>
          <w:highlight w:val="none"/>
        </w:rPr>
        <w:t>6.</w:t>
      </w:r>
      <w:r>
        <w:rPr>
          <w:rFonts w:hint="eastAsia"/>
          <w:color w:val="auto"/>
          <w:sz w:val="21"/>
          <w:szCs w:val="21"/>
          <w:highlight w:val="none"/>
        </w:rPr>
        <w:t>合同履约期限：详见磋商文件 第二章 采购需求。</w:t>
      </w:r>
    </w:p>
    <w:p w14:paraId="303D279C">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7.</w:t>
      </w:r>
      <w:r>
        <w:rPr>
          <w:rFonts w:hint="eastAsia"/>
          <w:color w:val="auto"/>
          <w:sz w:val="21"/>
          <w:szCs w:val="21"/>
          <w:highlight w:val="none"/>
        </w:rPr>
        <w:t>本项目（是）接受联合体响应。</w:t>
      </w:r>
    </w:p>
    <w:p w14:paraId="35255FD1">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8.</w:t>
      </w:r>
      <w:r>
        <w:rPr>
          <w:rFonts w:hint="eastAsia"/>
          <w:color w:val="auto"/>
          <w:sz w:val="21"/>
          <w:szCs w:val="21"/>
          <w:highlight w:val="none"/>
        </w:rPr>
        <w:t>采购需求：</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5926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75D9AE16">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序号</w:t>
            </w:r>
          </w:p>
        </w:tc>
        <w:tc>
          <w:tcPr>
            <w:tcW w:w="1829" w:type="pct"/>
            <w:tcBorders>
              <w:right w:val="single" w:color="auto" w:sz="4" w:space="0"/>
              <w:tl2br w:val="nil"/>
              <w:tr2bl w:val="nil"/>
            </w:tcBorders>
            <w:vAlign w:val="center"/>
          </w:tcPr>
          <w:p w14:paraId="3AF8880A">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名称</w:t>
            </w:r>
          </w:p>
        </w:tc>
        <w:tc>
          <w:tcPr>
            <w:tcW w:w="430" w:type="pct"/>
            <w:tcBorders>
              <w:tl2br w:val="nil"/>
              <w:tr2bl w:val="nil"/>
            </w:tcBorders>
            <w:vAlign w:val="center"/>
          </w:tcPr>
          <w:p w14:paraId="6B87BFD2">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数量</w:t>
            </w:r>
          </w:p>
        </w:tc>
        <w:tc>
          <w:tcPr>
            <w:tcW w:w="431" w:type="pct"/>
            <w:tcBorders>
              <w:tl2br w:val="nil"/>
              <w:tr2bl w:val="nil"/>
            </w:tcBorders>
            <w:vAlign w:val="center"/>
          </w:tcPr>
          <w:p w14:paraId="51D6D379">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单位</w:t>
            </w:r>
          </w:p>
        </w:tc>
        <w:tc>
          <w:tcPr>
            <w:tcW w:w="1898" w:type="pct"/>
            <w:tcBorders>
              <w:right w:val="single" w:color="auto" w:sz="4" w:space="0"/>
              <w:tl2br w:val="nil"/>
              <w:tr2bl w:val="nil"/>
            </w:tcBorders>
            <w:vAlign w:val="center"/>
          </w:tcPr>
          <w:p w14:paraId="397BB049">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简要技术需求或服务要求</w:t>
            </w:r>
          </w:p>
        </w:tc>
      </w:tr>
      <w:tr w14:paraId="11571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3ACE6F5E">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1</w:t>
            </w:r>
          </w:p>
        </w:tc>
        <w:tc>
          <w:tcPr>
            <w:tcW w:w="1829" w:type="pct"/>
            <w:tcBorders>
              <w:right w:val="single" w:color="auto" w:sz="4" w:space="0"/>
              <w:tl2br w:val="nil"/>
              <w:tr2bl w:val="nil"/>
            </w:tcBorders>
            <w:vAlign w:val="center"/>
          </w:tcPr>
          <w:p w14:paraId="1C932E16">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浙江交通职业技术学院交院钉运维项目</w:t>
            </w:r>
          </w:p>
        </w:tc>
        <w:tc>
          <w:tcPr>
            <w:tcW w:w="430" w:type="pct"/>
            <w:tcBorders>
              <w:tl2br w:val="nil"/>
              <w:tr2bl w:val="nil"/>
            </w:tcBorders>
            <w:vAlign w:val="center"/>
          </w:tcPr>
          <w:p w14:paraId="555BB9AA">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1</w:t>
            </w:r>
          </w:p>
        </w:tc>
        <w:tc>
          <w:tcPr>
            <w:tcW w:w="431" w:type="pct"/>
            <w:tcBorders>
              <w:tl2br w:val="nil"/>
              <w:tr2bl w:val="nil"/>
            </w:tcBorders>
            <w:vAlign w:val="center"/>
          </w:tcPr>
          <w:p w14:paraId="3AEE8706">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项</w:t>
            </w:r>
          </w:p>
        </w:tc>
        <w:tc>
          <w:tcPr>
            <w:tcW w:w="1898" w:type="pct"/>
            <w:tcBorders>
              <w:right w:val="single" w:color="auto" w:sz="4" w:space="0"/>
              <w:tl2br w:val="nil"/>
              <w:tr2bl w:val="nil"/>
            </w:tcBorders>
            <w:vAlign w:val="center"/>
          </w:tcPr>
          <w:p w14:paraId="6BBEC9F8">
            <w:pPr>
              <w:adjustRightInd w:val="0"/>
              <w:snapToGrid w:val="0"/>
              <w:spacing w:line="288" w:lineRule="auto"/>
              <w:jc w:val="center"/>
              <w:rPr>
                <w:rFonts w:hint="eastAsia"/>
                <w:bCs/>
                <w:color w:val="auto"/>
                <w:sz w:val="21"/>
                <w:szCs w:val="21"/>
                <w:highlight w:val="none"/>
              </w:rPr>
            </w:pPr>
            <w:r>
              <w:rPr>
                <w:rFonts w:hint="eastAsia"/>
                <w:bCs/>
                <w:color w:val="auto"/>
                <w:sz w:val="21"/>
                <w:szCs w:val="21"/>
                <w:highlight w:val="none"/>
              </w:rPr>
              <w:t>详见磋商文件第二章 采购需求</w:t>
            </w:r>
          </w:p>
        </w:tc>
      </w:tr>
    </w:tbl>
    <w:p w14:paraId="5465DA54">
      <w:pPr>
        <w:adjustRightInd w:val="0"/>
        <w:snapToGrid w:val="0"/>
        <w:spacing w:line="288" w:lineRule="auto"/>
        <w:rPr>
          <w:rFonts w:hint="eastAsia"/>
          <w:b/>
          <w:color w:val="auto"/>
          <w:sz w:val="21"/>
          <w:szCs w:val="21"/>
          <w:highlight w:val="none"/>
        </w:rPr>
      </w:pPr>
      <w:bookmarkStart w:id="5" w:name="_Toc28359003"/>
      <w:bookmarkStart w:id="6" w:name="_Toc35393622"/>
      <w:bookmarkStart w:id="7" w:name="_Toc35393791"/>
      <w:bookmarkStart w:id="8" w:name="_Toc28359080"/>
      <w:r>
        <w:rPr>
          <w:rFonts w:hint="eastAsia"/>
          <w:b/>
          <w:color w:val="auto"/>
          <w:sz w:val="21"/>
          <w:szCs w:val="21"/>
          <w:highlight w:val="none"/>
        </w:rPr>
        <w:t>二、申请人的资格要求</w:t>
      </w:r>
      <w:bookmarkEnd w:id="5"/>
      <w:bookmarkEnd w:id="6"/>
      <w:bookmarkEnd w:id="7"/>
      <w:bookmarkEnd w:id="8"/>
    </w:p>
    <w:p w14:paraId="6275B7DB">
      <w:pPr>
        <w:adjustRightInd w:val="0"/>
        <w:snapToGrid w:val="0"/>
        <w:spacing w:line="288" w:lineRule="auto"/>
        <w:ind w:firstLine="420" w:firstLineChars="200"/>
        <w:rPr>
          <w:rFonts w:hint="eastAsia" w:cs="Times New Roman"/>
          <w:bCs/>
          <w:color w:val="auto"/>
          <w:sz w:val="21"/>
          <w:szCs w:val="21"/>
          <w:highlight w:val="none"/>
        </w:rPr>
      </w:pPr>
      <w:bookmarkStart w:id="9" w:name="_Toc28359081"/>
      <w:bookmarkStart w:id="10" w:name="_Toc28359004"/>
      <w:r>
        <w:rPr>
          <w:rFonts w:hint="eastAsia" w:cs="Times New Roman"/>
          <w:bCs/>
          <w:color w:val="auto"/>
          <w:sz w:val="21"/>
          <w:szCs w:val="21"/>
          <w:highlight w:val="none"/>
        </w:rPr>
        <w:t>1.满足《中华人民共和国政府采购法》第二十二条规定，未被“信用中国”（</w:t>
      </w:r>
      <w:r>
        <w:rPr>
          <w:rFonts w:cs="Times New Roman"/>
          <w:bCs/>
          <w:color w:val="auto"/>
          <w:sz w:val="21"/>
          <w:szCs w:val="21"/>
          <w:highlight w:val="none"/>
        </w:rPr>
        <w:t>www.creditchina.gov.cn</w:t>
      </w:r>
      <w:r>
        <w:rPr>
          <w:rFonts w:hint="eastAsia" w:cs="Times New Roman"/>
          <w:bCs/>
          <w:color w:val="auto"/>
          <w:sz w:val="21"/>
          <w:szCs w:val="21"/>
          <w:highlight w:val="none"/>
        </w:rPr>
        <w:t>）</w:t>
      </w:r>
      <w:r>
        <w:rPr>
          <w:rFonts w:cs="Times New Roman"/>
          <w:bCs/>
          <w:color w:val="auto"/>
          <w:sz w:val="21"/>
          <w:szCs w:val="21"/>
          <w:highlight w:val="none"/>
        </w:rPr>
        <w:t>、中国政府采购网（www.ccgp.gov.cn）列入失信被执行人、重大税收违法案件当事人名单、政府采购严重违法失信行为记录名单。</w:t>
      </w:r>
    </w:p>
    <w:p w14:paraId="591B499D">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2.落实政府采购政策需满足的资格要求：本项目专门面向中小企业采购，需按要求提交《中小企业声明函》</w:t>
      </w:r>
    </w:p>
    <w:p w14:paraId="06E3EBF2">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服务全部由符合政策要求的中小企业承接，提供《中小企业声明函》；</w:t>
      </w:r>
    </w:p>
    <w:p w14:paraId="70DF6992">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本项目属性为：服务</w:t>
      </w:r>
    </w:p>
    <w:p w14:paraId="45E1EAE4">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采购标的对应的中小企业划分标准所属行业：软件和信息技术服务业。</w:t>
      </w:r>
    </w:p>
    <w:p w14:paraId="06FD198E">
      <w:pPr>
        <w:adjustRightInd w:val="0"/>
        <w:snapToGrid w:val="0"/>
        <w:spacing w:line="288" w:lineRule="auto"/>
        <w:ind w:firstLine="422" w:firstLineChars="200"/>
        <w:rPr>
          <w:rFonts w:hint="eastAsia" w:cs="Times New Roman"/>
          <w:b/>
          <w:bCs/>
          <w:color w:val="auto"/>
          <w:sz w:val="21"/>
          <w:szCs w:val="21"/>
          <w:highlight w:val="none"/>
        </w:rPr>
      </w:pPr>
      <w:r>
        <w:rPr>
          <w:rFonts w:hint="eastAsia" w:cs="Times New Roman"/>
          <w:b/>
          <w:bCs/>
          <w:color w:val="auto"/>
          <w:sz w:val="21"/>
          <w:szCs w:val="21"/>
          <w:highlight w:val="none"/>
        </w:rPr>
        <w:t>中小企业划型标准：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6C9FF3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3.本项目的特定资格要求：无。</w:t>
      </w:r>
    </w:p>
    <w:p w14:paraId="7E504494">
      <w:pPr>
        <w:adjustRightInd w:val="0"/>
        <w:snapToGrid w:val="0"/>
        <w:spacing w:line="288" w:lineRule="auto"/>
        <w:rPr>
          <w:rFonts w:hint="eastAsia"/>
          <w:b/>
          <w:color w:val="auto"/>
          <w:sz w:val="21"/>
          <w:szCs w:val="21"/>
          <w:highlight w:val="none"/>
        </w:rPr>
      </w:pPr>
      <w:bookmarkStart w:id="11" w:name="_Toc35393623"/>
      <w:bookmarkStart w:id="12" w:name="_Toc35393792"/>
      <w:r>
        <w:rPr>
          <w:rFonts w:hint="eastAsia"/>
          <w:b/>
          <w:color w:val="auto"/>
          <w:sz w:val="21"/>
          <w:szCs w:val="21"/>
          <w:highlight w:val="none"/>
        </w:rPr>
        <w:t>三、获取（下载）采购文件</w:t>
      </w:r>
      <w:bookmarkEnd w:id="9"/>
      <w:bookmarkEnd w:id="10"/>
      <w:bookmarkEnd w:id="11"/>
      <w:bookmarkEnd w:id="12"/>
    </w:p>
    <w:p w14:paraId="6863E809">
      <w:pPr>
        <w:adjustRightInd w:val="0"/>
        <w:snapToGrid w:val="0"/>
        <w:spacing w:line="288" w:lineRule="auto"/>
        <w:ind w:firstLine="420" w:firstLineChars="200"/>
        <w:rPr>
          <w:rFonts w:hint="eastAsia"/>
          <w:color w:val="auto"/>
          <w:sz w:val="21"/>
          <w:szCs w:val="21"/>
          <w:highlight w:val="none"/>
        </w:rPr>
      </w:pPr>
      <w:bookmarkStart w:id="13" w:name="_Toc35393624"/>
      <w:bookmarkStart w:id="14" w:name="_Toc28359005"/>
      <w:bookmarkStart w:id="15" w:name="_Toc35393793"/>
      <w:bookmarkStart w:id="16" w:name="_Toc28359082"/>
      <w:r>
        <w:rPr>
          <w:rFonts w:hint="eastAsia"/>
          <w:color w:val="auto"/>
          <w:sz w:val="21"/>
          <w:szCs w:val="21"/>
          <w:highlight w:val="none"/>
        </w:rPr>
        <w:t>时间：2025年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9</w:t>
      </w:r>
      <w:r>
        <w:rPr>
          <w:rFonts w:hint="eastAsia"/>
          <w:color w:val="auto"/>
          <w:sz w:val="21"/>
          <w:szCs w:val="21"/>
          <w:highlight w:val="none"/>
        </w:rPr>
        <w:t>日至2025年</w:t>
      </w:r>
      <w:r>
        <w:rPr>
          <w:rFonts w:hint="eastAsia"/>
          <w:color w:val="auto"/>
          <w:sz w:val="21"/>
          <w:szCs w:val="21"/>
          <w:highlight w:val="none"/>
          <w:lang w:val="en-US" w:eastAsia="zh-CN"/>
        </w:rPr>
        <w:t>6</w:t>
      </w:r>
      <w:r>
        <w:rPr>
          <w:rFonts w:hint="eastAsia"/>
          <w:color w:val="auto"/>
          <w:sz w:val="21"/>
          <w:szCs w:val="21"/>
          <w:highlight w:val="none"/>
        </w:rPr>
        <w:t>月</w:t>
      </w:r>
      <w:r>
        <w:rPr>
          <w:rFonts w:hint="eastAsia"/>
          <w:color w:val="auto"/>
          <w:sz w:val="21"/>
          <w:szCs w:val="21"/>
          <w:highlight w:val="none"/>
          <w:lang w:val="en-US" w:eastAsia="zh-CN"/>
        </w:rPr>
        <w:t>20</w:t>
      </w:r>
      <w:r>
        <w:rPr>
          <w:rFonts w:hint="eastAsia"/>
          <w:color w:val="auto"/>
          <w:sz w:val="21"/>
          <w:szCs w:val="21"/>
          <w:highlight w:val="none"/>
        </w:rPr>
        <w:t>日，每天上午00:00至12:00，下午12:00至23:59（北京时间，线上获取法定节假日均可，线下获取文件法定节假日除外）</w:t>
      </w:r>
    </w:p>
    <w:p w14:paraId="5BC98E4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地点（网址）：政府采购云平台（</w:t>
      </w:r>
      <w:r>
        <w:rPr>
          <w:color w:val="auto"/>
          <w:sz w:val="21"/>
          <w:szCs w:val="21"/>
          <w:highlight w:val="none"/>
        </w:rPr>
        <w:t>https://www.zcygov.cn</w:t>
      </w:r>
      <w:r>
        <w:rPr>
          <w:rFonts w:hint="eastAsia"/>
          <w:color w:val="auto"/>
          <w:sz w:val="21"/>
          <w:szCs w:val="21"/>
          <w:highlight w:val="none"/>
        </w:rPr>
        <w:t>）</w:t>
      </w:r>
    </w:p>
    <w:p w14:paraId="5E6491B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方式：供应商登录政采云平台（</w:t>
      </w:r>
      <w:r>
        <w:rPr>
          <w:color w:val="auto"/>
          <w:sz w:val="21"/>
          <w:szCs w:val="21"/>
          <w:highlight w:val="none"/>
        </w:rPr>
        <w:t>https://www.zcygov.cn</w:t>
      </w:r>
      <w:r>
        <w:rPr>
          <w:rFonts w:hint="eastAsia"/>
          <w:color w:val="auto"/>
          <w:sz w:val="21"/>
          <w:szCs w:val="21"/>
          <w:highlight w:val="none"/>
        </w:rPr>
        <w:t>）</w:t>
      </w:r>
      <w:r>
        <w:rPr>
          <w:color w:val="auto"/>
          <w:sz w:val="21"/>
          <w:szCs w:val="21"/>
          <w:highlight w:val="none"/>
        </w:rPr>
        <w:t>在线申请获取采购文件（进入“项目采购”应用，在获取采购文件菜单中选择项目，申请获取采购文件）</w:t>
      </w:r>
    </w:p>
    <w:p w14:paraId="5337C5D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售价（元）：0</w:t>
      </w:r>
    </w:p>
    <w:p w14:paraId="1DAEB70F">
      <w:pPr>
        <w:adjustRightInd w:val="0"/>
        <w:snapToGrid w:val="0"/>
        <w:spacing w:line="288" w:lineRule="auto"/>
        <w:rPr>
          <w:rFonts w:hint="eastAsia"/>
          <w:b/>
          <w:color w:val="auto"/>
          <w:sz w:val="21"/>
          <w:szCs w:val="21"/>
          <w:highlight w:val="none"/>
        </w:rPr>
      </w:pPr>
      <w:r>
        <w:rPr>
          <w:rFonts w:hint="eastAsia"/>
          <w:b/>
          <w:color w:val="auto"/>
          <w:sz w:val="21"/>
          <w:szCs w:val="21"/>
          <w:highlight w:val="none"/>
        </w:rPr>
        <w:t>四、</w:t>
      </w:r>
      <w:bookmarkEnd w:id="13"/>
      <w:bookmarkEnd w:id="14"/>
      <w:bookmarkEnd w:id="15"/>
      <w:bookmarkEnd w:id="16"/>
      <w:r>
        <w:rPr>
          <w:rFonts w:hint="eastAsia"/>
          <w:b/>
          <w:color w:val="auto"/>
          <w:sz w:val="21"/>
          <w:szCs w:val="21"/>
          <w:highlight w:val="none"/>
        </w:rPr>
        <w:t>响应文件提交（上传）</w:t>
      </w:r>
    </w:p>
    <w:p w14:paraId="52B17305">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截止时间：</w:t>
      </w:r>
      <w:r>
        <w:rPr>
          <w:rFonts w:hint="eastAsia"/>
          <w:bCs/>
          <w:color w:val="auto"/>
          <w:sz w:val="21"/>
          <w:szCs w:val="21"/>
          <w:highlight w:val="none"/>
          <w:lang w:eastAsia="zh-CN"/>
        </w:rPr>
        <w:t>2025年6月20日9:30:00</w:t>
      </w:r>
      <w:r>
        <w:rPr>
          <w:rFonts w:hint="eastAsia"/>
          <w:bCs/>
          <w:color w:val="auto"/>
          <w:sz w:val="21"/>
          <w:szCs w:val="21"/>
          <w:highlight w:val="none"/>
        </w:rPr>
        <w:t>（北京时间）</w:t>
      </w:r>
    </w:p>
    <w:p w14:paraId="7C9665F9">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地点</w:t>
      </w:r>
      <w:r>
        <w:rPr>
          <w:rFonts w:hint="eastAsia"/>
          <w:color w:val="auto"/>
          <w:sz w:val="21"/>
          <w:szCs w:val="21"/>
          <w:highlight w:val="none"/>
        </w:rPr>
        <w:t>（网址）：政府采购云平台（https://www.zcygov.cn）</w:t>
      </w:r>
    </w:p>
    <w:p w14:paraId="30D2F586">
      <w:pPr>
        <w:adjustRightInd w:val="0"/>
        <w:snapToGrid w:val="0"/>
        <w:spacing w:line="288" w:lineRule="auto"/>
        <w:rPr>
          <w:rFonts w:hint="eastAsia"/>
          <w:b/>
          <w:color w:val="auto"/>
          <w:sz w:val="21"/>
          <w:szCs w:val="21"/>
          <w:highlight w:val="none"/>
        </w:rPr>
      </w:pPr>
      <w:bookmarkStart w:id="17" w:name="_Toc28359007"/>
      <w:bookmarkStart w:id="18" w:name="_Toc35393794"/>
      <w:bookmarkStart w:id="19" w:name="_Toc28359084"/>
      <w:bookmarkStart w:id="20" w:name="_Toc35393625"/>
      <w:r>
        <w:rPr>
          <w:rFonts w:hint="eastAsia"/>
          <w:b/>
          <w:color w:val="auto"/>
          <w:sz w:val="21"/>
          <w:szCs w:val="21"/>
          <w:highlight w:val="none"/>
        </w:rPr>
        <w:t>五、响应文件开启</w:t>
      </w:r>
    </w:p>
    <w:p w14:paraId="2821D718">
      <w:pPr>
        <w:adjustRightInd w:val="0"/>
        <w:snapToGrid w:val="0"/>
        <w:spacing w:line="288" w:lineRule="auto"/>
        <w:ind w:firstLine="420" w:firstLineChars="200"/>
        <w:rPr>
          <w:rFonts w:hint="eastAsia"/>
          <w:bCs/>
          <w:color w:val="auto"/>
          <w:sz w:val="21"/>
          <w:szCs w:val="21"/>
          <w:highlight w:val="none"/>
        </w:rPr>
      </w:pPr>
      <w:r>
        <w:rPr>
          <w:rFonts w:hint="eastAsia"/>
          <w:bCs/>
          <w:color w:val="auto"/>
          <w:sz w:val="21"/>
          <w:szCs w:val="21"/>
          <w:highlight w:val="none"/>
        </w:rPr>
        <w:t>开启时间：</w:t>
      </w:r>
      <w:r>
        <w:rPr>
          <w:rFonts w:hint="eastAsia"/>
          <w:bCs/>
          <w:color w:val="auto"/>
          <w:sz w:val="21"/>
          <w:szCs w:val="21"/>
          <w:highlight w:val="none"/>
          <w:lang w:eastAsia="zh-CN"/>
        </w:rPr>
        <w:t>2025年6月20日9:30:00</w:t>
      </w:r>
      <w:r>
        <w:rPr>
          <w:rFonts w:hint="eastAsia"/>
          <w:bCs/>
          <w:color w:val="auto"/>
          <w:sz w:val="21"/>
          <w:szCs w:val="21"/>
          <w:highlight w:val="none"/>
        </w:rPr>
        <w:t>（北京时间）</w:t>
      </w:r>
    </w:p>
    <w:p w14:paraId="35457D26">
      <w:pPr>
        <w:adjustRightInd w:val="0"/>
        <w:snapToGrid w:val="0"/>
        <w:spacing w:line="288" w:lineRule="auto"/>
        <w:ind w:firstLine="420" w:firstLineChars="200"/>
        <w:rPr>
          <w:rFonts w:hint="eastAsia" w:eastAsia="宋体"/>
          <w:bCs/>
          <w:color w:val="auto"/>
          <w:sz w:val="21"/>
          <w:szCs w:val="21"/>
          <w:highlight w:val="none"/>
          <w:lang w:eastAsia="zh-CN"/>
        </w:rPr>
      </w:pPr>
      <w:r>
        <w:rPr>
          <w:rFonts w:hint="eastAsia"/>
          <w:bCs/>
          <w:color w:val="auto"/>
          <w:sz w:val="21"/>
          <w:szCs w:val="21"/>
          <w:highlight w:val="none"/>
        </w:rPr>
        <w:t>地点</w:t>
      </w:r>
      <w:r>
        <w:rPr>
          <w:rFonts w:hint="eastAsia"/>
          <w:color w:val="auto"/>
          <w:sz w:val="21"/>
          <w:szCs w:val="21"/>
          <w:highlight w:val="none"/>
        </w:rPr>
        <w:t>（网址）：政府采购云平台（https://www.zcygov.cn）</w:t>
      </w:r>
      <w:r>
        <w:rPr>
          <w:rFonts w:hint="eastAsia" w:cs="Times New Roman"/>
          <w:color w:val="auto"/>
          <w:sz w:val="21"/>
          <w:szCs w:val="21"/>
          <w:highlight w:val="none"/>
        </w:rPr>
        <w:t>/</w:t>
      </w:r>
      <w:r>
        <w:rPr>
          <w:rFonts w:hint="eastAsia" w:cs="Times New Roman"/>
          <w:color w:val="auto"/>
          <w:sz w:val="21"/>
          <w:szCs w:val="21"/>
          <w:highlight w:val="none"/>
          <w:lang w:eastAsia="zh-CN"/>
        </w:rPr>
        <w:t>杭州市西湖区玉古路173号中田大厦</w:t>
      </w:r>
      <w:bookmarkStart w:id="73" w:name="_GoBack"/>
      <w:bookmarkEnd w:id="73"/>
      <w:r>
        <w:rPr>
          <w:rFonts w:hint="eastAsia" w:cs="Times New Roman"/>
          <w:color w:val="auto"/>
          <w:sz w:val="21"/>
          <w:szCs w:val="21"/>
          <w:highlight w:val="none"/>
          <w:lang w:eastAsia="zh-CN"/>
        </w:rPr>
        <w:t>21楼（求是招标会议室1）</w:t>
      </w:r>
    </w:p>
    <w:p w14:paraId="45DEF4F2">
      <w:pPr>
        <w:adjustRightInd w:val="0"/>
        <w:snapToGrid w:val="0"/>
        <w:spacing w:line="288" w:lineRule="auto"/>
        <w:rPr>
          <w:rFonts w:hint="eastAsia"/>
          <w:b/>
          <w:color w:val="auto"/>
          <w:sz w:val="21"/>
          <w:szCs w:val="21"/>
          <w:highlight w:val="none"/>
        </w:rPr>
      </w:pPr>
      <w:r>
        <w:rPr>
          <w:rFonts w:hint="eastAsia"/>
          <w:b/>
          <w:color w:val="auto"/>
          <w:sz w:val="21"/>
          <w:szCs w:val="21"/>
          <w:highlight w:val="none"/>
        </w:rPr>
        <w:t>六、公告期限</w:t>
      </w:r>
      <w:bookmarkEnd w:id="17"/>
      <w:bookmarkEnd w:id="18"/>
      <w:bookmarkEnd w:id="19"/>
      <w:bookmarkEnd w:id="20"/>
    </w:p>
    <w:p w14:paraId="1567AF19">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自本公告发布之日起3个工作日。</w:t>
      </w:r>
    </w:p>
    <w:p w14:paraId="45B51AFD">
      <w:pPr>
        <w:adjustRightInd w:val="0"/>
        <w:snapToGrid w:val="0"/>
        <w:spacing w:line="288" w:lineRule="auto"/>
        <w:rPr>
          <w:rFonts w:hint="eastAsia"/>
          <w:b/>
          <w:color w:val="auto"/>
          <w:sz w:val="21"/>
          <w:szCs w:val="21"/>
          <w:highlight w:val="none"/>
        </w:rPr>
      </w:pPr>
      <w:bookmarkStart w:id="21" w:name="_Toc35393795"/>
      <w:bookmarkStart w:id="22" w:name="_Toc35393626"/>
      <w:r>
        <w:rPr>
          <w:rFonts w:hint="eastAsia"/>
          <w:b/>
          <w:color w:val="auto"/>
          <w:sz w:val="21"/>
          <w:szCs w:val="21"/>
          <w:highlight w:val="none"/>
        </w:rPr>
        <w:t>七、其他补充事宜</w:t>
      </w:r>
      <w:bookmarkEnd w:id="21"/>
      <w:bookmarkEnd w:id="22"/>
    </w:p>
    <w:p w14:paraId="4FD92BA2">
      <w:pPr>
        <w:adjustRightInd w:val="0"/>
        <w:snapToGrid w:val="0"/>
        <w:spacing w:line="288" w:lineRule="auto"/>
        <w:ind w:firstLine="420" w:firstLineChars="200"/>
        <w:rPr>
          <w:rFonts w:hint="eastAsia" w:cs="Times New Roman"/>
          <w:color w:val="auto"/>
          <w:sz w:val="21"/>
          <w:szCs w:val="21"/>
          <w:highlight w:val="none"/>
        </w:rPr>
      </w:pPr>
      <w:bookmarkStart w:id="23" w:name="_Hlk97039575"/>
      <w:bookmarkStart w:id="24" w:name="_Toc28359008"/>
      <w:bookmarkStart w:id="25" w:name="_Toc35393627"/>
      <w:bookmarkStart w:id="26" w:name="_Toc28359085"/>
      <w:bookmarkStart w:id="27" w:name="_Toc35393796"/>
      <w:r>
        <w:rPr>
          <w:rFonts w:cs="Times New Roman"/>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96BC9E1">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2CA963">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76AFCFA">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4.其他事项：</w:t>
      </w:r>
    </w:p>
    <w:p w14:paraId="4E77DDA2">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w:t>
      </w:r>
      <w:r>
        <w:rPr>
          <w:rFonts w:hint="eastAsia" w:cs="Times New Roman"/>
          <w:color w:val="auto"/>
          <w:sz w:val="21"/>
          <w:szCs w:val="21"/>
          <w:highlight w:val="none"/>
        </w:rPr>
        <w:t>1</w:t>
      </w:r>
      <w:r>
        <w:rPr>
          <w:rFonts w:cs="Times New Roman"/>
          <w:color w:val="auto"/>
          <w:sz w:val="21"/>
          <w:szCs w:val="21"/>
          <w:highlight w:val="none"/>
        </w:rPr>
        <w:t>）需要落实的政府采购政策：包括节约资源、保护环境、</w:t>
      </w:r>
      <w:r>
        <w:rPr>
          <w:rFonts w:hint="eastAsia" w:cs="Times New Roman"/>
          <w:color w:val="auto"/>
          <w:sz w:val="21"/>
          <w:szCs w:val="21"/>
          <w:highlight w:val="none"/>
        </w:rPr>
        <w:t>支持科技创新、</w:t>
      </w:r>
      <w:r>
        <w:rPr>
          <w:rFonts w:cs="Times New Roman"/>
          <w:color w:val="auto"/>
          <w:sz w:val="21"/>
          <w:szCs w:val="21"/>
          <w:highlight w:val="none"/>
        </w:rPr>
        <w:t>促进中小企业发展等。详见磋商文件的第</w:t>
      </w:r>
      <w:r>
        <w:rPr>
          <w:rFonts w:hint="eastAsia" w:cs="Times New Roman"/>
          <w:color w:val="auto"/>
          <w:sz w:val="21"/>
          <w:szCs w:val="21"/>
          <w:highlight w:val="none"/>
        </w:rPr>
        <w:t>三章-采购项目需要落实的政府采购政策</w:t>
      </w:r>
      <w:r>
        <w:rPr>
          <w:rFonts w:cs="Times New Roman"/>
          <w:color w:val="auto"/>
          <w:sz w:val="21"/>
          <w:szCs w:val="21"/>
          <w:highlight w:val="none"/>
        </w:rPr>
        <w:t>。</w:t>
      </w:r>
    </w:p>
    <w:bookmarkEnd w:id="23"/>
    <w:p w14:paraId="677E6F62">
      <w:pPr>
        <w:adjustRightInd w:val="0"/>
        <w:snapToGrid w:val="0"/>
        <w:spacing w:line="288" w:lineRule="auto"/>
        <w:ind w:firstLine="420" w:firstLineChars="200"/>
        <w:rPr>
          <w:rFonts w:hint="eastAsia"/>
          <w:bCs/>
          <w:color w:val="auto"/>
          <w:sz w:val="21"/>
          <w:szCs w:val="21"/>
          <w:highlight w:val="none"/>
        </w:rPr>
      </w:pPr>
      <w:r>
        <w:rPr>
          <w:rFonts w:hint="eastAsia" w:cs="Times New Roman"/>
          <w:color w:val="auto"/>
          <w:sz w:val="21"/>
          <w:szCs w:val="21"/>
          <w:highlight w:val="none"/>
        </w:rPr>
        <w:t>▲</w:t>
      </w:r>
      <w:bookmarkStart w:id="28" w:name="_Hlk92271072"/>
      <w:r>
        <w:rPr>
          <w:rFonts w:hint="eastAsia" w:cs="Times New Roman"/>
          <w:color w:val="auto"/>
          <w:sz w:val="21"/>
          <w:szCs w:val="21"/>
          <w:highlight w:val="none"/>
        </w:rPr>
        <w:t>（2）</w:t>
      </w:r>
      <w:r>
        <w:rPr>
          <w:rFonts w:cs="Times New Roman"/>
          <w:color w:val="auto"/>
          <w:sz w:val="21"/>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7883F324">
      <w:pPr>
        <w:adjustRightInd w:val="0"/>
        <w:snapToGrid w:val="0"/>
        <w:spacing w:line="288" w:lineRule="auto"/>
        <w:rPr>
          <w:rFonts w:hint="eastAsia"/>
          <w:b/>
          <w:color w:val="auto"/>
          <w:sz w:val="21"/>
          <w:szCs w:val="21"/>
          <w:highlight w:val="none"/>
        </w:rPr>
      </w:pPr>
      <w:r>
        <w:rPr>
          <w:rFonts w:hint="eastAsia"/>
          <w:b/>
          <w:color w:val="auto"/>
          <w:sz w:val="21"/>
          <w:szCs w:val="21"/>
          <w:highlight w:val="none"/>
        </w:rPr>
        <w:t>八、凡对本次采购提出询问、质疑、投诉请按以下方式联系</w:t>
      </w:r>
      <w:bookmarkEnd w:id="24"/>
      <w:bookmarkEnd w:id="25"/>
      <w:bookmarkEnd w:id="26"/>
      <w:bookmarkEnd w:id="27"/>
    </w:p>
    <w:p w14:paraId="7913A589">
      <w:pPr>
        <w:adjustRightInd w:val="0"/>
        <w:snapToGrid w:val="0"/>
        <w:spacing w:line="288" w:lineRule="auto"/>
        <w:ind w:firstLine="424" w:firstLineChars="202"/>
        <w:rPr>
          <w:rFonts w:hint="eastAsia"/>
          <w:color w:val="auto"/>
          <w:sz w:val="21"/>
          <w:szCs w:val="21"/>
          <w:highlight w:val="none"/>
        </w:rPr>
      </w:pPr>
      <w:r>
        <w:rPr>
          <w:color w:val="auto"/>
          <w:sz w:val="21"/>
          <w:szCs w:val="21"/>
          <w:highlight w:val="none"/>
        </w:rPr>
        <w:t>1.采购人信息</w:t>
      </w:r>
    </w:p>
    <w:p w14:paraId="01C2638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名称：浙江交通职业技术学院</w:t>
      </w:r>
    </w:p>
    <w:p w14:paraId="19719F32">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地址：杭州市余杭区古墩路1516号</w:t>
      </w:r>
    </w:p>
    <w:p w14:paraId="36F4F086">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r>
        <w:rPr>
          <w:color w:val="auto"/>
          <w:sz w:val="21"/>
          <w:szCs w:val="21"/>
          <w:highlight w:val="none"/>
        </w:rPr>
        <w:t>/</w:t>
      </w:r>
    </w:p>
    <w:p w14:paraId="6DBC075D">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项目联系人（询问）：李老师</w:t>
      </w:r>
    </w:p>
    <w:p w14:paraId="61736DF3">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项目联系方式（询问）：0571-88484981</w:t>
      </w:r>
    </w:p>
    <w:p w14:paraId="244DE429">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质疑联系人：徐老师</w:t>
      </w:r>
    </w:p>
    <w:p w14:paraId="5B36CD6A">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质疑联系方式：0571-88484981</w:t>
      </w:r>
    </w:p>
    <w:p w14:paraId="60733126">
      <w:pPr>
        <w:pStyle w:val="16"/>
        <w:rPr>
          <w:color w:val="auto"/>
          <w:highlight w:val="none"/>
        </w:rPr>
      </w:pPr>
    </w:p>
    <w:p w14:paraId="3E31703F">
      <w:pPr>
        <w:adjustRightInd w:val="0"/>
        <w:snapToGrid w:val="0"/>
        <w:spacing w:line="288" w:lineRule="auto"/>
        <w:ind w:firstLine="424" w:firstLineChars="202"/>
        <w:rPr>
          <w:rFonts w:hint="eastAsia"/>
          <w:color w:val="auto"/>
          <w:sz w:val="21"/>
          <w:szCs w:val="21"/>
          <w:highlight w:val="none"/>
        </w:rPr>
      </w:pPr>
      <w:r>
        <w:rPr>
          <w:color w:val="auto"/>
          <w:sz w:val="21"/>
          <w:szCs w:val="21"/>
          <w:highlight w:val="none"/>
        </w:rPr>
        <w:t>2.采购代理机构信息</w:t>
      </w:r>
    </w:p>
    <w:p w14:paraId="09ABFAE1">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名称：浙江求是招标代理有限公司</w:t>
      </w:r>
    </w:p>
    <w:p w14:paraId="25C442FC">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地址：杭州市西湖区玉古路</w:t>
      </w:r>
      <w:r>
        <w:rPr>
          <w:color w:val="auto"/>
          <w:sz w:val="21"/>
          <w:szCs w:val="21"/>
          <w:highlight w:val="none"/>
        </w:rPr>
        <w:t>173号中田大厦21楼</w:t>
      </w:r>
    </w:p>
    <w:p w14:paraId="754A8EB1">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传真：</w:t>
      </w:r>
      <w:r>
        <w:rPr>
          <w:color w:val="auto"/>
          <w:sz w:val="21"/>
          <w:szCs w:val="21"/>
          <w:highlight w:val="none"/>
        </w:rPr>
        <w:t>/</w:t>
      </w:r>
    </w:p>
    <w:p w14:paraId="485111A3">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项目联系人（询问）：李聪、温瑶、陈培特、杜伟波</w:t>
      </w:r>
    </w:p>
    <w:p w14:paraId="691E856F">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项目联系方式（询问）：0571-87666115</w:t>
      </w:r>
    </w:p>
    <w:p w14:paraId="52F1F0C1">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质疑联系人：周安琪</w:t>
      </w:r>
    </w:p>
    <w:p w14:paraId="26ADF880">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质疑联系方式：</w:t>
      </w:r>
      <w:r>
        <w:rPr>
          <w:color w:val="auto"/>
          <w:sz w:val="21"/>
          <w:szCs w:val="21"/>
          <w:highlight w:val="none"/>
        </w:rPr>
        <w:t>0571-81110356</w:t>
      </w:r>
    </w:p>
    <w:p w14:paraId="7B231EE9">
      <w:pPr>
        <w:adjustRightInd w:val="0"/>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质疑邮箱：</w:t>
      </w:r>
      <w:r>
        <w:rPr>
          <w:color w:val="auto"/>
          <w:sz w:val="21"/>
          <w:szCs w:val="21"/>
          <w:highlight w:val="none"/>
        </w:rPr>
        <w:t>jdkh@qszb.net</w:t>
      </w:r>
    </w:p>
    <w:p w14:paraId="0D65DDBD">
      <w:pPr>
        <w:adjustRightInd w:val="0"/>
        <w:snapToGrid w:val="0"/>
        <w:spacing w:line="288" w:lineRule="auto"/>
        <w:ind w:firstLine="424" w:firstLineChars="202"/>
        <w:rPr>
          <w:rFonts w:hint="eastAsia" w:cs="Times New Roman"/>
          <w:color w:val="auto"/>
          <w:sz w:val="21"/>
          <w:szCs w:val="21"/>
          <w:highlight w:val="none"/>
        </w:rPr>
      </w:pPr>
    </w:p>
    <w:p w14:paraId="17F85056">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3.同级政府采购监督管理部门</w:t>
      </w:r>
    </w:p>
    <w:p w14:paraId="2C2EC152">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名称：浙江省财政厅政府采购监管处、浙江省政府采购行政裁决服务中心（杭州）</w:t>
      </w:r>
    </w:p>
    <w:p w14:paraId="18BB249C">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地址：杭州市上城区清泰街549号城建综合大楼11楼（快递仅限ems或顺丰）</w:t>
      </w:r>
    </w:p>
    <w:p w14:paraId="5E782287">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传真：/</w:t>
      </w:r>
    </w:p>
    <w:p w14:paraId="41D1752D">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联系人：朱老师、王老师、匡老师</w:t>
      </w:r>
    </w:p>
    <w:p w14:paraId="1B891AEA">
      <w:pPr>
        <w:adjustRightInd w:val="0"/>
        <w:snapToGrid w:val="0"/>
        <w:spacing w:line="288" w:lineRule="auto"/>
        <w:ind w:firstLine="425" w:firstLineChars="215"/>
        <w:rPr>
          <w:rFonts w:hint="eastAsia" w:cs="Times New Roman"/>
          <w:color w:val="auto"/>
          <w:spacing w:val="-6"/>
          <w:sz w:val="21"/>
          <w:szCs w:val="21"/>
          <w:highlight w:val="none"/>
        </w:rPr>
      </w:pPr>
      <w:r>
        <w:rPr>
          <w:rFonts w:hint="eastAsia" w:cs="Times New Roman"/>
          <w:color w:val="auto"/>
          <w:spacing w:val="-6"/>
          <w:sz w:val="21"/>
          <w:szCs w:val="21"/>
          <w:highlight w:val="none"/>
        </w:rPr>
        <w:t>监督投诉电话：0571-87227671,0571-87800218</w:t>
      </w:r>
    </w:p>
    <w:p w14:paraId="75DA3522">
      <w:pPr>
        <w:adjustRightInd w:val="0"/>
        <w:snapToGrid w:val="0"/>
        <w:spacing w:line="288" w:lineRule="auto"/>
        <w:ind w:firstLine="425" w:firstLineChars="215"/>
        <w:rPr>
          <w:rFonts w:hint="eastAsia" w:cs="Times New Roman"/>
          <w:color w:val="auto"/>
          <w:spacing w:val="-6"/>
          <w:sz w:val="21"/>
          <w:szCs w:val="21"/>
          <w:highlight w:val="none"/>
        </w:rPr>
      </w:pPr>
    </w:p>
    <w:p w14:paraId="4F35470C">
      <w:pPr>
        <w:adjustRightInd w:val="0"/>
        <w:snapToGrid w:val="0"/>
        <w:spacing w:line="288" w:lineRule="auto"/>
        <w:ind w:firstLine="425" w:firstLineChars="215"/>
        <w:rPr>
          <w:rFonts w:hint="eastAsia" w:cs="Times New Roman"/>
          <w:color w:val="auto"/>
          <w:spacing w:val="-6"/>
          <w:sz w:val="21"/>
          <w:szCs w:val="21"/>
          <w:highlight w:val="none"/>
        </w:rPr>
      </w:pPr>
      <w:r>
        <w:rPr>
          <w:rFonts w:cs="Times New Roman"/>
          <w:color w:val="auto"/>
          <w:spacing w:val="-6"/>
          <w:sz w:val="21"/>
          <w:szCs w:val="21"/>
          <w:highlight w:val="none"/>
        </w:rPr>
        <w:t>政策咨询：何一平、冯华，0571-87058424、87055741</w:t>
      </w:r>
    </w:p>
    <w:p w14:paraId="49F36E33">
      <w:pPr>
        <w:adjustRightInd w:val="0"/>
        <w:snapToGrid w:val="0"/>
        <w:spacing w:line="288" w:lineRule="auto"/>
        <w:ind w:firstLine="425" w:firstLineChars="215"/>
        <w:rPr>
          <w:rFonts w:hint="eastAsia" w:cs="Times New Roman"/>
          <w:color w:val="auto"/>
          <w:spacing w:val="-6"/>
          <w:sz w:val="21"/>
          <w:szCs w:val="21"/>
          <w:highlight w:val="none"/>
        </w:rPr>
      </w:pPr>
      <w:r>
        <w:rPr>
          <w:rFonts w:cs="Times New Roman"/>
          <w:color w:val="auto"/>
          <w:spacing w:val="-6"/>
          <w:sz w:val="21"/>
          <w:szCs w:val="21"/>
          <w:highlight w:val="none"/>
        </w:rPr>
        <w:t>预算金额未达100万元的采购项目，由采购人处理采购争议。</w:t>
      </w:r>
    </w:p>
    <w:p w14:paraId="1AD78860">
      <w:pPr>
        <w:adjustRightInd w:val="0"/>
        <w:snapToGrid w:val="0"/>
        <w:spacing w:line="288" w:lineRule="auto"/>
        <w:rPr>
          <w:rFonts w:hint="eastAsia" w:cs="Times New Roman"/>
          <w:color w:val="auto"/>
          <w:spacing w:val="-6"/>
          <w:sz w:val="21"/>
          <w:szCs w:val="21"/>
          <w:highlight w:val="none"/>
        </w:rPr>
      </w:pPr>
    </w:p>
    <w:p w14:paraId="5997894A">
      <w:pPr>
        <w:adjustRightInd w:val="0"/>
        <w:snapToGrid w:val="0"/>
        <w:spacing w:line="288" w:lineRule="auto"/>
        <w:ind w:firstLine="420" w:firstLineChars="200"/>
        <w:rPr>
          <w:rFonts w:hint="eastAsia" w:cs="Times New Roman"/>
          <w:color w:val="auto"/>
          <w:sz w:val="21"/>
          <w:szCs w:val="21"/>
          <w:highlight w:val="none"/>
        </w:rPr>
      </w:pPr>
      <w:r>
        <w:rPr>
          <w:rFonts w:hint="eastAsia" w:cs="Times New Roman"/>
          <w:color w:val="auto"/>
          <w:sz w:val="21"/>
          <w:szCs w:val="21"/>
          <w:highlight w:val="none"/>
        </w:rPr>
        <w:t>若对项目采购电子交易系统操作有疑问，可登录政采云（</w:t>
      </w:r>
      <w:r>
        <w:rPr>
          <w:rFonts w:cs="Times New Roman"/>
          <w:color w:val="auto"/>
          <w:sz w:val="21"/>
          <w:szCs w:val="21"/>
          <w:highlight w:val="none"/>
        </w:rPr>
        <w:t>https://www.zcygov.cn/），点击右侧咨询小采，获取采小蜜智能服务管家帮助，或拨打政采云服务热线95763获取热线服务帮助。</w:t>
      </w:r>
    </w:p>
    <w:p w14:paraId="257AC17D">
      <w:pPr>
        <w:adjustRightInd w:val="0"/>
        <w:snapToGrid w:val="0"/>
        <w:spacing w:line="288" w:lineRule="auto"/>
        <w:ind w:firstLine="420" w:firstLineChars="200"/>
        <w:rPr>
          <w:rFonts w:hint="eastAsia" w:cs="Times New Roman"/>
          <w:color w:val="auto"/>
          <w:sz w:val="21"/>
          <w:szCs w:val="21"/>
          <w:highlight w:val="none"/>
        </w:rPr>
      </w:pPr>
      <w:r>
        <w:rPr>
          <w:rFonts w:cs="Times New Roman"/>
          <w:color w:val="auto"/>
          <w:sz w:val="21"/>
          <w:szCs w:val="21"/>
          <w:highlight w:val="none"/>
        </w:rPr>
        <w:t>CA问题联系电话（人工）：汇信CA 400-888-4636；天谷CA 400-087-8198。</w:t>
      </w:r>
    </w:p>
    <w:p w14:paraId="715D9792">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2E8CC0F7">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第二章  采购需求</w:t>
      </w:r>
    </w:p>
    <w:p w14:paraId="68D38032">
      <w:pPr>
        <w:adjustRightInd w:val="0"/>
        <w:snapToGrid w:val="0"/>
        <w:spacing w:line="288" w:lineRule="auto"/>
        <w:jc w:val="left"/>
        <w:outlineLvl w:val="1"/>
        <w:rPr>
          <w:rFonts w:hint="eastAsia"/>
          <w:b/>
          <w:bCs/>
          <w:color w:val="auto"/>
          <w:sz w:val="21"/>
          <w:szCs w:val="21"/>
          <w:highlight w:val="none"/>
        </w:rPr>
      </w:pPr>
      <w:r>
        <w:rPr>
          <w:rFonts w:hint="eastAsia"/>
          <w:b/>
          <w:bCs/>
          <w:color w:val="auto"/>
          <w:sz w:val="21"/>
          <w:szCs w:val="21"/>
          <w:highlight w:val="none"/>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5E73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4E9EE69">
            <w:pPr>
              <w:adjustRightInd w:val="0"/>
              <w:snapToGrid w:val="0"/>
              <w:spacing w:line="288" w:lineRule="auto"/>
              <w:jc w:val="center"/>
              <w:rPr>
                <w:rFonts w:hint="eastAsia"/>
                <w:b/>
                <w:bCs/>
                <w:color w:val="auto"/>
                <w:sz w:val="21"/>
                <w:szCs w:val="21"/>
                <w:highlight w:val="none"/>
              </w:rPr>
            </w:pPr>
            <w:bookmarkStart w:id="29" w:name="_Hlk45005599"/>
            <w:r>
              <w:rPr>
                <w:rFonts w:hint="eastAsia"/>
                <w:b/>
                <w:bCs/>
                <w:color w:val="auto"/>
                <w:sz w:val="21"/>
                <w:szCs w:val="21"/>
                <w:highlight w:val="none"/>
              </w:rPr>
              <w:t>序号</w:t>
            </w:r>
          </w:p>
        </w:tc>
        <w:tc>
          <w:tcPr>
            <w:tcW w:w="3256" w:type="dxa"/>
            <w:vAlign w:val="center"/>
          </w:tcPr>
          <w:p w14:paraId="6D6BE95D">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政策名称</w:t>
            </w:r>
          </w:p>
        </w:tc>
        <w:tc>
          <w:tcPr>
            <w:tcW w:w="5529" w:type="dxa"/>
            <w:vAlign w:val="center"/>
          </w:tcPr>
          <w:p w14:paraId="5FE48FF7">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内容</w:t>
            </w:r>
          </w:p>
        </w:tc>
      </w:tr>
      <w:tr w14:paraId="0F96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FA199D9">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1</w:t>
            </w:r>
          </w:p>
        </w:tc>
        <w:tc>
          <w:tcPr>
            <w:tcW w:w="3256" w:type="dxa"/>
            <w:vAlign w:val="center"/>
          </w:tcPr>
          <w:p w14:paraId="1597CEF6">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7BEB5E86">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不适用</w:t>
            </w:r>
          </w:p>
        </w:tc>
      </w:tr>
      <w:tr w14:paraId="5396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F35DAAF">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2</w:t>
            </w:r>
          </w:p>
        </w:tc>
        <w:tc>
          <w:tcPr>
            <w:tcW w:w="3256" w:type="dxa"/>
            <w:vAlign w:val="center"/>
          </w:tcPr>
          <w:p w14:paraId="2013172F">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176D34FA">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不适用</w:t>
            </w:r>
          </w:p>
        </w:tc>
      </w:tr>
      <w:tr w14:paraId="5929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0391990">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3</w:t>
            </w:r>
          </w:p>
        </w:tc>
        <w:tc>
          <w:tcPr>
            <w:tcW w:w="3256" w:type="dxa"/>
            <w:vAlign w:val="center"/>
          </w:tcPr>
          <w:p w14:paraId="69968D90">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4FC1CEDD">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不适用</w:t>
            </w:r>
          </w:p>
        </w:tc>
      </w:tr>
      <w:tr w14:paraId="519C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428CF8C">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4</w:t>
            </w:r>
          </w:p>
        </w:tc>
        <w:tc>
          <w:tcPr>
            <w:tcW w:w="3256" w:type="dxa"/>
            <w:vAlign w:val="center"/>
          </w:tcPr>
          <w:p w14:paraId="1CAF02D5">
            <w:pPr>
              <w:adjustRightInd w:val="0"/>
              <w:snapToGrid w:val="0"/>
              <w:spacing w:line="288" w:lineRule="auto"/>
              <w:jc w:val="center"/>
              <w:rPr>
                <w:rFonts w:hint="eastAsia"/>
                <w:color w:val="auto"/>
                <w:sz w:val="21"/>
                <w:szCs w:val="18"/>
                <w:highlight w:val="none"/>
              </w:rPr>
            </w:pPr>
            <w:r>
              <w:rPr>
                <w:rFonts w:hint="eastAsia"/>
                <w:color w:val="auto"/>
                <w:sz w:val="21"/>
                <w:szCs w:val="18"/>
                <w:highlight w:val="none"/>
              </w:rPr>
              <w:t>政府采购支持科技创新</w:t>
            </w:r>
          </w:p>
        </w:tc>
        <w:tc>
          <w:tcPr>
            <w:tcW w:w="5529" w:type="dxa"/>
            <w:vAlign w:val="center"/>
          </w:tcPr>
          <w:p w14:paraId="010C581C">
            <w:pPr>
              <w:adjustRightInd w:val="0"/>
              <w:snapToGrid w:val="0"/>
              <w:spacing w:line="288" w:lineRule="auto"/>
              <w:jc w:val="left"/>
              <w:rPr>
                <w:rFonts w:hint="eastAsia"/>
                <w:color w:val="auto"/>
                <w:sz w:val="21"/>
                <w:szCs w:val="18"/>
                <w:highlight w:val="none"/>
              </w:rPr>
            </w:pPr>
            <w:r>
              <w:rPr>
                <w:rFonts w:hint="eastAsia"/>
                <w:color w:val="auto"/>
                <w:sz w:val="21"/>
                <w:szCs w:val="21"/>
                <w:highlight w:val="none"/>
              </w:rPr>
              <w:t>不适用</w:t>
            </w:r>
          </w:p>
        </w:tc>
      </w:tr>
      <w:tr w14:paraId="7AFB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9C4DCEC">
            <w:pPr>
              <w:adjustRightInd w:val="0"/>
              <w:snapToGrid w:val="0"/>
              <w:spacing w:line="288" w:lineRule="auto"/>
              <w:jc w:val="center"/>
              <w:rPr>
                <w:rFonts w:hint="eastAsia"/>
                <w:b/>
                <w:bCs/>
                <w:color w:val="auto"/>
                <w:sz w:val="21"/>
                <w:szCs w:val="21"/>
                <w:highlight w:val="none"/>
              </w:rPr>
            </w:pPr>
            <w:r>
              <w:rPr>
                <w:rFonts w:hint="eastAsia"/>
                <w:color w:val="auto"/>
                <w:sz w:val="21"/>
                <w:szCs w:val="21"/>
                <w:highlight w:val="none"/>
              </w:rPr>
              <w:t>5</w:t>
            </w:r>
          </w:p>
        </w:tc>
        <w:tc>
          <w:tcPr>
            <w:tcW w:w="3256" w:type="dxa"/>
            <w:vAlign w:val="center"/>
          </w:tcPr>
          <w:p w14:paraId="605BF950">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43785904">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提供材料详见磋商文件第六章“资格文件”</w:t>
            </w:r>
          </w:p>
        </w:tc>
      </w:tr>
      <w:tr w14:paraId="6761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5CD131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6</w:t>
            </w:r>
          </w:p>
        </w:tc>
        <w:tc>
          <w:tcPr>
            <w:tcW w:w="3256" w:type="dxa"/>
            <w:vAlign w:val="center"/>
          </w:tcPr>
          <w:p w14:paraId="4763029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3C6770DD">
            <w:pPr>
              <w:adjustRightInd w:val="0"/>
              <w:snapToGrid w:val="0"/>
              <w:spacing w:line="288" w:lineRule="auto"/>
              <w:jc w:val="left"/>
              <w:rPr>
                <w:rFonts w:hint="eastAsia" w:cs="Times New Roman"/>
                <w:b/>
                <w:bCs/>
                <w:color w:val="auto"/>
                <w:sz w:val="21"/>
                <w:szCs w:val="21"/>
                <w:highlight w:val="none"/>
              </w:rPr>
            </w:pPr>
            <w:r>
              <w:rPr>
                <w:rFonts w:hint="eastAsia"/>
                <w:color w:val="auto"/>
                <w:sz w:val="21"/>
                <w:szCs w:val="21"/>
                <w:highlight w:val="none"/>
              </w:rPr>
              <w:t>提供材料详见磋商文件第六章“资格文件”</w:t>
            </w:r>
          </w:p>
        </w:tc>
      </w:tr>
      <w:tr w14:paraId="2F5A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6707CD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7</w:t>
            </w:r>
          </w:p>
        </w:tc>
        <w:tc>
          <w:tcPr>
            <w:tcW w:w="3256" w:type="dxa"/>
            <w:vAlign w:val="center"/>
          </w:tcPr>
          <w:p w14:paraId="4471E5E6">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608D7F52">
            <w:pPr>
              <w:adjustRightInd w:val="0"/>
              <w:snapToGrid w:val="0"/>
              <w:spacing w:line="288" w:lineRule="auto"/>
              <w:jc w:val="left"/>
              <w:rPr>
                <w:rFonts w:hint="eastAsia"/>
                <w:color w:val="auto"/>
                <w:sz w:val="21"/>
                <w:szCs w:val="21"/>
                <w:highlight w:val="none"/>
              </w:rPr>
            </w:pPr>
            <w:r>
              <w:rPr>
                <w:rFonts w:hint="eastAsia"/>
                <w:color w:val="auto"/>
                <w:sz w:val="21"/>
                <w:szCs w:val="21"/>
                <w:highlight w:val="none"/>
              </w:rPr>
              <w:t>提供材料详见磋商文件第六章“资格文件”</w:t>
            </w:r>
          </w:p>
        </w:tc>
      </w:tr>
      <w:bookmarkEnd w:id="29"/>
    </w:tbl>
    <w:p w14:paraId="374889A9">
      <w:pPr>
        <w:adjustRightInd w:val="0"/>
        <w:snapToGrid w:val="0"/>
        <w:spacing w:line="288" w:lineRule="auto"/>
        <w:jc w:val="left"/>
        <w:rPr>
          <w:rFonts w:hint="eastAsia"/>
          <w:color w:val="auto"/>
          <w:sz w:val="21"/>
          <w:szCs w:val="21"/>
          <w:highlight w:val="none"/>
        </w:rPr>
      </w:pPr>
    </w:p>
    <w:p w14:paraId="74D5D742">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17C2C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4AAFE807">
            <w:pPr>
              <w:adjustRightInd w:val="0"/>
              <w:snapToGrid w:val="0"/>
              <w:spacing w:line="288" w:lineRule="auto"/>
              <w:jc w:val="center"/>
              <w:rPr>
                <w:rFonts w:hint="eastAsia" w:cs="Times New Roman"/>
                <w:b/>
                <w:color w:val="auto"/>
                <w:spacing w:val="-6"/>
                <w:sz w:val="21"/>
                <w:szCs w:val="21"/>
                <w:highlight w:val="none"/>
              </w:rPr>
            </w:pPr>
            <w:bookmarkStart w:id="30" w:name="_Hlk45005608"/>
            <w:r>
              <w:rPr>
                <w:rFonts w:hint="eastAsia" w:cs="Times New Roman"/>
                <w:b/>
                <w:color w:val="auto"/>
                <w:spacing w:val="-6"/>
                <w:sz w:val="21"/>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5965217E">
            <w:pPr>
              <w:adjustRightInd w:val="0"/>
              <w:snapToGrid w:val="0"/>
              <w:spacing w:line="288" w:lineRule="auto"/>
              <w:ind w:firstLine="396" w:firstLineChars="200"/>
              <w:rPr>
                <w:rFonts w:hint="eastAsia"/>
                <w:color w:val="auto"/>
                <w:spacing w:val="-6"/>
                <w:kern w:val="0"/>
                <w:sz w:val="21"/>
                <w:szCs w:val="21"/>
                <w:highlight w:val="none"/>
              </w:rPr>
            </w:pPr>
            <w:r>
              <w:rPr>
                <w:rFonts w:hint="eastAsia"/>
                <w:color w:val="auto"/>
                <w:spacing w:val="-6"/>
                <w:kern w:val="0"/>
                <w:sz w:val="21"/>
                <w:szCs w:val="21"/>
                <w:highlight w:val="none"/>
              </w:rPr>
              <w:t>本项目不收取履约保证金。</w:t>
            </w:r>
          </w:p>
        </w:tc>
      </w:tr>
      <w:tr w14:paraId="0AC7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7532CA0">
            <w:pPr>
              <w:adjustRightInd w:val="0"/>
              <w:snapToGrid w:val="0"/>
              <w:spacing w:line="288" w:lineRule="auto"/>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CE3D0A4">
            <w:pPr>
              <w:autoSpaceDE w:val="0"/>
              <w:autoSpaceDN w:val="0"/>
              <w:adjustRightInd w:val="0"/>
              <w:snapToGrid w:val="0"/>
              <w:spacing w:line="288" w:lineRule="auto"/>
              <w:ind w:firstLine="396" w:firstLineChars="200"/>
              <w:jc w:val="left"/>
              <w:rPr>
                <w:rFonts w:hint="eastAsia"/>
                <w:color w:val="auto"/>
                <w:spacing w:val="-6"/>
                <w:kern w:val="0"/>
                <w:sz w:val="21"/>
                <w:szCs w:val="21"/>
                <w:highlight w:val="none"/>
              </w:rPr>
            </w:pPr>
            <w:r>
              <w:rPr>
                <w:rFonts w:hint="eastAsia"/>
                <w:color w:val="auto"/>
                <w:spacing w:val="-6"/>
                <w:kern w:val="0"/>
                <w:sz w:val="21"/>
                <w:szCs w:val="21"/>
                <w:highlight w:val="none"/>
              </w:rPr>
              <w:t>合同生效以及具备实施条件后7个工作日内，采购人支付合同总价40%的预付款；合同履行完毕并经采购人验收合格，采购人在7个工作日内付清剩余合同款项。</w:t>
            </w:r>
          </w:p>
        </w:tc>
      </w:tr>
      <w:bookmarkEnd w:id="30"/>
    </w:tbl>
    <w:p w14:paraId="31FEE9D3">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三、需执行的国家相关标准、行业标准、地方标准或者其他标准、规范：</w:t>
      </w:r>
      <w:bookmarkStart w:id="31" w:name="_Hlk97039652"/>
      <w:r>
        <w:rPr>
          <w:rFonts w:hint="eastAsia"/>
          <w:color w:val="auto"/>
          <w:sz w:val="21"/>
          <w:szCs w:val="21"/>
          <w:highlight w:val="none"/>
        </w:rPr>
        <w:t>如采购需求要求中未注明需执行的国家相关标准、行业标准、地方标准或者其他标准、规范的，执行最新标准、规范。</w:t>
      </w:r>
      <w:bookmarkEnd w:id="31"/>
    </w:p>
    <w:p w14:paraId="1B5D1540">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四、需实现的功能或者目标：</w:t>
      </w:r>
      <w:r>
        <w:rPr>
          <w:rFonts w:hint="eastAsia"/>
          <w:color w:val="auto"/>
          <w:sz w:val="21"/>
          <w:szCs w:val="21"/>
          <w:highlight w:val="none"/>
        </w:rPr>
        <w:t>达到浙江交通职业技术学院交院钉运维项目采购要求</w:t>
      </w:r>
    </w:p>
    <w:p w14:paraId="5D050AAB">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五、总体要求</w:t>
      </w:r>
    </w:p>
    <w:p w14:paraId="25773AD5">
      <w:pPr>
        <w:adjustRightInd w:val="0"/>
        <w:snapToGrid w:val="0"/>
        <w:spacing w:line="288" w:lineRule="auto"/>
        <w:ind w:firstLine="422" w:firstLineChars="200"/>
        <w:outlineLvl w:val="1"/>
        <w:rPr>
          <w:rFonts w:hint="eastAsia"/>
          <w:color w:val="auto"/>
          <w:sz w:val="21"/>
          <w:szCs w:val="21"/>
          <w:highlight w:val="none"/>
        </w:rPr>
      </w:pPr>
      <w:r>
        <w:rPr>
          <w:rFonts w:hint="eastAsia"/>
          <w:b/>
          <w:bCs/>
          <w:color w:val="auto"/>
          <w:sz w:val="21"/>
          <w:szCs w:val="21"/>
          <w:highlight w:val="none"/>
        </w:rPr>
        <w:t>本项目旨在为浙江交通职业技术学院采购专属钉钉服务，以提升学校的数字化管理与教学能力，包括：提供为期一年的专属版钉钉云平台系统维护与技术支持服务，确保平台的稳定性和安全性；配置宜搭专属版服务，满足1000名教职工的使用需求（学生免费使用）；开展钉钉定制服务，涵盖钉钉PC及移动工作台的升级优化、轻应用搭建，以及低代码和AI技术培训，以提升教职工的数字化应用水平。供应商需确保服务符合钉钉最新技术标准，并提供技术支持与培训，全面满足学院的信息化建设目标，保障服务的高效性与实用性。</w:t>
      </w:r>
    </w:p>
    <w:p w14:paraId="6A18C8C1">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六、具体服务要求</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56"/>
        <w:gridCol w:w="1703"/>
        <w:gridCol w:w="2515"/>
        <w:gridCol w:w="4526"/>
      </w:tblGrid>
      <w:tr w14:paraId="3F5F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shd w:val="clear" w:color="auto" w:fill="auto"/>
            <w:tcMar>
              <w:top w:w="30" w:type="dxa"/>
              <w:left w:w="45" w:type="dxa"/>
              <w:bottom w:w="30" w:type="dxa"/>
              <w:right w:w="45" w:type="dxa"/>
            </w:tcMar>
            <w:vAlign w:val="center"/>
          </w:tcPr>
          <w:p w14:paraId="53DA89F9">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序号</w:t>
            </w:r>
          </w:p>
        </w:tc>
        <w:tc>
          <w:tcPr>
            <w:tcW w:w="896" w:type="pct"/>
            <w:shd w:val="clear" w:color="auto" w:fill="auto"/>
            <w:tcMar>
              <w:top w:w="30" w:type="dxa"/>
              <w:left w:w="45" w:type="dxa"/>
              <w:bottom w:w="30" w:type="dxa"/>
              <w:right w:w="45" w:type="dxa"/>
            </w:tcMar>
            <w:vAlign w:val="center"/>
          </w:tcPr>
          <w:p w14:paraId="01EC0AF3">
            <w:pPr>
              <w:pStyle w:val="9"/>
              <w:adjustRightInd w:val="0"/>
              <w:spacing w:line="288" w:lineRule="auto"/>
              <w:ind w:firstLine="0"/>
              <w:jc w:val="center"/>
              <w:rPr>
                <w:rFonts w:hint="eastAsia" w:hAnsi="宋体" w:cs="宋体"/>
                <w:color w:val="auto"/>
                <w:sz w:val="21"/>
                <w:szCs w:val="21"/>
                <w:highlight w:val="none"/>
                <w:lang w:eastAsia="zh-Hans"/>
              </w:rPr>
            </w:pPr>
            <w:r>
              <w:rPr>
                <w:rFonts w:hint="eastAsia" w:hAnsi="宋体" w:cs="宋体"/>
                <w:color w:val="auto"/>
                <w:sz w:val="21"/>
                <w:szCs w:val="21"/>
                <w:highlight w:val="none"/>
                <w:lang w:eastAsia="zh-Hans"/>
              </w:rPr>
              <w:t>模块</w:t>
            </w:r>
          </w:p>
        </w:tc>
        <w:tc>
          <w:tcPr>
            <w:tcW w:w="1323" w:type="pct"/>
            <w:shd w:val="clear" w:color="auto" w:fill="auto"/>
            <w:tcMar>
              <w:top w:w="30" w:type="dxa"/>
              <w:left w:w="45" w:type="dxa"/>
              <w:bottom w:w="30" w:type="dxa"/>
              <w:right w:w="45" w:type="dxa"/>
            </w:tcMar>
            <w:vAlign w:val="center"/>
          </w:tcPr>
          <w:p w14:paraId="576CB88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lang w:eastAsia="zh-Hans"/>
              </w:rPr>
              <w:t>模块</w:t>
            </w:r>
            <w:r>
              <w:rPr>
                <w:rFonts w:hint="eastAsia" w:hAnsi="宋体" w:cs="宋体"/>
                <w:color w:val="auto"/>
                <w:sz w:val="21"/>
                <w:szCs w:val="21"/>
                <w:highlight w:val="none"/>
              </w:rPr>
              <w:t>功能</w:t>
            </w:r>
          </w:p>
        </w:tc>
        <w:tc>
          <w:tcPr>
            <w:tcW w:w="2381" w:type="pct"/>
            <w:shd w:val="clear" w:color="auto" w:fill="auto"/>
            <w:tcMar>
              <w:top w:w="30" w:type="dxa"/>
              <w:left w:w="45" w:type="dxa"/>
              <w:bottom w:w="30" w:type="dxa"/>
              <w:right w:w="45" w:type="dxa"/>
            </w:tcMar>
            <w:vAlign w:val="center"/>
          </w:tcPr>
          <w:p w14:paraId="00F12D35">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技术要求</w:t>
            </w:r>
          </w:p>
        </w:tc>
      </w:tr>
      <w:tr w14:paraId="03EB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60032733">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403C6BC">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FEC1A2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钉盘容量</w:t>
            </w:r>
          </w:p>
        </w:tc>
        <w:tc>
          <w:tcPr>
            <w:tcW w:w="2381" w:type="pct"/>
            <w:tcMar>
              <w:top w:w="30" w:type="dxa"/>
              <w:left w:w="45" w:type="dxa"/>
              <w:bottom w:w="30" w:type="dxa"/>
              <w:right w:w="45" w:type="dxa"/>
            </w:tcMar>
            <w:vAlign w:val="center"/>
          </w:tcPr>
          <w:p w14:paraId="2FB312F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钉盘存储容量，从标准版的100G升级到2T</w:t>
            </w:r>
          </w:p>
        </w:tc>
      </w:tr>
      <w:tr w14:paraId="0356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7E0D02DD">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433DCC2">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64A8DDB5">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聊天记录云存储保存时效</w:t>
            </w:r>
          </w:p>
        </w:tc>
        <w:tc>
          <w:tcPr>
            <w:tcW w:w="2381" w:type="pct"/>
            <w:tcMar>
              <w:top w:w="30" w:type="dxa"/>
              <w:left w:w="45" w:type="dxa"/>
              <w:bottom w:w="30" w:type="dxa"/>
              <w:right w:w="45" w:type="dxa"/>
            </w:tcMar>
            <w:vAlign w:val="center"/>
          </w:tcPr>
          <w:p w14:paraId="3D4E63C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聊天消息在云端存储从标准版的180天提升至最长10年，从服务开通时，向前2年+向后累计8年。</w:t>
            </w:r>
          </w:p>
        </w:tc>
      </w:tr>
      <w:tr w14:paraId="7473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AB24BC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512126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158854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聊天记录云搜索</w:t>
            </w:r>
          </w:p>
        </w:tc>
        <w:tc>
          <w:tcPr>
            <w:tcW w:w="2381" w:type="pct"/>
            <w:tcMar>
              <w:top w:w="30" w:type="dxa"/>
              <w:left w:w="45" w:type="dxa"/>
              <w:bottom w:w="30" w:type="dxa"/>
              <w:right w:w="45" w:type="dxa"/>
            </w:tcMar>
            <w:vAlign w:val="center"/>
          </w:tcPr>
          <w:p w14:paraId="3BFD034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主搜支持搜索最长10年内云端消息记录，从服务开通时，向前2年+向后累计8年；日志、公告支持搜索2年内的记录</w:t>
            </w:r>
          </w:p>
        </w:tc>
      </w:tr>
      <w:tr w14:paraId="4DCD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008D447">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DC45AA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30D738C6">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超大群扩容</w:t>
            </w:r>
          </w:p>
        </w:tc>
        <w:tc>
          <w:tcPr>
            <w:tcW w:w="2381" w:type="pct"/>
            <w:tcMar>
              <w:top w:w="30" w:type="dxa"/>
              <w:left w:w="45" w:type="dxa"/>
              <w:bottom w:w="30" w:type="dxa"/>
              <w:right w:w="45" w:type="dxa"/>
            </w:tcMar>
            <w:vAlign w:val="center"/>
          </w:tcPr>
          <w:p w14:paraId="4BA9D7E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10000人；可根据组织需要分配至多个需扩容的群</w:t>
            </w:r>
          </w:p>
        </w:tc>
      </w:tr>
      <w:tr w14:paraId="46A0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C74DA14">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09DF08A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C5B00B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电话&amp;短信DING消息</w:t>
            </w:r>
          </w:p>
        </w:tc>
        <w:tc>
          <w:tcPr>
            <w:tcW w:w="2381" w:type="pct"/>
            <w:tcMar>
              <w:top w:w="30" w:type="dxa"/>
              <w:left w:w="45" w:type="dxa"/>
              <w:bottom w:w="30" w:type="dxa"/>
              <w:right w:w="45" w:type="dxa"/>
            </w:tcMar>
            <w:vAlign w:val="center"/>
          </w:tcPr>
          <w:p w14:paraId="5A388DA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5000条；</w:t>
            </w:r>
          </w:p>
        </w:tc>
      </w:tr>
      <w:tr w14:paraId="5218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B087991">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F2C7116">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6FB48C9">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高级版云会议室</w:t>
            </w:r>
          </w:p>
        </w:tc>
        <w:tc>
          <w:tcPr>
            <w:tcW w:w="2381" w:type="pct"/>
            <w:tcMar>
              <w:top w:w="30" w:type="dxa"/>
              <w:left w:w="45" w:type="dxa"/>
              <w:bottom w:w="30" w:type="dxa"/>
              <w:right w:w="45" w:type="dxa"/>
            </w:tcMar>
            <w:vAlign w:val="center"/>
          </w:tcPr>
          <w:p w14:paraId="3124212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10个100方会议室：高清清晰度，单次会议时长24小时/联席主持人/高级会控/屏幕水印/智能翻译/会议转直播/本地电话接入许可/专属VIP通路</w:t>
            </w:r>
          </w:p>
        </w:tc>
      </w:tr>
      <w:tr w14:paraId="21AE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0B26D2C">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81300B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C0F03C9">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API并发线路（QPS）</w:t>
            </w:r>
          </w:p>
        </w:tc>
        <w:tc>
          <w:tcPr>
            <w:tcW w:w="2381" w:type="pct"/>
            <w:tcMar>
              <w:top w:w="30" w:type="dxa"/>
              <w:left w:w="45" w:type="dxa"/>
              <w:bottom w:w="30" w:type="dxa"/>
              <w:right w:w="45" w:type="dxa"/>
            </w:tcMar>
            <w:vAlign w:val="center"/>
          </w:tcPr>
          <w:p w14:paraId="3710FC61">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API接口的每秒调用总量上限60qps</w:t>
            </w:r>
          </w:p>
        </w:tc>
      </w:tr>
      <w:tr w14:paraId="7599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C8FE109">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6B8F62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0C9095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API调用次数许可</w:t>
            </w:r>
          </w:p>
        </w:tc>
        <w:tc>
          <w:tcPr>
            <w:tcW w:w="2381" w:type="pct"/>
            <w:tcMar>
              <w:top w:w="30" w:type="dxa"/>
              <w:left w:w="45" w:type="dxa"/>
              <w:bottom w:w="30" w:type="dxa"/>
              <w:right w:w="45" w:type="dxa"/>
            </w:tcMar>
            <w:vAlign w:val="center"/>
          </w:tcPr>
          <w:p w14:paraId="7B79400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550万次/自然月</w:t>
            </w:r>
          </w:p>
        </w:tc>
      </w:tr>
      <w:tr w14:paraId="0FFF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04FBE86">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E4CDA4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55F5141">
            <w:pPr>
              <w:spacing w:line="288" w:lineRule="auto"/>
              <w:jc w:val="center"/>
              <w:rPr>
                <w:rFonts w:hint="eastAsia"/>
                <w:color w:val="auto"/>
                <w:sz w:val="21"/>
                <w:szCs w:val="21"/>
                <w:highlight w:val="none"/>
              </w:rPr>
            </w:pPr>
            <w:r>
              <w:rPr>
                <w:rFonts w:hint="eastAsia"/>
                <w:color w:val="auto"/>
                <w:sz w:val="21"/>
                <w:szCs w:val="21"/>
                <w:highlight w:val="none"/>
              </w:rPr>
              <w:t>连接节点执行次数</w:t>
            </w:r>
          </w:p>
        </w:tc>
        <w:tc>
          <w:tcPr>
            <w:tcW w:w="2381" w:type="pct"/>
            <w:tcMar>
              <w:top w:w="30" w:type="dxa"/>
              <w:left w:w="45" w:type="dxa"/>
              <w:bottom w:w="30" w:type="dxa"/>
              <w:right w:w="45" w:type="dxa"/>
            </w:tcMar>
            <w:vAlign w:val="center"/>
          </w:tcPr>
          <w:p w14:paraId="74BCF491">
            <w:pPr>
              <w:spacing w:line="288" w:lineRule="auto"/>
              <w:jc w:val="left"/>
              <w:rPr>
                <w:rFonts w:hint="eastAsia"/>
                <w:color w:val="auto"/>
                <w:sz w:val="21"/>
                <w:szCs w:val="21"/>
                <w:highlight w:val="none"/>
              </w:rPr>
            </w:pPr>
            <w:r>
              <w:rPr>
                <w:rFonts w:hint="eastAsia"/>
                <w:color w:val="auto"/>
                <w:sz w:val="21"/>
                <w:szCs w:val="21"/>
                <w:highlight w:val="none"/>
              </w:rPr>
              <w:t>2万次/自然月；连接器中连接节点执行次数每月峰值。</w:t>
            </w:r>
          </w:p>
        </w:tc>
      </w:tr>
      <w:tr w14:paraId="063D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EC2FF4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29C8469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34A16F6">
            <w:pPr>
              <w:spacing w:line="288" w:lineRule="auto"/>
              <w:jc w:val="center"/>
              <w:rPr>
                <w:rFonts w:hint="eastAsia"/>
                <w:color w:val="auto"/>
                <w:sz w:val="21"/>
                <w:szCs w:val="21"/>
                <w:highlight w:val="none"/>
              </w:rPr>
            </w:pPr>
            <w:r>
              <w:rPr>
                <w:rFonts w:hint="eastAsia"/>
                <w:color w:val="auto"/>
                <w:sz w:val="21"/>
                <w:szCs w:val="21"/>
                <w:highlight w:val="none"/>
              </w:rPr>
              <w:t>openAPI发应用内DING</w:t>
            </w:r>
          </w:p>
        </w:tc>
        <w:tc>
          <w:tcPr>
            <w:tcW w:w="2381" w:type="pct"/>
            <w:tcMar>
              <w:top w:w="30" w:type="dxa"/>
              <w:left w:w="45" w:type="dxa"/>
              <w:bottom w:w="30" w:type="dxa"/>
              <w:right w:w="45" w:type="dxa"/>
            </w:tcMar>
            <w:vAlign w:val="center"/>
          </w:tcPr>
          <w:p w14:paraId="4C5F7CA3">
            <w:pPr>
              <w:spacing w:line="288" w:lineRule="auto"/>
              <w:jc w:val="left"/>
              <w:rPr>
                <w:rFonts w:hint="eastAsia"/>
                <w:color w:val="auto"/>
                <w:sz w:val="21"/>
                <w:szCs w:val="21"/>
                <w:highlight w:val="none"/>
              </w:rPr>
            </w:pPr>
            <w:r>
              <w:rPr>
                <w:rFonts w:hint="eastAsia"/>
                <w:color w:val="auto"/>
                <w:sz w:val="21"/>
                <w:szCs w:val="21"/>
                <w:highlight w:val="none"/>
              </w:rPr>
              <w:t>专属钉钉底座规格数量*2。</w:t>
            </w:r>
          </w:p>
        </w:tc>
      </w:tr>
      <w:tr w14:paraId="399F5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77A2C009">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9AE1CD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679562CF">
            <w:pPr>
              <w:spacing w:line="288" w:lineRule="auto"/>
              <w:jc w:val="center"/>
              <w:rPr>
                <w:rFonts w:hint="eastAsia"/>
                <w:color w:val="auto"/>
                <w:sz w:val="21"/>
                <w:szCs w:val="21"/>
                <w:highlight w:val="none"/>
              </w:rPr>
            </w:pPr>
            <w:r>
              <w:rPr>
                <w:rFonts w:hint="eastAsia"/>
                <w:color w:val="auto"/>
                <w:sz w:val="21"/>
                <w:szCs w:val="21"/>
                <w:highlight w:val="none"/>
              </w:rPr>
              <w:t>Webhook&amp;Stream调用量</w:t>
            </w:r>
          </w:p>
        </w:tc>
        <w:tc>
          <w:tcPr>
            <w:tcW w:w="2381" w:type="pct"/>
            <w:tcMar>
              <w:top w:w="30" w:type="dxa"/>
              <w:left w:w="45" w:type="dxa"/>
              <w:bottom w:w="30" w:type="dxa"/>
              <w:right w:w="45" w:type="dxa"/>
            </w:tcMar>
            <w:vAlign w:val="center"/>
          </w:tcPr>
          <w:p w14:paraId="68FC7EF5">
            <w:pPr>
              <w:spacing w:line="288" w:lineRule="auto"/>
              <w:jc w:val="left"/>
              <w:rPr>
                <w:rFonts w:hint="eastAsia"/>
                <w:color w:val="auto"/>
                <w:sz w:val="21"/>
                <w:szCs w:val="21"/>
                <w:highlight w:val="none"/>
              </w:rPr>
            </w:pPr>
            <w:r>
              <w:rPr>
                <w:rFonts w:hint="eastAsia"/>
                <w:color w:val="auto"/>
                <w:sz w:val="21"/>
                <w:szCs w:val="21"/>
                <w:highlight w:val="none"/>
              </w:rPr>
              <w:t>10w/自然月。</w:t>
            </w:r>
          </w:p>
        </w:tc>
      </w:tr>
      <w:tr w14:paraId="646C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19CA517">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17628D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D089C04">
            <w:pPr>
              <w:spacing w:line="288" w:lineRule="auto"/>
              <w:jc w:val="center"/>
              <w:rPr>
                <w:rFonts w:hint="eastAsia"/>
                <w:color w:val="auto"/>
                <w:sz w:val="21"/>
                <w:szCs w:val="21"/>
                <w:highlight w:val="none"/>
              </w:rPr>
            </w:pPr>
            <w:r>
              <w:rPr>
                <w:rFonts w:hint="eastAsia"/>
                <w:color w:val="auto"/>
                <w:sz w:val="21"/>
                <w:szCs w:val="21"/>
                <w:highlight w:val="none"/>
              </w:rPr>
              <w:t>数据资产平台</w:t>
            </w:r>
          </w:p>
        </w:tc>
        <w:tc>
          <w:tcPr>
            <w:tcW w:w="2381" w:type="pct"/>
            <w:tcMar>
              <w:top w:w="30" w:type="dxa"/>
              <w:left w:w="45" w:type="dxa"/>
              <w:bottom w:w="30" w:type="dxa"/>
              <w:right w:w="45" w:type="dxa"/>
            </w:tcMar>
            <w:vAlign w:val="center"/>
          </w:tcPr>
          <w:p w14:paraId="1E5600E0">
            <w:pPr>
              <w:spacing w:line="288" w:lineRule="auto"/>
              <w:jc w:val="left"/>
              <w:rPr>
                <w:rFonts w:hint="eastAsia"/>
                <w:color w:val="auto"/>
                <w:sz w:val="21"/>
                <w:szCs w:val="21"/>
                <w:highlight w:val="none"/>
              </w:rPr>
            </w:pPr>
            <w:r>
              <w:rPr>
                <w:rFonts w:hint="eastAsia"/>
                <w:color w:val="auto"/>
                <w:sz w:val="21"/>
                <w:szCs w:val="21"/>
                <w:highlight w:val="none"/>
              </w:rPr>
              <w:t>数据资产服务调用次数3万次/自然月，数据资产访问周期1年，自定义仪表盘数量10个，数据项包括实时统计数据&amp;明细数据；包括原专属数据中22项专属统计数据开放和5项专属明细数据开放。</w:t>
            </w:r>
          </w:p>
        </w:tc>
      </w:tr>
      <w:tr w14:paraId="6EB7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8D68E27">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A183DB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F05781E">
            <w:pPr>
              <w:spacing w:line="288" w:lineRule="auto"/>
              <w:jc w:val="center"/>
              <w:rPr>
                <w:rFonts w:hint="eastAsia"/>
                <w:color w:val="auto"/>
                <w:sz w:val="21"/>
                <w:szCs w:val="21"/>
                <w:highlight w:val="none"/>
              </w:rPr>
            </w:pPr>
            <w:r>
              <w:rPr>
                <w:rFonts w:hint="eastAsia"/>
                <w:color w:val="auto"/>
                <w:sz w:val="21"/>
                <w:szCs w:val="21"/>
                <w:highlight w:val="none"/>
              </w:rPr>
              <w:t>Teambition专属版</w:t>
            </w:r>
          </w:p>
        </w:tc>
        <w:tc>
          <w:tcPr>
            <w:tcW w:w="2381" w:type="pct"/>
            <w:tcMar>
              <w:top w:w="30" w:type="dxa"/>
              <w:left w:w="45" w:type="dxa"/>
              <w:bottom w:w="30" w:type="dxa"/>
              <w:right w:w="45" w:type="dxa"/>
            </w:tcMar>
            <w:vAlign w:val="center"/>
          </w:tcPr>
          <w:p w14:paraId="2FDDE56D">
            <w:pPr>
              <w:spacing w:line="288" w:lineRule="auto"/>
              <w:jc w:val="left"/>
              <w:rPr>
                <w:rFonts w:hint="eastAsia"/>
                <w:color w:val="auto"/>
                <w:sz w:val="21"/>
                <w:szCs w:val="21"/>
                <w:highlight w:val="none"/>
              </w:rPr>
            </w:pPr>
            <w:r>
              <w:rPr>
                <w:rFonts w:hint="eastAsia"/>
                <w:color w:val="auto"/>
                <w:sz w:val="21"/>
                <w:szCs w:val="21"/>
                <w:highlight w:val="none"/>
              </w:rPr>
              <w:t>30个名额使用3个月；专属钉钉有效期内，管理员可自行在OA后台开通Teambition专属版30个名额，从开通之日起，有效期1月。</w:t>
            </w:r>
          </w:p>
        </w:tc>
      </w:tr>
      <w:tr w14:paraId="47AB2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84CA4C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F5A48D2">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5A89B06">
            <w:pPr>
              <w:spacing w:line="288" w:lineRule="auto"/>
              <w:jc w:val="center"/>
              <w:rPr>
                <w:rFonts w:hint="eastAsia"/>
                <w:color w:val="auto"/>
                <w:sz w:val="21"/>
                <w:szCs w:val="21"/>
                <w:highlight w:val="none"/>
              </w:rPr>
            </w:pPr>
            <w:r>
              <w:rPr>
                <w:rFonts w:hint="eastAsia"/>
                <w:color w:val="auto"/>
                <w:sz w:val="21"/>
                <w:szCs w:val="21"/>
                <w:highlight w:val="none"/>
              </w:rPr>
              <w:t>Agoal-Pro版</w:t>
            </w:r>
          </w:p>
        </w:tc>
        <w:tc>
          <w:tcPr>
            <w:tcW w:w="2381" w:type="pct"/>
            <w:tcMar>
              <w:top w:w="30" w:type="dxa"/>
              <w:left w:w="45" w:type="dxa"/>
              <w:bottom w:w="30" w:type="dxa"/>
              <w:right w:w="45" w:type="dxa"/>
            </w:tcMar>
            <w:vAlign w:val="center"/>
          </w:tcPr>
          <w:p w14:paraId="704FFD09">
            <w:pPr>
              <w:spacing w:line="288" w:lineRule="auto"/>
              <w:jc w:val="left"/>
              <w:rPr>
                <w:rFonts w:hint="eastAsia"/>
                <w:color w:val="auto"/>
                <w:sz w:val="21"/>
                <w:szCs w:val="21"/>
                <w:highlight w:val="none"/>
              </w:rPr>
            </w:pPr>
            <w:r>
              <w:rPr>
                <w:rFonts w:hint="eastAsia"/>
                <w:color w:val="auto"/>
                <w:sz w:val="21"/>
                <w:szCs w:val="21"/>
                <w:highlight w:val="none"/>
              </w:rPr>
              <w:t>30个账号使用1个月。</w:t>
            </w:r>
          </w:p>
        </w:tc>
      </w:tr>
      <w:tr w14:paraId="233F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B7EC332">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912FDC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89E8002">
            <w:pPr>
              <w:spacing w:line="288" w:lineRule="auto"/>
              <w:jc w:val="center"/>
              <w:rPr>
                <w:rFonts w:hint="eastAsia"/>
                <w:color w:val="auto"/>
                <w:sz w:val="21"/>
                <w:szCs w:val="21"/>
                <w:highlight w:val="none"/>
              </w:rPr>
            </w:pPr>
            <w:r>
              <w:rPr>
                <w:rFonts w:hint="eastAsia"/>
                <w:color w:val="auto"/>
                <w:sz w:val="21"/>
                <w:szCs w:val="21"/>
                <w:highlight w:val="none"/>
              </w:rPr>
              <w:t>Office套件基础版</w:t>
            </w:r>
          </w:p>
        </w:tc>
        <w:tc>
          <w:tcPr>
            <w:tcW w:w="2381" w:type="pct"/>
            <w:tcMar>
              <w:top w:w="30" w:type="dxa"/>
              <w:left w:w="45" w:type="dxa"/>
              <w:bottom w:w="30" w:type="dxa"/>
              <w:right w:w="45" w:type="dxa"/>
            </w:tcMar>
            <w:vAlign w:val="center"/>
          </w:tcPr>
          <w:p w14:paraId="43A16F7E">
            <w:pPr>
              <w:spacing w:line="288" w:lineRule="auto"/>
              <w:jc w:val="left"/>
              <w:rPr>
                <w:rFonts w:hint="eastAsia"/>
                <w:color w:val="auto"/>
                <w:sz w:val="21"/>
                <w:szCs w:val="21"/>
                <w:highlight w:val="none"/>
              </w:rPr>
            </w:pPr>
            <w:r>
              <w:rPr>
                <w:rFonts w:hint="eastAsia"/>
                <w:color w:val="auto"/>
                <w:sz w:val="21"/>
                <w:szCs w:val="21"/>
                <w:highlight w:val="none"/>
              </w:rPr>
              <w:t>300个授权席位。</w:t>
            </w:r>
          </w:p>
        </w:tc>
      </w:tr>
      <w:tr w14:paraId="52B3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6BE5C16">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0FDF7F6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C2749DE">
            <w:pPr>
              <w:spacing w:line="288" w:lineRule="auto"/>
              <w:jc w:val="center"/>
              <w:rPr>
                <w:rFonts w:hint="eastAsia"/>
                <w:color w:val="auto"/>
                <w:sz w:val="21"/>
                <w:szCs w:val="21"/>
                <w:highlight w:val="none"/>
              </w:rPr>
            </w:pPr>
            <w:r>
              <w:rPr>
                <w:rFonts w:hint="eastAsia"/>
                <w:color w:val="auto"/>
                <w:sz w:val="21"/>
                <w:szCs w:val="21"/>
                <w:highlight w:val="none"/>
              </w:rPr>
              <w:t>钉钉企业邮箱</w:t>
            </w:r>
          </w:p>
        </w:tc>
        <w:tc>
          <w:tcPr>
            <w:tcW w:w="2381" w:type="pct"/>
            <w:tcMar>
              <w:top w:w="30" w:type="dxa"/>
              <w:left w:w="45" w:type="dxa"/>
              <w:bottom w:w="30" w:type="dxa"/>
              <w:right w:w="45" w:type="dxa"/>
            </w:tcMar>
            <w:vAlign w:val="center"/>
          </w:tcPr>
          <w:p w14:paraId="5A498D02">
            <w:pPr>
              <w:spacing w:line="288" w:lineRule="auto"/>
              <w:jc w:val="left"/>
              <w:rPr>
                <w:rFonts w:hint="eastAsia"/>
                <w:color w:val="auto"/>
                <w:sz w:val="21"/>
                <w:szCs w:val="21"/>
                <w:highlight w:val="none"/>
              </w:rPr>
            </w:pPr>
            <w:r>
              <w:rPr>
                <w:rFonts w:hint="eastAsia"/>
                <w:color w:val="auto"/>
                <w:sz w:val="21"/>
                <w:szCs w:val="21"/>
                <w:highlight w:val="none"/>
              </w:rPr>
              <w:t>20个账号；使用有效期跟随专属版有效期。</w:t>
            </w:r>
          </w:p>
        </w:tc>
      </w:tr>
      <w:tr w14:paraId="2179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8181BD2">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FF01836">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8DDB00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高管模式</w:t>
            </w:r>
          </w:p>
        </w:tc>
        <w:tc>
          <w:tcPr>
            <w:tcW w:w="2381" w:type="pct"/>
            <w:tcMar>
              <w:top w:w="30" w:type="dxa"/>
              <w:left w:w="45" w:type="dxa"/>
              <w:bottom w:w="30" w:type="dxa"/>
              <w:right w:w="45" w:type="dxa"/>
            </w:tcMar>
            <w:vAlign w:val="center"/>
          </w:tcPr>
          <w:p w14:paraId="0BB7B3C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支持设置500个高管人员</w:t>
            </w:r>
          </w:p>
        </w:tc>
      </w:tr>
      <w:tr w14:paraId="104D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88F84BB">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4E3C2B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70B0C216">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搜索卡片</w:t>
            </w:r>
          </w:p>
        </w:tc>
        <w:tc>
          <w:tcPr>
            <w:tcW w:w="2381" w:type="pct"/>
            <w:tcMar>
              <w:top w:w="30" w:type="dxa"/>
              <w:left w:w="45" w:type="dxa"/>
              <w:bottom w:w="30" w:type="dxa"/>
              <w:right w:w="45" w:type="dxa"/>
            </w:tcMar>
            <w:vAlign w:val="center"/>
          </w:tcPr>
          <w:p w14:paraId="4812B24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支持设置5个搜锁卡片</w:t>
            </w:r>
          </w:p>
        </w:tc>
      </w:tr>
      <w:tr w14:paraId="2B81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D0BED17">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D933E89">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34D2C392">
            <w:pPr>
              <w:spacing w:line="288" w:lineRule="auto"/>
              <w:jc w:val="center"/>
              <w:rPr>
                <w:rFonts w:hint="eastAsia"/>
                <w:color w:val="auto"/>
                <w:sz w:val="21"/>
                <w:szCs w:val="21"/>
                <w:highlight w:val="none"/>
              </w:rPr>
            </w:pPr>
            <w:r>
              <w:rPr>
                <w:rFonts w:hint="eastAsia"/>
                <w:color w:val="auto"/>
                <w:sz w:val="21"/>
                <w:szCs w:val="21"/>
                <w:highlight w:val="none"/>
              </w:rPr>
              <w:t>数据保障服务</w:t>
            </w:r>
          </w:p>
        </w:tc>
        <w:tc>
          <w:tcPr>
            <w:tcW w:w="2381" w:type="pct"/>
            <w:tcMar>
              <w:top w:w="30" w:type="dxa"/>
              <w:left w:w="45" w:type="dxa"/>
              <w:bottom w:w="30" w:type="dxa"/>
              <w:right w:w="45" w:type="dxa"/>
            </w:tcMar>
            <w:vAlign w:val="center"/>
          </w:tcPr>
          <w:p w14:paraId="14A57B8D">
            <w:pPr>
              <w:spacing w:line="288" w:lineRule="auto"/>
              <w:jc w:val="left"/>
              <w:rPr>
                <w:rFonts w:hint="eastAsia"/>
                <w:color w:val="auto"/>
                <w:sz w:val="21"/>
                <w:szCs w:val="21"/>
                <w:highlight w:val="none"/>
              </w:rPr>
            </w:pPr>
            <w:r>
              <w:rPr>
                <w:rFonts w:hint="eastAsia"/>
                <w:color w:val="auto"/>
                <w:sz w:val="21"/>
                <w:szCs w:val="21"/>
                <w:highlight w:val="none"/>
              </w:rPr>
              <w:t>支持组织架构数据恢复、OA审批流程误删恢复、误解散群恢复、DING消息紧急撤回、超时消息撤回、离职数据删除恢复等数据保障服务共计10次，其中组织架构数据恢复2次，其他合计8次；支持发起数据保障服务申请，一键创建并加入数据保障服务工单群，支持查看历史数据保障服务工单及沟通记录详情。其中，OA审批支持自助恢复；在首次发起OA审批流程误删数据恢复申请后，可通过「数据保障服务记录」进入自助恢复页面按需恢复。</w:t>
            </w:r>
          </w:p>
        </w:tc>
      </w:tr>
      <w:tr w14:paraId="0642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66EF01E">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08FE809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26973A6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保密群</w:t>
            </w:r>
          </w:p>
        </w:tc>
        <w:tc>
          <w:tcPr>
            <w:tcW w:w="2381" w:type="pct"/>
            <w:tcMar>
              <w:top w:w="30" w:type="dxa"/>
              <w:left w:w="45" w:type="dxa"/>
              <w:bottom w:w="30" w:type="dxa"/>
              <w:right w:w="45" w:type="dxa"/>
            </w:tcMar>
            <w:vAlign w:val="center"/>
          </w:tcPr>
          <w:p w14:paraId="12A95C3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支持建立保密群</w:t>
            </w:r>
          </w:p>
        </w:tc>
      </w:tr>
      <w:tr w14:paraId="66A5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CCA48C7">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756DB2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A2321DF">
            <w:pPr>
              <w:spacing w:line="288" w:lineRule="auto"/>
              <w:jc w:val="center"/>
              <w:rPr>
                <w:rFonts w:hint="eastAsia"/>
                <w:color w:val="auto"/>
                <w:sz w:val="21"/>
                <w:szCs w:val="21"/>
                <w:highlight w:val="none"/>
              </w:rPr>
            </w:pPr>
            <w:r>
              <w:rPr>
                <w:rFonts w:hint="eastAsia"/>
                <w:color w:val="auto"/>
                <w:sz w:val="21"/>
                <w:szCs w:val="21"/>
                <w:highlight w:val="none"/>
              </w:rPr>
              <w:t>多设备同时登录</w:t>
            </w:r>
          </w:p>
        </w:tc>
        <w:tc>
          <w:tcPr>
            <w:tcW w:w="2381" w:type="pct"/>
            <w:tcMar>
              <w:top w:w="30" w:type="dxa"/>
              <w:left w:w="45" w:type="dxa"/>
              <w:bottom w:w="30" w:type="dxa"/>
              <w:right w:w="45" w:type="dxa"/>
            </w:tcMar>
            <w:vAlign w:val="center"/>
          </w:tcPr>
          <w:p w14:paraId="50D7174A">
            <w:pPr>
              <w:spacing w:line="288" w:lineRule="auto"/>
              <w:jc w:val="left"/>
              <w:rPr>
                <w:rFonts w:hint="eastAsia"/>
                <w:color w:val="auto"/>
                <w:sz w:val="21"/>
                <w:szCs w:val="21"/>
                <w:highlight w:val="none"/>
              </w:rPr>
            </w:pPr>
            <w:r>
              <w:rPr>
                <w:rFonts w:hint="eastAsia"/>
                <w:color w:val="auto"/>
                <w:sz w:val="21"/>
                <w:szCs w:val="21"/>
                <w:highlight w:val="none"/>
              </w:rPr>
              <w:t>支持个人在我的-设置-通用中设置“多个同类型设备同时登录”，开启后最多可在5台手机+5台PC+5台平板上同时登录；同时支持在安全管控中设置功能使用人群。</w:t>
            </w:r>
          </w:p>
        </w:tc>
      </w:tr>
      <w:tr w14:paraId="4E91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71E04123">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32FE1B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EF1EE16">
            <w:pPr>
              <w:spacing w:line="288" w:lineRule="auto"/>
              <w:jc w:val="center"/>
              <w:rPr>
                <w:rFonts w:hint="eastAsia"/>
                <w:color w:val="auto"/>
                <w:sz w:val="21"/>
                <w:szCs w:val="21"/>
                <w:highlight w:val="none"/>
              </w:rPr>
            </w:pPr>
            <w:r>
              <w:rPr>
                <w:rFonts w:hint="eastAsia"/>
                <w:color w:val="auto"/>
                <w:sz w:val="21"/>
                <w:szCs w:val="21"/>
                <w:highlight w:val="none"/>
              </w:rPr>
              <w:t>OA审批权益</w:t>
            </w:r>
          </w:p>
        </w:tc>
        <w:tc>
          <w:tcPr>
            <w:tcW w:w="2381" w:type="pct"/>
            <w:tcMar>
              <w:top w:w="30" w:type="dxa"/>
              <w:left w:w="45" w:type="dxa"/>
              <w:bottom w:w="30" w:type="dxa"/>
              <w:right w:w="45" w:type="dxa"/>
            </w:tcMar>
            <w:vAlign w:val="center"/>
          </w:tcPr>
          <w:p w14:paraId="424790F7">
            <w:pPr>
              <w:spacing w:line="288" w:lineRule="auto"/>
              <w:jc w:val="left"/>
              <w:rPr>
                <w:rFonts w:hint="eastAsia"/>
                <w:color w:val="auto"/>
                <w:sz w:val="21"/>
                <w:szCs w:val="21"/>
                <w:highlight w:val="none"/>
              </w:rPr>
            </w:pPr>
            <w:r>
              <w:rPr>
                <w:rFonts w:hint="eastAsia"/>
                <w:color w:val="auto"/>
                <w:sz w:val="21"/>
                <w:szCs w:val="21"/>
                <w:highlight w:val="none"/>
              </w:rPr>
              <w:t>在标准版OA审批的基础上，新增表单增强（数据联动、自定义流水号、OCR识别（身份证/图文）、表达式编辑）、流程增强（动态流程(beta)、并行分支(beta)）、连接器、智能诊断功能，提供1000个模板总量和500万条累计单据总量。</w:t>
            </w:r>
          </w:p>
        </w:tc>
      </w:tr>
      <w:tr w14:paraId="4E56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5232DF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21A7415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28833E17">
            <w:pPr>
              <w:pStyle w:val="9"/>
              <w:adjustRightInd w:val="0"/>
              <w:spacing w:line="288" w:lineRule="auto"/>
              <w:ind w:firstLine="0"/>
              <w:jc w:val="center"/>
              <w:rPr>
                <w:rFonts w:hint="eastAsia" w:hAnsi="宋体" w:cs="宋体"/>
                <w:color w:val="auto"/>
                <w:kern w:val="0"/>
                <w:sz w:val="21"/>
                <w:szCs w:val="21"/>
                <w:highlight w:val="none"/>
              </w:rPr>
            </w:pPr>
            <w:r>
              <w:rPr>
                <w:rFonts w:hint="eastAsia" w:hAnsi="宋体" w:cs="宋体"/>
                <w:color w:val="auto"/>
                <w:sz w:val="21"/>
                <w:szCs w:val="21"/>
                <w:highlight w:val="none"/>
              </w:rPr>
              <w:t>OCR高精版识别</w:t>
            </w:r>
          </w:p>
        </w:tc>
        <w:tc>
          <w:tcPr>
            <w:tcW w:w="2381" w:type="pct"/>
            <w:tcMar>
              <w:top w:w="30" w:type="dxa"/>
              <w:left w:w="45" w:type="dxa"/>
              <w:bottom w:w="30" w:type="dxa"/>
              <w:right w:w="45" w:type="dxa"/>
            </w:tcMar>
            <w:vAlign w:val="center"/>
          </w:tcPr>
          <w:p w14:paraId="4DF1BFC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支持全文识别高精版识别能力：可实现印刷体内容整体识别率不低于为98% 。验收时提供具有CMA认证的第三方机构出具的检测报告复印件。</w:t>
            </w:r>
          </w:p>
        </w:tc>
      </w:tr>
      <w:tr w14:paraId="09428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6685BF07">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3FE54B2">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3F0412B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OCR混贴票证识别</w:t>
            </w:r>
          </w:p>
        </w:tc>
        <w:tc>
          <w:tcPr>
            <w:tcW w:w="2381" w:type="pct"/>
            <w:tcMar>
              <w:top w:w="30" w:type="dxa"/>
              <w:left w:w="45" w:type="dxa"/>
              <w:bottom w:w="30" w:type="dxa"/>
              <w:right w:w="45" w:type="dxa"/>
            </w:tcMar>
            <w:vAlign w:val="center"/>
          </w:tcPr>
          <w:p w14:paraId="1A4FFA5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支持通用混贴票证识别：实拍混贴或复印件混贴扫描版场景下的通用混贴票证整体识别率不低于为98%；常见卡证的结构化识别，整体识别率不低于98%。验收时提供具有CMA认证的第三方机构出具的检测报告复印件。</w:t>
            </w:r>
          </w:p>
        </w:tc>
      </w:tr>
      <w:tr w14:paraId="6EBF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893AE6C">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497539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2C6F2A2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OCR表格识别</w:t>
            </w:r>
          </w:p>
        </w:tc>
        <w:tc>
          <w:tcPr>
            <w:tcW w:w="2381" w:type="pct"/>
            <w:tcMar>
              <w:top w:w="30" w:type="dxa"/>
              <w:left w:w="45" w:type="dxa"/>
              <w:bottom w:w="30" w:type="dxa"/>
              <w:right w:w="45" w:type="dxa"/>
            </w:tcMar>
            <w:vAlign w:val="center"/>
          </w:tcPr>
          <w:p w14:paraId="3FB06FD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支持表格识别。可实现有线表格整体识别率不低于为98%。验收时提供具有CMA认证的第三方机构出具的检测报告复印件。</w:t>
            </w:r>
          </w:p>
        </w:tc>
      </w:tr>
      <w:tr w14:paraId="6FB6B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635F551">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F10EA09">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56EF2B4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OCR生僻字识别</w:t>
            </w:r>
          </w:p>
        </w:tc>
        <w:tc>
          <w:tcPr>
            <w:tcW w:w="2381" w:type="pct"/>
            <w:tcMar>
              <w:top w:w="30" w:type="dxa"/>
              <w:left w:w="45" w:type="dxa"/>
              <w:bottom w:w="30" w:type="dxa"/>
              <w:right w:w="45" w:type="dxa"/>
            </w:tcMar>
            <w:vAlign w:val="center"/>
          </w:tcPr>
          <w:p w14:paraId="305CB5C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支持生僻字识别: 可实现至少5000个生僻字、3000对相似字识别率不低于为98%。验收时提供具有CMA认证的第三方机构出具的检测报告复印件。</w:t>
            </w:r>
          </w:p>
        </w:tc>
      </w:tr>
      <w:tr w14:paraId="7139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05E1A95">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52EB94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2C87530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OCR通用识别RT</w:t>
            </w:r>
          </w:p>
        </w:tc>
        <w:tc>
          <w:tcPr>
            <w:tcW w:w="2381" w:type="pct"/>
            <w:tcMar>
              <w:top w:w="30" w:type="dxa"/>
              <w:left w:w="45" w:type="dxa"/>
              <w:bottom w:w="30" w:type="dxa"/>
              <w:right w:w="45" w:type="dxa"/>
            </w:tcMar>
            <w:vAlign w:val="center"/>
          </w:tcPr>
          <w:p w14:paraId="5E8A0DA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支持通用识别RT：50字内，RT不超过100ms；500字内，RT不超过200ms 。验收时提供具有CMA认证的第三方机构出具的检测报告复印件。</w:t>
            </w:r>
          </w:p>
        </w:tc>
      </w:tr>
      <w:tr w14:paraId="1A825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91E0AE3">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094840C">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C9ABB8C">
            <w:pPr>
              <w:spacing w:line="288" w:lineRule="auto"/>
              <w:jc w:val="center"/>
              <w:rPr>
                <w:rFonts w:hint="eastAsia"/>
                <w:color w:val="auto"/>
                <w:sz w:val="21"/>
                <w:szCs w:val="21"/>
                <w:highlight w:val="none"/>
              </w:rPr>
            </w:pPr>
            <w:r>
              <w:rPr>
                <w:rFonts w:hint="eastAsia"/>
                <w:color w:val="auto"/>
                <w:sz w:val="21"/>
                <w:szCs w:val="21"/>
                <w:highlight w:val="none"/>
              </w:rPr>
              <w:t>考勤权益</w:t>
            </w:r>
          </w:p>
        </w:tc>
        <w:tc>
          <w:tcPr>
            <w:tcW w:w="2381" w:type="pct"/>
            <w:tcMar>
              <w:top w:w="30" w:type="dxa"/>
              <w:left w:w="45" w:type="dxa"/>
              <w:bottom w:w="30" w:type="dxa"/>
              <w:right w:w="45" w:type="dxa"/>
            </w:tcMar>
            <w:vAlign w:val="center"/>
          </w:tcPr>
          <w:p w14:paraId="27198EA7">
            <w:pPr>
              <w:spacing w:line="288" w:lineRule="auto"/>
              <w:jc w:val="left"/>
              <w:rPr>
                <w:rFonts w:hint="eastAsia"/>
                <w:color w:val="auto"/>
                <w:sz w:val="21"/>
                <w:szCs w:val="21"/>
                <w:highlight w:val="none"/>
              </w:rPr>
            </w:pPr>
            <w:r>
              <w:rPr>
                <w:rFonts w:hint="eastAsia"/>
                <w:color w:val="auto"/>
                <w:sz w:val="21"/>
                <w:szCs w:val="21"/>
                <w:highlight w:val="none"/>
              </w:rPr>
              <w:t>在标准版考勤的基础上，新增考勤专家模式、手机端员工统计字段和管理员统计字段自定义、考勤封账能力，提供最多1000个考勤组和1000个班次。</w:t>
            </w:r>
          </w:p>
        </w:tc>
      </w:tr>
      <w:tr w14:paraId="56F4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55A80D5">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C0D168A">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2D267796">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自定义工作台</w:t>
            </w:r>
          </w:p>
        </w:tc>
        <w:tc>
          <w:tcPr>
            <w:tcW w:w="2381" w:type="pct"/>
            <w:tcMar>
              <w:top w:w="30" w:type="dxa"/>
              <w:left w:w="45" w:type="dxa"/>
              <w:bottom w:w="30" w:type="dxa"/>
              <w:right w:w="45" w:type="dxa"/>
            </w:tcMar>
            <w:vAlign w:val="center"/>
          </w:tcPr>
          <w:p w14:paraId="37C68BF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支持工作台自定义配置或替换成组织自建的H5工作台，自定义工作台页面数量10个。</w:t>
            </w:r>
          </w:p>
        </w:tc>
      </w:tr>
      <w:tr w14:paraId="7175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6F973A8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7AD572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6FF4AA8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上下级组织</w:t>
            </w:r>
          </w:p>
        </w:tc>
        <w:tc>
          <w:tcPr>
            <w:tcW w:w="2381" w:type="pct"/>
            <w:tcMar>
              <w:top w:w="30" w:type="dxa"/>
              <w:left w:w="45" w:type="dxa"/>
              <w:bottom w:w="30" w:type="dxa"/>
              <w:right w:w="45" w:type="dxa"/>
            </w:tcMar>
            <w:vAlign w:val="center"/>
          </w:tcPr>
          <w:p w14:paraId="18402FC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可关联人数上限等于购买规格人数；主干组织可以邀请分支组织进行关联。关联成功后，分支组织成员将自动同步到主干组织的通讯录架构</w:t>
            </w:r>
          </w:p>
        </w:tc>
      </w:tr>
      <w:tr w14:paraId="7977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C85D4C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540E74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65F57AD6">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公开发布知识库数量</w:t>
            </w:r>
          </w:p>
        </w:tc>
        <w:tc>
          <w:tcPr>
            <w:tcW w:w="2381" w:type="pct"/>
            <w:tcMar>
              <w:top w:w="30" w:type="dxa"/>
              <w:left w:w="45" w:type="dxa"/>
              <w:bottom w:w="30" w:type="dxa"/>
              <w:right w:w="45" w:type="dxa"/>
            </w:tcMar>
            <w:vAlign w:val="center"/>
          </w:tcPr>
          <w:p w14:paraId="1576611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知识库的公开发布数量不限</w:t>
            </w:r>
          </w:p>
        </w:tc>
      </w:tr>
      <w:tr w14:paraId="788EF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4ACF80A">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AB457B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73952D1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知识库数据明细</w:t>
            </w:r>
          </w:p>
        </w:tc>
        <w:tc>
          <w:tcPr>
            <w:tcW w:w="2381" w:type="pct"/>
            <w:tcMar>
              <w:top w:w="30" w:type="dxa"/>
              <w:left w:w="45" w:type="dxa"/>
              <w:bottom w:w="30" w:type="dxa"/>
              <w:right w:w="45" w:type="dxa"/>
            </w:tcMar>
            <w:vAlign w:val="center"/>
          </w:tcPr>
          <w:p w14:paraId="3CF0AFA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可查看详细的知识库知识数据统计</w:t>
            </w:r>
          </w:p>
        </w:tc>
      </w:tr>
      <w:tr w14:paraId="7BAE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F5AEE34">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E7100A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5032F69C">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数据洞察</w:t>
            </w:r>
          </w:p>
        </w:tc>
        <w:tc>
          <w:tcPr>
            <w:tcW w:w="2381" w:type="pct"/>
            <w:tcMar>
              <w:top w:w="30" w:type="dxa"/>
              <w:left w:w="45" w:type="dxa"/>
              <w:bottom w:w="30" w:type="dxa"/>
              <w:right w:w="45" w:type="dxa"/>
            </w:tcMar>
            <w:vAlign w:val="center"/>
          </w:tcPr>
          <w:p w14:paraId="4E2BA6E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支持组织人事，流程分析功能，支持查看组织数据趋势</w:t>
            </w:r>
          </w:p>
        </w:tc>
      </w:tr>
      <w:tr w14:paraId="1B313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73346DBC">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D62B52A">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ECCED7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年检认证</w:t>
            </w:r>
          </w:p>
        </w:tc>
        <w:tc>
          <w:tcPr>
            <w:tcW w:w="2381" w:type="pct"/>
            <w:tcMar>
              <w:top w:w="30" w:type="dxa"/>
              <w:left w:w="45" w:type="dxa"/>
              <w:bottom w:w="30" w:type="dxa"/>
              <w:right w:w="45" w:type="dxa"/>
            </w:tcMar>
            <w:vAlign w:val="center"/>
          </w:tcPr>
          <w:p w14:paraId="66BDD21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进行组织资质年检审核服务（需提供承诺函）</w:t>
            </w:r>
          </w:p>
        </w:tc>
      </w:tr>
      <w:tr w14:paraId="1540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9C2F5F6">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762AA45">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7F2AF2FA">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协议管理</w:t>
            </w:r>
          </w:p>
        </w:tc>
        <w:tc>
          <w:tcPr>
            <w:tcW w:w="2381" w:type="pct"/>
            <w:tcMar>
              <w:top w:w="30" w:type="dxa"/>
              <w:left w:w="45" w:type="dxa"/>
              <w:bottom w:w="30" w:type="dxa"/>
              <w:right w:w="45" w:type="dxa"/>
            </w:tcMar>
            <w:vAlign w:val="center"/>
          </w:tcPr>
          <w:p w14:paraId="2DB85FD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支持专属协议管理、自主协议管理、协议签署情况分析功能</w:t>
            </w:r>
          </w:p>
        </w:tc>
      </w:tr>
      <w:tr w14:paraId="4667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78506A34">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007375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6FE3C8F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协议展示入口配置</w:t>
            </w:r>
          </w:p>
        </w:tc>
        <w:tc>
          <w:tcPr>
            <w:tcW w:w="2381" w:type="pct"/>
            <w:tcMar>
              <w:top w:w="30" w:type="dxa"/>
              <w:left w:w="45" w:type="dxa"/>
              <w:bottom w:w="30" w:type="dxa"/>
              <w:right w:w="45" w:type="dxa"/>
            </w:tcMar>
            <w:vAlign w:val="center"/>
          </w:tcPr>
          <w:p w14:paraId="10A1B84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1、管理员可因需将组织自主拟定的协议配置到专属App的“关于”界面上，用户可随时查看协议；</w:t>
            </w:r>
          </w:p>
          <w:p w14:paraId="27280C2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2、配置完成后实时生效。</w:t>
            </w:r>
          </w:p>
        </w:tc>
      </w:tr>
      <w:tr w14:paraId="294D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1D500BB">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389A5B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32A6C4D5">
            <w:pPr>
              <w:adjustRightInd w:val="0"/>
              <w:spacing w:line="288" w:lineRule="auto"/>
              <w:jc w:val="center"/>
              <w:rPr>
                <w:rFonts w:hint="eastAsia"/>
                <w:color w:val="auto"/>
                <w:sz w:val="21"/>
                <w:szCs w:val="21"/>
                <w:highlight w:val="none"/>
              </w:rPr>
            </w:pPr>
            <w:r>
              <w:rPr>
                <w:rFonts w:hint="eastAsia"/>
                <w:color w:val="auto"/>
                <w:sz w:val="21"/>
                <w:szCs w:val="21"/>
                <w:highlight w:val="none"/>
              </w:rPr>
              <w:t>登录管理</w:t>
            </w:r>
          </w:p>
        </w:tc>
        <w:tc>
          <w:tcPr>
            <w:tcW w:w="2381" w:type="pct"/>
            <w:tcMar>
              <w:top w:w="30" w:type="dxa"/>
              <w:left w:w="45" w:type="dxa"/>
              <w:bottom w:w="30" w:type="dxa"/>
              <w:right w:w="45" w:type="dxa"/>
            </w:tcMar>
            <w:vAlign w:val="center"/>
          </w:tcPr>
          <w:p w14:paraId="42D9F31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可按不同客户端进行登录管控：</w:t>
            </w:r>
          </w:p>
          <w:p w14:paraId="3E4EF59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1、Web端登录控制：用户登录时进行校验，允许或禁止用户在Web端登录钉钉；</w:t>
            </w:r>
          </w:p>
          <w:p w14:paraId="7631A6C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2、四端(手机端、电脑端、iPad端以及Mac端</w:t>
            </w:r>
          </w:p>
          <w:p w14:paraId="69D92911">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)登录控制：用户登录时进行校验，允许或禁止用户只能在专属App登录，在标准版钉钉无法登录；</w:t>
            </w:r>
          </w:p>
          <w:p w14:paraId="4B09514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3、组织外人员登录：用户登录时进行校验，允许或禁止组织外人员登录本组织的专属App客户端；</w:t>
            </w:r>
          </w:p>
          <w:p w14:paraId="3F811F4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4、登录提示（移动端）：开启或关闭用户登录移动端时组织数据安全告知提示；</w:t>
            </w:r>
          </w:p>
          <w:p w14:paraId="579925D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5、配置完成后实时生效。</w:t>
            </w:r>
          </w:p>
        </w:tc>
      </w:tr>
      <w:tr w14:paraId="7035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F5FD3F6">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A534BD9">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tcMar>
              <w:top w:w="30" w:type="dxa"/>
              <w:left w:w="45" w:type="dxa"/>
              <w:bottom w:w="30" w:type="dxa"/>
              <w:right w:w="45" w:type="dxa"/>
            </w:tcMar>
            <w:vAlign w:val="center"/>
          </w:tcPr>
          <w:p w14:paraId="1891A89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版本管理</w:t>
            </w:r>
          </w:p>
        </w:tc>
        <w:tc>
          <w:tcPr>
            <w:tcW w:w="2381" w:type="pct"/>
            <w:tcMar>
              <w:top w:w="30" w:type="dxa"/>
              <w:left w:w="45" w:type="dxa"/>
              <w:bottom w:w="30" w:type="dxa"/>
              <w:right w:w="45" w:type="dxa"/>
            </w:tcMar>
            <w:vAlign w:val="center"/>
          </w:tcPr>
          <w:p w14:paraId="26FE4E4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1、允许或禁止用户使用指定版本号及以下的版本号登录钉钉：</w:t>
            </w:r>
          </w:p>
          <w:p w14:paraId="050DB8F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2、能力覆盖四端（手机端、电脑端、iPad端以及Mac端），可分别设置是否启用管控；</w:t>
            </w:r>
          </w:p>
          <w:p w14:paraId="7A7D6D8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3、限制版本：可根据提供的版本号列表自主选择；</w:t>
            </w:r>
          </w:p>
          <w:p w14:paraId="38E10FF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4、生效范围：支持选择全员生效/部分生效/部分不生效/全部不生效，选择部分生效/部分不生效时支持按照角色、部门选择生效对象；</w:t>
            </w:r>
          </w:p>
          <w:p w14:paraId="2D2F65A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5、钉钉未登录时：开启后，限制员工登录，并展示升级链接，升级后才可登录；</w:t>
            </w:r>
          </w:p>
          <w:p w14:paraId="0E5BA47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6、下载地址配置：在升级提醒消息中默认为官网下载地址，专属App组织可自主配置打包下载地址；</w:t>
            </w:r>
          </w:p>
          <w:p w14:paraId="6CC1392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7、专属App升级方式配置：选择提示升级时，员工会在正常使用时收到升级提醒，但不限制使用；选择限制使用时，员工会在正常使用时收到升级提醒，必须升级后才能使用专属App；</w:t>
            </w:r>
          </w:p>
          <w:p w14:paraId="4BBB6C4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8、配置完成后实时生效。</w:t>
            </w:r>
          </w:p>
        </w:tc>
      </w:tr>
      <w:tr w14:paraId="37CD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EDBFFED">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8F6159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tcMar>
              <w:top w:w="30" w:type="dxa"/>
              <w:left w:w="45" w:type="dxa"/>
              <w:bottom w:w="30" w:type="dxa"/>
              <w:right w:w="45" w:type="dxa"/>
            </w:tcMar>
            <w:vAlign w:val="center"/>
          </w:tcPr>
          <w:p w14:paraId="53A8252A">
            <w:pPr>
              <w:spacing w:line="288" w:lineRule="auto"/>
              <w:jc w:val="center"/>
              <w:rPr>
                <w:rFonts w:hint="eastAsia"/>
                <w:color w:val="auto"/>
                <w:sz w:val="21"/>
                <w:szCs w:val="21"/>
                <w:highlight w:val="none"/>
              </w:rPr>
            </w:pPr>
            <w:r>
              <w:rPr>
                <w:rFonts w:hint="eastAsia"/>
                <w:color w:val="auto"/>
                <w:sz w:val="21"/>
                <w:szCs w:val="21"/>
                <w:highlight w:val="none"/>
              </w:rPr>
              <w:t>操作系统版本管控</w:t>
            </w:r>
          </w:p>
        </w:tc>
        <w:tc>
          <w:tcPr>
            <w:tcW w:w="2381" w:type="pct"/>
            <w:tcMar>
              <w:top w:w="30" w:type="dxa"/>
              <w:left w:w="45" w:type="dxa"/>
              <w:bottom w:w="30" w:type="dxa"/>
              <w:right w:w="45" w:type="dxa"/>
            </w:tcMar>
            <w:vAlign w:val="center"/>
          </w:tcPr>
          <w:p w14:paraId="74A6A322">
            <w:pPr>
              <w:spacing w:line="288" w:lineRule="auto"/>
              <w:jc w:val="left"/>
              <w:rPr>
                <w:rFonts w:hint="eastAsia"/>
                <w:color w:val="auto"/>
                <w:sz w:val="21"/>
                <w:szCs w:val="21"/>
                <w:highlight w:val="none"/>
              </w:rPr>
            </w:pPr>
            <w:r>
              <w:rPr>
                <w:rFonts w:hint="eastAsia"/>
                <w:color w:val="auto"/>
                <w:sz w:val="21"/>
                <w:szCs w:val="21"/>
                <w:highlight w:val="none"/>
              </w:rPr>
              <w:t>增加五端操作系统版本管控，提升设备的环境基线安全监测能力，提高安全水位。</w:t>
            </w:r>
            <w:r>
              <w:rPr>
                <w:rFonts w:hint="eastAsia"/>
                <w:color w:val="auto"/>
                <w:sz w:val="21"/>
                <w:szCs w:val="21"/>
                <w:highlight w:val="none"/>
              </w:rPr>
              <w:br w:type="textWrapping"/>
            </w:r>
            <w:r>
              <w:rPr>
                <w:rFonts w:hint="eastAsia"/>
                <w:color w:val="auto"/>
                <w:sz w:val="21"/>
                <w:szCs w:val="21"/>
                <w:highlight w:val="none"/>
              </w:rPr>
              <w:t>允许或禁止师生使用指定操作系统版本登录钉钉：</w:t>
            </w:r>
            <w:r>
              <w:rPr>
                <w:rFonts w:hint="eastAsia"/>
                <w:color w:val="auto"/>
                <w:sz w:val="21"/>
                <w:szCs w:val="21"/>
                <w:highlight w:val="none"/>
              </w:rPr>
              <w:br w:type="textWrapping"/>
            </w:r>
            <w:r>
              <w:rPr>
                <w:rFonts w:hint="eastAsia"/>
                <w:color w:val="auto"/>
                <w:sz w:val="21"/>
                <w:szCs w:val="21"/>
                <w:highlight w:val="none"/>
              </w:rPr>
              <w:t>1、能力覆盖五端：Windows、Mac、iOS、Android、Harmony OS；</w:t>
            </w:r>
            <w:r>
              <w:rPr>
                <w:rFonts w:hint="eastAsia"/>
                <w:color w:val="auto"/>
                <w:sz w:val="21"/>
                <w:szCs w:val="21"/>
                <w:highlight w:val="none"/>
              </w:rPr>
              <w:br w:type="textWrapping"/>
            </w:r>
            <w:r>
              <w:rPr>
                <w:rFonts w:hint="eastAsia"/>
                <w:color w:val="auto"/>
                <w:sz w:val="21"/>
                <w:szCs w:val="21"/>
                <w:highlight w:val="none"/>
              </w:rPr>
              <w:t>2、生效范围：支持选择全员生效/部分生效/部分不生效，选择部分生效/部分不生效时支持按照角色、部门选择生效对象；</w:t>
            </w:r>
            <w:r>
              <w:rPr>
                <w:rFonts w:hint="eastAsia"/>
                <w:color w:val="auto"/>
                <w:sz w:val="21"/>
                <w:szCs w:val="21"/>
                <w:highlight w:val="none"/>
              </w:rPr>
              <w:br w:type="textWrapping"/>
            </w:r>
            <w:r>
              <w:rPr>
                <w:rFonts w:hint="eastAsia"/>
                <w:color w:val="auto"/>
                <w:sz w:val="21"/>
                <w:szCs w:val="21"/>
                <w:highlight w:val="none"/>
              </w:rPr>
              <w:t>3、配置完成后实时生效。</w:t>
            </w:r>
          </w:p>
        </w:tc>
      </w:tr>
      <w:tr w14:paraId="54BB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6F3D47A">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32B355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BAB4A5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组织帐号</w:t>
            </w:r>
          </w:p>
        </w:tc>
        <w:tc>
          <w:tcPr>
            <w:tcW w:w="2381" w:type="pct"/>
            <w:tcMar>
              <w:top w:w="30" w:type="dxa"/>
              <w:left w:w="45" w:type="dxa"/>
              <w:bottom w:w="30" w:type="dxa"/>
              <w:right w:w="45" w:type="dxa"/>
            </w:tcMar>
            <w:vAlign w:val="center"/>
          </w:tcPr>
          <w:p w14:paraId="454EBFD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对登录钉钉的帐户进行创建、修改、停用、启用的全生命周期管理，支持以下类型：</w:t>
            </w:r>
          </w:p>
          <w:p w14:paraId="79239B8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1、钉钉组织帐号：帐号在钉钉管理后台创建并进行管理；支持在通讯录中批量导入组织帐号；</w:t>
            </w:r>
          </w:p>
          <w:p w14:paraId="6613BD1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2、SSO组织帐号：支持与学校统一身份认证对接；</w:t>
            </w:r>
          </w:p>
          <w:p w14:paraId="1E49731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3、登录页配置：使用钉钉账号登录，可自定义配置登录页内容：登录页标题、登录页logo、登录页背景图；使用SSO组织帐号登录，登录页由组织自定义；</w:t>
            </w:r>
          </w:p>
          <w:p w14:paraId="02D2315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4、可因需对学校统一身份认证帐号进行以下配置：允许或禁止扫码登录钉钉、加入或创建其他组织、通过手机号被搜索以及Web端登录超时后自动踢登。</w:t>
            </w:r>
          </w:p>
        </w:tc>
      </w:tr>
      <w:tr w14:paraId="35E3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7E43594">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8E838F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FDD6F0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用户管控查询</w:t>
            </w:r>
          </w:p>
        </w:tc>
        <w:tc>
          <w:tcPr>
            <w:tcW w:w="2381" w:type="pct"/>
            <w:tcMar>
              <w:top w:w="30" w:type="dxa"/>
              <w:left w:w="45" w:type="dxa"/>
              <w:bottom w:w="30" w:type="dxa"/>
              <w:right w:w="45" w:type="dxa"/>
            </w:tcMar>
            <w:vAlign w:val="center"/>
          </w:tcPr>
          <w:p w14:paraId="0CF88A6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支持查看师生使用的四端设备是否受到专属域的管控，并提供未管控原因的查询和信息列表的导出功能。</w:t>
            </w:r>
          </w:p>
        </w:tc>
      </w:tr>
      <w:tr w14:paraId="346E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6ABE1E1E">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A96610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6162F1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统一策略看板</w:t>
            </w:r>
          </w:p>
        </w:tc>
        <w:tc>
          <w:tcPr>
            <w:tcW w:w="2381" w:type="pct"/>
            <w:tcMar>
              <w:top w:w="30" w:type="dxa"/>
              <w:left w:w="45" w:type="dxa"/>
              <w:bottom w:w="30" w:type="dxa"/>
              <w:right w:w="45" w:type="dxa"/>
            </w:tcMar>
            <w:vAlign w:val="center"/>
          </w:tcPr>
          <w:p w14:paraId="6C19CA31">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支持精确查询师生受到的组织管理员所配置的安全管控策略。</w:t>
            </w:r>
          </w:p>
        </w:tc>
      </w:tr>
      <w:tr w14:paraId="2FA4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21CE127">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8F648D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B56533A">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组织行为管理</w:t>
            </w:r>
          </w:p>
        </w:tc>
        <w:tc>
          <w:tcPr>
            <w:tcW w:w="2381" w:type="pct"/>
            <w:tcMar>
              <w:top w:w="30" w:type="dxa"/>
              <w:left w:w="45" w:type="dxa"/>
              <w:bottom w:w="30" w:type="dxa"/>
              <w:right w:w="45" w:type="dxa"/>
            </w:tcMar>
            <w:vAlign w:val="center"/>
          </w:tcPr>
          <w:p w14:paraId="59C3A52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1、邀请他人：允许或禁止用户邀请学校组织外人员加入组织；</w:t>
            </w:r>
          </w:p>
          <w:p w14:paraId="41A45F4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2、创建组织：除管理员外，允许或禁止用户自行创建其他组织；</w:t>
            </w:r>
          </w:p>
          <w:p w14:paraId="59E8F06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3、退出组织：允许或禁止用户自行退出本组织；</w:t>
            </w:r>
          </w:p>
          <w:p w14:paraId="585B7AA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4、切换主组织：允许或禁止用户切换主组织；</w:t>
            </w:r>
          </w:p>
          <w:p w14:paraId="487E4831">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5、配置完成后实时生效。</w:t>
            </w:r>
          </w:p>
        </w:tc>
      </w:tr>
      <w:tr w14:paraId="1906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EC21DBE">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07FBD79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638AA65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密聊管控</w:t>
            </w:r>
          </w:p>
        </w:tc>
        <w:tc>
          <w:tcPr>
            <w:tcW w:w="2381" w:type="pct"/>
            <w:tcMar>
              <w:top w:w="30" w:type="dxa"/>
              <w:left w:w="45" w:type="dxa"/>
              <w:bottom w:w="30" w:type="dxa"/>
              <w:right w:w="45" w:type="dxa"/>
            </w:tcMar>
            <w:vAlign w:val="center"/>
          </w:tcPr>
          <w:p w14:paraId="591BC2A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允许或禁止用户使用密聊功能，配置完成后实时生效。</w:t>
            </w:r>
          </w:p>
        </w:tc>
      </w:tr>
      <w:tr w14:paraId="0C2B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2B8C51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256DE6F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441480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外部联系管控</w:t>
            </w:r>
          </w:p>
        </w:tc>
        <w:tc>
          <w:tcPr>
            <w:tcW w:w="2381" w:type="pct"/>
            <w:tcMar>
              <w:top w:w="30" w:type="dxa"/>
              <w:left w:w="45" w:type="dxa"/>
              <w:bottom w:w="30" w:type="dxa"/>
              <w:right w:w="45" w:type="dxa"/>
            </w:tcMar>
            <w:vAlign w:val="center"/>
          </w:tcPr>
          <w:p w14:paraId="5774E8E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1、用户主动添加好友：允许或禁止用户添加个人好友；</w:t>
            </w:r>
          </w:p>
          <w:p w14:paraId="3B1857F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2、用户被添加好友：允许或禁止被其他用户添加个人好友；</w:t>
            </w:r>
          </w:p>
          <w:p w14:paraId="2FF2607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3、移动端通讯录朋友推荐：允许或禁止向用户推荐“你可能认识的人”；</w:t>
            </w:r>
          </w:p>
          <w:p w14:paraId="006C6E2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4、面对面交换名片：允许或禁止用户使用面对面交换名片功能；</w:t>
            </w:r>
          </w:p>
          <w:p w14:paraId="5AC9D63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5、配置完成后实时生效。</w:t>
            </w:r>
          </w:p>
        </w:tc>
      </w:tr>
      <w:tr w14:paraId="37CE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7E53CE0C">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014A81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6381F67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离职/毕业数据管理</w:t>
            </w:r>
          </w:p>
        </w:tc>
        <w:tc>
          <w:tcPr>
            <w:tcW w:w="2381" w:type="pct"/>
            <w:tcMar>
              <w:top w:w="30" w:type="dxa"/>
              <w:left w:w="45" w:type="dxa"/>
              <w:bottom w:w="30" w:type="dxa"/>
              <w:right w:w="45" w:type="dxa"/>
            </w:tcMar>
            <w:vAlign w:val="center"/>
          </w:tcPr>
          <w:p w14:paraId="0BD9FBC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1、删除师生单聊：用户离职/毕业时，删除或保留他与其他同事之间的单聊消息及文件；</w:t>
            </w:r>
          </w:p>
          <w:p w14:paraId="449D612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2、删除钉钉云盘文件：用户离职时，删除或保留他的个人钉钉云盘文件；</w:t>
            </w:r>
          </w:p>
          <w:p w14:paraId="64A5F1A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删除助手信息：用户离职时，删除或保留他的文件助手及业务助手里的消息及文件（业务助手包括：DING助手、任务助手、钉钉管理助手、钉钉安全助手、日历助手、新零售管理助手、新零售小助手、项目助手）；</w:t>
            </w:r>
          </w:p>
          <w:p w14:paraId="4D34B2F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4、删除“我聊”记录：用户离职时，删除或保留他的“我聊”消息及文件；</w:t>
            </w:r>
          </w:p>
          <w:p w14:paraId="79C28E0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5、配置完成后实时生效。</w:t>
            </w:r>
          </w:p>
        </w:tc>
      </w:tr>
      <w:tr w14:paraId="4863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93D5B1B">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1DCE2E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71F914A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钉内文件管控</w:t>
            </w:r>
          </w:p>
        </w:tc>
        <w:tc>
          <w:tcPr>
            <w:tcW w:w="2381" w:type="pct"/>
            <w:tcMar>
              <w:top w:w="30" w:type="dxa"/>
              <w:left w:w="45" w:type="dxa"/>
              <w:bottom w:w="30" w:type="dxa"/>
              <w:right w:w="45" w:type="dxa"/>
            </w:tcMar>
            <w:vAlign w:val="center"/>
          </w:tcPr>
          <w:p w14:paraId="7B99291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提供文件的防泄漏管控能力（转发、下载、复制粘贴、分享）：</w:t>
            </w:r>
          </w:p>
          <w:p w14:paraId="3DCB72CA">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1、分享文件外链：允许或禁止用户将聊天和钉钉云盘中的文件生成外链分享；【演示内容】</w:t>
            </w:r>
          </w:p>
          <w:p w14:paraId="40FF71D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2、转发/转存文件：允许或禁止用户将组织内部文件转发/转存到组织外部；</w:t>
            </w:r>
          </w:p>
          <w:p w14:paraId="22BF49BB">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3、上传本地文件：允许或禁止用户将本地电脑端的文件发送到组织外部；【演示内容】</w:t>
            </w:r>
          </w:p>
          <w:p w14:paraId="1F7C51B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4、下载文件：允许或禁止用户将组织内部文件下载到本地；</w:t>
            </w:r>
          </w:p>
          <w:p w14:paraId="7F58B272">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5、文件局域网传输功能：允许或禁止用户使用Windows端-单聊窗口中的“局域网传输”功能；【演示内容】</w:t>
            </w:r>
          </w:p>
          <w:p w14:paraId="08C2CA1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6、发送带附件DING消息：允许或禁止用户向组织外部发送带附件的DING消息；</w:t>
            </w:r>
          </w:p>
          <w:p w14:paraId="33D0500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7、发送带附件的日程/待办：允许或禁止用户发送含附件的日程/待办到组织外部；</w:t>
            </w:r>
          </w:p>
          <w:p w14:paraId="599B6E7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8、私人盘：允许或禁止用户在职期间使用私人盘存放文件；</w:t>
            </w:r>
          </w:p>
          <w:p w14:paraId="3AEAAFF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9、移动端在线编辑文件：允许或禁止用户在移动端在线编辑文件；</w:t>
            </w:r>
          </w:p>
          <w:p w14:paraId="586D688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10、移动端在线预览文件：允许或禁止用户在移动端在线预览文件；</w:t>
            </w:r>
          </w:p>
          <w:p w14:paraId="7850D08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11、文件传输大小限制：允许或禁止用户传输超过指定大小的文件（包括向外部人员传输）;</w:t>
            </w:r>
          </w:p>
          <w:p w14:paraId="4F5D773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12、“我聊”与文件助手中文件下载：允许或禁止将“我聊”与文件助手中的文件下载到本地；</w:t>
            </w:r>
          </w:p>
          <w:p w14:paraId="4FB2F8E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13、文件复制功能：允许或禁止用户在文件的预览和编辑状态下使用复制功能；</w:t>
            </w:r>
          </w:p>
          <w:p w14:paraId="2003AF2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14、配置完成后实时生效。</w:t>
            </w:r>
          </w:p>
        </w:tc>
      </w:tr>
      <w:tr w14:paraId="56EB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2BFF662">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95BDF59">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tcMar>
              <w:top w:w="30" w:type="dxa"/>
              <w:left w:w="45" w:type="dxa"/>
              <w:bottom w:w="30" w:type="dxa"/>
              <w:right w:w="45" w:type="dxa"/>
            </w:tcMar>
            <w:vAlign w:val="center"/>
          </w:tcPr>
          <w:p w14:paraId="149439B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在线文档管控</w:t>
            </w:r>
          </w:p>
        </w:tc>
        <w:tc>
          <w:tcPr>
            <w:tcW w:w="2381" w:type="pct"/>
            <w:tcMar>
              <w:top w:w="30" w:type="dxa"/>
              <w:left w:w="45" w:type="dxa"/>
              <w:bottom w:w="30" w:type="dxa"/>
              <w:right w:w="45" w:type="dxa"/>
            </w:tcMar>
            <w:vAlign w:val="center"/>
          </w:tcPr>
          <w:p w14:paraId="1576056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提供钉钉在线文档的防泄漏管控能力（创建、复制粘贴、导出、插入本地文件）：</w:t>
            </w:r>
          </w:p>
          <w:p w14:paraId="6BBA32E8">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1、创建在线文档：允许或禁止用户创建归属于外部组织的在线文档；【演示内容】</w:t>
            </w:r>
          </w:p>
          <w:p w14:paraId="613FDD19">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2、在线文档复制功能：允许或禁止用户将组织内部文档内容复制到文档外；【演示内容】</w:t>
            </w:r>
          </w:p>
          <w:p w14:paraId="6A11FACC">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3、导出在线文档到本地：允许或禁止用户将组织内部在线文档导出到本地；【演示内容】</w:t>
            </w:r>
          </w:p>
          <w:p w14:paraId="4ECF4178">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4、在线文档授权：允许或禁止用户给组织外部人员添加内部文档权限；【演示内容】</w:t>
            </w:r>
          </w:p>
          <w:p w14:paraId="000F7EE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5、在线文档中插入本地文件：允许或禁止用户在在线文档中插入本地文件；</w:t>
            </w:r>
          </w:p>
          <w:p w14:paraId="6D83088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6、配置完成后实时生效。</w:t>
            </w:r>
          </w:p>
        </w:tc>
      </w:tr>
      <w:tr w14:paraId="71F9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0DA3F24">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FB513E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0C97E3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群内信息保护</w:t>
            </w:r>
          </w:p>
        </w:tc>
        <w:tc>
          <w:tcPr>
            <w:tcW w:w="2381" w:type="pct"/>
            <w:tcMar>
              <w:top w:w="30" w:type="dxa"/>
              <w:left w:w="45" w:type="dxa"/>
              <w:bottom w:w="30" w:type="dxa"/>
              <w:right w:w="45" w:type="dxa"/>
            </w:tcMar>
            <w:vAlign w:val="center"/>
          </w:tcPr>
          <w:p w14:paraId="4CFC53D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提供群内沟通行为的管控能力：</w:t>
            </w:r>
          </w:p>
          <w:p w14:paraId="0728E747">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1、下载聊天会话中的图片：允许或禁止用户将内部聊天图片下载到本地；【演示内容】</w:t>
            </w:r>
          </w:p>
          <w:p w14:paraId="473D4604">
            <w:pPr>
              <w:pStyle w:val="9"/>
              <w:adjustRightInd w:val="0"/>
              <w:spacing w:line="288" w:lineRule="auto"/>
              <w:ind w:firstLine="0"/>
              <w:jc w:val="left"/>
              <w:rPr>
                <w:rFonts w:hint="eastAsia" w:hAnsi="宋体" w:cs="宋体"/>
                <w:b/>
                <w:bCs/>
                <w:color w:val="auto"/>
                <w:sz w:val="21"/>
                <w:szCs w:val="21"/>
                <w:highlight w:val="none"/>
              </w:rPr>
            </w:pPr>
            <w:r>
              <w:rPr>
                <w:rFonts w:hint="eastAsia" w:hAnsi="宋体" w:cs="宋体"/>
                <w:b/>
                <w:bCs/>
                <w:color w:val="auto"/>
                <w:sz w:val="21"/>
                <w:szCs w:val="21"/>
                <w:highlight w:val="none"/>
              </w:rPr>
              <w:t>2、外部聊天场景时粘贴：允许或禁止用户在外部聊天场景时使用粘贴功能；【演示内容】</w:t>
            </w:r>
          </w:p>
          <w:p w14:paraId="14B3DC46">
            <w:pPr>
              <w:pStyle w:val="9"/>
              <w:adjustRightInd w:val="0"/>
              <w:spacing w:line="288" w:lineRule="auto"/>
              <w:ind w:firstLine="0"/>
              <w:jc w:val="left"/>
              <w:rPr>
                <w:rFonts w:hint="eastAsia" w:hAnsi="宋体" w:cs="宋体"/>
                <w:color w:val="auto"/>
                <w:sz w:val="21"/>
                <w:szCs w:val="21"/>
                <w:highlight w:val="none"/>
              </w:rPr>
            </w:pPr>
            <w:r>
              <w:rPr>
                <w:rFonts w:hint="eastAsia" w:hAnsi="宋体" w:cs="宋体"/>
                <w:b/>
                <w:bCs/>
                <w:color w:val="auto"/>
                <w:sz w:val="21"/>
                <w:szCs w:val="21"/>
                <w:highlight w:val="none"/>
              </w:rPr>
              <w:t>3、群聊截图：允许或禁止用户在PC端外部群及非同事单聊使用钉钉自带的截图功能 ；【演示内容】</w:t>
            </w:r>
          </w:p>
          <w:p w14:paraId="5316349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4、转发聊天记录：允许或禁止用户将内部聊天记录转发到组织外部；</w:t>
            </w:r>
          </w:p>
          <w:p w14:paraId="15EC191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5、发送代码片段功能：允许或禁止用户在外部群以及外部单聊使用“发送代码片段”功能；</w:t>
            </w:r>
          </w:p>
          <w:p w14:paraId="1D8B3C7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6、传图识字功能：允许或禁止用户在移动端内部群聊及单聊中使用“识别图中文字&amp;翻译”功能；</w:t>
            </w:r>
          </w:p>
          <w:p w14:paraId="019C0C3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7、放大查看和下载头像：允许或禁止用户放大查看钉钉头像；</w:t>
            </w:r>
          </w:p>
          <w:p w14:paraId="5A8D18B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8、配置完成后实时生效。</w:t>
            </w:r>
          </w:p>
        </w:tc>
      </w:tr>
      <w:tr w14:paraId="7D43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29D972D">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2BD648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76C5637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全局明水印</w:t>
            </w:r>
          </w:p>
        </w:tc>
        <w:tc>
          <w:tcPr>
            <w:tcW w:w="2381" w:type="pct"/>
            <w:tcMar>
              <w:top w:w="30" w:type="dxa"/>
              <w:left w:w="45" w:type="dxa"/>
              <w:bottom w:w="30" w:type="dxa"/>
              <w:right w:w="45" w:type="dxa"/>
            </w:tcMar>
            <w:vAlign w:val="center"/>
          </w:tcPr>
          <w:p w14:paraId="0D855AF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支持配置专属钉钉客户端内是否显示水印，按需配置水印内容（App名、姓名、工号、手机号后四位、时间戳、自定义能力）、水印深浅、水印疏密，并支持暗黑模式：</w:t>
            </w:r>
          </w:p>
          <w:p w14:paraId="500093D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1、提供默认配置：App名+姓名+手机号后4位；</w:t>
            </w:r>
          </w:p>
          <w:p w14:paraId="4135A46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2、按安全水位，自定义叠加：时间戳、工号、自定义字段；调疏密；调深浅；</w:t>
            </w:r>
          </w:p>
          <w:p w14:paraId="41F208A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3、可配置生效人群，配置完成后实时生效。</w:t>
            </w:r>
          </w:p>
        </w:tc>
      </w:tr>
      <w:tr w14:paraId="169B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0A6E2C9">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D57083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EE325F5">
            <w:pPr>
              <w:spacing w:line="288" w:lineRule="auto"/>
              <w:jc w:val="center"/>
              <w:rPr>
                <w:rFonts w:hint="eastAsia"/>
                <w:color w:val="auto"/>
                <w:sz w:val="21"/>
                <w:szCs w:val="21"/>
                <w:highlight w:val="none"/>
              </w:rPr>
            </w:pPr>
            <w:r>
              <w:rPr>
                <w:rFonts w:hint="eastAsia"/>
                <w:color w:val="auto"/>
                <w:sz w:val="21"/>
                <w:szCs w:val="21"/>
                <w:highlight w:val="none"/>
              </w:rPr>
              <w:t>文件病毒扫描</w:t>
            </w:r>
          </w:p>
        </w:tc>
        <w:tc>
          <w:tcPr>
            <w:tcW w:w="2381" w:type="pct"/>
            <w:tcMar>
              <w:top w:w="30" w:type="dxa"/>
              <w:left w:w="45" w:type="dxa"/>
              <w:bottom w:w="30" w:type="dxa"/>
              <w:right w:w="45" w:type="dxa"/>
            </w:tcMar>
            <w:vAlign w:val="center"/>
          </w:tcPr>
          <w:p w14:paraId="7B340B21">
            <w:pPr>
              <w:spacing w:line="288" w:lineRule="auto"/>
              <w:jc w:val="left"/>
              <w:rPr>
                <w:rFonts w:hint="eastAsia"/>
                <w:color w:val="auto"/>
                <w:sz w:val="21"/>
                <w:szCs w:val="21"/>
                <w:highlight w:val="none"/>
              </w:rPr>
            </w:pPr>
            <w:r>
              <w:rPr>
                <w:rFonts w:hint="eastAsia"/>
                <w:color w:val="auto"/>
                <w:sz w:val="21"/>
                <w:szCs w:val="21"/>
                <w:highlight w:val="none"/>
              </w:rPr>
              <w:t>为学校提供钉钉云盘文件的病毒检测和拦截能力：</w:t>
            </w:r>
            <w:r>
              <w:rPr>
                <w:rFonts w:hint="eastAsia"/>
                <w:color w:val="auto"/>
                <w:sz w:val="21"/>
                <w:szCs w:val="21"/>
                <w:highlight w:val="none"/>
              </w:rPr>
              <w:br w:type="textWrapping"/>
            </w:r>
            <w:r>
              <w:rPr>
                <w:rFonts w:hint="eastAsia"/>
                <w:color w:val="auto"/>
                <w:sz w:val="21"/>
                <w:szCs w:val="21"/>
                <w:highlight w:val="none"/>
              </w:rPr>
              <w:t>1、扫描规则配置：管理员可以新增文件病毒扫描规则，支持填写规则名称、规则说明、生效场域、文件来源（内部员工PC端上传的文件、内部员工移动端上传的文件、外部来源文件）、扫描触发时机（PC端上传、移动端上传、PC端下载、移动端下载）、生效人员范围（全部生效、部分生效、部分不生效），同一文件只扫描一次，扫描后的文件，若不做内容变更操作则不再扫描；</w:t>
            </w:r>
            <w:r>
              <w:rPr>
                <w:rFonts w:hint="eastAsia"/>
                <w:color w:val="auto"/>
                <w:sz w:val="21"/>
                <w:szCs w:val="21"/>
                <w:highlight w:val="none"/>
              </w:rPr>
              <w:br w:type="textWrapping"/>
            </w:r>
            <w:r>
              <w:rPr>
                <w:rFonts w:hint="eastAsia"/>
                <w:color w:val="auto"/>
                <w:sz w:val="21"/>
                <w:szCs w:val="21"/>
                <w:highlight w:val="none"/>
              </w:rPr>
              <w:t>2、拦截策略配置：管理员可以新增对不同返回结果的管控策略，支持填写策略名称、策略说明、生效场域、文件状态、管控方式（放行、拦截）、生效人员范围；</w:t>
            </w:r>
            <w:r>
              <w:rPr>
                <w:rFonts w:hint="eastAsia"/>
                <w:color w:val="auto"/>
                <w:sz w:val="21"/>
                <w:szCs w:val="21"/>
                <w:highlight w:val="none"/>
              </w:rPr>
              <w:br w:type="textWrapping"/>
            </w:r>
            <w:r>
              <w:rPr>
                <w:rFonts w:hint="eastAsia"/>
                <w:color w:val="auto"/>
                <w:sz w:val="21"/>
                <w:szCs w:val="21"/>
                <w:highlight w:val="none"/>
              </w:rPr>
              <w:t>3、用量及日志查看：支持查看IM、DING、知识库、待办、审批、日程场域的病毒扫描引擎调用量以及对病毒文件的拦截阻断次数。支持近一周、一月、一年的检索时间区间，并支持通过场域、扫描触发时机、人员、操作时间维度，对病毒文件的拦截日志进行检索；</w:t>
            </w:r>
            <w:r>
              <w:rPr>
                <w:rFonts w:hint="eastAsia"/>
                <w:color w:val="auto"/>
                <w:sz w:val="21"/>
                <w:szCs w:val="21"/>
                <w:highlight w:val="none"/>
              </w:rPr>
              <w:br w:type="textWrapping"/>
            </w:r>
            <w:r>
              <w:rPr>
                <w:rFonts w:hint="eastAsia"/>
                <w:color w:val="auto"/>
                <w:sz w:val="21"/>
                <w:szCs w:val="21"/>
                <w:highlight w:val="none"/>
              </w:rPr>
              <w:t>4、提供1000次病毒文件扫描次数。</w:t>
            </w:r>
          </w:p>
        </w:tc>
      </w:tr>
      <w:tr w14:paraId="01F4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7949C20E">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DA69DB5">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BFCDDB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导航栏设置</w:t>
            </w:r>
          </w:p>
        </w:tc>
        <w:tc>
          <w:tcPr>
            <w:tcW w:w="2381" w:type="pct"/>
            <w:tcMar>
              <w:top w:w="30" w:type="dxa"/>
              <w:left w:w="45" w:type="dxa"/>
              <w:bottom w:w="30" w:type="dxa"/>
              <w:right w:w="45" w:type="dxa"/>
            </w:tcMar>
            <w:vAlign w:val="center"/>
          </w:tcPr>
          <w:p w14:paraId="4ED3128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导航栏支持自定义配置，至少可配置5套方案，对不同用户配置不同展示方案，方案适配英文：</w:t>
            </w:r>
          </w:p>
          <w:p w14:paraId="127A4C0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1、添加自定义应用：包括钉钉官方应用、组织购买的三方应用和组织自建应用；</w:t>
            </w:r>
          </w:p>
          <w:p w14:paraId="78C2E4C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2、应用视觉风格：图标支持圆角矩形风格及线框风格，支持适配暗黑模式；</w:t>
            </w:r>
          </w:p>
          <w:p w14:paraId="67D0AB3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3、配置能力：可对应用进行替换/删除/调序操作，支持更改名称/更改图标，设置应用选中态及非选中态图标样式；</w:t>
            </w:r>
          </w:p>
          <w:p w14:paraId="4B4665D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4、配置范围：PC端支持主导航、次导航、更多；移动端支持主导航、分组；</w:t>
            </w:r>
          </w:p>
          <w:p w14:paraId="66BD5CF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5、规则优先级：当某个人员在多条规则中被选中，以更高优先级规则生效；</w:t>
            </w:r>
          </w:p>
          <w:p w14:paraId="09A45F9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6、生效方式：切换组织、重新登录或重启客户端。</w:t>
            </w:r>
          </w:p>
        </w:tc>
      </w:tr>
      <w:tr w14:paraId="41C4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4EEB65D">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24D6D712">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61058A61">
            <w:pPr>
              <w:spacing w:line="288" w:lineRule="auto"/>
              <w:jc w:val="center"/>
              <w:rPr>
                <w:rFonts w:hint="eastAsia"/>
                <w:color w:val="auto"/>
                <w:sz w:val="21"/>
                <w:szCs w:val="21"/>
                <w:highlight w:val="none"/>
              </w:rPr>
            </w:pPr>
            <w:r>
              <w:rPr>
                <w:rFonts w:hint="eastAsia"/>
                <w:color w:val="auto"/>
                <w:sz w:val="21"/>
                <w:szCs w:val="21"/>
                <w:highlight w:val="none"/>
              </w:rPr>
              <w:t>客户端顶部工具栏</w:t>
            </w:r>
          </w:p>
        </w:tc>
        <w:tc>
          <w:tcPr>
            <w:tcW w:w="2381" w:type="pct"/>
            <w:tcMar>
              <w:top w:w="30" w:type="dxa"/>
              <w:left w:w="45" w:type="dxa"/>
              <w:bottom w:w="30" w:type="dxa"/>
              <w:right w:w="45" w:type="dxa"/>
            </w:tcMar>
            <w:vAlign w:val="center"/>
          </w:tcPr>
          <w:p w14:paraId="2C9A97F6">
            <w:pPr>
              <w:spacing w:line="288" w:lineRule="auto"/>
              <w:jc w:val="left"/>
              <w:rPr>
                <w:rFonts w:hint="eastAsia"/>
                <w:color w:val="auto"/>
                <w:sz w:val="21"/>
                <w:szCs w:val="21"/>
                <w:highlight w:val="none"/>
              </w:rPr>
            </w:pPr>
            <w:r>
              <w:rPr>
                <w:rFonts w:hint="eastAsia"/>
                <w:color w:val="auto"/>
                <w:sz w:val="21"/>
                <w:szCs w:val="21"/>
                <w:highlight w:val="none"/>
              </w:rPr>
              <w:t>客户端顶部工具栏支持自定义配置，至少可配置5套方案（同时生效），对不同员工配置不同展示方案，方案适配多语言（范围同标准钉：</w:t>
            </w:r>
            <w:r>
              <w:rPr>
                <w:rFonts w:hint="eastAsia"/>
                <w:color w:val="auto"/>
                <w:sz w:val="21"/>
                <w:szCs w:val="21"/>
                <w:highlight w:val="none"/>
              </w:rPr>
              <w:br w:type="textWrapping"/>
            </w:r>
            <w:r>
              <w:rPr>
                <w:rFonts w:hint="eastAsia"/>
                <w:color w:val="auto"/>
                <w:sz w:val="21"/>
                <w:szCs w:val="21"/>
                <w:highlight w:val="none"/>
              </w:rPr>
              <w:t>1、添加自定义应用：钉钉官方应用、购买的三方应用和自建应用；</w:t>
            </w:r>
            <w:r>
              <w:rPr>
                <w:rFonts w:hint="eastAsia"/>
                <w:color w:val="auto"/>
                <w:sz w:val="21"/>
                <w:szCs w:val="21"/>
                <w:highlight w:val="none"/>
              </w:rPr>
              <w:br w:type="textWrapping"/>
            </w:r>
            <w:r>
              <w:rPr>
                <w:rFonts w:hint="eastAsia"/>
                <w:color w:val="auto"/>
                <w:sz w:val="21"/>
                <w:szCs w:val="21"/>
                <w:highlight w:val="none"/>
              </w:rPr>
              <w:t>2、应用视觉风格：图标支持圆角矩形风格及线框风格，支持适配暗黑模式；</w:t>
            </w:r>
            <w:r>
              <w:rPr>
                <w:rFonts w:hint="eastAsia"/>
                <w:color w:val="auto"/>
                <w:sz w:val="21"/>
                <w:szCs w:val="21"/>
                <w:highlight w:val="none"/>
              </w:rPr>
              <w:br w:type="textWrapping"/>
            </w:r>
            <w:r>
              <w:rPr>
                <w:rFonts w:hint="eastAsia"/>
                <w:color w:val="auto"/>
                <w:sz w:val="21"/>
                <w:szCs w:val="21"/>
                <w:highlight w:val="none"/>
              </w:rPr>
              <w:t>3、配置能力：可对应用进行替换/删除/调序操作，支持更改名称/更改图标；</w:t>
            </w:r>
            <w:r>
              <w:rPr>
                <w:rFonts w:hint="eastAsia"/>
                <w:color w:val="auto"/>
                <w:sz w:val="21"/>
                <w:szCs w:val="21"/>
                <w:highlight w:val="none"/>
              </w:rPr>
              <w:br w:type="textWrapping"/>
            </w:r>
            <w:r>
              <w:rPr>
                <w:rFonts w:hint="eastAsia"/>
                <w:color w:val="auto"/>
                <w:sz w:val="21"/>
                <w:szCs w:val="21"/>
                <w:highlight w:val="none"/>
              </w:rPr>
              <w:t>4、配置范围：顶部工具栏（最多3个应用）；</w:t>
            </w:r>
            <w:r>
              <w:rPr>
                <w:rFonts w:hint="eastAsia"/>
                <w:color w:val="auto"/>
                <w:sz w:val="21"/>
                <w:szCs w:val="21"/>
                <w:highlight w:val="none"/>
              </w:rPr>
              <w:br w:type="textWrapping"/>
            </w:r>
            <w:r>
              <w:rPr>
                <w:rFonts w:hint="eastAsia"/>
                <w:color w:val="auto"/>
                <w:sz w:val="21"/>
                <w:szCs w:val="21"/>
                <w:highlight w:val="none"/>
              </w:rPr>
              <w:t>5、规则优先级：当某个人员在多条规则中被选中，以更高优先级规则生效（排序在页面更上方的规则优先级更高）；</w:t>
            </w:r>
            <w:r>
              <w:rPr>
                <w:rFonts w:hint="eastAsia"/>
                <w:color w:val="auto"/>
                <w:sz w:val="21"/>
                <w:szCs w:val="21"/>
                <w:highlight w:val="none"/>
              </w:rPr>
              <w:br w:type="textWrapping"/>
            </w:r>
            <w:r>
              <w:rPr>
                <w:rFonts w:hint="eastAsia"/>
                <w:color w:val="auto"/>
                <w:sz w:val="21"/>
                <w:szCs w:val="21"/>
                <w:highlight w:val="none"/>
              </w:rPr>
              <w:t>6、生效方式：发布后用户侧同步实时更新</w:t>
            </w:r>
          </w:p>
        </w:tc>
      </w:tr>
      <w:tr w14:paraId="3F1E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AA30A07">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BC46816">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8DA010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移动端+号菜单栏配置</w:t>
            </w:r>
          </w:p>
        </w:tc>
        <w:tc>
          <w:tcPr>
            <w:tcW w:w="2381" w:type="pct"/>
            <w:tcMar>
              <w:top w:w="30" w:type="dxa"/>
              <w:left w:w="45" w:type="dxa"/>
              <w:bottom w:w="30" w:type="dxa"/>
              <w:right w:w="45" w:type="dxa"/>
            </w:tcMar>
            <w:vAlign w:val="center"/>
          </w:tcPr>
          <w:p w14:paraId="6E65B4F1">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移动端+号支持自定义配置，至少可配置5套方案（同时生效），对不同用户配置不同展示方案，方案适配英文：</w:t>
            </w:r>
          </w:p>
          <w:p w14:paraId="4EDB6E1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1、添加自定义应用：钉钉官方应用、组织购买的三方应用和组织自建应用；</w:t>
            </w:r>
          </w:p>
          <w:p w14:paraId="531C7CB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2、应用视觉风格：图标支持圆角矩形风格及线框风格，支持适配暗黑模式；</w:t>
            </w:r>
          </w:p>
          <w:p w14:paraId="06EA6AE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3、配置能力：可对应用进行替换/删除/调序操作，支持更改名称/更改图标；</w:t>
            </w:r>
          </w:p>
          <w:p w14:paraId="6A14E122">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4、配置范围：移动端+号菜单栏；</w:t>
            </w:r>
          </w:p>
          <w:p w14:paraId="3E0DC9C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5、规则优先级：当某个人员在多条规则中被选中，以更高优先级规则生效；</w:t>
            </w:r>
          </w:p>
          <w:p w14:paraId="32032E9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6、生效方式：切换组织、重新登录或重启客户端。</w:t>
            </w:r>
          </w:p>
        </w:tc>
      </w:tr>
      <w:tr w14:paraId="75D8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186278B">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2A7B4B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6CBE92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移动端吸顶栏配置</w:t>
            </w:r>
          </w:p>
        </w:tc>
        <w:tc>
          <w:tcPr>
            <w:tcW w:w="2381" w:type="pct"/>
            <w:tcMar>
              <w:top w:w="30" w:type="dxa"/>
              <w:left w:w="45" w:type="dxa"/>
              <w:bottom w:w="30" w:type="dxa"/>
              <w:right w:w="45" w:type="dxa"/>
            </w:tcMar>
            <w:vAlign w:val="center"/>
          </w:tcPr>
          <w:p w14:paraId="17BC765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移动端吸顶栏支持自定义配置，至少可配置5套方案（同时生效），对不同用户配置不同展示方案，方案适配英文：</w:t>
            </w:r>
          </w:p>
          <w:p w14:paraId="3415B33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1、添加自定义应用：钉钉官方应用、组织购买的三方应用和组织自建应用；</w:t>
            </w:r>
          </w:p>
          <w:p w14:paraId="3F8A02C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2、应用视觉风格：图标支持圆角矩形风格及线框风格，支持适配暗黑模式；</w:t>
            </w:r>
          </w:p>
          <w:p w14:paraId="2C98668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3、配置能力：可对应用进行替换/删除/调序操作，支持更改名称/更改图标；</w:t>
            </w:r>
          </w:p>
          <w:p w14:paraId="6DA3112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4、配置范围：移动端吸顶栏区域；</w:t>
            </w:r>
          </w:p>
          <w:p w14:paraId="23D5EE8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5、规则优先级：当某个人员在多条规则中被选中，以更高优先级规则生效；</w:t>
            </w:r>
          </w:p>
          <w:p w14:paraId="612C26C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6、生效方式：切换组织、重新登录或重启客户端。</w:t>
            </w:r>
          </w:p>
        </w:tc>
      </w:tr>
      <w:tr w14:paraId="6A65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D7BD466">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28FF33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47718A19">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启动图</w:t>
            </w:r>
          </w:p>
        </w:tc>
        <w:tc>
          <w:tcPr>
            <w:tcW w:w="2381" w:type="pct"/>
            <w:tcMar>
              <w:top w:w="30" w:type="dxa"/>
              <w:left w:w="45" w:type="dxa"/>
              <w:bottom w:w="30" w:type="dxa"/>
              <w:right w:w="45" w:type="dxa"/>
            </w:tcMar>
            <w:vAlign w:val="center"/>
          </w:tcPr>
          <w:p w14:paraId="69CBBF1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1、可自定义配置移动端启动页图片，至少可配置5张启动图（同时生效），当同一个用户命中多张图片规则时，每次打开将轮流展示所配置的启动页图片；</w:t>
            </w:r>
          </w:p>
          <w:p w14:paraId="486FBA2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2、专属打包支持启动视频；</w:t>
            </w:r>
          </w:p>
          <w:p w14:paraId="0145B60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3、生效方式：切换组织、重新登录或重启客户端。</w:t>
            </w:r>
          </w:p>
        </w:tc>
      </w:tr>
      <w:tr w14:paraId="0D14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E8BFA0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B03FFB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2375DE2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专属主题色</w:t>
            </w:r>
          </w:p>
        </w:tc>
        <w:tc>
          <w:tcPr>
            <w:tcW w:w="2381" w:type="pct"/>
            <w:tcMar>
              <w:top w:w="30" w:type="dxa"/>
              <w:left w:w="45" w:type="dxa"/>
              <w:bottom w:w="30" w:type="dxa"/>
              <w:right w:w="45" w:type="dxa"/>
            </w:tcMar>
            <w:vAlign w:val="center"/>
          </w:tcPr>
          <w:p w14:paraId="7BD873B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组织可自主更换客户端框架的主题肤色，支持分端配置主题色：</w:t>
            </w:r>
          </w:p>
          <w:p w14:paraId="39DCA68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1、移动端配置能力：导航栏线框风格图标的选中态颜色支持自定义主题肤色；</w:t>
            </w:r>
          </w:p>
          <w:p w14:paraId="60EE2BF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2、PC端配置能力：顶部端框架支持自定义主题皮肤（单色及渐变色两种颜色风格），导航栏线框风格图标的选中态颜色支持自定义主题肤色；</w:t>
            </w:r>
          </w:p>
          <w:p w14:paraId="2C1A6EA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3、生效方式：切换组织、重新登录或重启客户端。</w:t>
            </w:r>
          </w:p>
        </w:tc>
      </w:tr>
      <w:tr w14:paraId="3A16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C6F9A3D">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07CF99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57FF11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专属表情超市</w:t>
            </w:r>
          </w:p>
        </w:tc>
        <w:tc>
          <w:tcPr>
            <w:tcW w:w="2381" w:type="pct"/>
            <w:tcMar>
              <w:top w:w="30" w:type="dxa"/>
              <w:left w:w="45" w:type="dxa"/>
              <w:bottom w:w="30" w:type="dxa"/>
              <w:right w:w="45" w:type="dxa"/>
            </w:tcMar>
            <w:vAlign w:val="center"/>
          </w:tcPr>
          <w:p w14:paraId="6851EEE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组织可自主上传/管理表情包及表情雨，通过钉钉侧审核的表情包可上架至用户默认表情库中：</w:t>
            </w:r>
          </w:p>
          <w:p w14:paraId="2A46058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1、上架表情包数量：最多可同时提交/上架10套表情包，已通过审核的表情包支持下架，审核中的表情包支持撤回审核；</w:t>
            </w:r>
          </w:p>
          <w:p w14:paraId="5B4FEDE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2、表情雨规则：最多可同时生效10条触发规则，提供规则二次编辑及停用能力；</w:t>
            </w:r>
          </w:p>
          <w:p w14:paraId="2467990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3、生效范围：仅在移动端生效；其中表情雨仅在内部单聊和内部群中生效；</w:t>
            </w:r>
          </w:p>
          <w:p w14:paraId="35668C0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4、生效方式：切换组织、重新登录或重启客户端。</w:t>
            </w:r>
          </w:p>
        </w:tc>
      </w:tr>
      <w:tr w14:paraId="5603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5909A8D">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785C18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015E3BA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全局配置</w:t>
            </w:r>
          </w:p>
        </w:tc>
        <w:tc>
          <w:tcPr>
            <w:tcW w:w="2381" w:type="pct"/>
            <w:tcMar>
              <w:top w:w="30" w:type="dxa"/>
              <w:left w:w="45" w:type="dxa"/>
              <w:bottom w:w="30" w:type="dxa"/>
              <w:right w:w="45" w:type="dxa"/>
            </w:tcMar>
            <w:vAlign w:val="center"/>
          </w:tcPr>
          <w:p w14:paraId="17222BF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1、应用及功能管理：可关闭的应用及功能（钱包、日志、圈子包含看看、OA审批、邮箱、钉钉运动、钉钉名片、文字表情、青少年模式，同时关闭相关通知推送；</w:t>
            </w:r>
          </w:p>
          <w:p w14:paraId="14FD571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2、生效方式：切换组织、重新登录或重启客户端。</w:t>
            </w:r>
          </w:p>
        </w:tc>
      </w:tr>
      <w:tr w14:paraId="0417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60F39052">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AF49352">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3C4A275">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推送号管理</w:t>
            </w:r>
          </w:p>
        </w:tc>
        <w:tc>
          <w:tcPr>
            <w:tcW w:w="2381" w:type="pct"/>
            <w:tcMar>
              <w:top w:w="30" w:type="dxa"/>
              <w:left w:w="45" w:type="dxa"/>
              <w:bottom w:w="30" w:type="dxa"/>
              <w:right w:w="45" w:type="dxa"/>
            </w:tcMar>
            <w:vAlign w:val="center"/>
          </w:tcPr>
          <w:p w14:paraId="79992B1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推送号管理：可停用推送号（升级提醒、福利社、新的好友通知、钉钉应用中心、职场充电宝、直播、新校招小助手、钉钉小秘书）；</w:t>
            </w:r>
          </w:p>
        </w:tc>
      </w:tr>
      <w:tr w14:paraId="710B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B16C31E">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3481AA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0347BA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降噪管理</w:t>
            </w:r>
          </w:p>
        </w:tc>
        <w:tc>
          <w:tcPr>
            <w:tcW w:w="2381" w:type="pct"/>
            <w:tcMar>
              <w:top w:w="30" w:type="dxa"/>
              <w:left w:w="45" w:type="dxa"/>
              <w:bottom w:w="30" w:type="dxa"/>
              <w:right w:w="45" w:type="dxa"/>
            </w:tcMar>
            <w:vAlign w:val="center"/>
          </w:tcPr>
          <w:p w14:paraId="487955F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以下入口的隐藏和展示：钉钉社区、小目标、勋章、钉钉卡、小程序、新校招、组织广场、钉钉指数、福利社、我的客服、学习中心、邀请、职场课堂、心意链、钉钉企典、广场、应用中心、工作台-钉钉搭、高级认证.</w:t>
            </w:r>
          </w:p>
          <w:p w14:paraId="71E4C95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功能管理，可允许或禁止使用以下功能：电话管理功能、发送代码片段功能、传图识字功能、外部联系人功能、组织主页功能、云打印</w:t>
            </w:r>
          </w:p>
        </w:tc>
      </w:tr>
      <w:tr w14:paraId="5E8D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7175826A">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419161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11724F3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智能人群</w:t>
            </w:r>
          </w:p>
        </w:tc>
        <w:tc>
          <w:tcPr>
            <w:tcW w:w="2381" w:type="pct"/>
            <w:tcMar>
              <w:top w:w="30" w:type="dxa"/>
              <w:left w:w="45" w:type="dxa"/>
              <w:bottom w:w="30" w:type="dxa"/>
              <w:right w:w="45" w:type="dxa"/>
            </w:tcMar>
            <w:vAlign w:val="center"/>
          </w:tcPr>
          <w:p w14:paraId="6956EF4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提供多维度圈人能力，人群标签支持一键拉群：</w:t>
            </w:r>
          </w:p>
          <w:p w14:paraId="4725D33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1、根据用户画像圈选；</w:t>
            </w:r>
          </w:p>
          <w:p w14:paraId="1124410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2、自定义上传人群；</w:t>
            </w:r>
          </w:p>
          <w:p w14:paraId="36DF091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3、通讯录圈选；</w:t>
            </w:r>
          </w:p>
          <w:p w14:paraId="256CEB5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4、连接器方式对接人群数据圈选。</w:t>
            </w:r>
          </w:p>
        </w:tc>
      </w:tr>
      <w:tr w14:paraId="7499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62761199">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68E058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7176076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智能运营</w:t>
            </w:r>
          </w:p>
        </w:tc>
        <w:tc>
          <w:tcPr>
            <w:tcW w:w="2381" w:type="pct"/>
            <w:tcMar>
              <w:top w:w="30" w:type="dxa"/>
              <w:left w:w="45" w:type="dxa"/>
              <w:bottom w:w="30" w:type="dxa"/>
              <w:right w:w="45" w:type="dxa"/>
            </w:tcMar>
            <w:vAlign w:val="center"/>
          </w:tcPr>
          <w:p w14:paraId="580780B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支持多渠道触达，可根据消息类型/紧急程度选择不同的渠道：</w:t>
            </w:r>
          </w:p>
          <w:p w14:paraId="32E2D00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1、移动端投放渠道：搜索底纹、搜索穹顶、搜索发现、banner头图、首页弹窗；</w:t>
            </w:r>
          </w:p>
          <w:p w14:paraId="4252FED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2、四端（手机端、电脑端、iPad端以及Mac端）消息渠道：钉钉小秘书</w:t>
            </w:r>
          </w:p>
          <w:p w14:paraId="05088D8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3、权限设置：设置运营人员发送范围/渠道范围、选择发布活动是否需审核以及设置审核人员；</w:t>
            </w:r>
          </w:p>
          <w:p w14:paraId="342B1A3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4、组织年报素材模版：数据可按组织/部门/用户纬度的提供、支持自定义背景图、自定义上传背景铃声、在线预览效果。</w:t>
            </w:r>
          </w:p>
        </w:tc>
      </w:tr>
      <w:tr w14:paraId="1A11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C3B8928">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309A9F5">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34CA0175">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用户服务平台</w:t>
            </w:r>
          </w:p>
        </w:tc>
        <w:tc>
          <w:tcPr>
            <w:tcW w:w="2381" w:type="pct"/>
            <w:tcMar>
              <w:top w:w="30" w:type="dxa"/>
              <w:left w:w="45" w:type="dxa"/>
              <w:bottom w:w="30" w:type="dxa"/>
              <w:right w:w="45" w:type="dxa"/>
            </w:tcMar>
            <w:vAlign w:val="center"/>
          </w:tcPr>
          <w:p w14:paraId="44A6BD1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提供1个机器人+3个在线坐席+3个工单坐席+200条知识库，可使用以下所有功能；</w:t>
            </w:r>
          </w:p>
          <w:p w14:paraId="4BB1288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用户侧能力：</w:t>
            </w:r>
          </w:p>
          <w:p w14:paraId="666C583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1、快速入口：通过移动端吸顶栏/加号菜单栏可进入服务台快捷入口；PC端导航栏可进入服务台快速入口；</w:t>
            </w:r>
          </w:p>
          <w:p w14:paraId="6582523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2、群内支持艾特服务机器人或服务酷应用；</w:t>
            </w:r>
          </w:p>
          <w:p w14:paraId="5399B07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3、服务群内，用户可自行提交工单，实时查看工单进展。</w:t>
            </w:r>
          </w:p>
          <w:p w14:paraId="4A13E24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管理员侧能力：</w:t>
            </w:r>
          </w:p>
          <w:p w14:paraId="77DCB33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1、按功能及数据分配管理权限；</w:t>
            </w:r>
          </w:p>
          <w:p w14:paraId="68D3C3E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2、创建管理知识库知识库；</w:t>
            </w:r>
          </w:p>
          <w:p w14:paraId="1F106CF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3、知识库配置多轮问答能力；</w:t>
            </w:r>
          </w:p>
          <w:p w14:paraId="5431CC1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4、创建服务台并关联机器人；</w:t>
            </w:r>
          </w:p>
          <w:p w14:paraId="1570B38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5、服务台功能配置：闲聊、知识问答、流程问答；</w:t>
            </w:r>
          </w:p>
          <w:p w14:paraId="1FA41BF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6、类似问题智能纠错一键关联知识库；</w:t>
            </w:r>
          </w:p>
          <w:p w14:paraId="75D15EA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7、服务台服务流程配置:客服分配规则、转人工规则、满意度评价；</w:t>
            </w:r>
          </w:p>
          <w:p w14:paraId="7C28B53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8、数据分析：知识库数据分析、自动问答数据分析、在线服务数据分析、客服上下班数据、工单数据。</w:t>
            </w:r>
          </w:p>
          <w:p w14:paraId="40BCA75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在线客服能力：</w:t>
            </w:r>
          </w:p>
          <w:p w14:paraId="206D976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1、设置进线时间、根据客服上下班情况智能接入人工服务；</w:t>
            </w:r>
          </w:p>
          <w:p w14:paraId="2755B3C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2、答疑及创建工单；</w:t>
            </w:r>
          </w:p>
          <w:p w14:paraId="1DDF2BC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3、查看用户历史咨询记录；</w:t>
            </w:r>
          </w:p>
          <w:p w14:paraId="159EE0D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4、知识库快速搜索答案；</w:t>
            </w:r>
          </w:p>
          <w:p w14:paraId="0B23408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5、人工问题反哺知识库；</w:t>
            </w:r>
          </w:p>
          <w:p w14:paraId="626FB1B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6、转交服务。</w:t>
            </w:r>
          </w:p>
          <w:p w14:paraId="7201B38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工单客服能力：</w:t>
            </w:r>
          </w:p>
          <w:p w14:paraId="46518AD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1、创建、处理和流转工单；</w:t>
            </w:r>
          </w:p>
          <w:p w14:paraId="41489F3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2、工单一键拉群。</w:t>
            </w:r>
          </w:p>
        </w:tc>
      </w:tr>
      <w:tr w14:paraId="06E19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B4D5350">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2081F1B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专属钉钉底座</w:t>
            </w:r>
          </w:p>
        </w:tc>
        <w:tc>
          <w:tcPr>
            <w:tcW w:w="1323" w:type="pct"/>
            <w:noWrap/>
            <w:tcMar>
              <w:top w:w="30" w:type="dxa"/>
              <w:left w:w="45" w:type="dxa"/>
              <w:bottom w:w="30" w:type="dxa"/>
              <w:right w:w="45" w:type="dxa"/>
            </w:tcMar>
            <w:vAlign w:val="center"/>
          </w:tcPr>
          <w:p w14:paraId="3421CDAC">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专属数据</w:t>
            </w:r>
          </w:p>
        </w:tc>
        <w:tc>
          <w:tcPr>
            <w:tcW w:w="2381" w:type="pct"/>
            <w:tcMar>
              <w:top w:w="30" w:type="dxa"/>
              <w:left w:w="45" w:type="dxa"/>
              <w:bottom w:w="30" w:type="dxa"/>
              <w:right w:w="45" w:type="dxa"/>
            </w:tcMar>
            <w:vAlign w:val="center"/>
          </w:tcPr>
          <w:p w14:paraId="0FDC0612">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专属统计数据开放，包括不限于：文档统计数据、公告统计数据、电话会议统计数据、DING接收及评论统计数据、签到统计数据、接收红包统计数据、审批统计数据、发送红包统计数据、DING发送统计数据、单聊统计数据、视频会议统计数据、群直播统计数据、群聊统计数据、考勤统计数据、钉盘统计数据、数字区县组织信息、员工类型统计数据、用户激活状态统计数据、日志统计数据、待办统计数据、日程统计数据、邮箱统计数据</w:t>
            </w:r>
          </w:p>
        </w:tc>
      </w:tr>
      <w:tr w14:paraId="026D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7936825">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0D0F0E1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159D2AA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表单设计</w:t>
            </w:r>
          </w:p>
        </w:tc>
        <w:tc>
          <w:tcPr>
            <w:tcW w:w="2381" w:type="pct"/>
            <w:tcMar>
              <w:top w:w="30" w:type="dxa"/>
              <w:left w:w="45" w:type="dxa"/>
              <w:bottom w:w="30" w:type="dxa"/>
              <w:right w:w="45" w:type="dxa"/>
            </w:tcMar>
            <w:vAlign w:val="center"/>
          </w:tcPr>
          <w:p w14:paraId="49792FE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1、支持基础控件</w:t>
            </w:r>
          </w:p>
          <w:p w14:paraId="492F09A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2、高级控件：AI组件4000次、支持手写签名、支持word模板、支持自动生成流水号以及支持附件在线编辑。</w:t>
            </w:r>
          </w:p>
          <w:p w14:paraId="2C9244F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3、扩展能力：支持自定义组件、外部数据源、页面JS代码、自定义服务校验、自定义打印以及公开发布。</w:t>
            </w:r>
          </w:p>
        </w:tc>
      </w:tr>
      <w:tr w14:paraId="7917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BC8B406">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DAF1C4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51DDA9D0">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流程设计</w:t>
            </w:r>
          </w:p>
        </w:tc>
        <w:tc>
          <w:tcPr>
            <w:tcW w:w="2381" w:type="pct"/>
            <w:tcMar>
              <w:top w:w="30" w:type="dxa"/>
              <w:left w:w="45" w:type="dxa"/>
              <w:bottom w:w="30" w:type="dxa"/>
              <w:right w:w="45" w:type="dxa"/>
            </w:tcMar>
            <w:vAlign w:val="center"/>
          </w:tcPr>
          <w:p w14:paraId="3FC8635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1、基础能力：支持流程设计、流程版本管理、节点权限控制、流程代理、自动审批以及去重审批</w:t>
            </w:r>
          </w:p>
          <w:p w14:paraId="05988F4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2、高级能力：支持钉钉待办消息、批量发起流程、流程超时规则、子流程以及并行分支</w:t>
            </w:r>
          </w:p>
          <w:p w14:paraId="48BC410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3、扩展功能：支持流程分析BPA以及不限数量连接器节点。</w:t>
            </w:r>
          </w:p>
        </w:tc>
      </w:tr>
      <w:tr w14:paraId="7490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0F13891B">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B7F893A">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tcMar>
              <w:top w:w="30" w:type="dxa"/>
              <w:left w:w="45" w:type="dxa"/>
              <w:bottom w:w="30" w:type="dxa"/>
              <w:right w:w="45" w:type="dxa"/>
            </w:tcMar>
            <w:vAlign w:val="center"/>
          </w:tcPr>
          <w:p w14:paraId="66C06DA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酷数据</w:t>
            </w:r>
          </w:p>
        </w:tc>
        <w:tc>
          <w:tcPr>
            <w:tcW w:w="2381" w:type="pct"/>
            <w:tcMar>
              <w:top w:w="30" w:type="dxa"/>
              <w:left w:w="45" w:type="dxa"/>
              <w:bottom w:w="30" w:type="dxa"/>
              <w:right w:w="45" w:type="dxa"/>
            </w:tcMar>
            <w:vAlign w:val="center"/>
          </w:tcPr>
          <w:p w14:paraId="7F3B9BF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1、报表组件：支持指标卡组件、折线图、柱状图、饼图、热力图、雷达图、词云、日历热力图以及100列交叉透视表。</w:t>
            </w:r>
          </w:p>
          <w:p w14:paraId="2CDB866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2、数据大屏：10块数据大屏以及支持3D地图、三维折线图、3D环形图、热力图、轮播柱状图、Echart图表、散点图以及热门行业大屏模板。</w:t>
            </w:r>
          </w:p>
          <w:p w14:paraId="7CC033C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3、数据工厂：支持跨应用数据互连、连接主流数据库数据源、连接Excel、CVS文件数据源、视图表、数据准备、数据服务，数据卡片单应用100个（播报10个）。</w:t>
            </w:r>
          </w:p>
        </w:tc>
      </w:tr>
      <w:tr w14:paraId="7DBC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5495A180">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0B61838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37002F62">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集成&amp;自动化</w:t>
            </w:r>
          </w:p>
        </w:tc>
        <w:tc>
          <w:tcPr>
            <w:tcW w:w="2381" w:type="pct"/>
            <w:tcMar>
              <w:top w:w="30" w:type="dxa"/>
              <w:left w:w="45" w:type="dxa"/>
              <w:bottom w:w="30" w:type="dxa"/>
              <w:right w:w="45" w:type="dxa"/>
            </w:tcMar>
            <w:vAlign w:val="center"/>
          </w:tcPr>
          <w:p w14:paraId="1D268BC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1、集成自动化不限数量</w:t>
            </w:r>
          </w:p>
          <w:p w14:paraId="6ACE496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2、触发器支持应用事件触发器、表单事件触发器、定时任务触发器以及卡片手动触发。</w:t>
            </w:r>
          </w:p>
          <w:p w14:paraId="06E3FAE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3、数据集成支持添加数据、获取数据、更新数据以及删除数据。</w:t>
            </w:r>
          </w:p>
          <w:p w14:paraId="731C04D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4、任务集成支持发送邮件、发送消息卡片、发送工作通知以及发起审批。</w:t>
            </w:r>
          </w:p>
          <w:p w14:paraId="14F399E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5、业务连接支持创建钉钉群、创建钉钉会议、创建钉钉日程、连接智能财务、连接考勤、连接智能人事、Teambition、金蝶应用、用友以及纷享销客，自定义连接器（HTTP &amp; FaaS）200个。</w:t>
            </w:r>
          </w:p>
          <w:p w14:paraId="60642A6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6、扩展能力：支持条件分支、并行分支，循环容器单集成自动化流可用1个。</w:t>
            </w:r>
          </w:p>
        </w:tc>
      </w:tr>
      <w:tr w14:paraId="5B09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57797E6">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80B1BC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7D34CD12">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页面设计</w:t>
            </w:r>
          </w:p>
        </w:tc>
        <w:tc>
          <w:tcPr>
            <w:tcW w:w="2381" w:type="pct"/>
            <w:tcMar>
              <w:top w:w="30" w:type="dxa"/>
              <w:left w:w="45" w:type="dxa"/>
              <w:bottom w:w="30" w:type="dxa"/>
              <w:right w:w="45" w:type="dxa"/>
            </w:tcMar>
            <w:vAlign w:val="center"/>
          </w:tcPr>
          <w:p w14:paraId="6DAC2572">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1、门户组件支持头图轮播图、快捷入口、待办指标卡、待办清单、钉钉日程、数据卡片、咨询列表以及通知公告。</w:t>
            </w:r>
          </w:p>
          <w:p w14:paraId="002574A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2、门户高级设置支持主题风格自定义、自由布局设置。</w:t>
            </w:r>
          </w:p>
          <w:p w14:paraId="37F84C2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3、模块内容支持自定义。</w:t>
            </w:r>
          </w:p>
          <w:p w14:paraId="4B8F7F0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4、自定义页面支持基础布局容器、基础图文控件、步骤控件、抽屉容器、折叠面板、进度指示器、JS代码器、数据管理表以及表单控件。</w:t>
            </w:r>
          </w:p>
        </w:tc>
      </w:tr>
      <w:tr w14:paraId="3F863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98B1682">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07EB261D">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6321D271">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酷应用</w:t>
            </w:r>
          </w:p>
        </w:tc>
        <w:tc>
          <w:tcPr>
            <w:tcW w:w="2381" w:type="pct"/>
            <w:tcMar>
              <w:top w:w="30" w:type="dxa"/>
              <w:left w:w="45" w:type="dxa"/>
              <w:bottom w:w="30" w:type="dxa"/>
              <w:right w:w="45" w:type="dxa"/>
            </w:tcMar>
            <w:vAlign w:val="center"/>
          </w:tcPr>
          <w:p w14:paraId="239323D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1、酷卡片：支持卡片群置顶、卡片交互自定义以及链接自动转卡片</w:t>
            </w:r>
          </w:p>
          <w:p w14:paraId="5ED22945">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2、酷消息：支持表单消息指定人/群以及审批消息沉浸式审批。</w:t>
            </w:r>
          </w:p>
        </w:tc>
      </w:tr>
      <w:tr w14:paraId="718D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1A1987E2">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607E983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73A2F2E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系统管理</w:t>
            </w:r>
          </w:p>
        </w:tc>
        <w:tc>
          <w:tcPr>
            <w:tcW w:w="2381" w:type="pct"/>
            <w:tcMar>
              <w:top w:w="30" w:type="dxa"/>
              <w:left w:w="45" w:type="dxa"/>
              <w:bottom w:w="30" w:type="dxa"/>
              <w:right w:w="45" w:type="dxa"/>
            </w:tcMar>
            <w:vAlign w:val="center"/>
          </w:tcPr>
          <w:p w14:paraId="4D4EC36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1、钉钉通讯录集成：支持部门、角色、成员自动同步、组织管理员自动同步以及通讯录权限同步。</w:t>
            </w:r>
          </w:p>
          <w:p w14:paraId="61ABBEC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2、支持平台管理员</w:t>
            </w:r>
          </w:p>
          <w:p w14:paraId="14C3C3F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3、支持应用管理员</w:t>
            </w:r>
          </w:p>
          <w:p w14:paraId="3542DB5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4、授权管理支持批量授权以及自动授权。</w:t>
            </w:r>
          </w:p>
          <w:p w14:paraId="60E559F1">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5、日志支持应用开发日志、数据操作日志、平台日志以及登录日志。</w:t>
            </w:r>
          </w:p>
          <w:p w14:paraId="59B85B6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6、支持基础效能数据、平台访问情况分析、组织低代码应用分析、工作台低代码应用分析、自建应用分析、模板应用分析、开发者数量分析以及业务数据量分析。</w:t>
            </w:r>
          </w:p>
          <w:p w14:paraId="1096502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7、组织间互联支持上下级组织互联、上下游组织互联。</w:t>
            </w:r>
          </w:p>
        </w:tc>
      </w:tr>
      <w:tr w14:paraId="0EBE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C7F821B">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2AF2A2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24F062DF">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专属品牌</w:t>
            </w:r>
          </w:p>
        </w:tc>
        <w:tc>
          <w:tcPr>
            <w:tcW w:w="2381" w:type="pct"/>
            <w:tcMar>
              <w:top w:w="30" w:type="dxa"/>
              <w:left w:w="45" w:type="dxa"/>
              <w:bottom w:w="30" w:type="dxa"/>
              <w:right w:w="45" w:type="dxa"/>
            </w:tcMar>
            <w:vAlign w:val="center"/>
          </w:tcPr>
          <w:p w14:paraId="350DDCE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1、支持一级域名定制</w:t>
            </w:r>
          </w:p>
          <w:p w14:paraId="6FE0663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2、组织级logo定制支持应用图标自定义、页面标签图标自定义以及消息通知图标自定义。</w:t>
            </w:r>
          </w:p>
        </w:tc>
      </w:tr>
      <w:tr w14:paraId="2E8C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57AC0A9">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113DF4F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10EAFB2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专属存储</w:t>
            </w:r>
          </w:p>
        </w:tc>
        <w:tc>
          <w:tcPr>
            <w:tcW w:w="2381" w:type="pct"/>
            <w:tcMar>
              <w:top w:w="30" w:type="dxa"/>
              <w:left w:w="45" w:type="dxa"/>
              <w:bottom w:w="30" w:type="dxa"/>
              <w:right w:w="45" w:type="dxa"/>
            </w:tcMar>
            <w:vAlign w:val="center"/>
          </w:tcPr>
          <w:p w14:paraId="21B1B7B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数据库存储支持RDS PostgresSQL、ADB PostgresSQL</w:t>
            </w:r>
          </w:p>
          <w:p w14:paraId="39E202A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文件对象存储支持阿里云OSS/MiniOSS、华为OBS</w:t>
            </w:r>
          </w:p>
        </w:tc>
      </w:tr>
      <w:tr w14:paraId="463A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69D590EA">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4125430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4D88BA6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安全保障</w:t>
            </w:r>
          </w:p>
        </w:tc>
        <w:tc>
          <w:tcPr>
            <w:tcW w:w="2381" w:type="pct"/>
            <w:tcMar>
              <w:top w:w="30" w:type="dxa"/>
              <w:left w:w="45" w:type="dxa"/>
              <w:bottom w:w="30" w:type="dxa"/>
              <w:right w:w="45" w:type="dxa"/>
            </w:tcMar>
            <w:vAlign w:val="center"/>
          </w:tcPr>
          <w:p w14:paraId="11640C5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具备安全体系认证、全局水印、自定义二级域名、浏览器管控、应用保护箱、高管模式、应用中心定制、文件下载管控以及网络围栏。</w:t>
            </w:r>
          </w:p>
        </w:tc>
      </w:tr>
      <w:tr w14:paraId="6C20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C825C14">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701348B3">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宜搭专属版</w:t>
            </w:r>
          </w:p>
        </w:tc>
        <w:tc>
          <w:tcPr>
            <w:tcW w:w="1323" w:type="pct"/>
            <w:noWrap/>
            <w:tcMar>
              <w:top w:w="30" w:type="dxa"/>
              <w:left w:w="45" w:type="dxa"/>
              <w:bottom w:w="30" w:type="dxa"/>
              <w:right w:w="45" w:type="dxa"/>
            </w:tcMar>
            <w:vAlign w:val="center"/>
          </w:tcPr>
          <w:p w14:paraId="2ED8E846">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开放</w:t>
            </w:r>
          </w:p>
        </w:tc>
        <w:tc>
          <w:tcPr>
            <w:tcW w:w="2381" w:type="pct"/>
            <w:tcMar>
              <w:top w:w="30" w:type="dxa"/>
              <w:left w:w="45" w:type="dxa"/>
              <w:bottom w:w="30" w:type="dxa"/>
              <w:right w:w="45" w:type="dxa"/>
            </w:tcMar>
            <w:vAlign w:val="center"/>
          </w:tcPr>
          <w:p w14:paraId="525398F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支持OpenAPI、HTML代码开放、CSS页面样式自定义、自定义组件、页面数据源、连接主流数据库数据源；自定义连接器HTTP、FaaS合计200项</w:t>
            </w:r>
          </w:p>
        </w:tc>
      </w:tr>
      <w:tr w14:paraId="46F1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3472CC3C">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3311EEF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定制服务</w:t>
            </w:r>
          </w:p>
        </w:tc>
        <w:tc>
          <w:tcPr>
            <w:tcW w:w="1323" w:type="pct"/>
            <w:noWrap/>
            <w:tcMar>
              <w:top w:w="30" w:type="dxa"/>
              <w:left w:w="45" w:type="dxa"/>
              <w:bottom w:w="30" w:type="dxa"/>
              <w:right w:w="45" w:type="dxa"/>
            </w:tcMar>
            <w:vAlign w:val="center"/>
          </w:tcPr>
          <w:p w14:paraId="520A4DE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人员同步逻辑改进</w:t>
            </w:r>
          </w:p>
        </w:tc>
        <w:tc>
          <w:tcPr>
            <w:tcW w:w="2381" w:type="pct"/>
            <w:tcMar>
              <w:top w:w="30" w:type="dxa"/>
              <w:left w:w="45" w:type="dxa"/>
              <w:bottom w:w="30" w:type="dxa"/>
              <w:right w:w="45" w:type="dxa"/>
            </w:tcMar>
            <w:vAlign w:val="center"/>
          </w:tcPr>
          <w:p w14:paraId="705B89A1">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 同步短号字段到钉钉通讯录，学校提供教师短号字段，同步短号字段到钉钉通讯录，点击教师用户头像查看用户详情，可以看到该教师的短号</w:t>
            </w:r>
          </w:p>
          <w:p w14:paraId="02BBE937">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 数据获取方式由数据库调整为API用户数据提供方式由数据库提供调整为API方式提供，按照学校新的对接方式进行对接</w:t>
            </w:r>
          </w:p>
          <w:p w14:paraId="7DEEA30A">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 支持过滤单个用户不进行同步部分用户有不需要同步的需求，已新增可以过滤单个用户不进行同步</w:t>
            </w:r>
          </w:p>
        </w:tc>
      </w:tr>
      <w:tr w14:paraId="7849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43BDA472">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D5A8E1E">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定制服务</w:t>
            </w:r>
          </w:p>
        </w:tc>
        <w:tc>
          <w:tcPr>
            <w:tcW w:w="1323" w:type="pct"/>
            <w:noWrap/>
            <w:tcMar>
              <w:top w:w="30" w:type="dxa"/>
              <w:left w:w="45" w:type="dxa"/>
              <w:bottom w:w="30" w:type="dxa"/>
              <w:right w:w="45" w:type="dxa"/>
            </w:tcMar>
            <w:vAlign w:val="center"/>
          </w:tcPr>
          <w:p w14:paraId="760AF388">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钉钉PC、移动工作台升级</w:t>
            </w:r>
          </w:p>
        </w:tc>
        <w:tc>
          <w:tcPr>
            <w:tcW w:w="2381" w:type="pct"/>
            <w:tcMar>
              <w:top w:w="30" w:type="dxa"/>
              <w:left w:w="45" w:type="dxa"/>
              <w:bottom w:w="30" w:type="dxa"/>
              <w:right w:w="45" w:type="dxa"/>
            </w:tcMar>
            <w:vAlign w:val="center"/>
          </w:tcPr>
          <w:p w14:paraId="1D2D920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根据学校需求调整专属钉PC端及移动端个性化工作台升级。</w:t>
            </w:r>
          </w:p>
        </w:tc>
      </w:tr>
      <w:tr w14:paraId="6752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23C85A03">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831ED8B">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定制服务</w:t>
            </w:r>
          </w:p>
        </w:tc>
        <w:tc>
          <w:tcPr>
            <w:tcW w:w="1323" w:type="pct"/>
            <w:noWrap/>
            <w:tcMar>
              <w:top w:w="30" w:type="dxa"/>
              <w:left w:w="45" w:type="dxa"/>
              <w:bottom w:w="30" w:type="dxa"/>
              <w:right w:w="45" w:type="dxa"/>
            </w:tcMar>
            <w:vAlign w:val="center"/>
          </w:tcPr>
          <w:p w14:paraId="0E72E024">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轻应用搭建服务</w:t>
            </w:r>
          </w:p>
        </w:tc>
        <w:tc>
          <w:tcPr>
            <w:tcW w:w="2381" w:type="pct"/>
            <w:tcMar>
              <w:top w:w="30" w:type="dxa"/>
              <w:left w:w="45" w:type="dxa"/>
              <w:bottom w:w="30" w:type="dxa"/>
              <w:right w:w="45" w:type="dxa"/>
            </w:tcMar>
            <w:vAlign w:val="center"/>
          </w:tcPr>
          <w:p w14:paraId="680D751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支持学校部门的轻应用搭建服务，承担需求沟通、方案输出、应用搭建、应用运维等方面工作。</w:t>
            </w:r>
          </w:p>
        </w:tc>
      </w:tr>
      <w:tr w14:paraId="76E8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98" w:type="pct"/>
            <w:noWrap/>
            <w:tcMar>
              <w:top w:w="30" w:type="dxa"/>
              <w:left w:w="45" w:type="dxa"/>
              <w:bottom w:w="30" w:type="dxa"/>
              <w:right w:w="45" w:type="dxa"/>
            </w:tcMar>
            <w:vAlign w:val="center"/>
          </w:tcPr>
          <w:p w14:paraId="61B40365">
            <w:pPr>
              <w:pStyle w:val="9"/>
              <w:numPr>
                <w:ilvl w:val="0"/>
                <w:numId w:val="1"/>
              </w:numPr>
              <w:adjustRightInd w:val="0"/>
              <w:spacing w:line="288" w:lineRule="auto"/>
              <w:jc w:val="center"/>
              <w:rPr>
                <w:rFonts w:hint="eastAsia" w:hAnsi="宋体" w:cs="宋体"/>
                <w:color w:val="auto"/>
                <w:sz w:val="21"/>
                <w:szCs w:val="21"/>
                <w:highlight w:val="none"/>
              </w:rPr>
            </w:pPr>
          </w:p>
        </w:tc>
        <w:tc>
          <w:tcPr>
            <w:tcW w:w="896" w:type="pct"/>
            <w:noWrap/>
            <w:tcMar>
              <w:top w:w="30" w:type="dxa"/>
              <w:left w:w="45" w:type="dxa"/>
              <w:bottom w:w="30" w:type="dxa"/>
              <w:right w:w="45" w:type="dxa"/>
            </w:tcMar>
            <w:vAlign w:val="center"/>
          </w:tcPr>
          <w:p w14:paraId="51F31D0C">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培训服务</w:t>
            </w:r>
          </w:p>
        </w:tc>
        <w:tc>
          <w:tcPr>
            <w:tcW w:w="1323" w:type="pct"/>
            <w:noWrap/>
            <w:tcMar>
              <w:top w:w="30" w:type="dxa"/>
              <w:left w:w="45" w:type="dxa"/>
              <w:bottom w:w="30" w:type="dxa"/>
              <w:right w:w="45" w:type="dxa"/>
            </w:tcMar>
            <w:vAlign w:val="center"/>
          </w:tcPr>
          <w:p w14:paraId="76AE29A7">
            <w:pPr>
              <w:pStyle w:val="9"/>
              <w:adjustRightInd w:val="0"/>
              <w:spacing w:line="288" w:lineRule="auto"/>
              <w:ind w:firstLine="0"/>
              <w:jc w:val="center"/>
              <w:rPr>
                <w:rFonts w:hint="eastAsia" w:hAnsi="宋体" w:cs="宋体"/>
                <w:color w:val="auto"/>
                <w:sz w:val="21"/>
                <w:szCs w:val="21"/>
                <w:highlight w:val="none"/>
              </w:rPr>
            </w:pPr>
            <w:r>
              <w:rPr>
                <w:rFonts w:hint="eastAsia" w:hAnsi="宋体" w:cs="宋体"/>
                <w:color w:val="auto"/>
                <w:sz w:val="21"/>
                <w:szCs w:val="21"/>
                <w:highlight w:val="none"/>
              </w:rPr>
              <w:t>低代码+AI培训</w:t>
            </w:r>
          </w:p>
        </w:tc>
        <w:tc>
          <w:tcPr>
            <w:tcW w:w="2381" w:type="pct"/>
            <w:tcMar>
              <w:top w:w="30" w:type="dxa"/>
              <w:left w:w="45" w:type="dxa"/>
              <w:bottom w:w="30" w:type="dxa"/>
              <w:right w:w="45" w:type="dxa"/>
            </w:tcMar>
            <w:vAlign w:val="center"/>
          </w:tcPr>
          <w:p w14:paraId="1280D2C6">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提供低代码+AI能力线下培训，培训内容包含：</w:t>
            </w:r>
          </w:p>
          <w:p w14:paraId="7322A701">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1、宜搭低代码平台核心能力介绍及实操培训，帮助学校师生快速了解低代码平台能力及具备快速上手使用低代码平台搭建应用；</w:t>
            </w:r>
          </w:p>
          <w:p w14:paraId="136DD09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2、钉钉AI生产力平台能力介绍及实操培训，帮助学校师生提升AI素养，快速掌握AI基础知识及AI生产力平台的能力，有助于师生们初步掌握AI智能体的搭建技能。</w:t>
            </w:r>
          </w:p>
        </w:tc>
      </w:tr>
    </w:tbl>
    <w:p w14:paraId="416783E2">
      <w:pPr>
        <w:tabs>
          <w:tab w:val="left" w:pos="0"/>
        </w:tabs>
        <w:spacing w:line="288" w:lineRule="auto"/>
        <w:ind w:firstLine="480"/>
        <w:rPr>
          <w:rFonts w:hint="eastAsia"/>
          <w:b/>
          <w:bCs/>
          <w:color w:val="auto"/>
          <w:kern w:val="0"/>
          <w:sz w:val="21"/>
          <w:szCs w:val="21"/>
          <w:highlight w:val="none"/>
        </w:rPr>
      </w:pPr>
    </w:p>
    <w:p w14:paraId="3B3B5CBA">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七、技术要求</w:t>
      </w:r>
    </w:p>
    <w:p w14:paraId="6F612D6D">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为确保本次招标采购的相关服务能够满足浙江交通职业技术学院的长期信息化建设需求，特提出以下技术要求：</w:t>
      </w:r>
    </w:p>
    <w:p w14:paraId="7E1890FA">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1. 设计原则</w:t>
      </w:r>
    </w:p>
    <w:p w14:paraId="0F7EB3B2">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1.1 先进性：技术方案应符合最新的计算机网络行业标准，采用当前广泛应用于教育领域的成熟技术架构，以保障系统的前瞻性和兼容性。</w:t>
      </w:r>
    </w:p>
    <w:p w14:paraId="0AC0644C">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1.2 可靠性：系统需具备高可用性设计，关键组件应支持冗余配置，确保在硬件故障或网络波动情况下仍能持续提供服务，满足学校日常教学和管理的不间断运行需求。</w:t>
      </w:r>
    </w:p>
    <w:p w14:paraId="11D466AB">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1.3 可扩展性：系统架构应支持横向扩展（Scale-out）和纵向扩展（Scale-up），能够通过增加服务器节点或提升单机性能来适应未来用户数量增加和业务负载增长的需求，同时支持功能模块的灵活扩展，以满足学校不断变化的业务需求。</w:t>
      </w:r>
    </w:p>
    <w:p w14:paraId="1C73644C">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1.4 可管理性：系统应提供直观的管理界面，支持集中式管理，具备自动化部署、配置管理、性能监控、日志审计、故障告警等功能，并提供完整的操作手册和运维指南，方便学校信息部门进行日常维护和管理。</w:t>
      </w:r>
    </w:p>
    <w:p w14:paraId="11DB779A">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1.5 投资保护：系统设计应确保长期兼容性和可维护性，软件版本应支持平滑升级，硬件设备应采用标准化接口，便于未来与学校其他信息系统的集成，确保学校的投资能够随着技术发展和业务需求的增长而得到持续利用和增值。</w:t>
      </w:r>
    </w:p>
    <w:p w14:paraId="2B880711">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2.系统部署要求</w:t>
      </w:r>
    </w:p>
    <w:p w14:paraId="1C83F2E4">
      <w:pPr>
        <w:tabs>
          <w:tab w:val="left" w:pos="0"/>
        </w:tabs>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交院专属钉后台服务保持原有的主机部署方案不做调整，如果现有存储、计算资源需要扩充允许在原有主机上进行增加资源。</w:t>
      </w:r>
    </w:p>
    <w:p w14:paraId="0D09D4E5">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3.基础应用软件选型</w:t>
      </w:r>
    </w:p>
    <w:p w14:paraId="4D391448">
      <w:pPr>
        <w:pStyle w:val="45"/>
        <w:spacing w:before="0" w:after="0" w:line="288" w:lineRule="auto"/>
        <w:ind w:firstLine="422"/>
        <w:rPr>
          <w:rFonts w:hint="eastAsia" w:ascii="宋体" w:eastAsia="宋体"/>
          <w:b/>
          <w:color w:val="auto"/>
          <w:sz w:val="21"/>
          <w:szCs w:val="21"/>
          <w:highlight w:val="none"/>
        </w:rPr>
      </w:pPr>
      <w:r>
        <w:rPr>
          <w:rFonts w:hint="eastAsia" w:ascii="宋体" w:eastAsia="宋体"/>
          <w:b/>
          <w:color w:val="auto"/>
          <w:sz w:val="21"/>
          <w:szCs w:val="21"/>
          <w:highlight w:val="none"/>
        </w:rPr>
        <w:t>3.1操作系统</w:t>
      </w:r>
    </w:p>
    <w:p w14:paraId="21CBE5C0">
      <w:pPr>
        <w:spacing w:line="288" w:lineRule="auto"/>
        <w:ind w:firstLine="420" w:firstLineChars="200"/>
        <w:rPr>
          <w:rFonts w:hint="eastAsia"/>
          <w:color w:val="auto"/>
          <w:sz w:val="21"/>
          <w:szCs w:val="21"/>
          <w:highlight w:val="none"/>
        </w:rPr>
      </w:pPr>
      <w:r>
        <w:rPr>
          <w:rFonts w:hint="eastAsia"/>
          <w:color w:val="auto"/>
          <w:sz w:val="21"/>
          <w:szCs w:val="21"/>
          <w:highlight w:val="none"/>
        </w:rPr>
        <w:t>支持Unix、Linux、Windows 2016 Server等操作系统。</w:t>
      </w:r>
    </w:p>
    <w:p w14:paraId="2639B731">
      <w:pPr>
        <w:pStyle w:val="45"/>
        <w:spacing w:before="0" w:after="0" w:line="288" w:lineRule="auto"/>
        <w:ind w:firstLine="422"/>
        <w:rPr>
          <w:rFonts w:hint="eastAsia" w:ascii="宋体" w:eastAsia="宋体"/>
          <w:b/>
          <w:color w:val="auto"/>
          <w:sz w:val="21"/>
          <w:szCs w:val="21"/>
          <w:highlight w:val="none"/>
        </w:rPr>
      </w:pPr>
      <w:r>
        <w:rPr>
          <w:rFonts w:hint="eastAsia" w:ascii="宋体" w:eastAsia="宋体"/>
          <w:b/>
          <w:color w:val="auto"/>
          <w:sz w:val="21"/>
          <w:szCs w:val="21"/>
          <w:highlight w:val="none"/>
        </w:rPr>
        <w:t>3.2数据库</w:t>
      </w:r>
    </w:p>
    <w:p w14:paraId="0F358E5F">
      <w:pPr>
        <w:pStyle w:val="45"/>
        <w:spacing w:before="0" w:after="0" w:line="288" w:lineRule="auto"/>
        <w:ind w:firstLine="422"/>
        <w:rPr>
          <w:rFonts w:hint="eastAsia" w:ascii="宋体" w:eastAsia="宋体"/>
          <w:b/>
          <w:color w:val="auto"/>
          <w:sz w:val="21"/>
          <w:szCs w:val="21"/>
          <w:highlight w:val="none"/>
        </w:rPr>
      </w:pPr>
      <w:r>
        <w:rPr>
          <w:rFonts w:hint="eastAsia" w:ascii="宋体" w:eastAsia="宋体"/>
          <w:b/>
          <w:color w:val="auto"/>
          <w:sz w:val="21"/>
          <w:szCs w:val="21"/>
          <w:highlight w:val="none"/>
        </w:rPr>
        <w:t>（1） 安全性：数据库应具备全面的安全防护机制，支持数据加密（包括传输加密和存储加密），具备细粒度的访问控制和权限管理功能，能够有效防止数据泄露和未授权访问。</w:t>
      </w:r>
    </w:p>
    <w:p w14:paraId="14A39580">
      <w:pPr>
        <w:pStyle w:val="45"/>
        <w:spacing w:before="0" w:after="0" w:line="288" w:lineRule="auto"/>
        <w:ind w:firstLine="422"/>
        <w:rPr>
          <w:rFonts w:hint="eastAsia" w:ascii="宋体" w:eastAsia="宋体"/>
          <w:b/>
          <w:color w:val="auto"/>
          <w:sz w:val="21"/>
          <w:szCs w:val="21"/>
          <w:highlight w:val="none"/>
        </w:rPr>
      </w:pPr>
      <w:r>
        <w:rPr>
          <w:rFonts w:hint="eastAsia" w:ascii="宋体" w:eastAsia="宋体"/>
          <w:b/>
          <w:color w:val="auto"/>
          <w:sz w:val="21"/>
          <w:szCs w:val="21"/>
          <w:highlight w:val="none"/>
        </w:rPr>
        <w:t>（2）并发性：数据库应支持高并发访问，能够处理至少1000个并发连接，确保在多用户同时操作时系统的响应时间和处理效率不受显著影响。</w:t>
      </w:r>
    </w:p>
    <w:p w14:paraId="62AB11CF">
      <w:pPr>
        <w:pStyle w:val="45"/>
        <w:spacing w:before="0" w:after="0" w:line="288" w:lineRule="auto"/>
        <w:ind w:firstLine="422"/>
        <w:rPr>
          <w:rFonts w:hint="eastAsia" w:ascii="宋体" w:eastAsia="宋体"/>
          <w:b/>
          <w:color w:val="auto"/>
          <w:sz w:val="21"/>
          <w:szCs w:val="21"/>
          <w:highlight w:val="none"/>
        </w:rPr>
      </w:pPr>
      <w:r>
        <w:rPr>
          <w:rFonts w:hint="eastAsia" w:ascii="宋体" w:eastAsia="宋体"/>
          <w:b/>
          <w:color w:val="auto"/>
          <w:sz w:val="21"/>
          <w:szCs w:val="21"/>
          <w:highlight w:val="none"/>
        </w:rPr>
        <w:t>（3）可扩展性：数据库应支持分布式部署和集群化管理，能够通过增加节点或升级硬件来提升性能和存储容量，支持在线扩展，确保业务连续性。</w:t>
      </w:r>
    </w:p>
    <w:p w14:paraId="57D728E2">
      <w:pPr>
        <w:pStyle w:val="45"/>
        <w:spacing w:before="0" w:after="0" w:line="288" w:lineRule="auto"/>
        <w:ind w:firstLine="422"/>
        <w:rPr>
          <w:rFonts w:hint="eastAsia" w:ascii="宋体" w:eastAsia="宋体"/>
          <w:b/>
          <w:color w:val="auto"/>
          <w:sz w:val="21"/>
          <w:szCs w:val="21"/>
          <w:highlight w:val="none"/>
        </w:rPr>
      </w:pPr>
      <w:r>
        <w:rPr>
          <w:rFonts w:hint="eastAsia" w:ascii="宋体" w:eastAsia="宋体"/>
          <w:b/>
          <w:color w:val="auto"/>
          <w:sz w:val="21"/>
          <w:szCs w:val="21"/>
          <w:highlight w:val="none"/>
        </w:rPr>
        <w:t>（4）兼容性：系统应支持与主流数据库技术的集成，包括但不限于DB2、Oracle、Microsoft SQL Server、MySQL等，确保数据的迁移和兼容性。</w:t>
      </w:r>
    </w:p>
    <w:p w14:paraId="74485B83">
      <w:pPr>
        <w:pStyle w:val="45"/>
        <w:spacing w:before="0" w:after="0" w:line="288" w:lineRule="auto"/>
        <w:ind w:firstLine="422"/>
        <w:rPr>
          <w:rFonts w:hint="eastAsia" w:ascii="宋体" w:eastAsia="宋体"/>
          <w:b/>
          <w:color w:val="auto"/>
          <w:sz w:val="21"/>
          <w:szCs w:val="21"/>
          <w:highlight w:val="none"/>
        </w:rPr>
      </w:pPr>
      <w:r>
        <w:rPr>
          <w:rFonts w:hint="eastAsia" w:ascii="宋体" w:eastAsia="宋体"/>
          <w:b/>
          <w:color w:val="auto"/>
          <w:sz w:val="21"/>
          <w:szCs w:val="21"/>
          <w:highlight w:val="none"/>
        </w:rPr>
        <w:t>3.3中间件应用服务器</w:t>
      </w:r>
    </w:p>
    <w:p w14:paraId="16EBA2A2">
      <w:pPr>
        <w:spacing w:line="288" w:lineRule="auto"/>
        <w:ind w:firstLine="420" w:firstLineChars="200"/>
        <w:rPr>
          <w:rFonts w:hint="eastAsia"/>
          <w:color w:val="auto"/>
          <w:sz w:val="21"/>
          <w:szCs w:val="21"/>
          <w:highlight w:val="none"/>
        </w:rPr>
      </w:pPr>
      <w:r>
        <w:rPr>
          <w:rFonts w:hint="eastAsia"/>
          <w:color w:val="auto"/>
          <w:sz w:val="21"/>
          <w:szCs w:val="21"/>
          <w:highlight w:val="none"/>
        </w:rPr>
        <w:t>中间件应用服务器可以采用各种主流应用服务器软件，包括Oracle Weblogic、IBMWebsphere、Tomcat等。</w:t>
      </w:r>
    </w:p>
    <w:p w14:paraId="68CAE602">
      <w:pPr>
        <w:pStyle w:val="45"/>
        <w:spacing w:before="0" w:after="0" w:line="288" w:lineRule="auto"/>
        <w:ind w:firstLine="422"/>
        <w:rPr>
          <w:rFonts w:hint="eastAsia" w:ascii="宋体" w:eastAsia="宋体"/>
          <w:b/>
          <w:color w:val="auto"/>
          <w:sz w:val="21"/>
          <w:szCs w:val="21"/>
          <w:highlight w:val="none"/>
        </w:rPr>
      </w:pPr>
      <w:bookmarkStart w:id="32" w:name="_Toc229195390"/>
      <w:bookmarkStart w:id="33" w:name="_Toc248165670"/>
      <w:bookmarkStart w:id="34" w:name="_Toc245396398"/>
      <w:bookmarkStart w:id="35" w:name="_Toc317584207"/>
      <w:bookmarkStart w:id="36" w:name="_Toc346113419"/>
      <w:bookmarkStart w:id="37" w:name="_Toc324167808"/>
      <w:bookmarkStart w:id="38" w:name="_Toc353892514"/>
      <w:bookmarkStart w:id="39" w:name="_Toc252043978"/>
      <w:bookmarkStart w:id="40" w:name="_Toc333235158"/>
      <w:bookmarkStart w:id="41" w:name="_Toc341106638"/>
      <w:r>
        <w:rPr>
          <w:rFonts w:hint="eastAsia" w:ascii="宋体" w:eastAsia="宋体"/>
          <w:b/>
          <w:color w:val="auto"/>
          <w:sz w:val="21"/>
          <w:szCs w:val="21"/>
          <w:highlight w:val="none"/>
        </w:rPr>
        <w:t>3.4防病毒软件</w:t>
      </w:r>
      <w:bookmarkEnd w:id="32"/>
      <w:bookmarkEnd w:id="33"/>
      <w:bookmarkEnd w:id="34"/>
      <w:bookmarkEnd w:id="35"/>
      <w:bookmarkEnd w:id="36"/>
      <w:bookmarkEnd w:id="37"/>
      <w:bookmarkEnd w:id="38"/>
      <w:bookmarkEnd w:id="39"/>
      <w:bookmarkEnd w:id="40"/>
      <w:bookmarkEnd w:id="41"/>
    </w:p>
    <w:p w14:paraId="4AE6CDAB">
      <w:pPr>
        <w:spacing w:line="288" w:lineRule="auto"/>
        <w:ind w:firstLine="420" w:firstLineChars="200"/>
        <w:rPr>
          <w:rFonts w:hint="eastAsia"/>
          <w:color w:val="auto"/>
          <w:sz w:val="21"/>
          <w:szCs w:val="21"/>
          <w:highlight w:val="none"/>
        </w:rPr>
      </w:pPr>
      <w:r>
        <w:rPr>
          <w:rFonts w:hint="eastAsia"/>
          <w:color w:val="auto"/>
          <w:sz w:val="21"/>
          <w:szCs w:val="21"/>
          <w:highlight w:val="none"/>
        </w:rPr>
        <w:t>防病毒等软件必须安装学校提供的edr产品。</w:t>
      </w:r>
    </w:p>
    <w:p w14:paraId="136CE507">
      <w:pPr>
        <w:tabs>
          <w:tab w:val="left" w:pos="0"/>
        </w:tabs>
        <w:spacing w:line="288" w:lineRule="auto"/>
        <w:ind w:firstLine="422" w:firstLineChars="200"/>
        <w:rPr>
          <w:rFonts w:hint="eastAsia"/>
          <w:b/>
          <w:bCs/>
          <w:color w:val="auto"/>
          <w:kern w:val="0"/>
          <w:sz w:val="21"/>
          <w:szCs w:val="21"/>
          <w:highlight w:val="none"/>
        </w:rPr>
      </w:pPr>
      <w:r>
        <w:rPr>
          <w:rFonts w:hint="eastAsia"/>
          <w:b/>
          <w:bCs/>
          <w:color w:val="auto"/>
          <w:kern w:val="0"/>
          <w:sz w:val="21"/>
          <w:szCs w:val="21"/>
          <w:highlight w:val="none"/>
        </w:rPr>
        <w:t>4.性能指标</w:t>
      </w:r>
    </w:p>
    <w:p w14:paraId="539AF118">
      <w:pPr>
        <w:spacing w:line="288" w:lineRule="auto"/>
        <w:ind w:firstLine="420" w:firstLineChars="200"/>
        <w:rPr>
          <w:rFonts w:hint="eastAsia"/>
          <w:color w:val="auto"/>
          <w:sz w:val="21"/>
          <w:szCs w:val="21"/>
          <w:highlight w:val="none"/>
        </w:rPr>
      </w:pPr>
      <w:r>
        <w:rPr>
          <w:rFonts w:hint="eastAsia"/>
          <w:color w:val="auto"/>
          <w:sz w:val="21"/>
          <w:szCs w:val="21"/>
          <w:highlight w:val="none"/>
        </w:rPr>
        <w:t>4.1系统运行支持2万注册用户量；</w:t>
      </w:r>
    </w:p>
    <w:p w14:paraId="7A1FFE5B">
      <w:pPr>
        <w:spacing w:line="288" w:lineRule="auto"/>
        <w:ind w:firstLine="420" w:firstLineChars="200"/>
        <w:rPr>
          <w:rFonts w:hint="eastAsia"/>
          <w:color w:val="auto"/>
          <w:sz w:val="21"/>
          <w:szCs w:val="21"/>
          <w:highlight w:val="none"/>
        </w:rPr>
      </w:pPr>
      <w:r>
        <w:rPr>
          <w:rFonts w:hint="eastAsia"/>
          <w:color w:val="auto"/>
          <w:sz w:val="21"/>
          <w:szCs w:val="21"/>
          <w:highlight w:val="none"/>
        </w:rPr>
        <w:t>4.2系统需支持3000用户并发进行登录操作时，平均响应时间不超过3秒。</w:t>
      </w:r>
    </w:p>
    <w:p w14:paraId="386DE4B1">
      <w:pPr>
        <w:spacing w:line="288" w:lineRule="auto"/>
        <w:ind w:firstLine="420" w:firstLineChars="200"/>
        <w:rPr>
          <w:rFonts w:hint="eastAsia"/>
          <w:color w:val="auto"/>
          <w:sz w:val="21"/>
          <w:szCs w:val="21"/>
          <w:highlight w:val="none"/>
        </w:rPr>
      </w:pPr>
      <w:r>
        <w:rPr>
          <w:rFonts w:hint="eastAsia"/>
          <w:color w:val="auto"/>
          <w:sz w:val="21"/>
          <w:szCs w:val="21"/>
          <w:highlight w:val="none"/>
        </w:rPr>
        <w:t>4.3系统保证7*24 小时运行；</w:t>
      </w:r>
    </w:p>
    <w:p w14:paraId="6AEB290C">
      <w:pPr>
        <w:spacing w:line="288" w:lineRule="auto"/>
        <w:ind w:firstLine="420" w:firstLineChars="200"/>
        <w:rPr>
          <w:rFonts w:hint="eastAsia"/>
          <w:color w:val="auto"/>
          <w:sz w:val="21"/>
          <w:szCs w:val="21"/>
          <w:highlight w:val="none"/>
        </w:rPr>
      </w:pPr>
      <w:r>
        <w:rPr>
          <w:rFonts w:hint="eastAsia"/>
          <w:color w:val="auto"/>
          <w:sz w:val="21"/>
          <w:szCs w:val="21"/>
          <w:highlight w:val="none"/>
        </w:rPr>
        <w:t>4.4平均延时：普通页面，小于2秒，最大不超过5秒；查询页面，小于3秒，最大不超过30秒；</w:t>
      </w:r>
    </w:p>
    <w:p w14:paraId="5A92ADE4">
      <w:pPr>
        <w:spacing w:line="288" w:lineRule="auto"/>
        <w:ind w:firstLine="420" w:firstLineChars="200"/>
        <w:rPr>
          <w:rFonts w:hint="eastAsia"/>
          <w:color w:val="auto"/>
          <w:sz w:val="21"/>
          <w:szCs w:val="21"/>
          <w:highlight w:val="none"/>
        </w:rPr>
      </w:pPr>
      <w:r>
        <w:rPr>
          <w:rFonts w:hint="eastAsia"/>
          <w:color w:val="auto"/>
          <w:sz w:val="21"/>
          <w:szCs w:val="21"/>
          <w:highlight w:val="none"/>
        </w:rPr>
        <w:t>4.5支持负载均衡、可扩展性。</w:t>
      </w:r>
    </w:p>
    <w:p w14:paraId="4825D979">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八、系统安全</w:t>
      </w:r>
    </w:p>
    <w:p w14:paraId="6F14C208">
      <w:pPr>
        <w:spacing w:line="288" w:lineRule="auto"/>
        <w:ind w:firstLine="420" w:firstLineChars="200"/>
        <w:rPr>
          <w:rFonts w:hint="eastAsia"/>
          <w:color w:val="auto"/>
          <w:sz w:val="21"/>
          <w:szCs w:val="21"/>
          <w:highlight w:val="none"/>
        </w:rPr>
      </w:pPr>
      <w:r>
        <w:rPr>
          <w:rFonts w:hint="eastAsia"/>
          <w:color w:val="auto"/>
          <w:sz w:val="21"/>
          <w:szCs w:val="21"/>
          <w:highlight w:val="none"/>
        </w:rPr>
        <w:t>1.认证授权：系统应具备用户身份验证和授权机制，确保只有合法用户能够访问和使用应用信息资源，防止内部敏感信息泄露和非法访问。</w:t>
      </w:r>
    </w:p>
    <w:p w14:paraId="0A64AD43">
      <w:pPr>
        <w:spacing w:line="288" w:lineRule="auto"/>
        <w:ind w:firstLine="420" w:firstLineChars="200"/>
        <w:rPr>
          <w:rFonts w:hint="eastAsia"/>
          <w:color w:val="auto"/>
          <w:sz w:val="21"/>
          <w:szCs w:val="21"/>
          <w:highlight w:val="none"/>
        </w:rPr>
      </w:pPr>
      <w:r>
        <w:rPr>
          <w:rFonts w:hint="eastAsia"/>
          <w:color w:val="auto"/>
          <w:sz w:val="21"/>
          <w:szCs w:val="21"/>
          <w:highlight w:val="none"/>
        </w:rPr>
        <w:t>2.信息保密：系统应采用密码技术对需要保密的信息进行加密处理，确保涉密信息在产生、存储、传递和处理过程中的保密性，防止非授权泄露。</w:t>
      </w:r>
    </w:p>
    <w:p w14:paraId="53579CA9">
      <w:pPr>
        <w:spacing w:line="288" w:lineRule="auto"/>
        <w:ind w:firstLine="420" w:firstLineChars="200"/>
        <w:rPr>
          <w:rFonts w:hint="eastAsia"/>
          <w:color w:val="auto"/>
          <w:sz w:val="21"/>
          <w:szCs w:val="21"/>
          <w:highlight w:val="none"/>
        </w:rPr>
      </w:pPr>
      <w:r>
        <w:rPr>
          <w:rFonts w:hint="eastAsia"/>
          <w:color w:val="auto"/>
          <w:sz w:val="21"/>
          <w:szCs w:val="21"/>
          <w:highlight w:val="none"/>
        </w:rPr>
        <w:t>3.数据完整性：系统应建立数据完整性检验机制，确保数据在传输和存储过程中的一致性，防止信息被非授权修改。</w:t>
      </w:r>
    </w:p>
    <w:p w14:paraId="6321D782">
      <w:pPr>
        <w:spacing w:line="288" w:lineRule="auto"/>
        <w:ind w:firstLine="420" w:firstLineChars="200"/>
        <w:rPr>
          <w:rFonts w:hint="eastAsia"/>
          <w:color w:val="auto"/>
          <w:sz w:val="21"/>
          <w:szCs w:val="21"/>
          <w:highlight w:val="none"/>
        </w:rPr>
      </w:pPr>
      <w:r>
        <w:rPr>
          <w:rFonts w:hint="eastAsia"/>
          <w:color w:val="auto"/>
          <w:sz w:val="21"/>
          <w:szCs w:val="21"/>
          <w:highlight w:val="none"/>
        </w:rPr>
        <w:t>4.防抵赖性：系统应提供机制，为第三方验证信息源的真实性和信息的完整性提供证据。</w:t>
      </w:r>
    </w:p>
    <w:p w14:paraId="24558772">
      <w:pPr>
        <w:spacing w:line="288" w:lineRule="auto"/>
        <w:ind w:firstLine="420" w:firstLineChars="200"/>
        <w:rPr>
          <w:rFonts w:hint="eastAsia"/>
          <w:color w:val="auto"/>
          <w:sz w:val="21"/>
          <w:szCs w:val="21"/>
          <w:highlight w:val="none"/>
        </w:rPr>
      </w:pPr>
      <w:r>
        <w:rPr>
          <w:rFonts w:hint="eastAsia"/>
          <w:color w:val="auto"/>
          <w:sz w:val="21"/>
          <w:szCs w:val="21"/>
          <w:highlight w:val="none"/>
        </w:rPr>
        <w:t>5.审计：系统应具备日志记录功能，能够记录用户操作和系统事件，支持日志分析，并提供预警信息。</w:t>
      </w:r>
    </w:p>
    <w:p w14:paraId="0039E581">
      <w:pPr>
        <w:spacing w:line="288" w:lineRule="auto"/>
        <w:ind w:firstLine="420" w:firstLineChars="200"/>
        <w:rPr>
          <w:rFonts w:hint="eastAsia"/>
          <w:color w:val="auto"/>
          <w:sz w:val="21"/>
          <w:szCs w:val="21"/>
          <w:highlight w:val="none"/>
        </w:rPr>
      </w:pPr>
      <w:r>
        <w:rPr>
          <w:rFonts w:hint="eastAsia"/>
          <w:color w:val="auto"/>
          <w:sz w:val="21"/>
          <w:szCs w:val="21"/>
          <w:highlight w:val="none"/>
        </w:rPr>
        <w:t>6.数据的可回溯性：系统应支持数据备份和恢复功能，当发生数据误操作时，能够实现数据的可回溯性。</w:t>
      </w:r>
    </w:p>
    <w:p w14:paraId="4826251C">
      <w:pPr>
        <w:spacing w:line="288" w:lineRule="auto"/>
        <w:ind w:firstLine="420" w:firstLineChars="200"/>
        <w:rPr>
          <w:rFonts w:hint="eastAsia"/>
          <w:color w:val="auto"/>
          <w:sz w:val="21"/>
          <w:szCs w:val="21"/>
          <w:highlight w:val="none"/>
        </w:rPr>
      </w:pPr>
      <w:r>
        <w:rPr>
          <w:rFonts w:hint="eastAsia"/>
          <w:color w:val="auto"/>
          <w:sz w:val="21"/>
          <w:szCs w:val="21"/>
          <w:highlight w:val="none"/>
        </w:rPr>
        <w:t>7.漏洞管理：系统应具备漏洞管理机制，当发现应用系统、数据库、操作系统等存在安全漏洞时，应严格按照学校的要求进行升级和补丁安装，确保系统的安全性和可靠性。</w:t>
      </w:r>
    </w:p>
    <w:p w14:paraId="7A6A7332">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九、工程实施服务要求</w:t>
      </w:r>
    </w:p>
    <w:p w14:paraId="60D22D17">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1.时间进度要求</w:t>
      </w:r>
    </w:p>
    <w:p w14:paraId="7A18A2CB">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本次项目须严格按工期部署完成，并达到采购人的要求。响应供应商需要在磋商响应文件中给出预实施工期进度表。采购人要求签订合同后3个月内完成项目建设工作。</w:t>
      </w:r>
    </w:p>
    <w:p w14:paraId="1E2A44FA">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2.实施方案</w:t>
      </w:r>
    </w:p>
    <w:p w14:paraId="56A4EEC7">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该项目规模较大，系统需求复杂，涉及部门、环节多，为了保证实施过程顺利有序，响应供应商必须做出详尽慎密的实施方案，主要内容应包括以下几个方面：</w:t>
      </w:r>
    </w:p>
    <w:p w14:paraId="10693ED5">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2.1组织架构与职责</w:t>
      </w:r>
    </w:p>
    <w:p w14:paraId="309C327E">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描述项目成员的组成，以及成员的职责。</w:t>
      </w:r>
    </w:p>
    <w:p w14:paraId="7349DFB1">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提供项目经理一人，负责全程跟踪项目的开发与实施，直至该项目验收。该项目经理应具备</w:t>
      </w:r>
      <w:r>
        <w:rPr>
          <w:rFonts w:hint="eastAsia"/>
          <w:color w:val="auto"/>
          <w:sz w:val="21"/>
          <w:szCs w:val="21"/>
          <w:highlight w:val="none"/>
        </w:rPr>
        <w:t>类似</w:t>
      </w:r>
      <w:r>
        <w:rPr>
          <w:rFonts w:hint="eastAsia"/>
          <w:color w:val="auto"/>
          <w:kern w:val="0"/>
          <w:sz w:val="21"/>
          <w:szCs w:val="21"/>
          <w:highlight w:val="none"/>
        </w:rPr>
        <w:t>专属钉项目实施经验，并在项目中承担项目经理职务。</w:t>
      </w:r>
    </w:p>
    <w:p w14:paraId="741773EC">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项目组其他实施人员应满足项目开发和实施的需要，项目组成人员应不少于3人。</w:t>
      </w:r>
    </w:p>
    <w:p w14:paraId="42C710DB">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2.2实施阶段划分</w:t>
      </w:r>
    </w:p>
    <w:p w14:paraId="69DE7F97">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描述各个实施阶段的工作范围、内容、人力投入、过程、责任、交付成果等。</w:t>
      </w:r>
    </w:p>
    <w:p w14:paraId="17D1C27D">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2.3项目管理要求</w:t>
      </w:r>
    </w:p>
    <w:p w14:paraId="651EE7D6">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响应供应商必须提出对项目的建设进行科学严格的管理方案与措施，保证项目全面顺利实施。</w:t>
      </w:r>
    </w:p>
    <w:p w14:paraId="6DB0DFF2">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2.4项目配置管理</w:t>
      </w:r>
    </w:p>
    <w:p w14:paraId="358C33A3">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在项目的建设过程中以及交付使用后，会产生大量文档和程序，如：需求分析说明、设计说明、可执行码、用户手册、测试用例、测试结果等技术性文档以及合同、计划、会议记录、报告等管理文档，而且文档的版本在不断变迁和修改中，势必产生一个庞大、动态的信息集合。通过一系列技术、方法和手段来维护产品的历史、鉴别和定位产品独有的版本、在产品开发和发布阶段控制变化，制定规范的配置管理工作计划和流程，沟通交流配置管理工作情况，从而使管理制度化、有效减少重复性工作、保证产品的质量和效率和系统的后续升级和维护。</w:t>
      </w:r>
    </w:p>
    <w:p w14:paraId="5EA5BD45">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2.5项目管理规范和手段</w:t>
      </w:r>
    </w:p>
    <w:p w14:paraId="175ADDBB">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根据项目的实施方案，在实施过程中，为了保证用户方、开发方等各方能够对项目建设实施进行监控，及时发现和解决的问题，必须建立相应的项目管理规范，包括项目执行监控流程、执行监控的方法、执行监控的责任等，使管理和监控工作流程化、规范化，管理和监控工作责任明确。</w:t>
      </w:r>
    </w:p>
    <w:p w14:paraId="13F9045C">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2.6项目管理控制</w:t>
      </w:r>
    </w:p>
    <w:p w14:paraId="53290474">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项目的管理控制包含多个方面：项目范围、风险、进度、质量、变更管理控制，贯穿项目开发建设的始终，必须做到对项目建设范围准确定义，一旦范围发生变更，要有相应的变更控制和应对措施。</w:t>
      </w:r>
    </w:p>
    <w:p w14:paraId="679CB778">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2.7风险管理</w:t>
      </w:r>
    </w:p>
    <w:p w14:paraId="023774ED">
      <w:pPr>
        <w:tabs>
          <w:tab w:val="left" w:pos="0"/>
        </w:tabs>
        <w:spacing w:line="288" w:lineRule="auto"/>
        <w:ind w:firstLine="482"/>
        <w:rPr>
          <w:rFonts w:hint="eastAsia"/>
          <w:color w:val="auto"/>
          <w:kern w:val="0"/>
          <w:sz w:val="21"/>
          <w:szCs w:val="21"/>
          <w:highlight w:val="none"/>
        </w:rPr>
      </w:pPr>
      <w:r>
        <w:rPr>
          <w:rFonts w:hint="eastAsia"/>
          <w:color w:val="auto"/>
          <w:kern w:val="0"/>
          <w:sz w:val="21"/>
          <w:szCs w:val="21"/>
          <w:highlight w:val="none"/>
        </w:rPr>
        <w:t>项目风险管理是对项目风险从识别到分析到应对措施的一个过程，包括风险识别、风险量化、风险对策、风险对策实施控制四个方面。项目在实施过程中会出项各种各样的风险，必须做到充分、有效识别风险，应对风险和控制风险，在项目实施之初必须制定风险预测和规避风险的对策。</w:t>
      </w:r>
    </w:p>
    <w:p w14:paraId="248D6504">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十、项目验收</w:t>
      </w:r>
    </w:p>
    <w:p w14:paraId="5F6917C8">
      <w:pPr>
        <w:pStyle w:val="3"/>
        <w:spacing w:line="288" w:lineRule="auto"/>
        <w:ind w:left="8" w:hanging="8" w:hangingChars="4"/>
        <w:rPr>
          <w:rFonts w:hint="eastAsia" w:ascii="宋体" w:hAnsi="宋体" w:eastAsia="宋体"/>
          <w:color w:val="auto"/>
          <w:sz w:val="21"/>
          <w:szCs w:val="21"/>
          <w:highlight w:val="none"/>
        </w:rPr>
      </w:pPr>
      <w:bookmarkStart w:id="42" w:name="_Toc58331126"/>
      <w:bookmarkStart w:id="43" w:name="_Toc1569226543"/>
      <w:r>
        <w:rPr>
          <w:rFonts w:hint="eastAsia" w:ascii="宋体" w:hAnsi="宋体" w:eastAsia="宋体"/>
          <w:color w:val="auto"/>
          <w:sz w:val="21"/>
          <w:szCs w:val="21"/>
          <w:highlight w:val="none"/>
          <w:lang w:val="en-US"/>
        </w:rPr>
        <w:t>1.</w:t>
      </w:r>
      <w:r>
        <w:rPr>
          <w:rFonts w:hint="eastAsia" w:ascii="宋体" w:hAnsi="宋体" w:eastAsia="宋体"/>
          <w:color w:val="auto"/>
          <w:sz w:val="21"/>
          <w:szCs w:val="21"/>
          <w:highlight w:val="none"/>
        </w:rPr>
        <w:t>验收内容</w:t>
      </w:r>
      <w:bookmarkEnd w:id="42"/>
      <w:bookmarkEnd w:id="43"/>
    </w:p>
    <w:p w14:paraId="5DC22F84">
      <w:pPr>
        <w:spacing w:line="288" w:lineRule="auto"/>
        <w:ind w:firstLine="440"/>
        <w:rPr>
          <w:rFonts w:hint="eastAsia"/>
          <w:color w:val="auto"/>
          <w:sz w:val="21"/>
          <w:szCs w:val="21"/>
          <w:highlight w:val="none"/>
        </w:rPr>
      </w:pPr>
      <w:r>
        <w:rPr>
          <w:rFonts w:hint="eastAsia"/>
          <w:color w:val="auto"/>
          <w:sz w:val="21"/>
          <w:szCs w:val="21"/>
          <w:highlight w:val="none"/>
        </w:rPr>
        <w:t>1.1可正常稳定运行的各个系统及平台；</w:t>
      </w:r>
    </w:p>
    <w:p w14:paraId="7DA5CF50">
      <w:pPr>
        <w:spacing w:line="288" w:lineRule="auto"/>
        <w:ind w:firstLine="440"/>
        <w:rPr>
          <w:rFonts w:hint="eastAsia"/>
          <w:color w:val="auto"/>
          <w:sz w:val="21"/>
          <w:szCs w:val="21"/>
          <w:highlight w:val="none"/>
        </w:rPr>
      </w:pPr>
      <w:r>
        <w:rPr>
          <w:rFonts w:hint="eastAsia"/>
          <w:color w:val="auto"/>
          <w:sz w:val="21"/>
          <w:szCs w:val="21"/>
          <w:highlight w:val="none"/>
        </w:rPr>
        <w:t>1.2技术文档：包括项目开发中的各种技术文档，如开发环境配置说明、软件工具清单、需求分析说明、变更说明、系统设计说明、系统白皮书、用户手册、测试用例、测试结果、系统维护说明、系统培训资料以及有关系统接口的技术说明等等；</w:t>
      </w:r>
    </w:p>
    <w:p w14:paraId="5D0F33A3">
      <w:pPr>
        <w:spacing w:line="288" w:lineRule="auto"/>
        <w:ind w:firstLine="440"/>
        <w:rPr>
          <w:rFonts w:hint="eastAsia"/>
          <w:color w:val="auto"/>
          <w:sz w:val="21"/>
          <w:szCs w:val="21"/>
          <w:highlight w:val="none"/>
        </w:rPr>
      </w:pPr>
      <w:r>
        <w:rPr>
          <w:rFonts w:hint="eastAsia"/>
          <w:color w:val="auto"/>
          <w:sz w:val="21"/>
          <w:szCs w:val="21"/>
          <w:highlight w:val="none"/>
        </w:rPr>
        <w:t>1.3管理文档：包括项目开发中的一些工作文档，如：计划、报告、讨论纲要、会议记录等；</w:t>
      </w:r>
    </w:p>
    <w:p w14:paraId="2B3CCC8F">
      <w:pPr>
        <w:spacing w:line="288" w:lineRule="auto"/>
        <w:ind w:firstLine="440"/>
        <w:rPr>
          <w:rFonts w:hint="eastAsia"/>
          <w:color w:val="auto"/>
          <w:sz w:val="21"/>
          <w:szCs w:val="21"/>
          <w:highlight w:val="none"/>
        </w:rPr>
      </w:pPr>
      <w:r>
        <w:rPr>
          <w:rFonts w:hint="eastAsia"/>
          <w:color w:val="auto"/>
          <w:sz w:val="21"/>
          <w:szCs w:val="21"/>
          <w:highlight w:val="none"/>
        </w:rPr>
        <w:t>1.4所有软件系统的系统接口和数据库结构需向招标人方开放，并提供接口源代码、使用说明书和应用实例文档，便于招标人方进行维护和后续的二次开发；</w:t>
      </w:r>
    </w:p>
    <w:p w14:paraId="56804358">
      <w:pPr>
        <w:spacing w:line="288" w:lineRule="auto"/>
        <w:ind w:firstLine="440"/>
        <w:rPr>
          <w:rFonts w:hint="eastAsia"/>
          <w:color w:val="auto"/>
          <w:sz w:val="21"/>
          <w:szCs w:val="21"/>
          <w:highlight w:val="none"/>
        </w:rPr>
      </w:pPr>
      <w:r>
        <w:rPr>
          <w:rFonts w:hint="eastAsia"/>
          <w:color w:val="auto"/>
          <w:sz w:val="21"/>
          <w:szCs w:val="21"/>
          <w:highlight w:val="none"/>
        </w:rPr>
        <w:t>1.5相关业务流程规范、管理制度。</w:t>
      </w:r>
    </w:p>
    <w:p w14:paraId="11A4660E">
      <w:pPr>
        <w:pStyle w:val="3"/>
        <w:spacing w:line="288" w:lineRule="auto"/>
        <w:ind w:left="8" w:hanging="8" w:hangingChars="4"/>
        <w:rPr>
          <w:rFonts w:hint="eastAsia" w:ascii="宋体" w:hAnsi="宋体" w:eastAsia="宋体"/>
          <w:color w:val="auto"/>
          <w:sz w:val="21"/>
          <w:szCs w:val="21"/>
          <w:highlight w:val="none"/>
        </w:rPr>
      </w:pPr>
      <w:bookmarkStart w:id="44" w:name="_Toc743839394"/>
      <w:bookmarkStart w:id="45" w:name="_Toc58331127"/>
      <w:r>
        <w:rPr>
          <w:rFonts w:hint="eastAsia" w:ascii="宋体" w:hAnsi="宋体" w:eastAsia="宋体"/>
          <w:color w:val="auto"/>
          <w:sz w:val="21"/>
          <w:szCs w:val="21"/>
          <w:highlight w:val="none"/>
          <w:lang w:val="en-US"/>
        </w:rPr>
        <w:t>2.</w:t>
      </w:r>
      <w:r>
        <w:rPr>
          <w:rFonts w:hint="eastAsia" w:ascii="宋体" w:hAnsi="宋体" w:eastAsia="宋体"/>
          <w:color w:val="auto"/>
          <w:sz w:val="21"/>
          <w:szCs w:val="21"/>
          <w:highlight w:val="none"/>
        </w:rPr>
        <w:t>验收方法与标准</w:t>
      </w:r>
      <w:bookmarkEnd w:id="44"/>
      <w:bookmarkEnd w:id="45"/>
    </w:p>
    <w:p w14:paraId="6AEBEDD1">
      <w:pPr>
        <w:spacing w:line="288" w:lineRule="auto"/>
        <w:ind w:firstLine="440"/>
        <w:rPr>
          <w:rFonts w:hint="eastAsia"/>
          <w:color w:val="auto"/>
          <w:sz w:val="21"/>
          <w:szCs w:val="21"/>
          <w:highlight w:val="none"/>
        </w:rPr>
      </w:pPr>
      <w:r>
        <w:rPr>
          <w:rFonts w:hint="eastAsia"/>
          <w:color w:val="auto"/>
          <w:sz w:val="21"/>
          <w:szCs w:val="21"/>
          <w:highlight w:val="none"/>
        </w:rPr>
        <w:t>2.1测试准备</w:t>
      </w:r>
    </w:p>
    <w:p w14:paraId="780F56BF">
      <w:pPr>
        <w:spacing w:line="288" w:lineRule="auto"/>
        <w:ind w:firstLine="440"/>
        <w:rPr>
          <w:rFonts w:hint="eastAsia"/>
          <w:color w:val="auto"/>
          <w:sz w:val="21"/>
          <w:szCs w:val="21"/>
          <w:highlight w:val="none"/>
        </w:rPr>
      </w:pPr>
      <w:r>
        <w:rPr>
          <w:rFonts w:hint="eastAsia"/>
          <w:color w:val="auto"/>
          <w:sz w:val="21"/>
          <w:szCs w:val="21"/>
          <w:highlight w:val="none"/>
        </w:rPr>
        <w:t>用户验收测试文件包括对项目确定的所有软件功能的测试程序。</w:t>
      </w:r>
    </w:p>
    <w:p w14:paraId="7F7FC5E8">
      <w:pPr>
        <w:spacing w:line="288" w:lineRule="auto"/>
        <w:ind w:firstLine="440"/>
        <w:rPr>
          <w:rFonts w:hint="eastAsia"/>
          <w:color w:val="auto"/>
          <w:sz w:val="21"/>
          <w:szCs w:val="21"/>
          <w:highlight w:val="none"/>
        </w:rPr>
      </w:pPr>
      <w:r>
        <w:rPr>
          <w:rFonts w:hint="eastAsia"/>
          <w:color w:val="auto"/>
          <w:sz w:val="21"/>
          <w:szCs w:val="21"/>
          <w:highlight w:val="none"/>
        </w:rPr>
        <w:t>进行测试之前，用户方必须认可用户验收测试文件。</w:t>
      </w:r>
    </w:p>
    <w:p w14:paraId="63D86478">
      <w:pPr>
        <w:spacing w:line="288" w:lineRule="auto"/>
        <w:ind w:firstLine="440"/>
        <w:rPr>
          <w:rFonts w:hint="eastAsia"/>
          <w:color w:val="auto"/>
          <w:sz w:val="21"/>
          <w:szCs w:val="21"/>
          <w:highlight w:val="none"/>
        </w:rPr>
      </w:pPr>
      <w:r>
        <w:rPr>
          <w:rFonts w:hint="eastAsia"/>
          <w:color w:val="auto"/>
          <w:sz w:val="21"/>
          <w:szCs w:val="21"/>
          <w:highlight w:val="none"/>
        </w:rPr>
        <w:t>用户方已经认可测试数据。</w:t>
      </w:r>
    </w:p>
    <w:p w14:paraId="7F932DED">
      <w:pPr>
        <w:spacing w:line="288" w:lineRule="auto"/>
        <w:ind w:firstLine="440"/>
        <w:rPr>
          <w:rFonts w:hint="eastAsia"/>
          <w:color w:val="auto"/>
          <w:sz w:val="21"/>
          <w:szCs w:val="21"/>
          <w:highlight w:val="none"/>
        </w:rPr>
      </w:pPr>
      <w:r>
        <w:rPr>
          <w:rFonts w:hint="eastAsia"/>
          <w:color w:val="auto"/>
          <w:sz w:val="21"/>
          <w:szCs w:val="21"/>
          <w:highlight w:val="none"/>
        </w:rPr>
        <w:t>用户方已经指定和批准用户验收测试文件的测试人员。</w:t>
      </w:r>
    </w:p>
    <w:p w14:paraId="4C55D13C">
      <w:pPr>
        <w:spacing w:line="288" w:lineRule="auto"/>
        <w:ind w:firstLine="440"/>
        <w:rPr>
          <w:rFonts w:hint="eastAsia"/>
          <w:color w:val="auto"/>
          <w:sz w:val="21"/>
          <w:szCs w:val="21"/>
          <w:highlight w:val="none"/>
        </w:rPr>
      </w:pPr>
      <w:r>
        <w:rPr>
          <w:rFonts w:hint="eastAsia"/>
          <w:color w:val="auto"/>
          <w:sz w:val="21"/>
          <w:szCs w:val="21"/>
          <w:highlight w:val="none"/>
        </w:rPr>
        <w:t>2.2测试执行</w:t>
      </w:r>
    </w:p>
    <w:p w14:paraId="1348D99E">
      <w:pPr>
        <w:spacing w:line="288" w:lineRule="auto"/>
        <w:ind w:firstLine="440"/>
        <w:rPr>
          <w:rFonts w:hint="eastAsia"/>
          <w:color w:val="auto"/>
          <w:sz w:val="21"/>
          <w:szCs w:val="21"/>
          <w:highlight w:val="none"/>
        </w:rPr>
      </w:pPr>
      <w:r>
        <w:rPr>
          <w:rFonts w:hint="eastAsia"/>
          <w:color w:val="auto"/>
          <w:sz w:val="21"/>
          <w:szCs w:val="21"/>
          <w:highlight w:val="none"/>
        </w:rPr>
        <w:t>测试由指定的测试人员来进行。</w:t>
      </w:r>
    </w:p>
    <w:p w14:paraId="6CD14EAC">
      <w:pPr>
        <w:spacing w:line="288" w:lineRule="auto"/>
        <w:ind w:firstLine="440"/>
        <w:rPr>
          <w:rFonts w:hint="eastAsia"/>
          <w:color w:val="auto"/>
          <w:sz w:val="21"/>
          <w:szCs w:val="21"/>
          <w:highlight w:val="none"/>
        </w:rPr>
      </w:pPr>
      <w:r>
        <w:rPr>
          <w:rFonts w:hint="eastAsia"/>
          <w:color w:val="auto"/>
          <w:sz w:val="21"/>
          <w:szCs w:val="21"/>
          <w:highlight w:val="none"/>
        </w:rPr>
        <w:t>所有的情况都必须得到测试。</w:t>
      </w:r>
    </w:p>
    <w:p w14:paraId="34C4193E">
      <w:pPr>
        <w:spacing w:line="288" w:lineRule="auto"/>
        <w:ind w:firstLine="440"/>
        <w:rPr>
          <w:rFonts w:hint="eastAsia"/>
          <w:color w:val="auto"/>
          <w:sz w:val="21"/>
          <w:szCs w:val="21"/>
          <w:highlight w:val="none"/>
        </w:rPr>
      </w:pPr>
      <w:r>
        <w:rPr>
          <w:rFonts w:hint="eastAsia"/>
          <w:color w:val="auto"/>
          <w:sz w:val="21"/>
          <w:szCs w:val="21"/>
          <w:highlight w:val="none"/>
        </w:rPr>
        <w:t>在测试过程中，测试人员必须记录所有测试结果。</w:t>
      </w:r>
    </w:p>
    <w:p w14:paraId="620923A2">
      <w:pPr>
        <w:spacing w:line="288" w:lineRule="auto"/>
        <w:ind w:firstLine="440"/>
        <w:rPr>
          <w:rFonts w:hint="eastAsia"/>
          <w:color w:val="auto"/>
          <w:sz w:val="21"/>
          <w:szCs w:val="21"/>
          <w:highlight w:val="none"/>
        </w:rPr>
      </w:pPr>
      <w:r>
        <w:rPr>
          <w:rFonts w:hint="eastAsia"/>
          <w:color w:val="auto"/>
          <w:sz w:val="21"/>
          <w:szCs w:val="21"/>
          <w:highlight w:val="none"/>
        </w:rPr>
        <w:t>测试结果由指定的测试人员签字。</w:t>
      </w:r>
    </w:p>
    <w:p w14:paraId="13A8DBF7">
      <w:pPr>
        <w:spacing w:line="288" w:lineRule="auto"/>
        <w:ind w:firstLine="440"/>
        <w:rPr>
          <w:rFonts w:hint="eastAsia"/>
          <w:color w:val="auto"/>
          <w:sz w:val="21"/>
          <w:szCs w:val="21"/>
          <w:highlight w:val="none"/>
        </w:rPr>
      </w:pPr>
      <w:r>
        <w:rPr>
          <w:rFonts w:hint="eastAsia"/>
          <w:color w:val="auto"/>
          <w:sz w:val="21"/>
          <w:szCs w:val="21"/>
          <w:highlight w:val="none"/>
        </w:rPr>
        <w:t>用户方必须接受验收测试报告。</w:t>
      </w:r>
    </w:p>
    <w:p w14:paraId="500B4B9A">
      <w:pPr>
        <w:spacing w:line="288" w:lineRule="auto"/>
        <w:ind w:firstLine="440"/>
        <w:rPr>
          <w:rFonts w:hint="eastAsia"/>
          <w:color w:val="auto"/>
          <w:sz w:val="21"/>
          <w:szCs w:val="21"/>
          <w:highlight w:val="none"/>
        </w:rPr>
      </w:pPr>
      <w:r>
        <w:rPr>
          <w:rFonts w:hint="eastAsia"/>
          <w:color w:val="auto"/>
          <w:sz w:val="21"/>
          <w:szCs w:val="21"/>
          <w:highlight w:val="none"/>
        </w:rPr>
        <w:t>2.3测试结果</w:t>
      </w:r>
    </w:p>
    <w:p w14:paraId="5C60279D">
      <w:pPr>
        <w:spacing w:line="288" w:lineRule="auto"/>
        <w:ind w:firstLine="440"/>
        <w:rPr>
          <w:rFonts w:hint="eastAsia"/>
          <w:color w:val="auto"/>
          <w:sz w:val="21"/>
          <w:szCs w:val="21"/>
          <w:highlight w:val="none"/>
        </w:rPr>
      </w:pPr>
      <w:r>
        <w:rPr>
          <w:rFonts w:hint="eastAsia"/>
          <w:color w:val="auto"/>
          <w:sz w:val="21"/>
          <w:szCs w:val="21"/>
          <w:highlight w:val="none"/>
        </w:rPr>
        <w:t>测试结果说明软件满足下列要求：</w:t>
      </w:r>
    </w:p>
    <w:p w14:paraId="6FDC959D">
      <w:pPr>
        <w:spacing w:line="288" w:lineRule="auto"/>
        <w:rPr>
          <w:rFonts w:hint="eastAsia"/>
          <w:color w:val="auto"/>
          <w:sz w:val="21"/>
          <w:szCs w:val="21"/>
          <w:highlight w:val="none"/>
        </w:rPr>
      </w:pPr>
      <w:r>
        <w:rPr>
          <w:rFonts w:hint="eastAsia"/>
          <w:color w:val="auto"/>
          <w:sz w:val="21"/>
          <w:szCs w:val="21"/>
          <w:highlight w:val="none"/>
        </w:rPr>
        <w:t>在认可的外部设计文档中表述的功能要求。</w:t>
      </w:r>
    </w:p>
    <w:p w14:paraId="7C64913B">
      <w:pPr>
        <w:spacing w:line="288" w:lineRule="auto"/>
        <w:rPr>
          <w:rFonts w:hint="eastAsia"/>
          <w:color w:val="auto"/>
          <w:sz w:val="21"/>
          <w:szCs w:val="21"/>
          <w:highlight w:val="none"/>
        </w:rPr>
      </w:pPr>
      <w:r>
        <w:rPr>
          <w:rFonts w:hint="eastAsia"/>
          <w:color w:val="auto"/>
          <w:sz w:val="21"/>
          <w:szCs w:val="21"/>
          <w:highlight w:val="none"/>
        </w:rPr>
        <w:t>在认可的系统描述文档中表述的非功能要求。</w:t>
      </w:r>
    </w:p>
    <w:p w14:paraId="39248589">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十一、成果移交</w:t>
      </w:r>
    </w:p>
    <w:p w14:paraId="4923B169">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项目验收合格后,应办理交接手续，包括实体移交和技术文件移交。</w:t>
      </w:r>
    </w:p>
    <w:p w14:paraId="7959DE69">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1.技术转移</w:t>
      </w:r>
    </w:p>
    <w:p w14:paraId="07B6571D">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通过本期项目的合作开发，从技术实现上，建设厂商需要将先进的开发技术、项目管理模式和经验与浙江交通职业技术学院的需求资源相结合，真正建立学校的信息化支撑平台和专业技术队伍。</w:t>
      </w:r>
    </w:p>
    <w:p w14:paraId="79389579">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同时，学校的工作人员全面深入地参与开发的全过程，包括需求分析、系统设计、代码生成、测试运行以及使用维护五个阶段，掌握各个环节的主要技术，具有对软硬件系统平台、各个业务系统的技术维护能力以及二次开发能力，实现知识和技术的转移。</w:t>
      </w:r>
    </w:p>
    <w:p w14:paraId="0ACB4E07">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2.交付成果和文档资料</w:t>
      </w:r>
    </w:p>
    <w:p w14:paraId="347D1AD1">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在本期项目的开发过程中和交付使用后，将各个阶段产生的全面、规范的成果和文档资料交付给浙江交通职业技术学院，并提供明确的交付清单。同时，成果和文档资料符合软件工程的相关要求。要交付的成果和文档资料主要包括以下部分： </w:t>
      </w:r>
    </w:p>
    <w:p w14:paraId="3E7A8736">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1)可运行的系统。</w:t>
      </w:r>
    </w:p>
    <w:p w14:paraId="7DA200CC">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2）技术文档：包括项目开发中的各种技术文档，如开发环境配置说明、数据库设计文档、详细设计文档、测试案例文档、软件工具清单、用户手册、系统培训资料以及有关系统接口的技术说明等等。</w:t>
      </w:r>
    </w:p>
    <w:p w14:paraId="4B059EAD">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3）管理文档：包括项目开发中的一些工作文档，如，计划、报告、讨论纲要、会议记录等。</w:t>
      </w:r>
    </w:p>
    <w:p w14:paraId="31A52366">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3.知识产权说明</w:t>
      </w:r>
    </w:p>
    <w:p w14:paraId="274BBDA6">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浙江交通职业技术学院拥有本项目各系统的完全使用权。</w:t>
      </w:r>
    </w:p>
    <w:p w14:paraId="1FB7489F">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十二、服务保障与承诺</w:t>
      </w:r>
    </w:p>
    <w:p w14:paraId="5569C1E5">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响应供应商应承诺保证该项目按时正式稳定地运行，并承诺提供</w:t>
      </w:r>
      <w:r>
        <w:rPr>
          <w:rFonts w:hint="eastAsia"/>
          <w:color w:val="auto"/>
          <w:sz w:val="21"/>
          <w:szCs w:val="21"/>
          <w:highlight w:val="none"/>
        </w:rPr>
        <w:t>售后维护</w:t>
      </w:r>
      <w:r>
        <w:rPr>
          <w:rFonts w:hint="eastAsia"/>
          <w:color w:val="auto"/>
          <w:kern w:val="0"/>
          <w:sz w:val="21"/>
          <w:szCs w:val="21"/>
          <w:highlight w:val="none"/>
        </w:rPr>
        <w:t>服务时间</w:t>
      </w:r>
      <w:r>
        <w:rPr>
          <w:rFonts w:hint="eastAsia"/>
          <w:color w:val="auto"/>
          <w:sz w:val="21"/>
          <w:szCs w:val="21"/>
          <w:highlight w:val="none"/>
        </w:rPr>
        <w:t>为1年</w:t>
      </w:r>
      <w:r>
        <w:rPr>
          <w:rFonts w:hint="eastAsia"/>
          <w:color w:val="auto"/>
          <w:kern w:val="0"/>
          <w:sz w:val="21"/>
          <w:szCs w:val="21"/>
          <w:highlight w:val="none"/>
        </w:rPr>
        <w:t xml:space="preserve">。 响应供应商应承诺根据对（浙江交通职业技术学院）相关业务运做的规律来有计划地制定服务保障体系。响应供应商关于服务保障体系的描述应具体包括如下内容： </w:t>
      </w:r>
    </w:p>
    <w:p w14:paraId="554048A1">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1.运行保障机构 </w:t>
      </w:r>
    </w:p>
    <w:p w14:paraId="1E2F2B8C">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主要描述公司对于对（浙江交通职业技术学院）本项目的运行保障能力描述。</w:t>
      </w:r>
    </w:p>
    <w:p w14:paraId="12A65249">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2.保期内运行服务内容 </w:t>
      </w:r>
    </w:p>
    <w:p w14:paraId="11AF6562">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售后维护服务，定期走访或实行远程维护：定期维护的时间区间、周期和详细规划， 规划包括：方式、人员和详细的维护内容。 重大事项的及时响应：系统出现故障或意外情况导致系统不能正常运行时，响应供应商响应的情况描述，针对不同响应级别的即时响应包括：人员、时间和内容等。 服务请求的方式：在我方需要提供服务（包括即时的和非即时的）时，能够与响应供应商联系沟通的方式描述，应包括：服务热线电话和联系人、联系单位信息、信函/传真、 电子邮件、服务网站。服务请求的流程：响应供应商对用户的支持或维护请求处理流程的流程图和详细描述。 </w:t>
      </w:r>
    </w:p>
    <w:p w14:paraId="10D1102F">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3.保期后运行服务内容 </w:t>
      </w:r>
    </w:p>
    <w:p w14:paraId="3F669BAA">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售后维护服务，定期走访或实行远程维护：收费服务的时间区间、周期、费用和详细规划，规划包括：方式、人员和详细的维护内容。 </w:t>
      </w:r>
    </w:p>
    <w:p w14:paraId="5E6E9243">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4.响应时限要求</w:t>
      </w:r>
    </w:p>
    <w:p w14:paraId="52EDF572">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4.1 故障响应时间</w:t>
      </w:r>
    </w:p>
    <w:p w14:paraId="0DEDFFD7">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响应商须承诺在接到甲方故障报修通知后，系统应满足以下响应标准：  </w:t>
      </w:r>
    </w:p>
    <w:p w14:paraId="7E7CA462">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（1）一级故障（系统全面瘫痪/重大安全事件）：10分钟内启动应急响应机制，30分钟内提供远程介入，1小时内抵达现场，4小时内恢复基础服务；  </w:t>
      </w:r>
    </w:p>
    <w:p w14:paraId="0EBB362C">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（2）二级故障（部分功能异常/性能严重下降）：30分钟内响应，2小时内提供解决方案，12小时内完成修复；  </w:t>
      </w:r>
    </w:p>
    <w:p w14:paraId="3F19DF1F">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（3）三级故障（局部功能异常/轻微性能问题）：1小时内响应，24小时内提出修复计划并实施。</w:t>
      </w:r>
    </w:p>
    <w:p w14:paraId="5E917762">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4.2 服务时间覆盖</w:t>
      </w:r>
    </w:p>
    <w:p w14:paraId="0D9DE39D">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（1）提供7×24小时全天候技术支持服务，确保紧急联络通道（电话/工单系统）20秒内接通率≥95%；  </w:t>
      </w:r>
    </w:p>
    <w:p w14:paraId="7D31BEEB">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（2）非紧急类需求（如功能优化）需在2工作日内提供书面反馈。</w:t>
      </w:r>
    </w:p>
    <w:p w14:paraId="7876491C">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4.3 升级与变更响应 </w:t>
      </w:r>
    </w:p>
    <w:p w14:paraId="6CDFAE3B">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（1）系统版本更新/安全补丁须在厂商发布后72小时内完成兼容性测试并推送甲方；  </w:t>
      </w:r>
    </w:p>
    <w:p w14:paraId="5C2BFF66">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（2）重大业务需求变更需在需求确认后5个工作日内提交实施方案。</w:t>
      </w:r>
    </w:p>
    <w:p w14:paraId="1EF1D089">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4.4 服务承诺约束  </w:t>
      </w:r>
    </w:p>
    <w:p w14:paraId="3DD9E180">
      <w:pPr>
        <w:tabs>
          <w:tab w:val="left" w:pos="0"/>
        </w:tabs>
        <w:spacing w:line="288" w:lineRule="auto"/>
        <w:ind w:firstLine="480"/>
        <w:rPr>
          <w:rFonts w:hint="eastAsia"/>
          <w:color w:val="auto"/>
          <w:sz w:val="21"/>
          <w:szCs w:val="21"/>
          <w:highlight w:val="none"/>
        </w:rPr>
      </w:pPr>
      <w:r>
        <w:rPr>
          <w:rFonts w:hint="eastAsia"/>
          <w:color w:val="auto"/>
          <w:kern w:val="0"/>
          <w:sz w:val="21"/>
          <w:szCs w:val="21"/>
          <w:highlight w:val="none"/>
        </w:rPr>
        <w:t>全年累计故障解决及时率低于98%，甲方有权终止合同并索赔。</w:t>
      </w:r>
    </w:p>
    <w:p w14:paraId="6AACBB26">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5.运行服务的档案</w:t>
      </w:r>
    </w:p>
    <w:p w14:paraId="7F947DDD">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运行服务的详细记载，可以用于分析总结。</w:t>
      </w:r>
    </w:p>
    <w:p w14:paraId="7EAD780C">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 xml:space="preserve">6.用户投诉 </w:t>
      </w:r>
    </w:p>
    <w:p w14:paraId="5FE372CC">
      <w:pPr>
        <w:tabs>
          <w:tab w:val="left" w:pos="0"/>
        </w:tabs>
        <w:spacing w:line="288" w:lineRule="auto"/>
        <w:ind w:firstLine="480"/>
        <w:rPr>
          <w:rFonts w:hint="eastAsia"/>
          <w:color w:val="auto"/>
          <w:kern w:val="0"/>
          <w:sz w:val="21"/>
          <w:szCs w:val="21"/>
          <w:highlight w:val="none"/>
        </w:rPr>
      </w:pPr>
      <w:r>
        <w:rPr>
          <w:rFonts w:hint="eastAsia"/>
          <w:color w:val="auto"/>
          <w:kern w:val="0"/>
          <w:sz w:val="21"/>
          <w:szCs w:val="21"/>
          <w:highlight w:val="none"/>
        </w:rPr>
        <w:t>响应供应商是否设有用户投诉受理电话，对用户的意见做出反应。 如果有用户投诉受理电话，请描述以下内容：电话号码（或传真）、投诉中心负责 人和受理答复时间。</w:t>
      </w:r>
    </w:p>
    <w:p w14:paraId="33B7E17D">
      <w:pPr>
        <w:adjustRightInd w:val="0"/>
        <w:snapToGrid w:val="0"/>
        <w:spacing w:line="288" w:lineRule="auto"/>
        <w:outlineLvl w:val="1"/>
        <w:rPr>
          <w:rFonts w:hint="eastAsia"/>
          <w:b/>
          <w:bCs/>
          <w:color w:val="auto"/>
          <w:sz w:val="21"/>
          <w:szCs w:val="21"/>
          <w:highlight w:val="none"/>
        </w:rPr>
      </w:pPr>
      <w:r>
        <w:rPr>
          <w:rFonts w:hint="eastAsia"/>
          <w:b/>
          <w:bCs/>
          <w:color w:val="auto"/>
          <w:sz w:val="21"/>
          <w:szCs w:val="21"/>
          <w:highlight w:val="none"/>
        </w:rPr>
        <w:t>十三、演示</w:t>
      </w:r>
    </w:p>
    <w:p w14:paraId="30524909">
      <w:pPr>
        <w:adjustRightInd w:val="0"/>
        <w:snapToGrid w:val="0"/>
        <w:spacing w:line="288" w:lineRule="auto"/>
        <w:jc w:val="left"/>
        <w:rPr>
          <w:rFonts w:hint="eastAsia"/>
          <w:color w:val="auto"/>
          <w:sz w:val="21"/>
          <w:szCs w:val="21"/>
          <w:highlight w:val="none"/>
          <w:lang w:bidi="ar"/>
        </w:rPr>
      </w:pPr>
      <w:r>
        <w:rPr>
          <w:rFonts w:hint="eastAsia"/>
          <w:color w:val="auto"/>
          <w:sz w:val="21"/>
          <w:szCs w:val="21"/>
          <w:highlight w:val="none"/>
          <w:lang w:bidi="ar"/>
        </w:rPr>
        <w:t>1.供应商应对下述功能点进行视频演示。</w:t>
      </w:r>
    </w:p>
    <w:p w14:paraId="5FC8A2D4">
      <w:pPr>
        <w:adjustRightInd w:val="0"/>
        <w:snapToGrid w:val="0"/>
        <w:spacing w:line="288" w:lineRule="auto"/>
        <w:jc w:val="left"/>
        <w:rPr>
          <w:rFonts w:hint="eastAsia"/>
          <w:color w:val="auto"/>
          <w:sz w:val="21"/>
          <w:szCs w:val="21"/>
          <w:highlight w:val="none"/>
          <w:lang w:bidi="ar"/>
        </w:rPr>
      </w:pPr>
      <w:r>
        <w:rPr>
          <w:rFonts w:hint="eastAsia"/>
          <w:color w:val="auto"/>
          <w:sz w:val="21"/>
          <w:szCs w:val="21"/>
          <w:highlight w:val="none"/>
        </w:rPr>
        <w:t>▲</w:t>
      </w:r>
      <w:r>
        <w:rPr>
          <w:rFonts w:hint="eastAsia"/>
          <w:b/>
          <w:bCs/>
          <w:color w:val="auto"/>
          <w:sz w:val="21"/>
          <w:szCs w:val="21"/>
          <w:highlight w:val="none"/>
          <w:lang w:bidi="ar"/>
        </w:rPr>
        <w:t>未提供演示视频的，响应无效。</w:t>
      </w:r>
    </w:p>
    <w:tbl>
      <w:tblPr>
        <w:tblStyle w:val="18"/>
        <w:tblW w:w="48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609"/>
      </w:tblGrid>
      <w:tr w14:paraId="6B59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2F1B8093">
            <w:pPr>
              <w:spacing w:line="288" w:lineRule="auto"/>
              <w:jc w:val="center"/>
              <w:rPr>
                <w:rFonts w:hint="eastAsia"/>
                <w:b/>
                <w:color w:val="auto"/>
                <w:sz w:val="21"/>
                <w:szCs w:val="21"/>
                <w:highlight w:val="none"/>
              </w:rPr>
            </w:pPr>
            <w:r>
              <w:rPr>
                <w:rFonts w:hint="eastAsia"/>
                <w:b/>
                <w:color w:val="auto"/>
                <w:sz w:val="21"/>
                <w:szCs w:val="21"/>
                <w:highlight w:val="none"/>
              </w:rPr>
              <w:t>序号</w:t>
            </w:r>
          </w:p>
        </w:tc>
        <w:tc>
          <w:tcPr>
            <w:tcW w:w="4587" w:type="pct"/>
            <w:vAlign w:val="center"/>
          </w:tcPr>
          <w:p w14:paraId="4D204DE9">
            <w:pPr>
              <w:spacing w:line="288" w:lineRule="auto"/>
              <w:jc w:val="center"/>
              <w:rPr>
                <w:rFonts w:hint="eastAsia"/>
                <w:b/>
                <w:color w:val="auto"/>
                <w:sz w:val="21"/>
                <w:szCs w:val="21"/>
                <w:highlight w:val="none"/>
              </w:rPr>
            </w:pPr>
            <w:r>
              <w:rPr>
                <w:rFonts w:hint="eastAsia"/>
                <w:b/>
                <w:color w:val="auto"/>
                <w:sz w:val="21"/>
                <w:szCs w:val="21"/>
                <w:highlight w:val="none"/>
              </w:rPr>
              <w:t>演示内容</w:t>
            </w:r>
          </w:p>
        </w:tc>
      </w:tr>
      <w:tr w14:paraId="5369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 w:type="pct"/>
            <w:vAlign w:val="center"/>
          </w:tcPr>
          <w:p w14:paraId="6C56F4C3">
            <w:pPr>
              <w:spacing w:line="288" w:lineRule="auto"/>
              <w:jc w:val="center"/>
              <w:rPr>
                <w:rFonts w:hint="eastAsia"/>
                <w:b/>
                <w:color w:val="auto"/>
                <w:sz w:val="21"/>
                <w:szCs w:val="21"/>
                <w:highlight w:val="none"/>
              </w:rPr>
            </w:pPr>
            <w:r>
              <w:rPr>
                <w:rFonts w:hint="eastAsia"/>
                <w:b/>
                <w:color w:val="auto"/>
                <w:sz w:val="21"/>
                <w:szCs w:val="21"/>
                <w:highlight w:val="none"/>
              </w:rPr>
              <w:t>1</w:t>
            </w:r>
          </w:p>
        </w:tc>
        <w:tc>
          <w:tcPr>
            <w:tcW w:w="4587" w:type="pct"/>
          </w:tcPr>
          <w:p w14:paraId="5EF8BD92">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在线文档管控演示：</w:t>
            </w:r>
          </w:p>
          <w:p w14:paraId="078D771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1、创建在线文档：允许或禁止用户创建归属于外部组织的在线文档；</w:t>
            </w:r>
          </w:p>
          <w:p w14:paraId="591D5F4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2、在线文档复制功能：允许或禁止用户将组织内部文档内容复制到文档外；</w:t>
            </w:r>
          </w:p>
          <w:p w14:paraId="56DDF98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3、导出在线文档到本地：允许或禁止用户将组织内部在线文档导出到本地；</w:t>
            </w:r>
          </w:p>
          <w:p w14:paraId="1CBB2AE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4、在线文档授权：允许或禁止用户给组织外部人员添加内部文档权限。</w:t>
            </w:r>
          </w:p>
        </w:tc>
      </w:tr>
      <w:tr w14:paraId="0360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2" w:type="pct"/>
            <w:vAlign w:val="center"/>
          </w:tcPr>
          <w:p w14:paraId="1ACB905B">
            <w:pPr>
              <w:spacing w:line="288" w:lineRule="auto"/>
              <w:jc w:val="center"/>
              <w:rPr>
                <w:rFonts w:hint="eastAsia"/>
                <w:b/>
                <w:color w:val="auto"/>
                <w:sz w:val="21"/>
                <w:szCs w:val="21"/>
                <w:highlight w:val="none"/>
              </w:rPr>
            </w:pPr>
            <w:r>
              <w:rPr>
                <w:rFonts w:hint="eastAsia"/>
                <w:b/>
                <w:color w:val="auto"/>
                <w:sz w:val="21"/>
                <w:szCs w:val="21"/>
                <w:highlight w:val="none"/>
              </w:rPr>
              <w:t>2</w:t>
            </w:r>
          </w:p>
        </w:tc>
        <w:tc>
          <w:tcPr>
            <w:tcW w:w="4587" w:type="pct"/>
          </w:tcPr>
          <w:p w14:paraId="0E6DC0C3">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群内信息保护演示：</w:t>
            </w:r>
          </w:p>
          <w:p w14:paraId="2388BA2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1、下载聊天会话中的图片：允许或禁止用户将内部聊天图片下载到本地；</w:t>
            </w:r>
          </w:p>
          <w:p w14:paraId="4F5B392C">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2、外部聊天场景时粘贴：允许或禁止用户在外部聊天场景时使用粘贴功能；</w:t>
            </w:r>
          </w:p>
          <w:p w14:paraId="79AD2B3E">
            <w:pPr>
              <w:spacing w:line="288" w:lineRule="auto"/>
              <w:rPr>
                <w:rFonts w:hint="eastAsia"/>
                <w:color w:val="auto"/>
                <w:sz w:val="21"/>
                <w:szCs w:val="21"/>
                <w:highlight w:val="none"/>
              </w:rPr>
            </w:pPr>
            <w:r>
              <w:rPr>
                <w:rFonts w:hint="eastAsia"/>
                <w:color w:val="auto"/>
                <w:sz w:val="21"/>
                <w:szCs w:val="21"/>
                <w:highlight w:val="none"/>
              </w:rPr>
              <w:t>3、群聊截图：允许或禁止用户在PC端外部群及非同事单聊使用钉钉自带的截图功能 。</w:t>
            </w:r>
          </w:p>
        </w:tc>
      </w:tr>
      <w:tr w14:paraId="0DA2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14:paraId="3519372B">
            <w:pPr>
              <w:spacing w:line="288" w:lineRule="auto"/>
              <w:jc w:val="center"/>
              <w:rPr>
                <w:rFonts w:hint="eastAsia"/>
                <w:b/>
                <w:color w:val="auto"/>
                <w:sz w:val="21"/>
                <w:szCs w:val="21"/>
                <w:highlight w:val="none"/>
              </w:rPr>
            </w:pPr>
            <w:r>
              <w:rPr>
                <w:rFonts w:hint="eastAsia"/>
                <w:b/>
                <w:color w:val="auto"/>
                <w:sz w:val="21"/>
                <w:szCs w:val="21"/>
                <w:highlight w:val="none"/>
              </w:rPr>
              <w:t>3</w:t>
            </w:r>
          </w:p>
        </w:tc>
        <w:tc>
          <w:tcPr>
            <w:tcW w:w="4587" w:type="pct"/>
          </w:tcPr>
          <w:p w14:paraId="2366318F">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钉内文件管控演示：</w:t>
            </w:r>
          </w:p>
          <w:p w14:paraId="2287F2A0">
            <w:pPr>
              <w:adjustRightInd w:val="0"/>
              <w:snapToGrid w:val="0"/>
              <w:spacing w:line="288" w:lineRule="auto"/>
              <w:rPr>
                <w:rFonts w:hint="eastAsia"/>
                <w:color w:val="auto"/>
                <w:sz w:val="21"/>
                <w:szCs w:val="21"/>
                <w:highlight w:val="none"/>
              </w:rPr>
            </w:pPr>
            <w:r>
              <w:rPr>
                <w:rFonts w:hint="eastAsia"/>
                <w:color w:val="auto"/>
                <w:sz w:val="21"/>
                <w:szCs w:val="21"/>
                <w:highlight w:val="none"/>
              </w:rPr>
              <w:t>1.分享文件外链：允许或禁止用户将聊天和钉钉云盘中的文件生成外链分享；</w:t>
            </w:r>
          </w:p>
          <w:p w14:paraId="54739607">
            <w:pPr>
              <w:adjustRightInd w:val="0"/>
              <w:snapToGrid w:val="0"/>
              <w:spacing w:line="288" w:lineRule="auto"/>
              <w:rPr>
                <w:rFonts w:hint="eastAsia"/>
                <w:color w:val="auto"/>
                <w:sz w:val="21"/>
                <w:szCs w:val="21"/>
                <w:highlight w:val="none"/>
              </w:rPr>
            </w:pPr>
            <w:r>
              <w:rPr>
                <w:rFonts w:hint="eastAsia"/>
                <w:color w:val="auto"/>
                <w:sz w:val="21"/>
                <w:szCs w:val="21"/>
                <w:highlight w:val="none"/>
              </w:rPr>
              <w:t>2.上传本地文件：允许或禁止用户将本地电脑端的文件发送到组织外部；</w:t>
            </w:r>
          </w:p>
          <w:p w14:paraId="714F6355">
            <w:pPr>
              <w:adjustRightInd w:val="0"/>
              <w:snapToGrid w:val="0"/>
              <w:spacing w:line="288" w:lineRule="auto"/>
              <w:rPr>
                <w:rFonts w:hint="eastAsia"/>
                <w:color w:val="auto"/>
                <w:sz w:val="21"/>
                <w:szCs w:val="21"/>
                <w:highlight w:val="none"/>
              </w:rPr>
            </w:pPr>
            <w:r>
              <w:rPr>
                <w:rFonts w:hint="eastAsia"/>
                <w:color w:val="auto"/>
                <w:sz w:val="21"/>
                <w:szCs w:val="21"/>
                <w:highlight w:val="none"/>
              </w:rPr>
              <w:t>3.文件局域网传输功能：允许或禁止用户使用Windows端-单聊窗口中的“局域网传输”功能。</w:t>
            </w:r>
          </w:p>
        </w:tc>
      </w:tr>
    </w:tbl>
    <w:p w14:paraId="318AED5A">
      <w:pPr>
        <w:adjustRightInd w:val="0"/>
        <w:snapToGrid w:val="0"/>
        <w:spacing w:line="288" w:lineRule="auto"/>
        <w:jc w:val="left"/>
        <w:rPr>
          <w:rFonts w:hint="eastAsia"/>
          <w:color w:val="auto"/>
          <w:sz w:val="21"/>
          <w:szCs w:val="21"/>
          <w:highlight w:val="none"/>
          <w:lang w:bidi="ar"/>
        </w:rPr>
      </w:pPr>
    </w:p>
    <w:p w14:paraId="39C05EAD">
      <w:pPr>
        <w:adjustRightInd w:val="0"/>
        <w:snapToGrid w:val="0"/>
        <w:spacing w:line="288" w:lineRule="auto"/>
        <w:jc w:val="left"/>
        <w:rPr>
          <w:rFonts w:hint="eastAsia"/>
          <w:color w:val="auto"/>
          <w:sz w:val="21"/>
          <w:szCs w:val="21"/>
          <w:highlight w:val="none"/>
        </w:rPr>
      </w:pPr>
      <w:r>
        <w:rPr>
          <w:rFonts w:hint="eastAsia"/>
          <w:color w:val="auto"/>
          <w:sz w:val="21"/>
          <w:szCs w:val="21"/>
          <w:highlight w:val="none"/>
          <w:lang w:bidi="ar"/>
        </w:rPr>
        <w:t>2.演示时间不超过15分钟（所有演示总时长），演示过程需要准备的器材、软件、网络等设施由供应商自行准备。</w:t>
      </w:r>
    </w:p>
    <w:p w14:paraId="23FCE98B">
      <w:pPr>
        <w:adjustRightInd w:val="0"/>
        <w:snapToGrid w:val="0"/>
        <w:spacing w:line="288" w:lineRule="auto"/>
        <w:jc w:val="left"/>
        <w:rPr>
          <w:rFonts w:hint="eastAsia"/>
          <w:color w:val="auto"/>
          <w:sz w:val="21"/>
          <w:szCs w:val="21"/>
          <w:highlight w:val="none"/>
        </w:rPr>
      </w:pPr>
      <w:r>
        <w:rPr>
          <w:rFonts w:hint="eastAsia"/>
          <w:color w:val="auto"/>
          <w:sz w:val="21"/>
          <w:szCs w:val="21"/>
          <w:highlight w:val="none"/>
          <w:lang w:bidi="ar"/>
        </w:rPr>
        <w:t>3.演示U盘：</w:t>
      </w:r>
    </w:p>
    <w:p w14:paraId="3898330B">
      <w:pPr>
        <w:adjustRightInd w:val="0"/>
        <w:snapToGrid w:val="0"/>
        <w:spacing w:line="288" w:lineRule="auto"/>
        <w:jc w:val="left"/>
        <w:rPr>
          <w:rFonts w:hint="eastAsia"/>
          <w:color w:val="auto"/>
          <w:sz w:val="21"/>
          <w:szCs w:val="21"/>
          <w:highlight w:val="none"/>
        </w:rPr>
      </w:pPr>
      <w:r>
        <w:rPr>
          <w:rFonts w:hint="eastAsia"/>
          <w:color w:val="auto"/>
          <w:sz w:val="21"/>
          <w:szCs w:val="21"/>
          <w:highlight w:val="none"/>
          <w:lang w:bidi="ar"/>
        </w:rPr>
        <w:t>3.1供应商需将以上演示过程录制视频，以mp4.格式存储于U盘。</w:t>
      </w:r>
    </w:p>
    <w:p w14:paraId="41EAF3A7">
      <w:pPr>
        <w:adjustRightInd w:val="0"/>
        <w:snapToGrid w:val="0"/>
        <w:spacing w:line="288" w:lineRule="auto"/>
        <w:jc w:val="left"/>
        <w:rPr>
          <w:rFonts w:hint="eastAsia"/>
          <w:color w:val="auto"/>
          <w:sz w:val="21"/>
          <w:szCs w:val="21"/>
          <w:highlight w:val="none"/>
        </w:rPr>
      </w:pPr>
      <w:r>
        <w:rPr>
          <w:rFonts w:hint="eastAsia"/>
          <w:color w:val="auto"/>
          <w:sz w:val="21"/>
          <w:szCs w:val="21"/>
          <w:highlight w:val="none"/>
          <w:lang w:bidi="ar"/>
        </w:rPr>
        <w:t>3.2 演示U盘可以EMS或顺丰邮寄形式在</w:t>
      </w:r>
      <w:r>
        <w:rPr>
          <w:rFonts w:hint="eastAsia"/>
          <w:b/>
          <w:color w:val="auto"/>
          <w:sz w:val="21"/>
          <w:szCs w:val="21"/>
          <w:highlight w:val="none"/>
        </w:rPr>
        <w:t>响应文件提交（上传）</w:t>
      </w:r>
      <w:r>
        <w:rPr>
          <w:rFonts w:hint="eastAsia"/>
          <w:color w:val="auto"/>
          <w:sz w:val="21"/>
          <w:szCs w:val="21"/>
          <w:highlight w:val="none"/>
          <w:lang w:bidi="ar"/>
        </w:rPr>
        <w:t>截止时间前递交，演示U盘应当密封包装并在包装上标注演示U盘、项目名称、供应商名称并加盖公章。</w:t>
      </w:r>
    </w:p>
    <w:p w14:paraId="6D923285">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lang w:bidi="ar"/>
        </w:rPr>
        <w:t>3.3未按招标文件要求提供演示U盘造成评审专家无法正常评审的风险由供应商自行承担。</w:t>
      </w:r>
    </w:p>
    <w:p w14:paraId="1CA904E4">
      <w:pPr>
        <w:adjustRightInd w:val="0"/>
        <w:snapToGrid w:val="0"/>
        <w:spacing w:line="288" w:lineRule="auto"/>
        <w:rPr>
          <w:rFonts w:hint="eastAsia"/>
          <w:b/>
          <w:bCs/>
          <w:color w:val="auto"/>
          <w:sz w:val="21"/>
          <w:szCs w:val="21"/>
          <w:highlight w:val="none"/>
        </w:rPr>
      </w:pPr>
    </w:p>
    <w:p w14:paraId="1B2D59F3">
      <w:pPr>
        <w:widowControl/>
        <w:adjustRightInd w:val="0"/>
        <w:snapToGrid w:val="0"/>
        <w:spacing w:line="288" w:lineRule="auto"/>
        <w:jc w:val="left"/>
        <w:rPr>
          <w:rFonts w:hint="eastAsia"/>
          <w:color w:val="auto"/>
          <w:sz w:val="21"/>
          <w:szCs w:val="21"/>
          <w:highlight w:val="none"/>
        </w:rPr>
      </w:pPr>
      <w:r>
        <w:rPr>
          <w:rFonts w:hint="eastAsia"/>
          <w:color w:val="auto"/>
          <w:sz w:val="21"/>
          <w:szCs w:val="21"/>
          <w:highlight w:val="none"/>
        </w:rPr>
        <w:br w:type="page"/>
      </w:r>
    </w:p>
    <w:p w14:paraId="35E07ED1">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第三章  供应商须知</w:t>
      </w:r>
    </w:p>
    <w:p w14:paraId="006DF2F8">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CA3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50EBBCF">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条款号</w:t>
            </w:r>
          </w:p>
        </w:tc>
        <w:tc>
          <w:tcPr>
            <w:tcW w:w="1701" w:type="dxa"/>
            <w:vAlign w:val="center"/>
          </w:tcPr>
          <w:p w14:paraId="7147B203">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内容</w:t>
            </w:r>
          </w:p>
        </w:tc>
        <w:tc>
          <w:tcPr>
            <w:tcW w:w="6663" w:type="dxa"/>
            <w:vAlign w:val="center"/>
          </w:tcPr>
          <w:p w14:paraId="6685232C">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说明与要求</w:t>
            </w:r>
          </w:p>
        </w:tc>
      </w:tr>
      <w:tr w14:paraId="32C11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86D41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（一）</w:t>
            </w:r>
          </w:p>
        </w:tc>
        <w:tc>
          <w:tcPr>
            <w:tcW w:w="1701" w:type="dxa"/>
            <w:vAlign w:val="center"/>
          </w:tcPr>
          <w:p w14:paraId="788432E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适用范围</w:t>
            </w:r>
          </w:p>
        </w:tc>
        <w:tc>
          <w:tcPr>
            <w:tcW w:w="6663" w:type="dxa"/>
            <w:vAlign w:val="center"/>
          </w:tcPr>
          <w:p w14:paraId="02A29880">
            <w:pPr>
              <w:adjustRightInd w:val="0"/>
              <w:snapToGrid w:val="0"/>
              <w:spacing w:line="288" w:lineRule="auto"/>
              <w:rPr>
                <w:rFonts w:hint="eastAsia"/>
                <w:color w:val="auto"/>
                <w:sz w:val="21"/>
                <w:szCs w:val="21"/>
                <w:highlight w:val="none"/>
              </w:rPr>
            </w:pPr>
            <w:r>
              <w:rPr>
                <w:rFonts w:hint="eastAsia"/>
                <w:color w:val="auto"/>
                <w:sz w:val="21"/>
                <w:szCs w:val="21"/>
                <w:highlight w:val="none"/>
              </w:rPr>
              <w:t>本磋商文件适用于浙江交通职业技术学院2025年专属钉钉的磋商、评审、成交、验收、合同履约、付款等（法律、法规另有规定的，从其规定）。</w:t>
            </w:r>
          </w:p>
        </w:tc>
      </w:tr>
      <w:tr w14:paraId="3D80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4A6E227">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（二）</w:t>
            </w:r>
          </w:p>
        </w:tc>
        <w:tc>
          <w:tcPr>
            <w:tcW w:w="1701" w:type="dxa"/>
            <w:vAlign w:val="center"/>
          </w:tcPr>
          <w:p w14:paraId="013EB71B">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采购方式</w:t>
            </w:r>
          </w:p>
        </w:tc>
        <w:tc>
          <w:tcPr>
            <w:tcW w:w="6663" w:type="dxa"/>
            <w:vAlign w:val="center"/>
          </w:tcPr>
          <w:p w14:paraId="5E033E7B">
            <w:pPr>
              <w:adjustRightInd w:val="0"/>
              <w:snapToGrid w:val="0"/>
              <w:spacing w:line="288" w:lineRule="auto"/>
              <w:rPr>
                <w:rFonts w:hint="eastAsia"/>
                <w:color w:val="auto"/>
                <w:sz w:val="21"/>
                <w:szCs w:val="21"/>
                <w:highlight w:val="none"/>
              </w:rPr>
            </w:pPr>
            <w:r>
              <w:rPr>
                <w:rFonts w:hint="eastAsia"/>
                <w:color w:val="auto"/>
                <w:sz w:val="21"/>
                <w:szCs w:val="21"/>
                <w:highlight w:val="none"/>
              </w:rPr>
              <w:t>本次采购采用竞争性磋商（线上电子交易）方式进行。</w:t>
            </w:r>
          </w:p>
        </w:tc>
      </w:tr>
      <w:tr w14:paraId="153C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436A8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（三）</w:t>
            </w:r>
          </w:p>
        </w:tc>
        <w:tc>
          <w:tcPr>
            <w:tcW w:w="1701" w:type="dxa"/>
            <w:vAlign w:val="center"/>
          </w:tcPr>
          <w:p w14:paraId="625ABE98">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竞争性磋商委托</w:t>
            </w:r>
          </w:p>
        </w:tc>
        <w:tc>
          <w:tcPr>
            <w:tcW w:w="6663" w:type="dxa"/>
            <w:vAlign w:val="center"/>
          </w:tcPr>
          <w:p w14:paraId="4E4EA93B">
            <w:pPr>
              <w:adjustRightInd w:val="0"/>
              <w:snapToGrid w:val="0"/>
              <w:spacing w:line="288" w:lineRule="auto"/>
              <w:rPr>
                <w:rFonts w:hint="eastAsia"/>
                <w:color w:val="auto"/>
                <w:sz w:val="21"/>
                <w:szCs w:val="21"/>
                <w:highlight w:val="none"/>
              </w:rPr>
            </w:pPr>
            <w:r>
              <w:rPr>
                <w:rFonts w:hint="eastAsia"/>
                <w:color w:val="auto"/>
                <w:sz w:val="21"/>
                <w:szCs w:val="21"/>
                <w:highlight w:val="none"/>
              </w:rPr>
              <w:t>▲1.供应商代表是法定代表人（单位负责人、自然人本人）的，须提供本人身份证明。</w:t>
            </w:r>
          </w:p>
          <w:p w14:paraId="3ABF185F">
            <w:pPr>
              <w:adjustRightInd w:val="0"/>
              <w:snapToGrid w:val="0"/>
              <w:spacing w:line="288" w:lineRule="auto"/>
              <w:rPr>
                <w:rFonts w:hint="eastAsia"/>
                <w:color w:val="auto"/>
                <w:sz w:val="21"/>
                <w:szCs w:val="21"/>
                <w:highlight w:val="none"/>
              </w:rPr>
            </w:pPr>
            <w:r>
              <w:rPr>
                <w:rFonts w:hint="eastAsia"/>
                <w:color w:val="auto"/>
                <w:sz w:val="21"/>
                <w:szCs w:val="21"/>
                <w:highlight w:val="none"/>
              </w:rPr>
              <w:t>▲2.供应商代表不是法定代表人（单位负责人、自然人本人）的，须提供</w:t>
            </w:r>
            <w:r>
              <w:rPr>
                <w:rFonts w:hint="eastAsia"/>
                <w:bCs/>
                <w:color w:val="auto"/>
                <w:sz w:val="21"/>
                <w:szCs w:val="21"/>
                <w:highlight w:val="none"/>
              </w:rPr>
              <w:t>授权委托书</w:t>
            </w:r>
            <w:r>
              <w:rPr>
                <w:rFonts w:hint="eastAsia"/>
                <w:color w:val="auto"/>
                <w:sz w:val="21"/>
                <w:szCs w:val="21"/>
                <w:highlight w:val="none"/>
              </w:rPr>
              <w:t>（格式详见磋商文件第六章）和授权代表社保缴纳证明（2025年1月（含）以后任意一月）；</w:t>
            </w:r>
          </w:p>
          <w:p w14:paraId="5016C97B">
            <w:pPr>
              <w:adjustRightInd w:val="0"/>
              <w:snapToGrid w:val="0"/>
              <w:spacing w:line="288" w:lineRule="auto"/>
              <w:rPr>
                <w:rFonts w:hint="eastAsia"/>
                <w:color w:val="auto"/>
                <w:sz w:val="21"/>
                <w:szCs w:val="21"/>
                <w:highlight w:val="none"/>
              </w:rPr>
            </w:pPr>
            <w:r>
              <w:rPr>
                <w:rFonts w:hint="eastAsia"/>
                <w:color w:val="auto"/>
                <w:sz w:val="21"/>
                <w:szCs w:val="21"/>
                <w:highlight w:val="none"/>
              </w:rPr>
              <w:t>▲3.供应商委派不在本单位缴纳社保的人员作为授权代表的，应当在响应文件中，说明具体原因、授权代表缴纳社保的单位，并附列该授权代表缴纳社保清单。</w:t>
            </w:r>
          </w:p>
        </w:tc>
      </w:tr>
      <w:tr w14:paraId="393A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5A20A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（四）</w:t>
            </w:r>
          </w:p>
        </w:tc>
        <w:tc>
          <w:tcPr>
            <w:tcW w:w="1701" w:type="dxa"/>
            <w:vAlign w:val="center"/>
          </w:tcPr>
          <w:p w14:paraId="2DA3362E">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磋商费用</w:t>
            </w:r>
          </w:p>
        </w:tc>
        <w:tc>
          <w:tcPr>
            <w:tcW w:w="6663" w:type="dxa"/>
            <w:vAlign w:val="center"/>
          </w:tcPr>
          <w:p w14:paraId="69624D30">
            <w:pPr>
              <w:adjustRightInd w:val="0"/>
              <w:snapToGrid w:val="0"/>
              <w:spacing w:line="288" w:lineRule="auto"/>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7B381967">
            <w:pPr>
              <w:adjustRightInd w:val="0"/>
              <w:snapToGrid w:val="0"/>
              <w:spacing w:line="288" w:lineRule="auto"/>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323384FF">
            <w:pPr>
              <w:adjustRightInd w:val="0"/>
              <w:snapToGrid w:val="0"/>
              <w:spacing w:line="288" w:lineRule="auto"/>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7D81F8C9">
            <w:pPr>
              <w:adjustRightInd w:val="0"/>
              <w:snapToGrid w:val="0"/>
              <w:spacing w:line="288" w:lineRule="auto"/>
              <w:rPr>
                <w:rFonts w:hint="eastAsia"/>
                <w:color w:val="auto"/>
                <w:sz w:val="21"/>
                <w:szCs w:val="21"/>
                <w:highlight w:val="none"/>
              </w:rPr>
            </w:pPr>
            <w:bookmarkStart w:id="46" w:name="_Hlk71808378"/>
            <w:r>
              <w:rPr>
                <w:rFonts w:hint="eastAsia"/>
                <w:color w:val="auto"/>
                <w:sz w:val="21"/>
                <w:szCs w:val="21"/>
                <w:highlight w:val="none"/>
              </w:rPr>
              <w:t>4.代理服务费收费标准（差额累进）：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4349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E32222A">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64559BDE">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2C73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6138263">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657DF6D7">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1.05（不足叁仟按叁仟计取）</w:t>
                  </w:r>
                </w:p>
              </w:tc>
            </w:tr>
            <w:bookmarkEnd w:id="46"/>
          </w:tbl>
          <w:p w14:paraId="65DF0E76">
            <w:pPr>
              <w:adjustRightInd w:val="0"/>
              <w:snapToGrid w:val="0"/>
              <w:spacing w:line="288" w:lineRule="auto"/>
              <w:rPr>
                <w:rFonts w:hint="eastAsia"/>
                <w:color w:val="auto"/>
                <w:sz w:val="21"/>
                <w:szCs w:val="21"/>
                <w:highlight w:val="none"/>
              </w:rPr>
            </w:pPr>
          </w:p>
        </w:tc>
      </w:tr>
      <w:tr w14:paraId="6D27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90C44A">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（五）</w:t>
            </w:r>
          </w:p>
        </w:tc>
        <w:tc>
          <w:tcPr>
            <w:tcW w:w="1701" w:type="dxa"/>
            <w:vAlign w:val="center"/>
          </w:tcPr>
          <w:p w14:paraId="3EC701CE">
            <w:pPr>
              <w:adjustRightInd w:val="0"/>
              <w:snapToGrid w:val="0"/>
              <w:spacing w:line="288" w:lineRule="auto"/>
              <w:jc w:val="center"/>
              <w:rPr>
                <w:rFonts w:hint="eastAsia"/>
                <w:color w:val="auto"/>
                <w:sz w:val="21"/>
                <w:szCs w:val="21"/>
                <w:highlight w:val="none"/>
              </w:rPr>
            </w:pPr>
            <w:r>
              <w:rPr>
                <w:rFonts w:hint="eastAsia"/>
                <w:color w:val="auto"/>
                <w:spacing w:val="-6"/>
                <w:sz w:val="21"/>
                <w:szCs w:val="21"/>
                <w:highlight w:val="none"/>
              </w:rPr>
              <w:t>磋商保证金（元）</w:t>
            </w:r>
          </w:p>
        </w:tc>
        <w:tc>
          <w:tcPr>
            <w:tcW w:w="6663" w:type="dxa"/>
            <w:vAlign w:val="center"/>
          </w:tcPr>
          <w:p w14:paraId="739D1B24">
            <w:pPr>
              <w:adjustRightInd w:val="0"/>
              <w:snapToGrid w:val="0"/>
              <w:spacing w:line="288" w:lineRule="auto"/>
              <w:rPr>
                <w:rFonts w:hint="eastAsia"/>
                <w:color w:val="auto"/>
                <w:sz w:val="21"/>
                <w:szCs w:val="21"/>
                <w:highlight w:val="none"/>
              </w:rPr>
            </w:pPr>
            <w:r>
              <w:rPr>
                <w:rFonts w:hint="eastAsia"/>
                <w:color w:val="auto"/>
                <w:spacing w:val="-6"/>
                <w:sz w:val="21"/>
                <w:szCs w:val="21"/>
                <w:highlight w:val="none"/>
              </w:rPr>
              <w:t>无。</w:t>
            </w:r>
          </w:p>
        </w:tc>
      </w:tr>
      <w:tr w14:paraId="0105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527CCD">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（六）</w:t>
            </w:r>
          </w:p>
        </w:tc>
        <w:tc>
          <w:tcPr>
            <w:tcW w:w="1701" w:type="dxa"/>
            <w:vAlign w:val="center"/>
          </w:tcPr>
          <w:p w14:paraId="3B8A8EBA">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联合体响应</w:t>
            </w:r>
          </w:p>
        </w:tc>
        <w:tc>
          <w:tcPr>
            <w:tcW w:w="6663" w:type="dxa"/>
            <w:vAlign w:val="center"/>
          </w:tcPr>
          <w:p w14:paraId="4D924FA2">
            <w:pPr>
              <w:adjustRightInd w:val="0"/>
              <w:snapToGrid w:val="0"/>
              <w:spacing w:line="288" w:lineRule="auto"/>
              <w:rPr>
                <w:rFonts w:hint="eastAsia"/>
                <w:color w:val="auto"/>
                <w:sz w:val="21"/>
                <w:szCs w:val="21"/>
                <w:highlight w:val="none"/>
              </w:rPr>
            </w:pPr>
            <w:r>
              <w:rPr>
                <w:rFonts w:hint="eastAsia"/>
                <w:color w:val="auto"/>
                <w:sz w:val="21"/>
                <w:szCs w:val="21"/>
                <w:highlight w:val="none"/>
              </w:rPr>
              <w:t>本项目（是）接受联合体响应。</w:t>
            </w:r>
          </w:p>
        </w:tc>
      </w:tr>
      <w:tr w14:paraId="6682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97FA8FC">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（七）</w:t>
            </w:r>
          </w:p>
        </w:tc>
        <w:tc>
          <w:tcPr>
            <w:tcW w:w="1701" w:type="dxa"/>
            <w:vAlign w:val="center"/>
          </w:tcPr>
          <w:p w14:paraId="1182C143">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转包与分包</w:t>
            </w:r>
          </w:p>
        </w:tc>
        <w:tc>
          <w:tcPr>
            <w:tcW w:w="6663" w:type="dxa"/>
            <w:vAlign w:val="center"/>
          </w:tcPr>
          <w:p w14:paraId="603CF3FD">
            <w:pPr>
              <w:adjustRightInd w:val="0"/>
              <w:snapToGrid w:val="0"/>
              <w:spacing w:line="288" w:lineRule="auto"/>
              <w:rPr>
                <w:rFonts w:hint="eastAsia"/>
                <w:color w:val="auto"/>
                <w:sz w:val="21"/>
                <w:szCs w:val="21"/>
                <w:highlight w:val="none"/>
              </w:rPr>
            </w:pPr>
            <w:r>
              <w:rPr>
                <w:rFonts w:hint="eastAsia"/>
                <w:color w:val="auto"/>
                <w:sz w:val="21"/>
                <w:szCs w:val="21"/>
                <w:highlight w:val="none"/>
              </w:rPr>
              <w:t>1.本项目不允许转包；</w:t>
            </w:r>
          </w:p>
          <w:p w14:paraId="1D692A26">
            <w:pPr>
              <w:adjustRightInd w:val="0"/>
              <w:snapToGrid w:val="0"/>
              <w:spacing w:line="288" w:lineRule="auto"/>
              <w:rPr>
                <w:rFonts w:hint="eastAsia"/>
                <w:color w:val="auto"/>
                <w:sz w:val="21"/>
                <w:szCs w:val="21"/>
                <w:highlight w:val="none"/>
              </w:rPr>
            </w:pPr>
            <w:r>
              <w:rPr>
                <w:rFonts w:hint="eastAsia"/>
                <w:color w:val="auto"/>
                <w:sz w:val="21"/>
                <w:szCs w:val="21"/>
                <w:highlight w:val="none"/>
              </w:rPr>
              <w:t>2.本项目</w:t>
            </w:r>
            <w:r>
              <w:rPr>
                <w:rFonts w:hint="eastAsia"/>
                <w:b/>
                <w:bCs/>
                <w:color w:val="auto"/>
                <w:sz w:val="21"/>
                <w:szCs w:val="21"/>
                <w:highlight w:val="none"/>
                <w:u w:val="single"/>
              </w:rPr>
              <w:t>不允许</w:t>
            </w:r>
            <w:r>
              <w:rPr>
                <w:rFonts w:hint="eastAsia"/>
                <w:color w:val="auto"/>
                <w:sz w:val="21"/>
                <w:szCs w:val="21"/>
                <w:highlight w:val="none"/>
              </w:rPr>
              <w:t>分包，不适宜分包的理由是：</w:t>
            </w:r>
            <w:r>
              <w:rPr>
                <w:rFonts w:hint="eastAsia"/>
                <w:color w:val="auto"/>
                <w:sz w:val="21"/>
                <w:szCs w:val="21"/>
                <w:highlight w:val="none"/>
                <w:u w:val="single"/>
              </w:rPr>
              <w:t xml:space="preserve">  本项目是一个完整信息化项目，涉及到钉钉云平台的系统维护、技术支持、宜搭专属版的配置、钉钉定制服务等多个方面，需要供应商具备整体解决方案的能力和经验。由于各部分之间存在紧密的技术关联和业务逻辑协同，分包可能导致技术标准不一致、数据安全风险增加、服务响应延迟以及责任划分不清晰等问题，从而影响系统的整体性能和稳定性。此外，学校需要供应商对整个项目提供统一的技术支持和售后服务，确保系统的安全性和可靠性，因此本项目不适宜分包 。</w:t>
            </w:r>
          </w:p>
        </w:tc>
      </w:tr>
      <w:tr w14:paraId="593F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CBD0DD0">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（八）</w:t>
            </w:r>
          </w:p>
        </w:tc>
        <w:tc>
          <w:tcPr>
            <w:tcW w:w="1701" w:type="dxa"/>
            <w:vAlign w:val="center"/>
          </w:tcPr>
          <w:p w14:paraId="3BC7B64F">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信用记录</w:t>
            </w:r>
          </w:p>
        </w:tc>
        <w:tc>
          <w:tcPr>
            <w:tcW w:w="6663" w:type="dxa"/>
            <w:vAlign w:val="center"/>
          </w:tcPr>
          <w:p w14:paraId="77A9D50E">
            <w:pPr>
              <w:adjustRightInd w:val="0"/>
              <w:snapToGrid w:val="0"/>
              <w:spacing w:line="288" w:lineRule="auto"/>
              <w:rPr>
                <w:rFonts w:hint="eastAsia"/>
                <w:bCs/>
                <w:color w:val="auto"/>
                <w:sz w:val="21"/>
                <w:szCs w:val="21"/>
                <w:highlight w:val="none"/>
              </w:rPr>
            </w:pPr>
            <w:bookmarkStart w:id="47" w:name="_Hlk71808489"/>
            <w:r>
              <w:rPr>
                <w:rFonts w:hint="eastAsia"/>
                <w:bCs/>
                <w:color w:val="auto"/>
                <w:sz w:val="21"/>
                <w:szCs w:val="21"/>
                <w:highlight w:val="none"/>
              </w:rPr>
              <w:t>根据财库[2016]125号《关于在政府采购活动中查询及使用信用记录有关问题的通知》要求，采购代理机构会对供应商信用记录进行查询并甄别。信用</w:t>
            </w:r>
            <w:r>
              <w:rPr>
                <w:rFonts w:hint="eastAsia"/>
                <w:color w:val="auto"/>
                <w:sz w:val="21"/>
                <w:szCs w:val="21"/>
                <w:highlight w:val="none"/>
              </w:rPr>
              <w:t>信息查询的截止时点：响应截止时间；</w:t>
            </w:r>
          </w:p>
          <w:p w14:paraId="495F6A8E">
            <w:pPr>
              <w:adjustRightInd w:val="0"/>
              <w:snapToGrid w:val="0"/>
              <w:spacing w:line="288" w:lineRule="auto"/>
              <w:rPr>
                <w:rFonts w:hint="eastAsia"/>
                <w:color w:val="auto"/>
                <w:sz w:val="21"/>
                <w:szCs w:val="21"/>
                <w:highlight w:val="none"/>
              </w:rPr>
            </w:pPr>
            <w:r>
              <w:rPr>
                <w:rFonts w:hint="eastAsia"/>
                <w:color w:val="auto"/>
                <w:sz w:val="21"/>
                <w:szCs w:val="21"/>
                <w:highlight w:val="none"/>
              </w:rPr>
              <w:t>（1）查询渠道：“信用中国”（www.creditchina.gov.cn）、“中国政府采购网”（www.ccgp.gov.cn）；</w:t>
            </w:r>
          </w:p>
          <w:p w14:paraId="6C8795C9">
            <w:pPr>
              <w:adjustRightInd w:val="0"/>
              <w:snapToGrid w:val="0"/>
              <w:spacing w:line="288" w:lineRule="auto"/>
              <w:rPr>
                <w:rFonts w:hint="eastAsia"/>
                <w:color w:val="auto"/>
                <w:sz w:val="21"/>
                <w:szCs w:val="21"/>
                <w:highlight w:val="none"/>
              </w:rPr>
            </w:pPr>
            <w:r>
              <w:rPr>
                <w:rFonts w:hint="eastAsia"/>
                <w:color w:val="auto"/>
                <w:sz w:val="21"/>
                <w:szCs w:val="21"/>
                <w:highlight w:val="none"/>
              </w:rPr>
              <w:t>（2）信用信息查询记录和证据留存具体方式：采购代理机构经办人和监督人员将查询网页打印、签名与其他采购文件一并保存；</w:t>
            </w:r>
          </w:p>
          <w:p w14:paraId="288A35CF">
            <w:pPr>
              <w:adjustRightInd w:val="0"/>
              <w:snapToGrid w:val="0"/>
              <w:spacing w:line="288" w:lineRule="auto"/>
              <w:rPr>
                <w:rFonts w:hint="eastAsia"/>
                <w:color w:val="auto"/>
                <w:sz w:val="21"/>
                <w:szCs w:val="21"/>
                <w:highlight w:val="none"/>
              </w:rPr>
            </w:pPr>
            <w:r>
              <w:rPr>
                <w:rFonts w:hint="eastAsia"/>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bookmarkEnd w:id="47"/>
          </w:p>
        </w:tc>
      </w:tr>
      <w:tr w14:paraId="464CB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3168FD3">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（九）</w:t>
            </w:r>
          </w:p>
        </w:tc>
        <w:tc>
          <w:tcPr>
            <w:tcW w:w="1701" w:type="dxa"/>
            <w:vAlign w:val="center"/>
          </w:tcPr>
          <w:p w14:paraId="73987887">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资格审查要求的资格证明材料</w:t>
            </w:r>
          </w:p>
        </w:tc>
        <w:tc>
          <w:tcPr>
            <w:tcW w:w="6663" w:type="dxa"/>
            <w:vAlign w:val="center"/>
          </w:tcPr>
          <w:p w14:paraId="3B54BBF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资格审查要求的资格证明材料（均需加盖公章）：</w:t>
            </w:r>
          </w:p>
          <w:p w14:paraId="3CBAF1C8">
            <w:pPr>
              <w:adjustRightInd w:val="0"/>
              <w:snapToGrid w:val="0"/>
              <w:spacing w:line="288" w:lineRule="auto"/>
              <w:rPr>
                <w:rFonts w:hint="eastAsia"/>
                <w:color w:val="auto"/>
                <w:sz w:val="21"/>
                <w:szCs w:val="21"/>
                <w:highlight w:val="none"/>
              </w:rPr>
            </w:pPr>
            <w:r>
              <w:rPr>
                <w:rFonts w:hint="eastAsia"/>
                <w:color w:val="auto"/>
                <w:sz w:val="21"/>
                <w:szCs w:val="21"/>
                <w:highlight w:val="none"/>
              </w:rPr>
              <w:t>（1）有效的法人或者其他组织的营业执照等证明文件，自然人的身份证明</w:t>
            </w:r>
          </w:p>
          <w:p w14:paraId="6ADA4857">
            <w:pPr>
              <w:adjustRightInd w:val="0"/>
              <w:snapToGrid w:val="0"/>
              <w:spacing w:line="288" w:lineRule="auto"/>
              <w:rPr>
                <w:rFonts w:hint="eastAsia"/>
                <w:color w:val="auto"/>
                <w:sz w:val="21"/>
                <w:szCs w:val="21"/>
                <w:highlight w:val="none"/>
              </w:rPr>
            </w:pPr>
            <w:r>
              <w:rPr>
                <w:rFonts w:hint="eastAsia"/>
                <w:color w:val="auto"/>
                <w:sz w:val="21"/>
                <w:szCs w:val="21"/>
                <w:highlight w:val="none"/>
              </w:rPr>
              <w:t>（2）符合参加政府采购活动应当具备的一般条件的承诺函</w:t>
            </w:r>
          </w:p>
          <w:p w14:paraId="531624C5">
            <w:pPr>
              <w:adjustRightInd w:val="0"/>
              <w:snapToGrid w:val="0"/>
              <w:spacing w:line="288" w:lineRule="auto"/>
              <w:rPr>
                <w:rFonts w:hint="eastAsia"/>
                <w:color w:val="auto"/>
                <w:sz w:val="21"/>
                <w:szCs w:val="21"/>
                <w:highlight w:val="none"/>
              </w:rPr>
            </w:pPr>
            <w:r>
              <w:rPr>
                <w:rFonts w:hint="eastAsia"/>
                <w:color w:val="auto"/>
                <w:sz w:val="21"/>
                <w:szCs w:val="21"/>
                <w:highlight w:val="none"/>
              </w:rPr>
              <w:t>（3）落实政府采购政策需满足的资格要求：</w:t>
            </w:r>
          </w:p>
          <w:p w14:paraId="138D7A74">
            <w:pPr>
              <w:adjustRightInd w:val="0"/>
              <w:snapToGrid w:val="0"/>
              <w:spacing w:line="288" w:lineRule="auto"/>
              <w:ind w:left="480" w:leftChars="200"/>
              <w:rPr>
                <w:rFonts w:hint="eastAsia"/>
                <w:color w:val="auto"/>
                <w:sz w:val="21"/>
                <w:szCs w:val="21"/>
                <w:highlight w:val="none"/>
              </w:rPr>
            </w:pPr>
            <w:r>
              <w:rPr>
                <w:rFonts w:hint="eastAsia"/>
                <w:color w:val="auto"/>
                <w:sz w:val="21"/>
                <w:szCs w:val="21"/>
                <w:highlight w:val="none"/>
              </w:rPr>
              <w:t>中小企业声明函（若属于中小企业）</w:t>
            </w:r>
          </w:p>
          <w:p w14:paraId="359F624C">
            <w:pPr>
              <w:adjustRightInd w:val="0"/>
              <w:snapToGrid w:val="0"/>
              <w:spacing w:line="288" w:lineRule="auto"/>
              <w:ind w:left="480" w:leftChars="200"/>
              <w:rPr>
                <w:rFonts w:hint="eastAsia"/>
                <w:color w:val="auto"/>
                <w:sz w:val="21"/>
                <w:szCs w:val="21"/>
                <w:highlight w:val="none"/>
              </w:rPr>
            </w:pPr>
            <w:r>
              <w:rPr>
                <w:rFonts w:hint="eastAsia"/>
                <w:color w:val="auto"/>
                <w:sz w:val="21"/>
                <w:szCs w:val="21"/>
                <w:highlight w:val="none"/>
              </w:rPr>
              <w:t>属于监狱企业的证明文件（若属于监狱企业）</w:t>
            </w:r>
          </w:p>
          <w:p w14:paraId="3E8AD341">
            <w:pPr>
              <w:adjustRightInd w:val="0"/>
              <w:snapToGrid w:val="0"/>
              <w:spacing w:line="288" w:lineRule="auto"/>
              <w:ind w:left="480" w:leftChars="200"/>
              <w:rPr>
                <w:rFonts w:hint="eastAsia"/>
                <w:color w:val="auto"/>
                <w:sz w:val="21"/>
                <w:szCs w:val="21"/>
                <w:highlight w:val="none"/>
              </w:rPr>
            </w:pPr>
            <w:r>
              <w:rPr>
                <w:rFonts w:hint="eastAsia"/>
                <w:color w:val="auto"/>
                <w:sz w:val="21"/>
                <w:szCs w:val="21"/>
                <w:highlight w:val="none"/>
              </w:rPr>
              <w:t>残疾人福利性单位声明函（若属于残疾人福利性单位）</w:t>
            </w:r>
          </w:p>
          <w:p w14:paraId="6ED72FB0">
            <w:pPr>
              <w:numPr>
                <w:ilvl w:val="0"/>
                <w:numId w:val="2"/>
              </w:numPr>
              <w:adjustRightInd w:val="0"/>
              <w:snapToGrid w:val="0"/>
              <w:spacing w:line="288" w:lineRule="auto"/>
              <w:rPr>
                <w:rFonts w:hint="eastAsia"/>
                <w:color w:val="auto"/>
                <w:sz w:val="21"/>
                <w:szCs w:val="21"/>
                <w:highlight w:val="none"/>
              </w:rPr>
            </w:pPr>
            <w:r>
              <w:rPr>
                <w:rFonts w:hint="eastAsia"/>
                <w:color w:val="auto"/>
                <w:sz w:val="21"/>
                <w:szCs w:val="21"/>
                <w:highlight w:val="none"/>
              </w:rPr>
              <w:t>本项目的特定资格要求证明材料：无</w:t>
            </w:r>
          </w:p>
          <w:p w14:paraId="504D734A">
            <w:pPr>
              <w:numPr>
                <w:ilvl w:val="0"/>
                <w:numId w:val="2"/>
              </w:numPr>
              <w:adjustRightInd w:val="0"/>
              <w:snapToGrid w:val="0"/>
              <w:spacing w:line="288" w:lineRule="auto"/>
              <w:rPr>
                <w:rFonts w:hint="eastAsia"/>
                <w:color w:val="auto"/>
                <w:sz w:val="21"/>
                <w:szCs w:val="21"/>
                <w:highlight w:val="none"/>
              </w:rPr>
            </w:pPr>
            <w:r>
              <w:rPr>
                <w:rFonts w:hint="eastAsia"/>
                <w:color w:val="auto"/>
                <w:sz w:val="21"/>
                <w:szCs w:val="21"/>
                <w:highlight w:val="none"/>
              </w:rPr>
              <w:t>联合协议</w:t>
            </w:r>
          </w:p>
        </w:tc>
      </w:tr>
      <w:tr w14:paraId="313A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9113BCC">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w:t>
            </w:r>
          </w:p>
        </w:tc>
        <w:tc>
          <w:tcPr>
            <w:tcW w:w="1701" w:type="dxa"/>
            <w:vAlign w:val="center"/>
          </w:tcPr>
          <w:p w14:paraId="752FA599">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响应文件份数</w:t>
            </w:r>
          </w:p>
        </w:tc>
        <w:tc>
          <w:tcPr>
            <w:tcW w:w="6663" w:type="dxa"/>
            <w:vAlign w:val="center"/>
          </w:tcPr>
          <w:p w14:paraId="3FF0CA08">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13835AAB">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tc>
      </w:tr>
      <w:tr w14:paraId="394D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A93A92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（十一）</w:t>
            </w:r>
          </w:p>
        </w:tc>
        <w:tc>
          <w:tcPr>
            <w:tcW w:w="1701" w:type="dxa"/>
            <w:vAlign w:val="center"/>
          </w:tcPr>
          <w:p w14:paraId="2DCCA6FE">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磋商报价</w:t>
            </w:r>
          </w:p>
        </w:tc>
        <w:tc>
          <w:tcPr>
            <w:tcW w:w="6663" w:type="dxa"/>
            <w:vAlign w:val="center"/>
          </w:tcPr>
          <w:p w14:paraId="1F2F1ABE">
            <w:pPr>
              <w:adjustRightInd w:val="0"/>
              <w:snapToGrid w:val="0"/>
              <w:spacing w:line="288" w:lineRule="auto"/>
              <w:rPr>
                <w:rFonts w:hint="eastAsia"/>
                <w:color w:val="auto"/>
                <w:sz w:val="21"/>
                <w:szCs w:val="21"/>
                <w:highlight w:val="none"/>
              </w:rPr>
            </w:pPr>
            <w:r>
              <w:rPr>
                <w:rFonts w:hint="eastAsia"/>
                <w:color w:val="auto"/>
                <w:sz w:val="21"/>
                <w:szCs w:val="21"/>
                <w:highlight w:val="none"/>
              </w:rPr>
              <w:t>1.报价应按磋商文件要求的格式编制、填写报价内容（可自行增行），未按磋商文件要求编制、填写的响应文件可能被拒绝；</w:t>
            </w:r>
          </w:p>
          <w:p w14:paraId="6D21B4E6">
            <w:pPr>
              <w:adjustRightInd w:val="0"/>
              <w:snapToGrid w:val="0"/>
              <w:spacing w:line="288" w:lineRule="auto"/>
              <w:rPr>
                <w:rFonts w:hint="eastAsia"/>
                <w:color w:val="auto"/>
                <w:sz w:val="21"/>
                <w:szCs w:val="21"/>
                <w:highlight w:val="none"/>
              </w:rPr>
            </w:pPr>
            <w:r>
              <w:rPr>
                <w:rFonts w:hint="eastAsia"/>
                <w:color w:val="auto"/>
                <w:sz w:val="21"/>
                <w:szCs w:val="21"/>
                <w:highlight w:val="none"/>
              </w:rPr>
              <w:t>2.本次磋商采用人民币报价；</w:t>
            </w:r>
          </w:p>
          <w:p w14:paraId="4125DF81">
            <w:pPr>
              <w:adjustRightInd w:val="0"/>
              <w:snapToGrid w:val="0"/>
              <w:spacing w:line="288" w:lineRule="auto"/>
              <w:rPr>
                <w:rFonts w:hint="eastAsia"/>
                <w:color w:val="auto"/>
                <w:sz w:val="21"/>
                <w:szCs w:val="21"/>
                <w:highlight w:val="none"/>
              </w:rPr>
            </w:pPr>
            <w:r>
              <w:rPr>
                <w:rFonts w:hint="eastAsia"/>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64FC2CC1">
            <w:pPr>
              <w:adjustRightInd w:val="0"/>
              <w:snapToGrid w:val="0"/>
              <w:spacing w:line="288" w:lineRule="auto"/>
              <w:rPr>
                <w:rFonts w:hint="eastAsia"/>
                <w:color w:val="auto"/>
                <w:sz w:val="21"/>
                <w:szCs w:val="21"/>
                <w:highlight w:val="none"/>
              </w:rPr>
            </w:pPr>
            <w:r>
              <w:rPr>
                <w:rFonts w:hint="eastAsia"/>
                <w:color w:val="auto"/>
                <w:sz w:val="21"/>
                <w:szCs w:val="21"/>
                <w:highlight w:val="none"/>
              </w:rPr>
              <w:t>▲4.采购人将以合同形式有偿取得货物、工程和服务，不接受供应商给予的赠品、回扣或者与采购无关的其他商品、服务。</w:t>
            </w:r>
          </w:p>
        </w:tc>
      </w:tr>
      <w:tr w14:paraId="6156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BAE2A6A">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（十二）</w:t>
            </w:r>
          </w:p>
        </w:tc>
        <w:tc>
          <w:tcPr>
            <w:tcW w:w="1701" w:type="dxa"/>
            <w:vAlign w:val="center"/>
          </w:tcPr>
          <w:p w14:paraId="639E26BB">
            <w:pPr>
              <w:adjustRightInd w:val="0"/>
              <w:snapToGrid w:val="0"/>
              <w:spacing w:line="288" w:lineRule="auto"/>
              <w:jc w:val="center"/>
              <w:rPr>
                <w:rFonts w:hint="eastAsia"/>
                <w:color w:val="auto"/>
                <w:sz w:val="21"/>
                <w:szCs w:val="21"/>
                <w:highlight w:val="none"/>
              </w:rPr>
            </w:pPr>
            <w:r>
              <w:rPr>
                <w:rFonts w:hint="eastAsia"/>
                <w:b/>
                <w:bCs/>
                <w:color w:val="auto"/>
                <w:sz w:val="21"/>
                <w:szCs w:val="21"/>
                <w:highlight w:val="none"/>
              </w:rPr>
              <w:t>响应有效期</w:t>
            </w:r>
          </w:p>
        </w:tc>
        <w:tc>
          <w:tcPr>
            <w:tcW w:w="6663" w:type="dxa"/>
            <w:vAlign w:val="center"/>
          </w:tcPr>
          <w:p w14:paraId="4540C872">
            <w:pPr>
              <w:adjustRightInd w:val="0"/>
              <w:snapToGrid w:val="0"/>
              <w:spacing w:line="288" w:lineRule="auto"/>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tc>
      </w:tr>
      <w:tr w14:paraId="0AA3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48D6C69">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（十三）</w:t>
            </w:r>
          </w:p>
        </w:tc>
        <w:tc>
          <w:tcPr>
            <w:tcW w:w="1701" w:type="dxa"/>
            <w:vAlign w:val="center"/>
          </w:tcPr>
          <w:p w14:paraId="5084D8A7">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评审方法和评审标准</w:t>
            </w:r>
          </w:p>
        </w:tc>
        <w:tc>
          <w:tcPr>
            <w:tcW w:w="6663" w:type="dxa"/>
            <w:vAlign w:val="center"/>
          </w:tcPr>
          <w:p w14:paraId="137856B6">
            <w:pPr>
              <w:adjustRightInd w:val="0"/>
              <w:snapToGrid w:val="0"/>
              <w:spacing w:line="288" w:lineRule="auto"/>
              <w:rPr>
                <w:rFonts w:hint="eastAsia"/>
                <w:color w:val="auto"/>
                <w:sz w:val="21"/>
                <w:szCs w:val="21"/>
                <w:highlight w:val="none"/>
              </w:rPr>
            </w:pPr>
            <w:r>
              <w:rPr>
                <w:rFonts w:hint="eastAsia"/>
                <w:color w:val="auto"/>
                <w:sz w:val="21"/>
                <w:szCs w:val="21"/>
                <w:highlight w:val="none"/>
              </w:rPr>
              <w:t>详见“第四章  评审方法和评审标准”。</w:t>
            </w:r>
          </w:p>
        </w:tc>
      </w:tr>
      <w:tr w14:paraId="258B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0E1792">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（十四）</w:t>
            </w:r>
          </w:p>
        </w:tc>
        <w:tc>
          <w:tcPr>
            <w:tcW w:w="1701" w:type="dxa"/>
            <w:vAlign w:val="center"/>
          </w:tcPr>
          <w:p w14:paraId="78AB0145">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评审结果公示</w:t>
            </w:r>
          </w:p>
        </w:tc>
        <w:tc>
          <w:tcPr>
            <w:tcW w:w="6663" w:type="dxa"/>
            <w:vAlign w:val="center"/>
          </w:tcPr>
          <w:p w14:paraId="535CADF9">
            <w:pPr>
              <w:adjustRightInd w:val="0"/>
              <w:snapToGrid w:val="0"/>
              <w:spacing w:line="288" w:lineRule="auto"/>
              <w:rPr>
                <w:rFonts w:hint="eastAsia"/>
                <w:color w:val="auto"/>
                <w:sz w:val="21"/>
                <w:szCs w:val="21"/>
                <w:highlight w:val="none"/>
              </w:rPr>
            </w:pPr>
            <w:r>
              <w:rPr>
                <w:rFonts w:hint="eastAsia"/>
                <w:color w:val="auto"/>
                <w:sz w:val="21"/>
                <w:szCs w:val="21"/>
                <w:highlight w:val="none"/>
              </w:rPr>
              <w:t>评审结果公示媒体：浙江政府采购网（http://zfcg.czt.zj.gov.cn）。</w:t>
            </w:r>
          </w:p>
        </w:tc>
      </w:tr>
      <w:tr w14:paraId="6F8A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418291A">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（十五）</w:t>
            </w:r>
          </w:p>
        </w:tc>
        <w:tc>
          <w:tcPr>
            <w:tcW w:w="1701" w:type="dxa"/>
            <w:vAlign w:val="center"/>
          </w:tcPr>
          <w:p w14:paraId="0DEDC1CF">
            <w:pPr>
              <w:adjustRightInd w:val="0"/>
              <w:snapToGrid w:val="0"/>
              <w:spacing w:line="288" w:lineRule="auto"/>
              <w:jc w:val="center"/>
              <w:rPr>
                <w:rFonts w:hint="eastAsia"/>
                <w:color w:val="auto"/>
                <w:sz w:val="21"/>
                <w:szCs w:val="21"/>
                <w:highlight w:val="none"/>
              </w:rPr>
            </w:pPr>
            <w:r>
              <w:rPr>
                <w:rFonts w:hint="eastAsia"/>
                <w:color w:val="auto"/>
                <w:sz w:val="21"/>
                <w:szCs w:val="21"/>
                <w:highlight w:val="none"/>
              </w:rPr>
              <w:t>签订合同</w:t>
            </w:r>
          </w:p>
        </w:tc>
        <w:tc>
          <w:tcPr>
            <w:tcW w:w="6663" w:type="dxa"/>
            <w:vAlign w:val="center"/>
          </w:tcPr>
          <w:p w14:paraId="7530E33C">
            <w:pPr>
              <w:adjustRightInd w:val="0"/>
              <w:snapToGrid w:val="0"/>
              <w:spacing w:line="288" w:lineRule="auto"/>
              <w:rPr>
                <w:rFonts w:hint="eastAsia"/>
                <w:color w:val="auto"/>
                <w:sz w:val="21"/>
                <w:szCs w:val="21"/>
                <w:highlight w:val="none"/>
              </w:rPr>
            </w:pPr>
            <w:r>
              <w:rPr>
                <w:rFonts w:hint="eastAsia"/>
                <w:color w:val="auto"/>
                <w:sz w:val="21"/>
                <w:szCs w:val="21"/>
                <w:highlight w:val="none"/>
              </w:rPr>
              <w:t>成交通知书发出之日起30日内。</w:t>
            </w:r>
          </w:p>
        </w:tc>
      </w:tr>
    </w:tbl>
    <w:p w14:paraId="2BC8E8FE">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59F24A0">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一、总则</w:t>
      </w:r>
    </w:p>
    <w:p w14:paraId="554CEB7C">
      <w:pPr>
        <w:adjustRightInd w:val="0"/>
        <w:snapToGrid w:val="0"/>
        <w:spacing w:line="288" w:lineRule="auto"/>
        <w:ind w:firstLine="420" w:firstLineChars="200"/>
        <w:rPr>
          <w:rFonts w:hint="eastAsia"/>
          <w:color w:val="auto"/>
          <w:sz w:val="21"/>
          <w:szCs w:val="21"/>
          <w:highlight w:val="none"/>
        </w:rPr>
      </w:pPr>
      <w:bookmarkStart w:id="48" w:name="_Hlk97039780"/>
      <w:r>
        <w:rPr>
          <w:rFonts w:hint="eastAsia"/>
          <w:color w:val="auto"/>
          <w:sz w:val="21"/>
          <w:szCs w:val="21"/>
          <w:highlight w:val="none"/>
        </w:rPr>
        <w:t>供应商应仔细阅读磋商文件的所有内容，按照磋商文件的要求提交响应文件，并对所提供的全部资料的真实性承担法律责任。</w:t>
      </w:r>
    </w:p>
    <w:bookmarkEnd w:id="48"/>
    <w:p w14:paraId="02F2DA5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（一）适用范围</w:t>
      </w:r>
    </w:p>
    <w:p w14:paraId="39AE79A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本磋商文件适用于浙江交通职业技术学院交院钉运维项目的磋商、评审、成交、验收、合同履约、付款等（法律、法规另有规定的，从其规定）。</w:t>
      </w:r>
    </w:p>
    <w:p w14:paraId="757E74F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（二）定义</w:t>
      </w:r>
    </w:p>
    <w:p w14:paraId="0F59B1B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1.“采购人”系指浙江交通职业技术学院；</w:t>
      </w:r>
    </w:p>
    <w:p w14:paraId="7F02D9A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2.“采购代理机构”系指组织本次竞争性磋商的浙江求是招标代理有限公司；</w:t>
      </w:r>
    </w:p>
    <w:p w14:paraId="2B6482E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3.“供应商”系指响应磋商、参加竞争的法人、其他组织或者自然人；</w:t>
      </w:r>
    </w:p>
    <w:p w14:paraId="49FFC53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4.“书面形式”包括合同书、信件和数据电文(包括电报、电传、传真、电子数据交换和电子邮件)等可以有形地表现所载内容的形式；</w:t>
      </w:r>
    </w:p>
    <w:p w14:paraId="743CD5BE">
      <w:pPr>
        <w:adjustRightInd w:val="0"/>
        <w:snapToGrid w:val="0"/>
        <w:spacing w:line="288" w:lineRule="auto"/>
        <w:ind w:firstLine="420" w:firstLineChars="200"/>
        <w:rPr>
          <w:rFonts w:hint="eastAsia" w:cs="Times New Roman"/>
          <w:color w:val="auto"/>
          <w:sz w:val="21"/>
          <w:szCs w:val="21"/>
          <w:highlight w:val="none"/>
        </w:rPr>
      </w:pPr>
      <w:bookmarkStart w:id="49" w:name="_Hlk97039762"/>
      <w:r>
        <w:rPr>
          <w:rFonts w:hint="eastAsia"/>
          <w:color w:val="auto"/>
          <w:sz w:val="21"/>
          <w:szCs w:val="21"/>
          <w:highlight w:val="none"/>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color w:val="auto"/>
          <w:sz w:val="21"/>
          <w:szCs w:val="21"/>
          <w:highlight w:val="none"/>
        </w:rPr>
        <w:t>“电子签名”系指数据电文中以电子形式所含、所附用于识别签名人身份并表明签名人认可其中内容的数据；</w:t>
      </w:r>
      <w:r>
        <w:rPr>
          <w:rFonts w:hint="eastAsia" w:cs="Times New Roman"/>
          <w:color w:val="auto"/>
          <w:sz w:val="21"/>
          <w:szCs w:val="21"/>
          <w:highlight w:val="none"/>
        </w:rPr>
        <w:t>“公章”系指单位法定名称章。因特殊原因需要使用冠以法定名称的业务专用章的，响应时须提供《业务专用章使用说明函》（附件1）。</w:t>
      </w:r>
    </w:p>
    <w:p w14:paraId="5CE0DE45">
      <w:pP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磋商文件对响应文件签署、盖章的要求适用于电子签名。</w:t>
      </w:r>
    </w:p>
    <w:bookmarkEnd w:id="49"/>
    <w:p w14:paraId="39BBEDD6">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6</w:t>
      </w:r>
      <w:r>
        <w:rPr>
          <w:rFonts w:hint="eastAsia"/>
          <w:color w:val="auto"/>
          <w:sz w:val="21"/>
          <w:szCs w:val="21"/>
          <w:highlight w:val="none"/>
        </w:rPr>
        <w:t>.“▲”系指实质性要求条款，供应商应当做出实质性响应。</w:t>
      </w:r>
    </w:p>
    <w:p w14:paraId="799FEC60">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（三）采购方式</w:t>
      </w:r>
    </w:p>
    <w:p w14:paraId="073C239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本次采购采用竞争性磋商（线上电子交易）方式进行。</w:t>
      </w:r>
    </w:p>
    <w:p w14:paraId="292D8C41">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（四）竞争性磋商委托</w:t>
      </w:r>
    </w:p>
    <w:p w14:paraId="536A68E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1.供应商代表是法定代表人（单位负责人、自然人本人）的，须提供本人身份证明。</w:t>
      </w:r>
    </w:p>
    <w:p w14:paraId="3446AD0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2.供应商代表不是法定代表人（单位负责人、自然人本人）的，须提供授权委托书（格式详见磋商文件第六章）</w:t>
      </w:r>
      <w:r>
        <w:rPr>
          <w:rFonts w:hint="eastAsia"/>
          <w:color w:val="auto"/>
          <w:sz w:val="21"/>
          <w:szCs w:val="21"/>
          <w:highlight w:val="none"/>
        </w:rPr>
        <w:t>和授权代表社保缴纳证明（2025年1月（含）</w:t>
      </w:r>
      <w:r>
        <w:rPr>
          <w:color w:val="auto"/>
          <w:sz w:val="21"/>
          <w:szCs w:val="21"/>
          <w:highlight w:val="none"/>
        </w:rPr>
        <w:t>以后任意一月）；</w:t>
      </w:r>
    </w:p>
    <w:p w14:paraId="1669845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3.供应商委派不在本单位缴纳社保的人员作为授权代表的，应当在响应文件中，说明具体原因、授权代表缴纳社保的单位，并附列该授权代表缴纳社保清单。</w:t>
      </w:r>
    </w:p>
    <w:p w14:paraId="6907F04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（五）磋商费用</w:t>
      </w:r>
    </w:p>
    <w:p w14:paraId="70999D5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1.不论磋商结果如何，供应商均应自行承担所有与磋商有关的全部费用；</w:t>
      </w:r>
    </w:p>
    <w:p w14:paraId="50372D9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2.成交供应商在成交通知书发出之日起七个工作日内，向采购代理机构交纳代理服务费；</w:t>
      </w:r>
    </w:p>
    <w:p w14:paraId="6FDCB8D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01AD13A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w:t>
      </w:r>
      <w:r>
        <w:rPr>
          <w:color w:val="auto"/>
          <w:sz w:val="21"/>
          <w:szCs w:val="21"/>
          <w:highlight w:val="none"/>
        </w:rPr>
        <w:t>.</w:t>
      </w:r>
      <w:r>
        <w:rPr>
          <w:rFonts w:hint="eastAsia"/>
          <w:color w:val="auto"/>
          <w:sz w:val="21"/>
          <w:szCs w:val="21"/>
          <w:highlight w:val="none"/>
        </w:rPr>
        <w:t>代理服务费收费标准（差额累进）：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14:paraId="071C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67D718C6">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成交金额（万元）</w:t>
            </w:r>
          </w:p>
        </w:tc>
        <w:tc>
          <w:tcPr>
            <w:tcW w:w="2338" w:type="dxa"/>
            <w:vAlign w:val="center"/>
          </w:tcPr>
          <w:p w14:paraId="41DE457D">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收费标准（费率，%）</w:t>
            </w:r>
          </w:p>
        </w:tc>
      </w:tr>
      <w:tr w14:paraId="03F9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14:paraId="71AF9095">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100以下</w:t>
            </w:r>
          </w:p>
        </w:tc>
        <w:tc>
          <w:tcPr>
            <w:tcW w:w="2338" w:type="dxa"/>
            <w:vAlign w:val="center"/>
          </w:tcPr>
          <w:p w14:paraId="774A99C3">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1.05（不足叁仟按叁仟计取）</w:t>
            </w:r>
          </w:p>
        </w:tc>
      </w:tr>
    </w:tbl>
    <w:p w14:paraId="226AC1D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5.磋商保证金（元）：无</w:t>
      </w:r>
    </w:p>
    <w:p w14:paraId="749B6052">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（六）联合体响应</w:t>
      </w:r>
    </w:p>
    <w:p w14:paraId="07CB165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本项目（是）接受联合体响应。</w:t>
      </w:r>
    </w:p>
    <w:p w14:paraId="1525A8E8">
      <w:pPr>
        <w:spacing w:line="288" w:lineRule="auto"/>
        <w:ind w:firstLine="420" w:firstLineChars="200"/>
        <w:rPr>
          <w:rFonts w:hint="eastAsia" w:cs="Times New Roman"/>
          <w:color w:val="auto"/>
          <w:sz w:val="21"/>
          <w:szCs w:val="22"/>
          <w:highlight w:val="none"/>
        </w:rPr>
      </w:pPr>
      <w:bookmarkStart w:id="50" w:name="_Hlk104288918"/>
      <w:r>
        <w:rPr>
          <w:rFonts w:hint="eastAsia" w:cs="Times New Roman"/>
          <w:color w:val="auto"/>
          <w:sz w:val="21"/>
          <w:szCs w:val="22"/>
          <w:highlight w:val="none"/>
        </w:rPr>
        <w:t>两个以上的自然人、法人或者其他组织可以组成一个联合体，以一个供应商的身份共同参加政府采购。</w:t>
      </w:r>
    </w:p>
    <w:p w14:paraId="60CD8BD2">
      <w:pPr>
        <w:adjustRightInd w:val="0"/>
        <w:snapToGrid w:val="0"/>
        <w:spacing w:line="288" w:lineRule="auto"/>
        <w:ind w:firstLine="420" w:firstLineChars="200"/>
        <w:rPr>
          <w:rFonts w:hint="eastAsia"/>
          <w:color w:val="auto"/>
          <w:sz w:val="21"/>
          <w:szCs w:val="21"/>
          <w:highlight w:val="none"/>
        </w:rPr>
      </w:pPr>
      <w:r>
        <w:rPr>
          <w:rFonts w:hint="eastAsia" w:cs="Times New Roman"/>
          <w:color w:val="auto"/>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50"/>
    </w:p>
    <w:p w14:paraId="4879D25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（七）转包与分包</w:t>
      </w:r>
    </w:p>
    <w:p w14:paraId="0486AE98">
      <w:pPr>
        <w:adjustRightInd w:val="0"/>
        <w:snapToGrid w:val="0"/>
        <w:spacing w:line="288" w:lineRule="auto"/>
        <w:ind w:firstLine="424" w:firstLineChars="202"/>
        <w:jc w:val="left"/>
        <w:rPr>
          <w:rFonts w:hint="eastAsia"/>
          <w:color w:val="auto"/>
          <w:sz w:val="21"/>
          <w:szCs w:val="21"/>
          <w:highlight w:val="none"/>
        </w:rPr>
      </w:pPr>
      <w:r>
        <w:rPr>
          <w:rFonts w:hint="eastAsia"/>
          <w:color w:val="auto"/>
          <w:sz w:val="21"/>
          <w:szCs w:val="21"/>
          <w:highlight w:val="none"/>
        </w:rPr>
        <w:t>1.本项目不允许转包；</w:t>
      </w:r>
    </w:p>
    <w:p w14:paraId="3DE4BB09">
      <w:pPr>
        <w:adjustRightInd w:val="0"/>
        <w:snapToGrid w:val="0"/>
        <w:spacing w:line="288" w:lineRule="auto"/>
        <w:ind w:firstLine="424" w:firstLineChars="202"/>
        <w:jc w:val="left"/>
        <w:rPr>
          <w:rFonts w:hint="eastAsia"/>
          <w:color w:val="auto"/>
          <w:sz w:val="21"/>
          <w:szCs w:val="21"/>
          <w:highlight w:val="none"/>
        </w:rPr>
      </w:pPr>
      <w:r>
        <w:rPr>
          <w:color w:val="auto"/>
          <w:sz w:val="21"/>
          <w:szCs w:val="21"/>
          <w:highlight w:val="none"/>
        </w:rPr>
        <w:t>2.本项目</w:t>
      </w:r>
      <w:r>
        <w:rPr>
          <w:b/>
          <w:bCs/>
          <w:color w:val="auto"/>
          <w:sz w:val="21"/>
          <w:szCs w:val="21"/>
          <w:highlight w:val="none"/>
          <w:u w:val="single"/>
        </w:rPr>
        <w:t>不允许</w:t>
      </w:r>
      <w:r>
        <w:rPr>
          <w:color w:val="auto"/>
          <w:sz w:val="21"/>
          <w:szCs w:val="21"/>
          <w:highlight w:val="none"/>
        </w:rPr>
        <w:t>分包，不适宜分包的理由是：</w:t>
      </w:r>
      <w:r>
        <w:rPr>
          <w:color w:val="auto"/>
          <w:sz w:val="21"/>
          <w:szCs w:val="21"/>
          <w:highlight w:val="none"/>
          <w:u w:val="single"/>
        </w:rPr>
        <w:t xml:space="preserve"> </w:t>
      </w:r>
      <w:r>
        <w:rPr>
          <w:rFonts w:hint="eastAsia"/>
          <w:color w:val="auto"/>
          <w:sz w:val="21"/>
          <w:szCs w:val="21"/>
          <w:highlight w:val="none"/>
          <w:u w:val="single"/>
        </w:rPr>
        <w:t>本项目是一个完整的信息化系统集成项目，涉及到钉钉云平台的系统维护、技术支持、宜搭专属版的配置、钉钉定制服务等多个方面，需要供应商具备整体解决方案的能力和经验。由于各部分之间存在紧密的技术关联和业务逻辑协同，分包可能导致技术标准不一致、数据安全风险增加、服务响应延迟以及责任划分不清晰等问题，从而影响系统的整体性能和稳定性。此外，学校需要供应商对整个项目提供统一的技术支持和售后服务，确保系统的安全性和可靠性，因此本项目不适宜分包</w:t>
      </w:r>
      <w:r>
        <w:rPr>
          <w:color w:val="auto"/>
          <w:sz w:val="21"/>
          <w:szCs w:val="21"/>
          <w:highlight w:val="none"/>
          <w:u w:val="single"/>
        </w:rPr>
        <w:t xml:space="preserve"> 。</w:t>
      </w:r>
    </w:p>
    <w:p w14:paraId="0AE81C7E">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（八）质疑和投诉</w:t>
      </w:r>
    </w:p>
    <w:p w14:paraId="0599C78C">
      <w:pPr>
        <w:adjustRightInd w:val="0"/>
        <w:snapToGrid w:val="0"/>
        <w:spacing w:line="288" w:lineRule="auto"/>
        <w:ind w:firstLine="396" w:firstLineChars="200"/>
        <w:jc w:val="left"/>
        <w:rPr>
          <w:rFonts w:hint="eastAsia" w:cs="Times New Roman"/>
          <w:color w:val="auto"/>
          <w:spacing w:val="-6"/>
          <w:sz w:val="21"/>
          <w:szCs w:val="21"/>
          <w:highlight w:val="none"/>
        </w:rPr>
      </w:pPr>
      <w:bookmarkStart w:id="51" w:name="_Hlk92273406"/>
      <w:bookmarkStart w:id="52" w:name="_Hlk71884065"/>
      <w:r>
        <w:rPr>
          <w:rFonts w:hint="eastAsia" w:cs="Times New Roman"/>
          <w:color w:val="auto"/>
          <w:spacing w:val="-6"/>
          <w:sz w:val="21"/>
          <w:szCs w:val="21"/>
          <w:highlight w:val="none"/>
        </w:rPr>
        <w:t>1</w:t>
      </w:r>
      <w:r>
        <w:rPr>
          <w:rFonts w:cs="Times New Roman"/>
          <w:color w:val="auto"/>
          <w:spacing w:val="-6"/>
          <w:sz w:val="21"/>
          <w:szCs w:val="21"/>
          <w:highlight w:val="none"/>
        </w:rPr>
        <w:t>.</w:t>
      </w:r>
      <w:r>
        <w:rPr>
          <w:rFonts w:hint="eastAsia" w:cs="Times New Roman"/>
          <w:color w:val="auto"/>
          <w:spacing w:val="-6"/>
          <w:sz w:val="21"/>
          <w:szCs w:val="21"/>
          <w:highlight w:val="none"/>
        </w:rPr>
        <w:t>供应商认为采购文件、采购过程、中标或者成交结果使自己的权益受到损害的，可以在知道或者应知其权益受到损害之日起</w:t>
      </w:r>
      <w:r>
        <w:rPr>
          <w:rFonts w:cs="Times New Roman"/>
          <w:color w:val="auto"/>
          <w:spacing w:val="-6"/>
          <w:sz w:val="21"/>
          <w:szCs w:val="21"/>
          <w:highlight w:val="none"/>
        </w:rPr>
        <w:t>7个工作日内，以书面形式向采购人、采购代理机构提出质疑。</w:t>
      </w:r>
      <w:r>
        <w:rPr>
          <w:rFonts w:hint="eastAsia" w:cs="Times New Roman"/>
          <w:color w:val="auto"/>
          <w:spacing w:val="-6"/>
          <w:sz w:val="21"/>
          <w:szCs w:val="21"/>
          <w:highlight w:val="none"/>
        </w:rPr>
        <w:t>质疑供应商对采购人、采购代理机构的答复不满意，或者采购人、采购代理机构未在规定时间内作出答复的，可以在答复期满后</w:t>
      </w:r>
      <w:r>
        <w:rPr>
          <w:rFonts w:cs="Times New Roman"/>
          <w:color w:val="auto"/>
          <w:spacing w:val="-6"/>
          <w:sz w:val="21"/>
          <w:szCs w:val="21"/>
          <w:highlight w:val="none"/>
        </w:rPr>
        <w:t>15个工作日内向</w:t>
      </w:r>
      <w:r>
        <w:rPr>
          <w:rFonts w:hint="eastAsia" w:cs="Times New Roman"/>
          <w:color w:val="auto"/>
          <w:spacing w:val="-6"/>
          <w:sz w:val="21"/>
          <w:szCs w:val="21"/>
          <w:highlight w:val="none"/>
        </w:rPr>
        <w:t>本级财政部门</w:t>
      </w:r>
      <w:r>
        <w:rPr>
          <w:rFonts w:cs="Times New Roman"/>
          <w:color w:val="auto"/>
          <w:spacing w:val="-6"/>
          <w:sz w:val="21"/>
          <w:szCs w:val="21"/>
          <w:highlight w:val="none"/>
        </w:rPr>
        <w:t>提起投诉。</w:t>
      </w:r>
      <w:bookmarkEnd w:id="51"/>
    </w:p>
    <w:p w14:paraId="7788FB0E">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2.供应商提出质疑应当提交质疑函和必要的证明材料，质疑函范本、投诉书范本请到浙江政府采购网下载专区</w:t>
      </w:r>
      <w:r>
        <w:rPr>
          <w:b/>
          <w:bCs/>
          <w:color w:val="auto"/>
          <w:sz w:val="21"/>
          <w:szCs w:val="21"/>
          <w:highlight w:val="none"/>
        </w:rPr>
        <w:t>下载。</w:t>
      </w:r>
      <w:r>
        <w:rPr>
          <w:rFonts w:hint="eastAsia"/>
          <w:b/>
          <w:bCs/>
          <w:color w:val="auto"/>
          <w:sz w:val="21"/>
          <w:szCs w:val="21"/>
          <w:highlight w:val="none"/>
        </w:rPr>
        <w:t>质疑函应当包括下列内容：</w:t>
      </w:r>
    </w:p>
    <w:p w14:paraId="5D1446F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（1）供应商的姓名或者名称、地址、邮编、联系人及联系电话；</w:t>
      </w:r>
    </w:p>
    <w:p w14:paraId="6DF252F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（2）质疑项目的名称、编号；</w:t>
      </w:r>
    </w:p>
    <w:p w14:paraId="04655ED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（3）具体、明确的质疑事项和与质疑事项相关的请求；</w:t>
      </w:r>
    </w:p>
    <w:p w14:paraId="3FF33B4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（4）事实依据；</w:t>
      </w:r>
    </w:p>
    <w:p w14:paraId="713644A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（5）必要的法律依据；</w:t>
      </w:r>
    </w:p>
    <w:p w14:paraId="49F55C9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（6）提出质疑的日期。</w:t>
      </w:r>
    </w:p>
    <w:p w14:paraId="64ECF7A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供应商为自然人的，应当由本人签名；供应商为法人或者其他组织的，应当由法定代表人、主要负责人，或者其授权代表签名或者盖章，并加盖公章。</w:t>
      </w:r>
    </w:p>
    <w:p w14:paraId="71E668E2">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3.提出质疑的供应商应当是参与本项目磋商响应活动的供应商。</w:t>
      </w:r>
      <w:r>
        <w:rPr>
          <w:rFonts w:hint="eastAsia"/>
          <w:b/>
          <w:bCs/>
          <w:color w:val="auto"/>
          <w:sz w:val="21"/>
          <w:szCs w:val="21"/>
          <w:highlight w:val="none"/>
        </w:rPr>
        <w:t>供应商在法定质疑期内应一次性提出针对同一采购程序环节的质疑。</w:t>
      </w:r>
    </w:p>
    <w:p w14:paraId="2F52996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4.根据《政府采购质疑和投诉办法》第三十七条的规定，投诉人在全国范围12个月内三次以上投诉查无实据的，由财政部门列入不良行为记录名单。</w:t>
      </w:r>
    </w:p>
    <w:p w14:paraId="0ED4665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投诉人有下列行为之一的，属于虚假、恶意投诉，由财政部门列入不良行为记录名单，禁止其1至3年内参加政府采购活动：</w:t>
      </w:r>
    </w:p>
    <w:p w14:paraId="056670C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（1）捏造事实；</w:t>
      </w:r>
    </w:p>
    <w:p w14:paraId="4601F22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（2）提供虚假材料；</w:t>
      </w:r>
    </w:p>
    <w:p w14:paraId="53B3131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（3）以非法手段取得证明材料。证据来源的合法性存在明显疑问，投诉人无法证明其取得方式合法的，视为以非法手段取得证明材料。</w:t>
      </w:r>
    </w:p>
    <w:bookmarkEnd w:id="52"/>
    <w:p w14:paraId="17F116AE">
      <w:pPr>
        <w:adjustRightInd w:val="0"/>
        <w:snapToGrid w:val="0"/>
        <w:spacing w:line="288" w:lineRule="auto"/>
        <w:outlineLvl w:val="2"/>
        <w:rPr>
          <w:rFonts w:hint="eastAsia"/>
          <w:b/>
          <w:color w:val="auto"/>
          <w:spacing w:val="-6"/>
          <w:kern w:val="0"/>
          <w:sz w:val="21"/>
          <w:szCs w:val="21"/>
          <w:highlight w:val="none"/>
        </w:rPr>
      </w:pPr>
      <w:bookmarkStart w:id="53" w:name="_Hlk92273111"/>
      <w:r>
        <w:rPr>
          <w:b/>
          <w:color w:val="auto"/>
          <w:spacing w:val="-6"/>
          <w:kern w:val="0"/>
          <w:sz w:val="21"/>
          <w:szCs w:val="21"/>
          <w:highlight w:val="none"/>
        </w:rPr>
        <w:t>（</w:t>
      </w:r>
      <w:r>
        <w:rPr>
          <w:rFonts w:hint="eastAsia"/>
          <w:b/>
          <w:color w:val="auto"/>
          <w:spacing w:val="-6"/>
          <w:kern w:val="0"/>
          <w:sz w:val="21"/>
          <w:szCs w:val="21"/>
          <w:highlight w:val="none"/>
        </w:rPr>
        <w:t>九</w:t>
      </w:r>
      <w:r>
        <w:rPr>
          <w:b/>
          <w:color w:val="auto"/>
          <w:spacing w:val="-6"/>
          <w:kern w:val="0"/>
          <w:sz w:val="21"/>
          <w:szCs w:val="21"/>
          <w:highlight w:val="none"/>
        </w:rPr>
        <w:t>）</w:t>
      </w:r>
      <w:r>
        <w:rPr>
          <w:rFonts w:hint="eastAsia"/>
          <w:b/>
          <w:color w:val="auto"/>
          <w:spacing w:val="-6"/>
          <w:kern w:val="0"/>
          <w:sz w:val="21"/>
          <w:szCs w:val="21"/>
          <w:highlight w:val="none"/>
        </w:rPr>
        <w:t>采购项目需要落实的政府采购政策</w:t>
      </w:r>
    </w:p>
    <w:bookmarkEnd w:id="53"/>
    <w:p w14:paraId="16FFCE35">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1.进口产品</w:t>
      </w:r>
    </w:p>
    <w:p w14:paraId="6E96752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本项目原则上采购本国生产的货物、服务，不允许采购进口产品。优先采购向我国企业转让技术、与我国企业签订消化吸收再创新方案的供应商的进口产品。</w:t>
      </w:r>
    </w:p>
    <w:p w14:paraId="1D1A732E">
      <w:pPr>
        <w:shd w:val="clear" w:color="auto" w:fill="FFFFFF"/>
        <w:adjustRightInd w:val="0"/>
        <w:snapToGrid w:val="0"/>
        <w:spacing w:line="288" w:lineRule="auto"/>
        <w:ind w:firstLine="369" w:firstLineChars="176"/>
        <w:jc w:val="left"/>
        <w:rPr>
          <w:rFonts w:hint="eastAsia"/>
          <w:color w:val="auto"/>
          <w:sz w:val="21"/>
          <w:szCs w:val="21"/>
          <w:highlight w:val="none"/>
        </w:rPr>
      </w:pPr>
      <w:r>
        <w:rPr>
          <w:rFonts w:hint="eastAsia"/>
          <w:color w:val="auto"/>
          <w:sz w:val="21"/>
          <w:szCs w:val="21"/>
          <w:highlight w:val="none"/>
        </w:rPr>
        <w:t>采购人已经在采购活动开始前向财政部门提出申请并获得财政部门审核同意（高校和科研院所采购用于科研的进口仪器设备，以及其他根据财政部规定实行备案管理的，实行备案管理）购买进口产品的，将在磋商文件中明确规定可以采购进口产品（但如果因信息不对称等原因，仍有满足需求的国内产品要求参与采购竞争的，不会对其加以限制，仍将按照公平竞争原则实施采购）。</w:t>
      </w:r>
    </w:p>
    <w:p w14:paraId="1AC15CC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进口产品是指通过中国海关报关验放进入中国境内且产自关境外的产品。关于关境和海关特殊监管区域产品认定、已在境内多次流转进口产品认定，按照《关于政府采购进口产品管理有关问题的通知》（财办库[2008]248号）执行。</w:t>
      </w:r>
    </w:p>
    <w:p w14:paraId="07118A40">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2.支持绿色发展</w:t>
      </w:r>
    </w:p>
    <w:p w14:paraId="46F17D0F">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rPr>
        <w:t>采购人拟采购的产品属于节能产品、环境标志产品政府采购品目清单范围的，将依据国家确定的认证机构出具的、处于有效期之内的节能产品、环境标志产品认证证书，对获得证书的产品实施政府优先采购或强制采购。</w:t>
      </w:r>
    </w:p>
    <w:p w14:paraId="3957910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采购人拟采购产品属于节能产品政府采购清单规定必须强制采购的，将在磋商文件中明确载明，供应商相应的响应产品须提供国家确定的认证机构出具的、处于有效期之内的节能产品认证证书。</w:t>
      </w:r>
    </w:p>
    <w:p w14:paraId="6F646913">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3.支持中小企业发展</w:t>
      </w:r>
    </w:p>
    <w:p w14:paraId="7A1FF76F">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3.支持中小企业发展</w:t>
      </w:r>
    </w:p>
    <w:p w14:paraId="37644F2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E3CEE9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3.2 在政府采购活动中，供应商提供的货物或者服务符合下列情形的，享受中小企业扶持政策：</w:t>
      </w:r>
    </w:p>
    <w:p w14:paraId="229B1BB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在货物采购项目中，货物由中小企业制造，即货物由</w:t>
      </w:r>
      <w:r>
        <w:rPr>
          <w:rFonts w:hint="eastAsia"/>
          <w:color w:val="auto"/>
          <w:sz w:val="21"/>
          <w:szCs w:val="21"/>
          <w:highlight w:val="none"/>
          <w:u w:val="single"/>
        </w:rPr>
        <w:t>中小企业生产且使用该中小企业商号或者注册商标</w:t>
      </w:r>
      <w:r>
        <w:rPr>
          <w:rFonts w:hint="eastAsia"/>
          <w:color w:val="auto"/>
          <w:sz w:val="21"/>
          <w:szCs w:val="21"/>
          <w:highlight w:val="none"/>
        </w:rPr>
        <w:t>。如果一个采购项目或采购包含有多个采购标的的，则每个采购标的均应由中小企业制造。</w:t>
      </w:r>
    </w:p>
    <w:p w14:paraId="3383CA3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在工程采购项目中，工程由中小企业承建，即工程施工单位为中小企业。</w:t>
      </w:r>
    </w:p>
    <w:p w14:paraId="61F0C44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在服务采购项目中，服务由中小企业承接，即提供服务的人员为中小企业依照《中华人民共和国劳动合同法》订立劳动合同的从业人员。</w:t>
      </w:r>
    </w:p>
    <w:p w14:paraId="6CA6585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4496FFAE">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中小企业享受扶持政策获得政府采购合同的，小微企业不得将合同分包给大中型企业，中型企业不得将合同分包给大型企业。</w:t>
      </w:r>
    </w:p>
    <w:p w14:paraId="6FDB918C">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3.4 以联合体形式参加政府采购活动，联合体各方均为中小企业的，联合体视同中小企业。其中，联合体各方均为小微企业的，联合体视同小微企业。</w:t>
      </w:r>
    </w:p>
    <w:p w14:paraId="556B91C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1AC5860C">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组成联合体或者接受分包合同的中小企业与联合体内其他企业、分包企业之间不得存在直接控股、管理关系。</w:t>
      </w:r>
    </w:p>
    <w:p w14:paraId="26B437A7">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专门面向中小企业采购的项目或者采购包，不再执行价格评审优惠的扶持政策。</w:t>
      </w:r>
    </w:p>
    <w:p w14:paraId="6AC7CB78">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3.6 未预留份额专门面向中小企业采购的采购项目，以及预留份额项目中的非预留部分采购包，对符合《政府采购促进中小企业发展管理办法》规定的小微企业报价给予10%-20%（工程项目为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工程项目为2%）的扣除，用扣除后的价格参加评审。组成联合体或者接受分包的小微企业与联合体内其他企业、分包企业之间存在直接控股、管理关系的，不享受价格扣除优惠政策。</w:t>
      </w:r>
    </w:p>
    <w:p w14:paraId="0DD5B794">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3.7 中小企业参加政府采购活动，应当出具本办法规定的《中小企业声明函》，否则不得享受相关中小企业扶持政策。</w:t>
      </w:r>
    </w:p>
    <w:p w14:paraId="5AF05B57">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《中小企业声明函》由参加政府采购活动的供应商出具。以联合体形式参加政府采购活动或者合同分包的，《中小企业声明函》中需填写联合体中的中小企业或签订分包意向协议的中小企业相关信息。</w:t>
      </w:r>
    </w:p>
    <w:p w14:paraId="51ED09B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3.8 供应商提供《中小企业声明函》内容不实的，属于提供虚假材料谋取中标、成交，依照《中华人民共和国政府采购法》等国家有关规定追究相应责任。</w:t>
      </w:r>
    </w:p>
    <w:p w14:paraId="0D9BC8DE">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3.9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2C75B661">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（1）内容未包括全部采购标的；</w:t>
      </w:r>
    </w:p>
    <w:p w14:paraId="3AE276E3">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（2）未填写标的所属行业，或者填写的所属行业与磋商文件明确的所属行业不一致；</w:t>
      </w:r>
    </w:p>
    <w:p w14:paraId="1CF7BF87">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（3）未填写企业类型、填写的企业类型不明确或填写的企业类型与实际不符（即：企业类型（中型企业、小型企业或微型企业）填写错误）；</w:t>
      </w:r>
    </w:p>
    <w:p w14:paraId="677B6872">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（4）未填写标的承建(承接)企业名称的。</w:t>
      </w:r>
    </w:p>
    <w:p w14:paraId="0462C56B">
      <w:pPr>
        <w:adjustRightInd w:val="0"/>
        <w:snapToGrid w:val="0"/>
        <w:spacing w:line="288" w:lineRule="auto"/>
        <w:ind w:firstLine="420" w:firstLineChars="200"/>
        <w:rPr>
          <w:rFonts w:hint="eastAsia"/>
          <w:color w:val="auto"/>
          <w:sz w:val="21"/>
          <w:szCs w:val="21"/>
          <w:highlight w:val="none"/>
          <w:u w:val="single"/>
        </w:rPr>
      </w:pPr>
      <w:r>
        <w:rPr>
          <w:rFonts w:hint="eastAsia"/>
          <w:color w:val="auto"/>
          <w:sz w:val="21"/>
          <w:szCs w:val="21"/>
          <w:highlight w:val="none"/>
          <w:u w:val="single"/>
        </w:rPr>
        <w:t>供应商声明的类型获得了本不应获得的利益（价格扣除或者资格审查通过），属于提供虚假材料。构成“提供虚假材料谋取中标的”，依法承担法律责任。</w:t>
      </w:r>
    </w:p>
    <w:p w14:paraId="5C3C51D7">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4.支持监狱企业发展</w:t>
      </w:r>
    </w:p>
    <w:p w14:paraId="111C993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112FCE32">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5.促进残疾人就业</w:t>
      </w:r>
    </w:p>
    <w:p w14:paraId="72061280">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符合《关于促进残疾人就业政府采购政策的通知》（财库[2017]141号）规定的条件并提供《残疾人福利性单位声明函》的残疾人福利性单位视同小型、微型企业。</w:t>
      </w:r>
    </w:p>
    <w:p w14:paraId="6E00BD7F">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6.支持创新发展</w:t>
      </w:r>
    </w:p>
    <w:p w14:paraId="2D729AD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采购人优先采购被认定为首台套产品和“制造精品”的自主创新产品。</w:t>
      </w:r>
    </w:p>
    <w:p w14:paraId="20ABCF2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对省级以上主管部门认定的首台套产品，自纳入《省推广应用指导目录》起3年内参加政府采购活动，视同已具备相应销售业绩，业绩分为满分。</w:t>
      </w:r>
    </w:p>
    <w:p w14:paraId="7A36CDDA">
      <w:pPr>
        <w:adjustRightInd w:val="0"/>
        <w:snapToGrid w:val="0"/>
        <w:spacing w:line="288" w:lineRule="auto"/>
        <w:rPr>
          <w:rFonts w:hint="eastAsia"/>
          <w:color w:val="auto"/>
          <w:sz w:val="21"/>
          <w:szCs w:val="21"/>
          <w:highlight w:val="none"/>
        </w:rPr>
      </w:pPr>
      <w:r>
        <w:rPr>
          <w:rFonts w:hint="eastAsia"/>
          <w:color w:val="auto"/>
          <w:sz w:val="21"/>
          <w:szCs w:val="21"/>
          <w:highlight w:val="none"/>
        </w:rPr>
        <w:t>产品核心技术高于国内领先水平，并具有明晰自主知识产权的“制造精品”产品，自认定之日起2年内视同已具备相应销售业绩，参加政府采购活动时业绩分值为满分。</w:t>
      </w:r>
      <w:r>
        <w:rPr>
          <w:rFonts w:hint="eastAsia"/>
          <w:color w:val="auto"/>
          <w:sz w:val="21"/>
          <w:szCs w:val="21"/>
          <w:highlight w:val="none"/>
        </w:rPr>
        <w:br w:type="page"/>
      </w:r>
    </w:p>
    <w:p w14:paraId="2384175D">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二、磋商文件</w:t>
      </w:r>
    </w:p>
    <w:p w14:paraId="1D81054E">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（一）磋商文件的构成</w:t>
      </w:r>
    </w:p>
    <w:p w14:paraId="79B555DA">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本磋商文件由以下部分组成：</w:t>
      </w:r>
    </w:p>
    <w:p w14:paraId="3CAB883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1.采购邀请</w:t>
      </w:r>
    </w:p>
    <w:p w14:paraId="1B94FE0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2.采购需求</w:t>
      </w:r>
    </w:p>
    <w:p w14:paraId="3DE2CCF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3.供应商须知</w:t>
      </w:r>
    </w:p>
    <w:p w14:paraId="40DD882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4.评审方法和评审标准</w:t>
      </w:r>
    </w:p>
    <w:p w14:paraId="0DBC2B8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5.拟签订的合同文本</w:t>
      </w:r>
    </w:p>
    <w:p w14:paraId="06DE0C0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6.响应文件格式</w:t>
      </w:r>
    </w:p>
    <w:p w14:paraId="0F80D87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7.本项目磋商文件的澄清、答复、修改、补充的内容</w:t>
      </w:r>
    </w:p>
    <w:p w14:paraId="5CFD183B">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（二）供应商的风险</w:t>
      </w:r>
    </w:p>
    <w:p w14:paraId="749788D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供应商没有按照磋商文件要求提供全部资料，或者供应商没有对磋商文件在各方面作出实质性响应是供应商的风险，并可能导致其响应被拒绝。</w:t>
      </w:r>
    </w:p>
    <w:p w14:paraId="74689DA7">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（三）磋商文件的澄清与修改</w:t>
      </w:r>
    </w:p>
    <w:p w14:paraId="6C7506E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1.提交首次响应文件截止之日前，采购人、采购代理机构可以对已发出的磋商文件进行必要的澄清或者修改，澄清或者修改的内容作为磋商文件的组成部分。</w:t>
      </w:r>
    </w:p>
    <w:p w14:paraId="6095BF4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6BD7E30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542D746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3.磋商文件澄清、答复、修改、补充的内容为磋商文件的组成部分。当磋商文件与磋商文件的答复、澄清、修改、补充通知就同一内容的表述不一致时，以最后发出的书面形式文件为准。</w:t>
      </w:r>
    </w:p>
    <w:p w14:paraId="6ED6C2B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4.磋商文件的澄清、答复、修改或补充都应该通过本采购代理机构以法定形式发布，采购人非通过本机构，不得擅自澄清、答复、修改或补充磋商文件。</w:t>
      </w:r>
    </w:p>
    <w:p w14:paraId="3FF8F4FF">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4CDBA0B2">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三、响应文件的编制</w:t>
      </w:r>
    </w:p>
    <w:p w14:paraId="20B0A02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（一）响应文件的组成</w:t>
      </w:r>
    </w:p>
    <w:p w14:paraId="32FC1F87">
      <w:pPr>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响应文件（电子加密响应文件）由</w:t>
      </w:r>
      <w:r>
        <w:rPr>
          <w:rFonts w:hint="eastAsia" w:cs="Times New Roman"/>
          <w:b/>
          <w:color w:val="auto"/>
          <w:spacing w:val="-6"/>
          <w:sz w:val="21"/>
          <w:szCs w:val="21"/>
          <w:highlight w:val="none"/>
        </w:rPr>
        <w:t>资格文件、报价文件、商务和技术文件三部分</w:t>
      </w:r>
      <w:r>
        <w:rPr>
          <w:rFonts w:hint="eastAsia" w:cs="Times New Roman"/>
          <w:bCs/>
          <w:color w:val="auto"/>
          <w:spacing w:val="-6"/>
          <w:sz w:val="21"/>
          <w:szCs w:val="21"/>
          <w:highlight w:val="none"/>
        </w:rPr>
        <w:t>组成（格式详见磋商文件第六章）。供应商应将响应文件各部分</w:t>
      </w:r>
      <w:r>
        <w:rPr>
          <w:rFonts w:hint="eastAsia" w:cs="Times New Roman"/>
          <w:b/>
          <w:color w:val="auto"/>
          <w:spacing w:val="-6"/>
          <w:sz w:val="21"/>
          <w:szCs w:val="21"/>
          <w:highlight w:val="none"/>
        </w:rPr>
        <w:t>分别上传</w:t>
      </w:r>
      <w:r>
        <w:rPr>
          <w:rFonts w:hint="eastAsia" w:cs="Times New Roman"/>
          <w:bCs/>
          <w:color w:val="auto"/>
          <w:spacing w:val="-6"/>
          <w:sz w:val="21"/>
          <w:szCs w:val="21"/>
          <w:highlight w:val="none"/>
        </w:rPr>
        <w:t>至政府采购云平台指定位置。</w:t>
      </w:r>
    </w:p>
    <w:p w14:paraId="0D525C75">
      <w:pPr>
        <w:adjustRightInd w:val="0"/>
        <w:snapToGrid w:val="0"/>
        <w:spacing w:line="288" w:lineRule="auto"/>
        <w:ind w:firstLine="396" w:firstLineChars="200"/>
        <w:jc w:val="left"/>
        <w:rPr>
          <w:rFonts w:hint="eastAsia" w:cs="Times New Roman"/>
          <w:color w:val="auto"/>
          <w:spacing w:val="-6"/>
          <w:sz w:val="21"/>
          <w:szCs w:val="21"/>
          <w:highlight w:val="none"/>
        </w:rPr>
      </w:pPr>
      <w:bookmarkStart w:id="54" w:name="_Hlk97039967"/>
      <w:r>
        <w:rPr>
          <w:rFonts w:hint="eastAsia" w:cs="Times New Roman"/>
          <w:color w:val="auto"/>
          <w:spacing w:val="-6"/>
          <w:sz w:val="21"/>
          <w:szCs w:val="21"/>
          <w:highlight w:val="none"/>
        </w:rPr>
        <w:t>响应文件组成：详见“第六章</w:t>
      </w:r>
      <w:r>
        <w:rPr>
          <w:rFonts w:cs="Times New Roman"/>
          <w:color w:val="auto"/>
          <w:spacing w:val="-6"/>
          <w:sz w:val="21"/>
          <w:szCs w:val="21"/>
          <w:highlight w:val="none"/>
        </w:rPr>
        <w:t xml:space="preserve">  </w:t>
      </w:r>
      <w:r>
        <w:rPr>
          <w:rFonts w:hint="eastAsia" w:cs="Times New Roman"/>
          <w:color w:val="auto"/>
          <w:spacing w:val="-6"/>
          <w:sz w:val="21"/>
          <w:szCs w:val="21"/>
          <w:highlight w:val="none"/>
        </w:rPr>
        <w:t>响应</w:t>
      </w:r>
      <w:r>
        <w:rPr>
          <w:rFonts w:cs="Times New Roman"/>
          <w:color w:val="auto"/>
          <w:spacing w:val="-6"/>
          <w:sz w:val="21"/>
          <w:szCs w:val="21"/>
          <w:highlight w:val="none"/>
        </w:rPr>
        <w:t>文件格式</w:t>
      </w:r>
      <w:r>
        <w:rPr>
          <w:rFonts w:hint="eastAsia" w:cs="Times New Roman"/>
          <w:color w:val="auto"/>
          <w:spacing w:val="-6"/>
          <w:sz w:val="21"/>
          <w:szCs w:val="21"/>
          <w:highlight w:val="none"/>
        </w:rPr>
        <w:t>”目录</w:t>
      </w:r>
    </w:p>
    <w:bookmarkEnd w:id="54"/>
    <w:p w14:paraId="2BB1A2E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（二）响应文件的签署和份数</w:t>
      </w:r>
    </w:p>
    <w:p w14:paraId="58C2A2A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3DE69F6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2.响应文件须由供应商在规定位置加盖公章</w:t>
      </w:r>
      <w:bookmarkStart w:id="55" w:name="_Hlk96329193"/>
      <w:r>
        <w:rPr>
          <w:rFonts w:hint="eastAsia"/>
          <w:color w:val="auto"/>
          <w:sz w:val="21"/>
          <w:szCs w:val="21"/>
          <w:highlight w:val="none"/>
        </w:rPr>
        <w:t>，供应商应写全称。</w:t>
      </w:r>
      <w:bookmarkEnd w:id="55"/>
    </w:p>
    <w:p w14:paraId="537D4DB7">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3.响应文件不得涂改，若有修改错漏处，须由供应商加盖公章，或者由供应商代表签名。响应文件因字迹潦草或表达不清所引起的后果由供应商负责。</w:t>
      </w:r>
    </w:p>
    <w:p w14:paraId="091B3A87">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4.响应文件份数：</w:t>
      </w:r>
    </w:p>
    <w:p w14:paraId="74A106BC">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温瑶）收，电话：0571-87666115，寄出后将（快递单号、项目名称、公司名称、联系方式等相关信息）发至：zb03@qszb.net，以便查收）。</w:t>
      </w:r>
    </w:p>
    <w:p w14:paraId="608C5541">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特别说明：双休日和法定节假日不收件，供应商自行承担邮寄风险。</w:t>
      </w:r>
    </w:p>
    <w:p w14:paraId="02AF7B4E">
      <w:pPr>
        <w:adjustRightInd w:val="0"/>
        <w:snapToGrid w:val="0"/>
        <w:spacing w:line="288" w:lineRule="auto"/>
        <w:ind w:firstLine="422" w:firstLineChars="200"/>
        <w:rPr>
          <w:rFonts w:hint="eastAsia"/>
          <w:b/>
          <w:bCs/>
          <w:color w:val="auto"/>
          <w:sz w:val="21"/>
          <w:szCs w:val="21"/>
          <w:highlight w:val="none"/>
        </w:rPr>
      </w:pPr>
    </w:p>
    <w:p w14:paraId="211A06E6">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（三）响应文件的上传、递交、修改和撤回</w:t>
      </w:r>
    </w:p>
    <w:p w14:paraId="7E877BC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1.响应文件的上传、递交：</w:t>
      </w:r>
    </w:p>
    <w:p w14:paraId="2EA5349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（1）电子加密响应文件的上传：</w:t>
      </w:r>
    </w:p>
    <w:p w14:paraId="12DEC1C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▲a.供应商应在响应文件提交截止时间前将电子加密响应文件成功上传至政府采购云平台，否则响应无效；</w:t>
      </w:r>
    </w:p>
    <w:p w14:paraId="06BD732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b.电子加密响应文件成功上传后，供应商可自行打印响应文件接收回执。</w:t>
      </w:r>
    </w:p>
    <w:p w14:paraId="2CF7299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（2）备份响应文件的密封包装、递交：</w:t>
      </w:r>
    </w:p>
    <w:p w14:paraId="21031C7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a.供应商在政府采购云平台完成电子加密响应文件的上传后，可以EMS或顺丰邮寄形式在响应文件提交截止时间前递交以介质（U盘）存储的数据电文形式的备份响应文件；</w:t>
      </w:r>
    </w:p>
    <w:p w14:paraId="0F68955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b.备份响应文件应当密封包装并在包装上标注响应</w:t>
      </w:r>
      <w:r>
        <w:rPr>
          <w:rFonts w:hint="eastAsia"/>
          <w:color w:val="auto"/>
          <w:sz w:val="21"/>
          <w:szCs w:val="21"/>
          <w:highlight w:val="none"/>
          <w:u w:val="single"/>
        </w:rPr>
        <w:t>项目名称、标项、供应商名称</w:t>
      </w:r>
      <w:r>
        <w:rPr>
          <w:rFonts w:hint="eastAsia"/>
          <w:color w:val="auto"/>
          <w:sz w:val="21"/>
          <w:szCs w:val="21"/>
          <w:highlight w:val="none"/>
        </w:rPr>
        <w:t>并加盖公章（非电子签章），供应商逾期送达或者未密封包装的备份响应文件采购代理机构将予以拒收；</w:t>
      </w:r>
    </w:p>
    <w:p w14:paraId="3A3611B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▲c.通过政府采购云平台成功上传的电子加密响应文件已按时解密的，备份响应文件自动失效。</w:t>
      </w:r>
    </w:p>
    <w:p w14:paraId="4752243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▲d.供应商仅递交备份响应文件而未将电子加密响应文件成功上传至政府采购云平台的，响应无效。</w:t>
      </w:r>
    </w:p>
    <w:p w14:paraId="35436B0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66DD5B7">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3.</w:t>
      </w:r>
      <w:r>
        <w:rPr>
          <w:rFonts w:hint="eastAsia"/>
          <w:color w:val="auto"/>
          <w:sz w:val="21"/>
          <w:szCs w:val="21"/>
          <w:highlight w:val="none"/>
        </w:rPr>
        <w:t>供应商</w:t>
      </w:r>
      <w:r>
        <w:rPr>
          <w:color w:val="auto"/>
          <w:sz w:val="21"/>
          <w:szCs w:val="21"/>
          <w:highlight w:val="none"/>
        </w:rPr>
        <w:t>因未在线参加开标而导致电子加密</w:t>
      </w:r>
      <w:r>
        <w:rPr>
          <w:rFonts w:hint="eastAsia"/>
          <w:color w:val="auto"/>
          <w:sz w:val="21"/>
          <w:szCs w:val="21"/>
          <w:highlight w:val="none"/>
        </w:rPr>
        <w:t>响应</w:t>
      </w:r>
      <w:r>
        <w:rPr>
          <w:color w:val="auto"/>
          <w:sz w:val="21"/>
          <w:szCs w:val="21"/>
          <w:highlight w:val="none"/>
        </w:rPr>
        <w:t>文件无法按时解密等一切后果由</w:t>
      </w:r>
      <w:r>
        <w:rPr>
          <w:rFonts w:hint="eastAsia"/>
          <w:color w:val="auto"/>
          <w:sz w:val="21"/>
          <w:szCs w:val="21"/>
          <w:highlight w:val="none"/>
        </w:rPr>
        <w:t>供应商</w:t>
      </w:r>
      <w:r>
        <w:rPr>
          <w:color w:val="auto"/>
          <w:sz w:val="21"/>
          <w:szCs w:val="21"/>
          <w:highlight w:val="none"/>
        </w:rPr>
        <w:t>自行承担。</w:t>
      </w:r>
    </w:p>
    <w:p w14:paraId="6EACB614">
      <w:pPr>
        <w:adjustRightInd w:val="0"/>
        <w:snapToGrid w:val="0"/>
        <w:spacing w:line="288" w:lineRule="auto"/>
        <w:ind w:firstLine="420" w:firstLineChars="200"/>
        <w:rPr>
          <w:rFonts w:hint="eastAsia"/>
          <w:color w:val="auto"/>
          <w:sz w:val="21"/>
          <w:szCs w:val="21"/>
          <w:highlight w:val="none"/>
        </w:rPr>
      </w:pPr>
      <w:r>
        <w:rPr>
          <w:color w:val="auto"/>
          <w:sz w:val="21"/>
          <w:szCs w:val="21"/>
          <w:highlight w:val="none"/>
        </w:rPr>
        <w:t>4.</w:t>
      </w:r>
      <w:r>
        <w:rPr>
          <w:rFonts w:hint="eastAsia"/>
          <w:color w:val="auto"/>
          <w:sz w:val="21"/>
          <w:szCs w:val="21"/>
          <w:highlight w:val="none"/>
        </w:rPr>
        <w:t>供应商</w:t>
      </w:r>
      <w:r>
        <w:rPr>
          <w:color w:val="auto"/>
          <w:sz w:val="21"/>
          <w:szCs w:val="21"/>
          <w:highlight w:val="none"/>
        </w:rPr>
        <w:t>应按照</w:t>
      </w:r>
      <w:r>
        <w:rPr>
          <w:rFonts w:hint="eastAsia"/>
          <w:color w:val="auto"/>
          <w:sz w:val="21"/>
          <w:szCs w:val="21"/>
          <w:highlight w:val="none"/>
        </w:rPr>
        <w:t>磋商</w:t>
      </w:r>
      <w:r>
        <w:rPr>
          <w:color w:val="auto"/>
          <w:sz w:val="21"/>
          <w:szCs w:val="21"/>
          <w:highlight w:val="none"/>
        </w:rPr>
        <w:t>文件和政府采购云平台的要求，根据</w:t>
      </w:r>
      <w:r>
        <w:rPr>
          <w:rFonts w:hint="eastAsia"/>
          <w:color w:val="auto"/>
          <w:sz w:val="21"/>
          <w:szCs w:val="21"/>
          <w:highlight w:val="none"/>
        </w:rPr>
        <w:t>响应</w:t>
      </w:r>
      <w:r>
        <w:rPr>
          <w:color w:val="auto"/>
          <w:sz w:val="21"/>
          <w:szCs w:val="21"/>
          <w:highlight w:val="none"/>
        </w:rPr>
        <w:t>文件的组成规定的内容及顺序通过政采云电子交易客户端（政采云响应客户端）编制加密</w:t>
      </w:r>
      <w:r>
        <w:rPr>
          <w:rFonts w:hint="eastAsia"/>
          <w:color w:val="auto"/>
          <w:sz w:val="21"/>
          <w:szCs w:val="21"/>
          <w:highlight w:val="none"/>
        </w:rPr>
        <w:t>响应</w:t>
      </w:r>
      <w:r>
        <w:rPr>
          <w:color w:val="auto"/>
          <w:sz w:val="21"/>
          <w:szCs w:val="21"/>
          <w:highlight w:val="none"/>
        </w:rPr>
        <w:t>文件。</w:t>
      </w:r>
    </w:p>
    <w:p w14:paraId="72D20CFB">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备注：</w:t>
      </w:r>
    </w:p>
    <w:p w14:paraId="7F48F2CA">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供应商可通过浙江省“电子交易/不见面开评标”学习专题提前进行专题学习，熟悉操作，避免影响采购活动（https://edu.zcygov.cn/luban/e-biding）。</w:t>
      </w:r>
    </w:p>
    <w:p w14:paraId="2C97281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（四）响应文件的语言及计量</w:t>
      </w:r>
    </w:p>
    <w:p w14:paraId="3DE9EC2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2162A7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（五）磋商报价</w:t>
      </w:r>
    </w:p>
    <w:p w14:paraId="37676F25">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1.报价应按磋商文件要求的格式编制、填写报价内容（可自行增行），未按磋商文件要求编制、填写的响应文件可能被拒绝；</w:t>
      </w:r>
    </w:p>
    <w:p w14:paraId="161FB177">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2.本次磋商采用人民币报价；</w:t>
      </w:r>
    </w:p>
    <w:p w14:paraId="58E7DF98">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5279C15B">
      <w:pPr>
        <w:adjustRightInd w:val="0"/>
        <w:snapToGrid w:val="0"/>
        <w:spacing w:line="288" w:lineRule="auto"/>
        <w:ind w:firstLine="420" w:firstLineChars="200"/>
        <w:jc w:val="left"/>
        <w:rPr>
          <w:rFonts w:hint="eastAsia" w:cs="Times New Roman"/>
          <w:color w:val="auto"/>
          <w:sz w:val="21"/>
          <w:szCs w:val="21"/>
          <w:highlight w:val="none"/>
        </w:rPr>
      </w:pPr>
      <w:r>
        <w:rPr>
          <w:rFonts w:hint="eastAsia" w:cs="Times New Roman"/>
          <w:color w:val="auto"/>
          <w:sz w:val="21"/>
          <w:szCs w:val="21"/>
          <w:highlight w:val="none"/>
        </w:rPr>
        <w:t>▲4.采购人将以合同形式有偿取得货物、工程和服务，不接受供应商给予的赠品、回扣或者与采购无关的其他商品、服务。</w:t>
      </w:r>
    </w:p>
    <w:p w14:paraId="23FB928F">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（六）响应有效期</w:t>
      </w:r>
    </w:p>
    <w:p w14:paraId="05322AE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▲从提交响应文件的截止之日起90天。在原响应有效期满之前，如果出现特殊情况，采购人或采购代理机构以书面形式通知供应商延长响应有效期。</w:t>
      </w:r>
    </w:p>
    <w:p w14:paraId="70A4A72C">
      <w:pPr>
        <w:widowControl/>
        <w:adjustRightInd w:val="0"/>
        <w:snapToGrid w:val="0"/>
        <w:spacing w:line="288" w:lineRule="auto"/>
        <w:jc w:val="left"/>
        <w:rPr>
          <w:rFonts w:hint="eastAsia"/>
          <w:b/>
          <w:bCs/>
          <w:color w:val="auto"/>
          <w:sz w:val="21"/>
          <w:szCs w:val="21"/>
          <w:highlight w:val="none"/>
        </w:rPr>
      </w:pPr>
      <w:r>
        <w:rPr>
          <w:b/>
          <w:bCs/>
          <w:color w:val="auto"/>
          <w:sz w:val="21"/>
          <w:szCs w:val="21"/>
          <w:highlight w:val="none"/>
        </w:rPr>
        <w:br w:type="page"/>
      </w:r>
    </w:p>
    <w:p w14:paraId="77AE3938">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四、响应无效的情形</w:t>
      </w:r>
    </w:p>
    <w:p w14:paraId="71D60B75">
      <w:pPr>
        <w:adjustRightInd w:val="0"/>
        <w:snapToGrid w:val="0"/>
        <w:spacing w:line="288" w:lineRule="auto"/>
        <w:ind w:firstLine="420" w:firstLineChars="200"/>
        <w:rPr>
          <w:rFonts w:hint="eastAsia"/>
          <w:color w:val="auto"/>
          <w:sz w:val="21"/>
          <w:szCs w:val="21"/>
          <w:highlight w:val="none"/>
        </w:rPr>
      </w:pPr>
      <w:bookmarkStart w:id="56" w:name="_Hlk97039899"/>
      <w:r>
        <w:rPr>
          <w:rFonts w:hint="eastAsia"/>
          <w:color w:val="auto"/>
          <w:sz w:val="21"/>
          <w:szCs w:val="21"/>
          <w:highlight w:val="none"/>
        </w:rPr>
        <w:t>未响应磋商文件“▲”标记条款要求的，响应无效。</w:t>
      </w:r>
    </w:p>
    <w:bookmarkEnd w:id="56"/>
    <w:p w14:paraId="3B8279EC">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1.在资格审查时，如发现下列情形之一的，响应文件将被视为无效：</w:t>
      </w:r>
    </w:p>
    <w:p w14:paraId="178C144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（1）资格证明材料不全的，或者不符合磋商文件要求；</w:t>
      </w:r>
    </w:p>
    <w:p w14:paraId="73F37EF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）供应商不具备磋商文件中规定的资格要求；</w:t>
      </w:r>
    </w:p>
    <w:p w14:paraId="5F5B0EB7">
      <w:pPr>
        <w:adjustRightInd w:val="0"/>
        <w:snapToGrid w:val="0"/>
        <w:spacing w:line="288" w:lineRule="auto"/>
        <w:ind w:firstLine="420" w:firstLineChars="200"/>
        <w:rPr>
          <w:rFonts w:hint="eastAsia"/>
          <w:color w:val="auto"/>
          <w:sz w:val="21"/>
          <w:szCs w:val="21"/>
          <w:highlight w:val="none"/>
        </w:rPr>
      </w:pPr>
      <w:bookmarkStart w:id="57" w:name="_Hlk97039841"/>
      <w:r>
        <w:rPr>
          <w:rFonts w:hint="eastAsia"/>
          <w:color w:val="auto"/>
          <w:sz w:val="21"/>
          <w:szCs w:val="21"/>
          <w:highlight w:val="none"/>
        </w:rPr>
        <w:t>（3）资格文件未按要求签署、盖章。</w:t>
      </w:r>
    </w:p>
    <w:bookmarkEnd w:id="57"/>
    <w:p w14:paraId="435070DA">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2.在符合性审查、商务和技术评审时，如发现下列情形之一的，响应文件将被视为无效：</w:t>
      </w:r>
    </w:p>
    <w:p w14:paraId="00062408">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（1）商务和技术文件未按要求签署、盖章；</w:t>
      </w:r>
    </w:p>
    <w:p w14:paraId="06A0E94D">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2）未提供或未按要求提供响应函、授权委托书；</w:t>
      </w:r>
    </w:p>
    <w:p w14:paraId="6622F0C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3）委托授权代表参加</w:t>
      </w:r>
      <w:r>
        <w:rPr>
          <w:rFonts w:hint="eastAsia"/>
          <w:color w:val="auto"/>
          <w:sz w:val="21"/>
          <w:szCs w:val="21"/>
          <w:highlight w:val="none"/>
        </w:rPr>
        <w:t>采购活动</w:t>
      </w:r>
      <w:r>
        <w:rPr>
          <w:color w:val="auto"/>
          <w:sz w:val="21"/>
          <w:szCs w:val="21"/>
          <w:highlight w:val="none"/>
        </w:rPr>
        <w:t>但未提供符合要求的授权代表社保缴纳证明；</w:t>
      </w:r>
    </w:p>
    <w:p w14:paraId="657B3C67">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（4）未提供或未如实提供采购需求偏离表；</w:t>
      </w:r>
    </w:p>
    <w:p w14:paraId="43C921B2">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（5）明显不符合磋商文件要求，</w:t>
      </w:r>
      <w:r>
        <w:rPr>
          <w:rFonts w:hint="eastAsia"/>
          <w:color w:val="auto"/>
          <w:spacing w:val="-6"/>
          <w:sz w:val="21"/>
          <w:szCs w:val="21"/>
          <w:highlight w:val="none"/>
        </w:rPr>
        <w:t>或</w:t>
      </w:r>
      <w:r>
        <w:rPr>
          <w:rFonts w:hint="eastAsia"/>
          <w:color w:val="auto"/>
          <w:sz w:val="21"/>
          <w:szCs w:val="21"/>
          <w:highlight w:val="none"/>
        </w:rPr>
        <w:t>负偏离达到规定数目的，</w:t>
      </w:r>
      <w:r>
        <w:rPr>
          <w:rFonts w:hint="eastAsia"/>
          <w:color w:val="auto"/>
          <w:spacing w:val="-6"/>
          <w:sz w:val="21"/>
          <w:szCs w:val="21"/>
          <w:highlight w:val="none"/>
        </w:rPr>
        <w:t>视为采购人不能接受的附加条件；</w:t>
      </w:r>
    </w:p>
    <w:p w14:paraId="161E812F">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6</w:t>
      </w:r>
      <w:r>
        <w:rPr>
          <w:rFonts w:hint="eastAsia"/>
          <w:color w:val="auto"/>
          <w:sz w:val="21"/>
          <w:szCs w:val="21"/>
          <w:highlight w:val="none"/>
        </w:rPr>
        <w:t>）响应技术方案不明确，存在一个或一个以上备选（替代）响应方案；</w:t>
      </w:r>
    </w:p>
    <w:p w14:paraId="2B4EA18C">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7</w:t>
      </w:r>
      <w:r>
        <w:rPr>
          <w:rFonts w:hint="eastAsia"/>
          <w:color w:val="auto"/>
          <w:sz w:val="21"/>
          <w:szCs w:val="21"/>
          <w:highlight w:val="none"/>
        </w:rPr>
        <w:t>）响应文件含有采购人不能接受的附加条件；</w:t>
      </w:r>
    </w:p>
    <w:p w14:paraId="0298378D">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w:t>
      </w:r>
      <w:r>
        <w:rPr>
          <w:color w:val="auto"/>
          <w:sz w:val="21"/>
          <w:szCs w:val="21"/>
          <w:highlight w:val="none"/>
        </w:rPr>
        <w:t>8</w:t>
      </w:r>
      <w:r>
        <w:rPr>
          <w:rFonts w:hint="eastAsia"/>
          <w:color w:val="auto"/>
          <w:sz w:val="21"/>
          <w:szCs w:val="21"/>
          <w:highlight w:val="none"/>
        </w:rPr>
        <w:t>）法律、法规和磋商文件规定的其他无效情形。</w:t>
      </w:r>
    </w:p>
    <w:p w14:paraId="2497DED6">
      <w:pPr>
        <w:adjustRightInd w:val="0"/>
        <w:snapToGrid w:val="0"/>
        <w:spacing w:line="288" w:lineRule="auto"/>
        <w:ind w:firstLine="422" w:firstLineChars="200"/>
        <w:jc w:val="left"/>
        <w:rPr>
          <w:rFonts w:hint="eastAsia"/>
          <w:b/>
          <w:bCs/>
          <w:color w:val="auto"/>
          <w:sz w:val="21"/>
          <w:szCs w:val="21"/>
          <w:highlight w:val="none"/>
        </w:rPr>
      </w:pPr>
      <w:r>
        <w:rPr>
          <w:rFonts w:hint="eastAsia"/>
          <w:b/>
          <w:bCs/>
          <w:color w:val="auto"/>
          <w:sz w:val="21"/>
          <w:szCs w:val="21"/>
          <w:highlight w:val="none"/>
        </w:rPr>
        <w:t>3.在报价评审时，如发现下列情形之一的，响应文件将被视为无效：</w:t>
      </w:r>
    </w:p>
    <w:p w14:paraId="714C7D93">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（1）最后报价超过磋商文件中规定的预算金额或最高限价；</w:t>
      </w:r>
    </w:p>
    <w:p w14:paraId="1E7A6C5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（2）最后报价具有选择性。</w:t>
      </w:r>
    </w:p>
    <w:p w14:paraId="599AE38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（3）未按规定提交磋商记录或最后报价的，视为退出磋商，响应无效。</w:t>
      </w:r>
    </w:p>
    <w:p w14:paraId="2616918C">
      <w:pPr>
        <w:widowControl/>
        <w:adjustRightInd w:val="0"/>
        <w:snapToGrid w:val="0"/>
        <w:spacing w:line="288" w:lineRule="auto"/>
        <w:ind w:firstLine="396" w:firstLineChars="200"/>
        <w:jc w:val="left"/>
        <w:rPr>
          <w:rFonts w:hint="eastAsia" w:cs="Times New Roman"/>
          <w:color w:val="auto"/>
          <w:spacing w:val="-6"/>
          <w:sz w:val="21"/>
          <w:szCs w:val="21"/>
          <w:highlight w:val="none"/>
        </w:rPr>
      </w:pPr>
      <w:r>
        <w:rPr>
          <w:rFonts w:hint="eastAsia" w:cs="Times New Roman"/>
          <w:color w:val="auto"/>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4ADA7EDA">
      <w:pPr>
        <w:adjustRightInd w:val="0"/>
        <w:snapToGrid w:val="0"/>
        <w:spacing w:line="288" w:lineRule="auto"/>
        <w:ind w:firstLine="422" w:firstLineChars="200"/>
        <w:rPr>
          <w:rFonts w:hint="eastAsia"/>
          <w:b/>
          <w:bCs/>
          <w:color w:val="auto"/>
          <w:sz w:val="21"/>
          <w:szCs w:val="21"/>
          <w:highlight w:val="none"/>
        </w:rPr>
      </w:pPr>
      <w:r>
        <w:rPr>
          <w:rFonts w:hint="eastAsia"/>
          <w:b/>
          <w:bCs/>
          <w:color w:val="auto"/>
          <w:sz w:val="21"/>
          <w:szCs w:val="21"/>
          <w:highlight w:val="none"/>
        </w:rPr>
        <w:t>4.有下列情形之一的，视为供应商串通，其响应无效：</w:t>
      </w:r>
    </w:p>
    <w:p w14:paraId="3B41469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（1）不同供应商的响应文件由同一单位或者个人编制；</w:t>
      </w:r>
    </w:p>
    <w:p w14:paraId="523ED192">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（2）不同供应商委托同一单位或者个人办理磋商事宜；</w:t>
      </w:r>
    </w:p>
    <w:p w14:paraId="4EFAB46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（3）不同供应商的响应文件载明的项目管理成员或者联系人员为同一人；</w:t>
      </w:r>
    </w:p>
    <w:p w14:paraId="02E73ED1">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（4）不同供应商的响应文件异常一致或者最后报价呈规律性差异；</w:t>
      </w:r>
    </w:p>
    <w:p w14:paraId="7C618D45">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（5）不同供应商的响应文件相互混装。</w:t>
      </w:r>
    </w:p>
    <w:p w14:paraId="45759CDC">
      <w:pPr>
        <w:adjustRightInd w:val="0"/>
        <w:snapToGrid w:val="0"/>
        <w:spacing w:line="288" w:lineRule="auto"/>
        <w:ind w:firstLine="398" w:firstLineChars="200"/>
        <w:rPr>
          <w:rFonts w:hint="eastAsia"/>
          <w:b/>
          <w:color w:val="auto"/>
          <w:sz w:val="21"/>
          <w:highlight w:val="none"/>
        </w:rPr>
      </w:pPr>
      <w:r>
        <w:rPr>
          <w:rFonts w:hint="eastAsia"/>
          <w:b/>
          <w:color w:val="auto"/>
          <w:spacing w:val="-6"/>
          <w:sz w:val="21"/>
          <w:szCs w:val="21"/>
          <w:highlight w:val="none"/>
          <w:lang w:bidi="ar"/>
        </w:rPr>
        <w:t>5.</w:t>
      </w:r>
      <w:r>
        <w:rPr>
          <w:rFonts w:hint="eastAsia"/>
          <w:b/>
          <w:color w:val="auto"/>
          <w:sz w:val="21"/>
          <w:highlight w:val="none"/>
          <w:lang w:bidi="ar"/>
        </w:rPr>
        <w:t>参与同一个采购包（标项）的供应商存在下列情形之一</w:t>
      </w:r>
      <w:r>
        <w:rPr>
          <w:rFonts w:hint="eastAsia"/>
          <w:b/>
          <w:bCs/>
          <w:color w:val="auto"/>
          <w:sz w:val="21"/>
          <w:szCs w:val="21"/>
          <w:highlight w:val="none"/>
          <w:lang w:bidi="ar"/>
        </w:rPr>
        <w:t>且无法合理解释</w:t>
      </w:r>
      <w:r>
        <w:rPr>
          <w:rFonts w:hint="eastAsia"/>
          <w:b/>
          <w:color w:val="auto"/>
          <w:sz w:val="21"/>
          <w:highlight w:val="none"/>
          <w:lang w:bidi="ar"/>
        </w:rPr>
        <w:t>的，其响应文件无效：</w:t>
      </w:r>
    </w:p>
    <w:p w14:paraId="4C0F7A04">
      <w:pP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（1）不同供应商的电子响应文件上传计算机的网卡MAC地址或硬盘序列号等硬件信息相同的；</w:t>
      </w:r>
    </w:p>
    <w:p w14:paraId="08C8B9FB">
      <w:pP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（2）上传的电子响应文件若出现使用本项目其他响应供应商的数字证书加密的，或者加盖本项目其他响应供应商的电子印章的；</w:t>
      </w:r>
    </w:p>
    <w:p w14:paraId="17939373">
      <w:pPr>
        <w:adjustRightInd w:val="0"/>
        <w:snapToGrid w:val="0"/>
        <w:spacing w:line="288" w:lineRule="auto"/>
        <w:ind w:firstLine="420" w:firstLineChars="200"/>
        <w:rPr>
          <w:rFonts w:hint="eastAsia"/>
          <w:color w:val="auto"/>
          <w:sz w:val="21"/>
          <w:highlight w:val="none"/>
        </w:rPr>
      </w:pPr>
      <w:r>
        <w:rPr>
          <w:rFonts w:hint="eastAsia"/>
          <w:color w:val="auto"/>
          <w:sz w:val="21"/>
          <w:highlight w:val="none"/>
          <w:lang w:bidi="ar"/>
        </w:rPr>
        <w:t>（3）不同供应商的响应文件的内容存在</w:t>
      </w:r>
      <w:r>
        <w:rPr>
          <w:rFonts w:hint="eastAsia"/>
          <w:color w:val="auto"/>
          <w:sz w:val="21"/>
          <w:szCs w:val="21"/>
          <w:highlight w:val="none"/>
          <w:lang w:bidi="ar"/>
        </w:rPr>
        <w:t>3</w:t>
      </w:r>
      <w:r>
        <w:rPr>
          <w:rFonts w:hint="eastAsia"/>
          <w:color w:val="auto"/>
          <w:sz w:val="21"/>
          <w:highlight w:val="none"/>
          <w:lang w:bidi="ar"/>
        </w:rPr>
        <w:t>处（含）以上错误一致的；</w:t>
      </w:r>
    </w:p>
    <w:p w14:paraId="138C5E46">
      <w:pPr>
        <w:adjustRightInd w:val="0"/>
        <w:snapToGrid w:val="0"/>
        <w:spacing w:line="288" w:lineRule="auto"/>
        <w:ind w:firstLine="420" w:firstLineChars="200"/>
        <w:rPr>
          <w:rFonts w:hint="eastAsia"/>
          <w:color w:val="auto"/>
          <w:sz w:val="21"/>
          <w:szCs w:val="21"/>
          <w:highlight w:val="none"/>
        </w:rPr>
      </w:pPr>
      <w:r>
        <w:rPr>
          <w:rFonts w:hint="eastAsia"/>
          <w:color w:val="auto"/>
          <w:sz w:val="21"/>
          <w:highlight w:val="none"/>
          <w:lang w:bidi="ar"/>
        </w:rPr>
        <w:t>（4）不同供应商联系人为同一人或不同联系人的联系电话一致的。</w:t>
      </w:r>
    </w:p>
    <w:p w14:paraId="0B095F73">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019F8537">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五、响应文件开启</w:t>
      </w:r>
    </w:p>
    <w:p w14:paraId="5FC63890">
      <w:pPr>
        <w:autoSpaceDE w:val="0"/>
        <w:autoSpaceDN w:val="0"/>
        <w:adjustRightInd w:val="0"/>
        <w:snapToGrid w:val="0"/>
        <w:spacing w:line="288" w:lineRule="auto"/>
        <w:ind w:firstLine="422" w:firstLineChars="201"/>
        <w:rPr>
          <w:rFonts w:hint="eastAsia" w:cs="仿宋_GB2312"/>
          <w:color w:val="auto"/>
          <w:kern w:val="0"/>
          <w:sz w:val="21"/>
          <w:szCs w:val="21"/>
          <w:highlight w:val="none"/>
        </w:rPr>
      </w:pPr>
      <w:r>
        <w:rPr>
          <w:rFonts w:cs="仿宋_GB2312"/>
          <w:color w:val="auto"/>
          <w:kern w:val="0"/>
          <w:sz w:val="21"/>
          <w:szCs w:val="21"/>
          <w:highlight w:val="none"/>
        </w:rPr>
        <w:t>采购</w:t>
      </w:r>
      <w:r>
        <w:rPr>
          <w:rFonts w:hint="eastAsia" w:cs="仿宋_GB2312"/>
          <w:color w:val="auto"/>
          <w:kern w:val="0"/>
          <w:sz w:val="21"/>
          <w:szCs w:val="21"/>
          <w:highlight w:val="none"/>
        </w:rPr>
        <w:t>代理</w:t>
      </w:r>
      <w:r>
        <w:rPr>
          <w:rFonts w:cs="仿宋_GB2312"/>
          <w:color w:val="auto"/>
          <w:kern w:val="0"/>
          <w:sz w:val="21"/>
          <w:szCs w:val="21"/>
          <w:highlight w:val="none"/>
        </w:rPr>
        <w:t>机构按照磋商文件规定的时间通过电子交易平台组织开启，所有供应商均应当准时在线参加。供应商不足3家的，不得开启。</w:t>
      </w:r>
    </w:p>
    <w:p w14:paraId="5274E53F">
      <w:pPr>
        <w:autoSpaceDE w:val="0"/>
        <w:autoSpaceDN w:val="0"/>
        <w:adjustRightInd w:val="0"/>
        <w:snapToGrid w:val="0"/>
        <w:spacing w:line="288" w:lineRule="auto"/>
        <w:ind w:firstLine="422" w:firstLineChars="201"/>
        <w:rPr>
          <w:rFonts w:hint="eastAsia" w:cs="仿宋_GB2312"/>
          <w:color w:val="auto"/>
          <w:kern w:val="0"/>
          <w:sz w:val="21"/>
          <w:szCs w:val="21"/>
          <w:highlight w:val="none"/>
        </w:rPr>
      </w:pPr>
      <w:r>
        <w:rPr>
          <w:rFonts w:cs="仿宋_GB2312"/>
          <w:color w:val="auto"/>
          <w:kern w:val="0"/>
          <w:sz w:val="21"/>
          <w:szCs w:val="21"/>
          <w:highlight w:val="none"/>
        </w:rPr>
        <w:t>开启时，电子交易平台按开启时间自动提取所有响应文件。</w:t>
      </w:r>
      <w:r>
        <w:rPr>
          <w:rFonts w:hint="eastAsia" w:cs="仿宋_GB2312"/>
          <w:color w:val="auto"/>
          <w:kern w:val="0"/>
          <w:sz w:val="21"/>
          <w:szCs w:val="21"/>
          <w:highlight w:val="none"/>
        </w:rPr>
        <w:t>采购人或代理</w:t>
      </w:r>
      <w:r>
        <w:rPr>
          <w:rFonts w:cs="仿宋_GB2312"/>
          <w:color w:val="auto"/>
          <w:kern w:val="0"/>
          <w:sz w:val="21"/>
          <w:szCs w:val="21"/>
          <w:highlight w:val="none"/>
        </w:rPr>
        <w:t>机构依托电子交易平台发起开始解密指令，供应商按照平台提示和磋商文件的规定在半小时内完成在线解密。</w:t>
      </w:r>
    </w:p>
    <w:p w14:paraId="698B8DA2">
      <w:pPr>
        <w:adjustRightInd w:val="0"/>
        <w:snapToGrid w:val="0"/>
        <w:spacing w:line="288" w:lineRule="auto"/>
        <w:ind w:firstLine="422" w:firstLineChars="200"/>
        <w:rPr>
          <w:rFonts w:hint="eastAsia" w:cs="仿宋_GB2312"/>
          <w:b/>
          <w:color w:val="auto"/>
          <w:sz w:val="21"/>
          <w:szCs w:val="21"/>
          <w:highlight w:val="none"/>
        </w:rPr>
      </w:pPr>
      <w:r>
        <w:rPr>
          <w:rFonts w:hint="eastAsia" w:cs="仿宋_GB2312"/>
          <w:b/>
          <w:color w:val="auto"/>
          <w:sz w:val="21"/>
          <w:szCs w:val="21"/>
          <w:highlight w:val="none"/>
        </w:rPr>
        <w:t>响应文件未按时解密，供应商提供了备份响应文件的，以备份响应文件作为依据，否则视为响应文件撤回。响应文件已按时解密的，备份响应文件自动失效。</w:t>
      </w:r>
    </w:p>
    <w:p w14:paraId="29C56156">
      <w:pPr>
        <w:adjustRightInd w:val="0"/>
        <w:snapToGrid w:val="0"/>
        <w:spacing w:line="288" w:lineRule="auto"/>
        <w:ind w:firstLine="398" w:firstLineChars="200"/>
        <w:rPr>
          <w:rFonts w:hint="eastAsia" w:cs="Times New Roman"/>
          <w:b/>
          <w:bCs/>
          <w:color w:val="auto"/>
          <w:spacing w:val="-6"/>
          <w:sz w:val="21"/>
          <w:szCs w:val="21"/>
          <w:highlight w:val="none"/>
        </w:rPr>
      </w:pPr>
    </w:p>
    <w:p w14:paraId="1433DFC9">
      <w:pPr>
        <w:adjustRightInd w:val="0"/>
        <w:snapToGrid w:val="0"/>
        <w:spacing w:line="288" w:lineRule="auto"/>
        <w:ind w:firstLine="398" w:firstLineChars="200"/>
        <w:rPr>
          <w:rFonts w:hint="eastAsia" w:cs="Times New Roman"/>
          <w:b/>
          <w:bCs/>
          <w:color w:val="auto"/>
          <w:spacing w:val="-6"/>
          <w:sz w:val="21"/>
          <w:szCs w:val="21"/>
          <w:highlight w:val="none"/>
        </w:rPr>
      </w:pPr>
      <w:r>
        <w:rPr>
          <w:rFonts w:hint="eastAsia" w:cs="Times New Roman"/>
          <w:b/>
          <w:bCs/>
          <w:color w:val="auto"/>
          <w:spacing w:val="-6"/>
          <w:sz w:val="21"/>
          <w:szCs w:val="21"/>
          <w:highlight w:val="none"/>
        </w:rPr>
        <w:t>特别说明：如遇政府采购云平台电子化开启或评审程序调整的，按调整后程序执行。</w:t>
      </w:r>
    </w:p>
    <w:p w14:paraId="251CD6B2">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E6538BD">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六、评审程序</w:t>
      </w:r>
    </w:p>
    <w:p w14:paraId="6C3E8ED6">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6FAA253">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磋商文件内容违反国家有关强制性规定的，磋商小组应当停止评审并向采购人或者采购代理机构说明情况。</w:t>
      </w:r>
    </w:p>
    <w:p w14:paraId="48322A49">
      <w:pPr>
        <w:widowControl/>
        <w:adjustRightInd w:val="0"/>
        <w:snapToGrid w:val="0"/>
        <w:spacing w:line="288" w:lineRule="auto"/>
        <w:ind w:firstLine="424" w:firstLineChars="201"/>
        <w:jc w:val="left"/>
        <w:rPr>
          <w:rFonts w:hint="eastAsia" w:cs="仿宋_GB2312"/>
          <w:b/>
          <w:color w:val="auto"/>
          <w:sz w:val="21"/>
          <w:szCs w:val="21"/>
          <w:highlight w:val="none"/>
        </w:rPr>
      </w:pPr>
      <w:r>
        <w:rPr>
          <w:rFonts w:hint="eastAsia" w:cs="仿宋_GB2312"/>
          <w:b/>
          <w:color w:val="auto"/>
          <w:sz w:val="21"/>
          <w:szCs w:val="21"/>
          <w:highlight w:val="none"/>
        </w:rPr>
        <w:t>（一）</w:t>
      </w:r>
      <w:r>
        <w:rPr>
          <w:rFonts w:cs="仿宋_GB2312"/>
          <w:b/>
          <w:color w:val="auto"/>
          <w:sz w:val="21"/>
          <w:szCs w:val="21"/>
          <w:highlight w:val="none"/>
        </w:rPr>
        <w:t>资格审查</w:t>
      </w:r>
    </w:p>
    <w:p w14:paraId="478D0E15">
      <w:pPr>
        <w:adjustRightInd w:val="0"/>
        <w:snapToGrid w:val="0"/>
        <w:spacing w:line="288" w:lineRule="auto"/>
        <w:ind w:firstLine="422" w:firstLineChars="201"/>
        <w:rPr>
          <w:rFonts w:hint="eastAsia" w:cs="仿宋_GB2312"/>
          <w:color w:val="auto"/>
          <w:sz w:val="21"/>
          <w:szCs w:val="21"/>
          <w:highlight w:val="none"/>
        </w:rPr>
      </w:pPr>
      <w:r>
        <w:rPr>
          <w:rFonts w:cs="Arial"/>
          <w:color w:val="auto"/>
          <w:kern w:val="0"/>
          <w:sz w:val="21"/>
          <w:szCs w:val="21"/>
          <w:highlight w:val="none"/>
        </w:rPr>
        <w:t>开启后，</w:t>
      </w:r>
      <w:r>
        <w:rPr>
          <w:rFonts w:hint="eastAsia" w:cs="仿宋_GB2312"/>
          <w:color w:val="auto"/>
          <w:sz w:val="21"/>
          <w:szCs w:val="21"/>
          <w:highlight w:val="none"/>
        </w:rPr>
        <w:t>磋商小组依据法律法规和磋商文件的规定，对供应商的资格条件进行审查。</w:t>
      </w:r>
    </w:p>
    <w:p w14:paraId="0962141F">
      <w:pPr>
        <w:adjustRightInd w:val="0"/>
        <w:snapToGrid w:val="0"/>
        <w:spacing w:line="288" w:lineRule="auto"/>
        <w:ind w:firstLine="422" w:firstLineChars="201"/>
        <w:rPr>
          <w:rFonts w:hint="eastAsia" w:cs="仿宋_GB2312"/>
          <w:color w:val="auto"/>
          <w:sz w:val="21"/>
          <w:szCs w:val="21"/>
          <w:highlight w:val="none"/>
        </w:rPr>
      </w:pPr>
      <w:r>
        <w:rPr>
          <w:rFonts w:cs="仿宋_GB2312"/>
          <w:color w:val="auto"/>
          <w:sz w:val="21"/>
          <w:szCs w:val="21"/>
          <w:highlight w:val="none"/>
        </w:rPr>
        <w:t>对未通过资格审查的供应商，</w:t>
      </w:r>
      <w:r>
        <w:rPr>
          <w:rFonts w:hint="eastAsia" w:cs="仿宋_GB2312"/>
          <w:color w:val="auto"/>
          <w:sz w:val="21"/>
          <w:szCs w:val="21"/>
          <w:highlight w:val="none"/>
        </w:rPr>
        <w:t>磋商小组</w:t>
      </w:r>
      <w:r>
        <w:rPr>
          <w:rFonts w:cs="仿宋_GB2312"/>
          <w:color w:val="auto"/>
          <w:sz w:val="21"/>
          <w:szCs w:val="21"/>
          <w:highlight w:val="none"/>
        </w:rPr>
        <w:t>告知其未通过的原因。</w:t>
      </w:r>
    </w:p>
    <w:p w14:paraId="12AAB099">
      <w:pPr>
        <w:adjustRightInd w:val="0"/>
        <w:snapToGrid w:val="0"/>
        <w:spacing w:line="288" w:lineRule="auto"/>
        <w:ind w:firstLine="422" w:firstLineChars="201"/>
        <w:rPr>
          <w:rFonts w:hint="eastAsia" w:cs="仿宋_GB2312"/>
          <w:color w:val="auto"/>
          <w:sz w:val="21"/>
          <w:szCs w:val="21"/>
          <w:highlight w:val="none"/>
        </w:rPr>
      </w:pPr>
      <w:r>
        <w:rPr>
          <w:rFonts w:cs="仿宋_GB2312"/>
          <w:color w:val="auto"/>
          <w:sz w:val="21"/>
          <w:szCs w:val="21"/>
          <w:highlight w:val="none"/>
        </w:rPr>
        <w:t>通过资格审查的供应商不足3家的，不再评审。</w:t>
      </w:r>
    </w:p>
    <w:p w14:paraId="39458E10">
      <w:pPr>
        <w:adjustRightInd w:val="0"/>
        <w:snapToGrid w:val="0"/>
        <w:spacing w:line="288" w:lineRule="auto"/>
        <w:ind w:firstLine="424" w:firstLineChars="201"/>
        <w:rPr>
          <w:rFonts w:hint="eastAsia" w:cs="仿宋_GB2312"/>
          <w:b/>
          <w:color w:val="auto"/>
          <w:sz w:val="21"/>
          <w:szCs w:val="21"/>
          <w:highlight w:val="none"/>
        </w:rPr>
      </w:pPr>
      <w:r>
        <w:rPr>
          <w:rFonts w:hint="eastAsia" w:cs="仿宋_GB2312"/>
          <w:b/>
          <w:color w:val="auto"/>
          <w:sz w:val="21"/>
          <w:szCs w:val="21"/>
          <w:highlight w:val="none"/>
        </w:rPr>
        <w:t>（二）</w:t>
      </w:r>
      <w:r>
        <w:rPr>
          <w:rFonts w:cs="仿宋_GB2312"/>
          <w:b/>
          <w:color w:val="auto"/>
          <w:sz w:val="21"/>
          <w:szCs w:val="21"/>
          <w:highlight w:val="none"/>
        </w:rPr>
        <w:t>信用信息查询</w:t>
      </w:r>
    </w:p>
    <w:p w14:paraId="3C67C34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根据财库</w:t>
      </w:r>
      <w:r>
        <w:rPr>
          <w:color w:val="auto"/>
          <w:sz w:val="21"/>
          <w:szCs w:val="21"/>
          <w:highlight w:val="none"/>
        </w:rPr>
        <w:t>[2016]125号《关于在政府采购活动中查询及使用信用记录有关问题的通知》要求，采购代理机构会对供应商信用记录进行查询并甄别。信用信息查询的截止时点：响应截止时间；</w:t>
      </w:r>
    </w:p>
    <w:p w14:paraId="73BBF90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1</w:t>
      </w:r>
      <w:r>
        <w:rPr>
          <w:rFonts w:hint="eastAsia"/>
          <w:color w:val="auto"/>
          <w:sz w:val="21"/>
          <w:szCs w:val="21"/>
          <w:highlight w:val="none"/>
        </w:rPr>
        <w:t>）查询渠道：“信用中国”（www.creditchina.gov.cn）、“中国政府采购网”（www.ccgp.gov.cn）；</w:t>
      </w:r>
    </w:p>
    <w:p w14:paraId="0D4D40C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w:t>
      </w:r>
      <w:r>
        <w:rPr>
          <w:rFonts w:hint="eastAsia"/>
          <w:color w:val="auto"/>
          <w:sz w:val="21"/>
          <w:szCs w:val="21"/>
          <w:highlight w:val="none"/>
        </w:rPr>
        <w:t>）信用信息查询记录和证据留存具体方式：采购代理机构经办人和监督人员将查询网页打印、签名与其他采购文件一并保存；</w:t>
      </w:r>
    </w:p>
    <w:p w14:paraId="67BB1E2F">
      <w:pPr>
        <w:adjustRightInd w:val="0"/>
        <w:snapToGrid w:val="0"/>
        <w:spacing w:line="288" w:lineRule="auto"/>
        <w:ind w:firstLine="422" w:firstLineChars="201"/>
        <w:rPr>
          <w:rFonts w:hint="eastAsia"/>
          <w:bCs/>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bCs/>
          <w:color w:val="auto"/>
          <w:sz w:val="21"/>
          <w:szCs w:val="21"/>
          <w:highlight w:val="none"/>
        </w:rPr>
        <w:t>）信用信息的使用规则：供应商被列入失信被执行人、重大税收违法案件当事人名单、政府采购严重违法失信行为记录名单的，拒绝其参与政府采购活动。</w:t>
      </w:r>
    </w:p>
    <w:p w14:paraId="1081CFA3">
      <w:pPr>
        <w:adjustRightInd w:val="0"/>
        <w:snapToGrid w:val="0"/>
        <w:spacing w:line="288" w:lineRule="auto"/>
        <w:ind w:firstLine="422" w:firstLineChars="201"/>
        <w:rPr>
          <w:rFonts w:hint="eastAsia"/>
          <w:color w:val="auto"/>
          <w:kern w:val="0"/>
          <w:sz w:val="21"/>
          <w:szCs w:val="21"/>
          <w:highlight w:val="none"/>
        </w:rPr>
      </w:pPr>
      <w:r>
        <w:rPr>
          <w:rFonts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color w:val="auto"/>
          <w:sz w:val="21"/>
          <w:szCs w:val="21"/>
          <w:highlight w:val="none"/>
        </w:rPr>
        <w:t>。</w:t>
      </w:r>
    </w:p>
    <w:p w14:paraId="5F075C88">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（三）</w:t>
      </w:r>
      <w:r>
        <w:rPr>
          <w:rFonts w:cs="Arial"/>
          <w:b/>
          <w:color w:val="auto"/>
          <w:kern w:val="0"/>
          <w:sz w:val="21"/>
          <w:szCs w:val="21"/>
          <w:highlight w:val="none"/>
        </w:rPr>
        <w:t>符合性审查</w:t>
      </w:r>
    </w:p>
    <w:p w14:paraId="3875AFB7">
      <w:pPr>
        <w:adjustRightInd w:val="0"/>
        <w:snapToGrid w:val="0"/>
        <w:spacing w:line="288" w:lineRule="auto"/>
        <w:ind w:firstLine="424" w:firstLineChars="202"/>
        <w:rPr>
          <w:rFonts w:hint="eastAsia" w:cs="Arial"/>
          <w:color w:val="auto"/>
          <w:kern w:val="0"/>
          <w:sz w:val="21"/>
          <w:szCs w:val="21"/>
          <w:highlight w:val="none"/>
        </w:rPr>
      </w:pPr>
      <w:r>
        <w:rPr>
          <w:rFonts w:cs="Arial"/>
          <w:color w:val="auto"/>
          <w:kern w:val="0"/>
          <w:sz w:val="21"/>
          <w:szCs w:val="21"/>
          <w:highlight w:val="none"/>
        </w:rPr>
        <w:t>磋商小组对符合资格的</w:t>
      </w:r>
      <w:r>
        <w:rPr>
          <w:rFonts w:hint="eastAsia" w:cs="Arial"/>
          <w:color w:val="auto"/>
          <w:kern w:val="0"/>
          <w:sz w:val="21"/>
          <w:szCs w:val="21"/>
          <w:highlight w:val="none"/>
        </w:rPr>
        <w:t>供应商</w:t>
      </w:r>
      <w:r>
        <w:rPr>
          <w:rFonts w:cs="Arial"/>
          <w:color w:val="auto"/>
          <w:kern w:val="0"/>
          <w:sz w:val="21"/>
          <w:szCs w:val="21"/>
          <w:highlight w:val="none"/>
        </w:rPr>
        <w:t>的</w:t>
      </w:r>
      <w:r>
        <w:rPr>
          <w:rFonts w:hint="eastAsia" w:cs="Arial"/>
          <w:color w:val="auto"/>
          <w:kern w:val="0"/>
          <w:sz w:val="21"/>
          <w:szCs w:val="21"/>
          <w:highlight w:val="none"/>
        </w:rPr>
        <w:t>响应</w:t>
      </w:r>
      <w:r>
        <w:rPr>
          <w:rFonts w:cs="Arial"/>
          <w:color w:val="auto"/>
          <w:kern w:val="0"/>
          <w:sz w:val="21"/>
          <w:szCs w:val="21"/>
          <w:highlight w:val="none"/>
        </w:rPr>
        <w:t>文件进行符合性审查，以确定其是否满足磋商文件的实质性要求。</w:t>
      </w:r>
    </w:p>
    <w:p w14:paraId="15E2BEF3">
      <w:pPr>
        <w:adjustRightInd w:val="0"/>
        <w:snapToGrid w:val="0"/>
        <w:spacing w:line="288" w:lineRule="auto"/>
        <w:ind w:firstLine="426" w:firstLineChars="202"/>
        <w:rPr>
          <w:rFonts w:hint="eastAsia" w:cs="Arial"/>
          <w:b/>
          <w:bCs/>
          <w:color w:val="auto"/>
          <w:kern w:val="0"/>
          <w:sz w:val="21"/>
          <w:szCs w:val="21"/>
          <w:highlight w:val="none"/>
        </w:rPr>
      </w:pPr>
      <w:r>
        <w:rPr>
          <w:rFonts w:hint="eastAsia" w:cs="Arial"/>
          <w:b/>
          <w:bCs/>
          <w:color w:val="auto"/>
          <w:kern w:val="0"/>
          <w:sz w:val="21"/>
          <w:szCs w:val="21"/>
          <w:highlight w:val="none"/>
        </w:rPr>
        <w:t>（四）磋商</w:t>
      </w:r>
    </w:p>
    <w:p w14:paraId="36C41DFC">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磋商小组所有成员应当集中与单一供应商分别进行磋商，并给予所有参加磋商的供应商平等的磋商机会。</w:t>
      </w:r>
    </w:p>
    <w:p w14:paraId="1CBF1EBF">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6B0B42D3">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对磋商文件作出的实质性变动是磋商文件的有效组成部分，磋商小组</w:t>
      </w:r>
      <w:r>
        <w:rPr>
          <w:rFonts w:hint="eastAsia"/>
          <w:color w:val="auto"/>
          <w:kern w:val="0"/>
          <w:sz w:val="21"/>
          <w:szCs w:val="21"/>
          <w:highlight w:val="none"/>
        </w:rPr>
        <w:t>通过政府采购云平台</w:t>
      </w:r>
      <w:r>
        <w:rPr>
          <w:rFonts w:hint="eastAsia" w:cs="Arial"/>
          <w:color w:val="auto"/>
          <w:kern w:val="0"/>
          <w:sz w:val="21"/>
          <w:szCs w:val="21"/>
          <w:highlight w:val="none"/>
        </w:rPr>
        <w:t>以书面形式同时通知所有参加磋商的供应商。</w:t>
      </w:r>
    </w:p>
    <w:p w14:paraId="2A0F96C2">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33175EED">
      <w:pPr>
        <w:adjustRightInd w:val="0"/>
        <w:snapToGrid w:val="0"/>
        <w:spacing w:line="288" w:lineRule="auto"/>
        <w:ind w:firstLine="420" w:firstLineChars="200"/>
        <w:rPr>
          <w:rFonts w:hint="eastAsia"/>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供应商的磋商内容无法通过政府采购云平台上传的，可在规定时间内（不少于半小时）通过指定的电子邮箱（zb03@qszb.net</w:t>
      </w:r>
      <w:r>
        <w:rPr>
          <w:color w:val="auto"/>
          <w:kern w:val="0"/>
          <w:sz w:val="21"/>
          <w:szCs w:val="21"/>
          <w:highlight w:val="none"/>
        </w:rPr>
        <w:t>）或传真号码（0571-87666116）提交。</w:t>
      </w:r>
    </w:p>
    <w:p w14:paraId="22A18AC2">
      <w:pPr>
        <w:adjustRightInd w:val="0"/>
        <w:snapToGrid w:val="0"/>
        <w:spacing w:line="288" w:lineRule="auto"/>
        <w:ind w:firstLine="426" w:firstLineChars="202"/>
        <w:rPr>
          <w:rFonts w:hint="eastAsia" w:cs="Arial"/>
          <w:b/>
          <w:bCs/>
          <w:color w:val="auto"/>
          <w:kern w:val="0"/>
          <w:sz w:val="21"/>
          <w:szCs w:val="21"/>
          <w:highlight w:val="none"/>
        </w:rPr>
      </w:pPr>
      <w:r>
        <w:rPr>
          <w:rFonts w:hint="eastAsia" w:cs="Arial"/>
          <w:b/>
          <w:bCs/>
          <w:color w:val="auto"/>
          <w:kern w:val="0"/>
          <w:sz w:val="21"/>
          <w:szCs w:val="21"/>
          <w:highlight w:val="none"/>
        </w:rPr>
        <w:t>（五）最后报价</w:t>
      </w:r>
    </w:p>
    <w:p w14:paraId="2A54F418">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1824F85D">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D58D1B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3373243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最后报价出现前后不一致的，按照下列规定修正：</w:t>
      </w:r>
    </w:p>
    <w:p w14:paraId="634122A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（一）最后报价内容与响应文件中相应内容不一致的，以最后报价为准；</w:t>
      </w:r>
    </w:p>
    <w:p w14:paraId="54DC38B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（二）大写金额和小写金额不一致的，以大写金额为准；</w:t>
      </w:r>
    </w:p>
    <w:p w14:paraId="1F79881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（三）单价金额小数点或者百分比有明显错位的，以最后报价的总价为准，并修改单价；</w:t>
      </w:r>
    </w:p>
    <w:p w14:paraId="1466EDF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（四）总价金额与按单价汇总金额不一致的，以单价金额计算结果为准。</w:t>
      </w:r>
    </w:p>
    <w:p w14:paraId="4BC3F02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36DFDBD5">
      <w:pPr>
        <w:adjustRightInd w:val="0"/>
        <w:snapToGrid w:val="0"/>
        <w:spacing w:line="288" w:lineRule="auto"/>
        <w:ind w:firstLine="420" w:firstLineChars="200"/>
        <w:rPr>
          <w:rFonts w:hint="eastAsia"/>
          <w:color w:val="auto"/>
          <w:sz w:val="21"/>
          <w:szCs w:val="21"/>
          <w:highlight w:val="none"/>
        </w:rPr>
      </w:pPr>
    </w:p>
    <w:p w14:paraId="45015CE9">
      <w:pPr>
        <w:widowControl/>
        <w:adjustRightInd w:val="0"/>
        <w:snapToGrid w:val="0"/>
        <w:spacing w:line="288" w:lineRule="auto"/>
        <w:ind w:firstLine="414" w:firstLineChars="200"/>
        <w:rPr>
          <w:rFonts w:hint="eastAsia"/>
          <w:b/>
          <w:bCs/>
          <w:color w:val="auto"/>
          <w:spacing w:val="-2"/>
          <w:kern w:val="0"/>
          <w:sz w:val="21"/>
          <w:szCs w:val="21"/>
          <w:highlight w:val="none"/>
          <w:shd w:val="clear" w:color="auto" w:fill="FFFFFF"/>
          <w:lang w:bidi="ar"/>
        </w:rPr>
      </w:pPr>
      <w:r>
        <w:rPr>
          <w:rFonts w:hint="eastAsia"/>
          <w:b/>
          <w:bCs/>
          <w:color w:val="auto"/>
          <w:spacing w:val="-2"/>
          <w:kern w:val="0"/>
          <w:sz w:val="21"/>
          <w:szCs w:val="21"/>
          <w:highlight w:val="none"/>
          <w:shd w:val="clear" w:color="auto" w:fill="FFFFFF"/>
          <w:lang w:bidi="ar"/>
        </w:rPr>
        <w:t>评审中出现下列情形之一的，磋商应当启动异常低价响应审查程序：</w:t>
      </w:r>
    </w:p>
    <w:p w14:paraId="60562B03">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（一）最后报价低于全部通过符合性审查供应商最后报价平均值50%的，即最后报价&lt;全部通过符合性审查供应商最后报价平均值×50%；</w:t>
      </w:r>
    </w:p>
    <w:p w14:paraId="64BD0028">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（二）最后报价低于通过符合性审查且报价次低供应商最后报价50%的，即最后报价&lt;通过符合性审查且报价次低供应商最后报价×50%；</w:t>
      </w:r>
    </w:p>
    <w:p w14:paraId="41BBF837">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（三）最后报价低于采购项目最高限价45%的，即最后报价&lt;采购项目最高限价×45%；</w:t>
      </w:r>
    </w:p>
    <w:p w14:paraId="632E2F38">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（四）其他磋商小组认为供应商报价过低，有可能影响产品质量或者不能诚信履约的情形。</w:t>
      </w:r>
    </w:p>
    <w:p w14:paraId="7DD65DFE">
      <w:pPr>
        <w:widowControl/>
        <w:adjustRightInd w:val="0"/>
        <w:snapToGrid w:val="0"/>
        <w:spacing w:line="288" w:lineRule="auto"/>
        <w:ind w:firstLine="412" w:firstLineChars="200"/>
        <w:rPr>
          <w:rFonts w:hint="eastAsia"/>
          <w:color w:val="auto"/>
          <w:spacing w:val="-2"/>
          <w:kern w:val="0"/>
          <w:sz w:val="21"/>
          <w:szCs w:val="21"/>
          <w:highlight w:val="none"/>
          <w:shd w:val="clear" w:color="auto" w:fill="FFFFFF"/>
          <w:lang w:bidi="ar"/>
        </w:rPr>
      </w:pPr>
      <w:r>
        <w:rPr>
          <w:rFonts w:hint="eastAsia"/>
          <w:color w:val="auto"/>
          <w:spacing w:val="-2"/>
          <w:kern w:val="0"/>
          <w:sz w:val="21"/>
          <w:szCs w:val="21"/>
          <w:highlight w:val="none"/>
          <w:shd w:val="clear" w:color="auto" w:fill="FFFFFF"/>
          <w:lang w:bidi="ar"/>
        </w:rPr>
        <w:t>磋商小组启动异常低价响应审查后，</w:t>
      </w:r>
      <w:r>
        <w:rPr>
          <w:rFonts w:hint="eastAsia"/>
          <w:color w:val="auto"/>
          <w:spacing w:val="-2"/>
          <w:kern w:val="0"/>
          <w:sz w:val="21"/>
          <w:szCs w:val="21"/>
          <w:highlight w:val="none"/>
          <w:u w:val="single"/>
          <w:shd w:val="clear" w:color="auto" w:fill="FFFFFF"/>
          <w:lang w:bidi="ar"/>
        </w:rPr>
        <w:t>应当要求相关供应商在评审现场合理的时间内提供书面说明及必要的证明材料，对响应价格作出解释。</w:t>
      </w:r>
      <w:r>
        <w:rPr>
          <w:rFonts w:hint="eastAsia"/>
          <w:color w:val="auto"/>
          <w:spacing w:val="-2"/>
          <w:kern w:val="0"/>
          <w:sz w:val="21"/>
          <w:szCs w:val="21"/>
          <w:highlight w:val="none"/>
          <w:shd w:val="clear" w:color="auto" w:fill="FFFFFF"/>
          <w:lang w:bidi="ar"/>
        </w:rPr>
        <w:t>书面说明、证明材料主要是</w:t>
      </w:r>
      <w:r>
        <w:rPr>
          <w:rFonts w:hint="eastAsia"/>
          <w:b/>
          <w:bCs/>
          <w:color w:val="auto"/>
          <w:spacing w:val="-2"/>
          <w:kern w:val="0"/>
          <w:sz w:val="21"/>
          <w:szCs w:val="21"/>
          <w:highlight w:val="none"/>
          <w:shd w:val="clear" w:color="auto" w:fill="FFFFFF"/>
          <w:lang w:bidi="ar"/>
        </w:rPr>
        <w:t>项目具体成本测算等与报价合理性相关的说明、材料</w:t>
      </w:r>
      <w:r>
        <w:rPr>
          <w:rFonts w:hint="eastAsia"/>
          <w:color w:val="auto"/>
          <w:spacing w:val="-2"/>
          <w:kern w:val="0"/>
          <w:sz w:val="21"/>
          <w:szCs w:val="21"/>
          <w:highlight w:val="none"/>
          <w:shd w:val="clear" w:color="auto" w:fill="FFFFFF"/>
          <w:lang w:bidi="ar"/>
        </w:rPr>
        <w:t>。</w:t>
      </w:r>
    </w:p>
    <w:p w14:paraId="23E0D3A2">
      <w:pPr>
        <w:adjustRightInd w:val="0"/>
        <w:snapToGrid w:val="0"/>
        <w:spacing w:line="288" w:lineRule="auto"/>
        <w:ind w:firstLine="416" w:firstLineChars="202"/>
        <w:rPr>
          <w:rFonts w:hint="eastAsia" w:cs="Arial"/>
          <w:b/>
          <w:color w:val="auto"/>
          <w:kern w:val="0"/>
          <w:szCs w:val="21"/>
          <w:highlight w:val="none"/>
        </w:rPr>
      </w:pPr>
      <w:r>
        <w:rPr>
          <w:rFonts w:hint="eastAsia"/>
          <w:color w:val="auto"/>
          <w:spacing w:val="-2"/>
          <w:kern w:val="0"/>
          <w:sz w:val="21"/>
          <w:szCs w:val="21"/>
          <w:highlight w:val="none"/>
          <w:shd w:val="clear" w:color="auto" w:fill="FFFFFF"/>
          <w:lang w:bidi="ar"/>
        </w:rPr>
        <w:t>磋商小组应当</w:t>
      </w:r>
      <w:r>
        <w:rPr>
          <w:rFonts w:hint="eastAsia"/>
          <w:color w:val="auto"/>
          <w:spacing w:val="-2"/>
          <w:kern w:val="0"/>
          <w:sz w:val="21"/>
          <w:szCs w:val="21"/>
          <w:highlight w:val="none"/>
          <w:u w:val="single"/>
          <w:shd w:val="clear" w:color="auto" w:fill="FFFFFF"/>
          <w:lang w:bidi="ar"/>
        </w:rPr>
        <w:t>结合同类产品在主要电商平台的价格、该行业当地薪资水平等情况，依据专业经验对报价合理性进行判断。</w:t>
      </w:r>
      <w:r>
        <w:rPr>
          <w:rFonts w:hint="eastAsia"/>
          <w:color w:val="auto"/>
          <w:spacing w:val="-2"/>
          <w:kern w:val="0"/>
          <w:sz w:val="21"/>
          <w:szCs w:val="21"/>
          <w:highlight w:val="none"/>
          <w:shd w:val="clear" w:color="auto" w:fill="FFFFFF"/>
          <w:lang w:bidi="ar"/>
        </w:rPr>
        <w:t>如果响应供应商不提供书面说明、证明材料，或者提供的书面说明、证明材料不能证明其报价合理性的，应当将其作为无效响应处理。审查相关情况应当在评审报告中记录。</w:t>
      </w:r>
    </w:p>
    <w:p w14:paraId="0323B929">
      <w:pPr>
        <w:adjustRightInd w:val="0"/>
        <w:snapToGrid w:val="0"/>
        <w:spacing w:line="288" w:lineRule="auto"/>
        <w:ind w:firstLine="420" w:firstLineChars="200"/>
        <w:rPr>
          <w:rFonts w:hint="eastAsia"/>
          <w:color w:val="auto"/>
          <w:sz w:val="21"/>
          <w:szCs w:val="21"/>
          <w:highlight w:val="none"/>
        </w:rPr>
      </w:pPr>
    </w:p>
    <w:p w14:paraId="0C82FC11">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（六）综合评分</w:t>
      </w:r>
    </w:p>
    <w:p w14:paraId="180CC510">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经磋商确定最终采购需求和提交最后报价的供应商后，由磋商小组采用</w:t>
      </w:r>
      <w:r>
        <w:rPr>
          <w:rFonts w:hint="eastAsia" w:cs="Arial"/>
          <w:b/>
          <w:bCs/>
          <w:color w:val="auto"/>
          <w:kern w:val="0"/>
          <w:sz w:val="21"/>
          <w:szCs w:val="21"/>
          <w:highlight w:val="none"/>
        </w:rPr>
        <w:t>综合评分法</w:t>
      </w:r>
      <w:r>
        <w:rPr>
          <w:rFonts w:hint="eastAsia" w:cs="Arial"/>
          <w:color w:val="auto"/>
          <w:kern w:val="0"/>
          <w:sz w:val="21"/>
          <w:szCs w:val="21"/>
          <w:highlight w:val="none"/>
        </w:rPr>
        <w:t>对提交最后报价的供应商的响应文件和最后报价进行综合评分。</w:t>
      </w:r>
    </w:p>
    <w:p w14:paraId="3CF0B9B7">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综合评分法，是指响应文件满足磋商文件全部实质性要求且按评审因素的量化指标评审得分最高的供应商为成交候选供应商的评审方法。</w:t>
      </w:r>
    </w:p>
    <w:p w14:paraId="7A1173F0">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（七）</w:t>
      </w:r>
      <w:r>
        <w:rPr>
          <w:rFonts w:cs="Arial"/>
          <w:b/>
          <w:color w:val="auto"/>
          <w:kern w:val="0"/>
          <w:sz w:val="21"/>
          <w:szCs w:val="21"/>
          <w:highlight w:val="none"/>
        </w:rPr>
        <w:t>汇总商务技术得分</w:t>
      </w:r>
    </w:p>
    <w:p w14:paraId="0A99A73E">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磋商小组各成员独立对进入最后报价的供应商的商务和技术文件进行评价，并汇总商务技术得分情况。</w:t>
      </w:r>
    </w:p>
    <w:p w14:paraId="43B19C1D">
      <w:pPr>
        <w:adjustRightInd w:val="0"/>
        <w:snapToGrid w:val="0"/>
        <w:spacing w:line="288" w:lineRule="auto"/>
        <w:ind w:firstLine="424" w:firstLineChars="202"/>
        <w:rPr>
          <w:rFonts w:hint="eastAsia" w:cs="Arial"/>
          <w:color w:val="auto"/>
          <w:kern w:val="0"/>
          <w:sz w:val="21"/>
          <w:szCs w:val="21"/>
          <w:highlight w:val="none"/>
        </w:rPr>
      </w:pPr>
      <w:bookmarkStart w:id="58" w:name="_Hlk94088579"/>
      <w:r>
        <w:rPr>
          <w:rFonts w:hint="eastAsia" w:cs="Arial"/>
          <w:color w:val="auto"/>
          <w:kern w:val="0"/>
          <w:sz w:val="21"/>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58"/>
    <w:p w14:paraId="0FBECCEB">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（八）排序与推荐</w:t>
      </w:r>
    </w:p>
    <w:p w14:paraId="25C818AF">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磋商小组应当根据综合评分情况，按照评审得分由高到低顺序推荐</w:t>
      </w:r>
      <w:r>
        <w:rPr>
          <w:rFonts w:cs="Arial"/>
          <w:color w:val="auto"/>
          <w:kern w:val="0"/>
          <w:sz w:val="21"/>
          <w:szCs w:val="21"/>
          <w:highlight w:val="none"/>
        </w:rPr>
        <w:t>3名以上成交候选供应商，并编写评审报告。符合</w:t>
      </w:r>
      <w:r>
        <w:rPr>
          <w:rFonts w:hint="eastAsia" w:cs="Arial"/>
          <w:color w:val="auto"/>
          <w:kern w:val="0"/>
          <w:sz w:val="21"/>
          <w:szCs w:val="21"/>
          <w:highlight w:val="none"/>
        </w:rPr>
        <w:t>《政府采购竞争性磋商采购方式管理暂行办法》（财库〔</w:t>
      </w:r>
      <w:r>
        <w:rPr>
          <w:rFonts w:cs="Arial"/>
          <w:color w:val="auto"/>
          <w:kern w:val="0"/>
          <w:sz w:val="21"/>
          <w:szCs w:val="21"/>
          <w:highlight w:val="none"/>
        </w:rPr>
        <w:t>2014〕214号</w:t>
      </w:r>
      <w:r>
        <w:rPr>
          <w:rFonts w:hint="eastAsia" w:cs="Arial"/>
          <w:color w:val="auto"/>
          <w:kern w:val="0"/>
          <w:sz w:val="21"/>
          <w:szCs w:val="21"/>
          <w:highlight w:val="none"/>
        </w:rPr>
        <w:t>）</w:t>
      </w:r>
      <w:r>
        <w:rPr>
          <w:rFonts w:cs="Arial"/>
          <w:color w:val="auto"/>
          <w:kern w:val="0"/>
          <w:sz w:val="21"/>
          <w:szCs w:val="21"/>
          <w:highlight w:val="none"/>
        </w:rPr>
        <w:t>第二十一条第三款情形的，可以推荐2家成交候选供应商。评审得分相同的，按照最后报价由低到高的顺序推荐。评审得分且最后报价相同的，按照技术指标优劣顺序推荐。</w:t>
      </w:r>
    </w:p>
    <w:p w14:paraId="0867A5BA">
      <w:pPr>
        <w:adjustRightInd w:val="0"/>
        <w:snapToGrid w:val="0"/>
        <w:spacing w:line="288" w:lineRule="auto"/>
        <w:ind w:firstLine="426" w:firstLineChars="202"/>
        <w:rPr>
          <w:rFonts w:hint="eastAsia" w:cs="Arial"/>
          <w:b/>
          <w:color w:val="auto"/>
          <w:kern w:val="0"/>
          <w:sz w:val="21"/>
          <w:szCs w:val="21"/>
          <w:highlight w:val="none"/>
        </w:rPr>
      </w:pPr>
      <w:r>
        <w:rPr>
          <w:rFonts w:hint="eastAsia" w:cs="Arial"/>
          <w:b/>
          <w:color w:val="auto"/>
          <w:kern w:val="0"/>
          <w:sz w:val="21"/>
          <w:szCs w:val="21"/>
          <w:highlight w:val="none"/>
        </w:rPr>
        <w:t>（九）</w:t>
      </w:r>
      <w:r>
        <w:rPr>
          <w:rFonts w:cs="Arial"/>
          <w:b/>
          <w:color w:val="auto"/>
          <w:kern w:val="0"/>
          <w:sz w:val="21"/>
          <w:szCs w:val="21"/>
          <w:highlight w:val="none"/>
        </w:rPr>
        <w:t>编写评审报告</w:t>
      </w:r>
    </w:p>
    <w:p w14:paraId="0B4D943C">
      <w:pPr>
        <w:adjustRightInd w:val="0"/>
        <w:snapToGrid w:val="0"/>
        <w:spacing w:line="288" w:lineRule="auto"/>
        <w:ind w:firstLine="424" w:firstLineChars="202"/>
        <w:rPr>
          <w:rFonts w:hint="eastAsia" w:cs="Arial"/>
          <w:color w:val="auto"/>
          <w:kern w:val="0"/>
          <w:sz w:val="21"/>
          <w:szCs w:val="21"/>
          <w:highlight w:val="none"/>
        </w:rPr>
      </w:pPr>
      <w:r>
        <w:rPr>
          <w:rFonts w:hint="eastAsia" w:cs="Arial"/>
          <w:color w:val="auto"/>
          <w:kern w:val="0"/>
          <w:sz w:val="21"/>
          <w:szCs w:val="21"/>
          <w:highlight w:val="none"/>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3A3C7619">
      <w:pPr>
        <w:adjustRightInd w:val="0"/>
        <w:snapToGrid w:val="0"/>
        <w:spacing w:line="288" w:lineRule="auto"/>
        <w:ind w:firstLine="426" w:firstLineChars="202"/>
        <w:rPr>
          <w:rFonts w:hint="eastAsia"/>
          <w:b/>
          <w:bCs/>
          <w:color w:val="auto"/>
          <w:sz w:val="21"/>
          <w:szCs w:val="21"/>
          <w:highlight w:val="none"/>
        </w:rPr>
      </w:pPr>
      <w:r>
        <w:rPr>
          <w:rFonts w:hint="eastAsia" w:cs="Arial"/>
          <w:b/>
          <w:color w:val="auto"/>
          <w:kern w:val="0"/>
          <w:sz w:val="21"/>
          <w:szCs w:val="21"/>
          <w:highlight w:val="none"/>
        </w:rPr>
        <w:t>（十）补充说明</w:t>
      </w:r>
    </w:p>
    <w:p w14:paraId="3C8B6EAE">
      <w:pPr>
        <w:adjustRightInd w:val="0"/>
        <w:snapToGrid w:val="0"/>
        <w:spacing w:line="288" w:lineRule="auto"/>
        <w:ind w:firstLine="420" w:firstLineChars="200"/>
        <w:rPr>
          <w:rFonts w:hint="eastAsia"/>
          <w:color w:val="auto"/>
          <w:sz w:val="21"/>
          <w:szCs w:val="21"/>
          <w:highlight w:val="none"/>
        </w:rPr>
      </w:pPr>
      <w:bookmarkStart w:id="59" w:name="_Hlk144907900"/>
      <w:r>
        <w:rPr>
          <w:rFonts w:hint="eastAsia"/>
          <w:color w:val="auto"/>
          <w:sz w:val="21"/>
          <w:szCs w:val="21"/>
          <w:highlight w:val="none"/>
        </w:rPr>
        <w:t>采用竞争性磋商采购方式采购的政府购买服务项目（含政府和社会资本合作项目），在采购过程中符合要求的供应商（社会资本）只有2家的，竞争性磋商采购活动可以继续进行。</w:t>
      </w:r>
    </w:p>
    <w:bookmarkEnd w:id="59"/>
    <w:p w14:paraId="4C21DBA2">
      <w:pPr>
        <w:widowControl/>
        <w:adjustRightInd w:val="0"/>
        <w:snapToGrid w:val="0"/>
        <w:spacing w:line="288" w:lineRule="auto"/>
        <w:jc w:val="left"/>
        <w:rPr>
          <w:rFonts w:hint="eastAsia" w:cs="Times New Roman"/>
          <w:b/>
          <w:color w:val="auto"/>
          <w:spacing w:val="-6"/>
          <w:sz w:val="21"/>
          <w:szCs w:val="21"/>
          <w:highlight w:val="none"/>
        </w:rPr>
      </w:pPr>
      <w:r>
        <w:rPr>
          <w:rFonts w:cs="Times New Roman"/>
          <w:b/>
          <w:color w:val="auto"/>
          <w:spacing w:val="-6"/>
          <w:sz w:val="21"/>
          <w:szCs w:val="21"/>
          <w:highlight w:val="none"/>
        </w:rPr>
        <w:br w:type="page"/>
      </w:r>
    </w:p>
    <w:p w14:paraId="49F3A833">
      <w:pPr>
        <w:adjustRightInd w:val="0"/>
        <w:snapToGrid w:val="0"/>
        <w:spacing w:line="288" w:lineRule="auto"/>
        <w:jc w:val="center"/>
        <w:outlineLvl w:val="1"/>
        <w:rPr>
          <w:rFonts w:hint="eastAsia" w:cs="Times New Roman"/>
          <w:b/>
          <w:color w:val="auto"/>
          <w:spacing w:val="-6"/>
          <w:sz w:val="21"/>
          <w:szCs w:val="21"/>
          <w:highlight w:val="none"/>
        </w:rPr>
      </w:pPr>
      <w:r>
        <w:rPr>
          <w:rFonts w:hint="eastAsia" w:cs="Times New Roman"/>
          <w:b/>
          <w:color w:val="auto"/>
          <w:spacing w:val="-6"/>
          <w:sz w:val="21"/>
          <w:szCs w:val="21"/>
          <w:highlight w:val="none"/>
        </w:rPr>
        <w:t>七、成交与合同</w:t>
      </w:r>
    </w:p>
    <w:p w14:paraId="238877E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（一）成交</w:t>
      </w:r>
    </w:p>
    <w:p w14:paraId="456CCEC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A459DC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2.采购代理机构在成交供应商确定后</w:t>
      </w:r>
      <w:r>
        <w:rPr>
          <w:color w:val="auto"/>
          <w:sz w:val="21"/>
          <w:szCs w:val="21"/>
          <w:highlight w:val="none"/>
        </w:rPr>
        <w:t>2个工作日内公告成交结果，同时向成交供应商发出成交通知书，并将磋商文件随成交结果同时公告。</w:t>
      </w:r>
    </w:p>
    <w:p w14:paraId="5BC2D44D">
      <w:pPr>
        <w:adjustRightInd w:val="0"/>
        <w:snapToGrid w:val="0"/>
        <w:spacing w:line="288" w:lineRule="auto"/>
        <w:ind w:firstLine="420" w:firstLineChars="200"/>
        <w:rPr>
          <w:rFonts w:hint="eastAsia"/>
          <w:b/>
          <w:bCs/>
          <w:color w:val="auto"/>
          <w:sz w:val="21"/>
          <w:szCs w:val="21"/>
          <w:highlight w:val="none"/>
        </w:rPr>
      </w:pPr>
      <w:r>
        <w:rPr>
          <w:rFonts w:hint="eastAsia"/>
          <w:color w:val="auto"/>
          <w:sz w:val="21"/>
          <w:szCs w:val="21"/>
          <w:highlight w:val="none"/>
        </w:rPr>
        <w:t>3</w:t>
      </w:r>
      <w:r>
        <w:rPr>
          <w:color w:val="auto"/>
          <w:sz w:val="21"/>
          <w:szCs w:val="21"/>
          <w:highlight w:val="none"/>
        </w:rPr>
        <w:t>.</w:t>
      </w:r>
      <w:r>
        <w:rPr>
          <w:rFonts w:hint="eastAsia"/>
          <w:color w:val="auto"/>
          <w:sz w:val="21"/>
          <w:szCs w:val="21"/>
          <w:highlight w:val="none"/>
        </w:rPr>
        <w:t>评审结果公示媒体：浙江政府采购网（http://zfcg.czt.zj.gov.cn）。</w:t>
      </w:r>
    </w:p>
    <w:p w14:paraId="5C57754C">
      <w:pPr>
        <w:adjustRightInd w:val="0"/>
        <w:snapToGrid w:val="0"/>
        <w:spacing w:line="288" w:lineRule="auto"/>
        <w:jc w:val="left"/>
        <w:rPr>
          <w:rFonts w:hint="eastAsia"/>
          <w:b/>
          <w:bCs/>
          <w:color w:val="auto"/>
          <w:sz w:val="21"/>
          <w:szCs w:val="21"/>
          <w:highlight w:val="none"/>
        </w:rPr>
      </w:pPr>
      <w:r>
        <w:rPr>
          <w:rFonts w:hint="eastAsia"/>
          <w:b/>
          <w:bCs/>
          <w:color w:val="auto"/>
          <w:sz w:val="21"/>
          <w:szCs w:val="21"/>
          <w:highlight w:val="none"/>
        </w:rPr>
        <w:t>（二）合同授予</w:t>
      </w:r>
    </w:p>
    <w:p w14:paraId="223BD0F5">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BCC1381">
      <w:pPr>
        <w:adjustRightInd w:val="0"/>
        <w:snapToGrid w:val="0"/>
        <w:spacing w:line="288" w:lineRule="auto"/>
        <w:ind w:firstLine="420" w:firstLineChars="200"/>
        <w:jc w:val="left"/>
        <w:rPr>
          <w:rFonts w:hint="eastAsia"/>
          <w:color w:val="auto"/>
          <w:sz w:val="21"/>
          <w:szCs w:val="21"/>
          <w:highlight w:val="none"/>
        </w:rPr>
      </w:pPr>
      <w:r>
        <w:rPr>
          <w:rFonts w:hint="eastAsia"/>
          <w:color w:val="auto"/>
          <w:sz w:val="21"/>
          <w:szCs w:val="21"/>
          <w:highlight w:val="none"/>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F15272A">
      <w:pPr>
        <w:adjustRightInd w:val="0"/>
        <w:snapToGrid w:val="0"/>
        <w:spacing w:line="288" w:lineRule="auto"/>
        <w:rPr>
          <w:rFonts w:hint="eastAsia"/>
          <w:color w:val="auto"/>
          <w:sz w:val="21"/>
          <w:szCs w:val="21"/>
          <w:highlight w:val="none"/>
        </w:rPr>
      </w:pPr>
    </w:p>
    <w:p w14:paraId="398C2DEE">
      <w:pPr>
        <w:adjustRightInd w:val="0"/>
        <w:snapToGrid w:val="0"/>
        <w:spacing w:line="288" w:lineRule="auto"/>
        <w:jc w:val="center"/>
        <w:outlineLvl w:val="1"/>
        <w:rPr>
          <w:rFonts w:hint="eastAsia" w:cs="Times New Roman"/>
          <w:b/>
          <w:color w:val="auto"/>
          <w:spacing w:val="-6"/>
          <w:sz w:val="21"/>
          <w:szCs w:val="21"/>
          <w:highlight w:val="none"/>
        </w:rPr>
      </w:pPr>
      <w:r>
        <w:rPr>
          <w:rFonts w:hint="eastAsia" w:cs="Times New Roman"/>
          <w:b/>
          <w:color w:val="auto"/>
          <w:spacing w:val="-6"/>
          <w:sz w:val="21"/>
          <w:szCs w:val="21"/>
          <w:highlight w:val="none"/>
        </w:rPr>
        <w:t>八、</w:t>
      </w:r>
      <w:r>
        <w:rPr>
          <w:rFonts w:cs="Times New Roman"/>
          <w:b/>
          <w:color w:val="auto"/>
          <w:spacing w:val="-6"/>
          <w:sz w:val="21"/>
          <w:szCs w:val="21"/>
          <w:highlight w:val="none"/>
        </w:rPr>
        <w:t>验</w:t>
      </w:r>
      <w:r>
        <w:rPr>
          <w:rFonts w:hint="eastAsia" w:cs="Times New Roman"/>
          <w:b/>
          <w:color w:val="auto"/>
          <w:spacing w:val="-6"/>
          <w:sz w:val="21"/>
          <w:szCs w:val="21"/>
          <w:highlight w:val="none"/>
        </w:rPr>
        <w:t xml:space="preserve"> </w:t>
      </w:r>
      <w:r>
        <w:rPr>
          <w:rFonts w:cs="Times New Roman"/>
          <w:b/>
          <w:color w:val="auto"/>
          <w:spacing w:val="-6"/>
          <w:sz w:val="21"/>
          <w:szCs w:val="21"/>
          <w:highlight w:val="none"/>
        </w:rPr>
        <w:t xml:space="preserve"> 收</w:t>
      </w:r>
    </w:p>
    <w:p w14:paraId="51CADBBA">
      <w:pP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6E5C475C">
      <w:pP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采购人可以邀请参加本项目的其他供应商或者第三方机构参与验收。参与验收的供应商或者第三方机构的意见作为</w:t>
      </w:r>
      <w:r>
        <w:rPr>
          <w:rFonts w:hint="eastAsia" w:cs="Helvetica"/>
          <w:color w:val="auto"/>
          <w:kern w:val="0"/>
          <w:sz w:val="21"/>
          <w:szCs w:val="21"/>
          <w:highlight w:val="none"/>
        </w:rPr>
        <w:t>验收书的参考资料一并存档。</w:t>
      </w:r>
    </w:p>
    <w:p w14:paraId="652A77A0">
      <w:pP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93C21D9">
      <w:pPr>
        <w:tabs>
          <w:tab w:val="left" w:pos="0"/>
        </w:tabs>
        <w:adjustRightInd w:val="0"/>
        <w:snapToGrid w:val="0"/>
        <w:spacing w:line="288" w:lineRule="auto"/>
        <w:ind w:firstLine="422" w:firstLineChars="201"/>
        <w:rPr>
          <w:rFonts w:hint="eastAsia" w:cs="Helvetica"/>
          <w:color w:val="auto"/>
          <w:kern w:val="0"/>
          <w:sz w:val="21"/>
          <w:szCs w:val="21"/>
          <w:highlight w:val="none"/>
        </w:rPr>
      </w:pPr>
      <w:r>
        <w:rPr>
          <w:rFonts w:cs="Helvetic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2EB4AD1">
      <w:pPr>
        <w:adjustRightInd w:val="0"/>
        <w:snapToGrid w:val="0"/>
        <w:spacing w:line="288" w:lineRule="auto"/>
        <w:rPr>
          <w:rFonts w:hint="eastAsia"/>
          <w:color w:val="auto"/>
          <w:sz w:val="21"/>
          <w:szCs w:val="21"/>
          <w:highlight w:val="none"/>
        </w:rPr>
      </w:pPr>
    </w:p>
    <w:p w14:paraId="17A1E442">
      <w:pPr>
        <w:adjustRightInd w:val="0"/>
        <w:snapToGrid w:val="0"/>
        <w:spacing w:line="288" w:lineRule="auto"/>
        <w:jc w:val="center"/>
        <w:outlineLvl w:val="1"/>
        <w:rPr>
          <w:rFonts w:hint="eastAsia"/>
          <w:b/>
          <w:bCs/>
          <w:color w:val="auto"/>
          <w:sz w:val="21"/>
          <w:szCs w:val="21"/>
          <w:highlight w:val="none"/>
        </w:rPr>
      </w:pPr>
      <w:r>
        <w:rPr>
          <w:rFonts w:hint="eastAsia"/>
          <w:b/>
          <w:bCs/>
          <w:color w:val="auto"/>
          <w:sz w:val="21"/>
          <w:szCs w:val="21"/>
          <w:highlight w:val="none"/>
        </w:rPr>
        <w:t>九、可中止电子交易活动的情形</w:t>
      </w:r>
    </w:p>
    <w:p w14:paraId="38BE718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采购过程中出现以下情形，导致电子交易平台无法正常运行，或者无法保证电子交易的公平、公正和安全时，采购代理机构可中止电子交易活动：</w:t>
      </w:r>
    </w:p>
    <w:p w14:paraId="7D15FF56">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1.电子交易平台发生故障而无法登录访问的；</w:t>
      </w:r>
    </w:p>
    <w:p w14:paraId="4FF1886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2.电子交易平台应用或数据库出现错误，不能进行正常操作的；</w:t>
      </w:r>
    </w:p>
    <w:p w14:paraId="000A51C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3.电子交易平台发现严重安全漏洞，有潜在泄密危险的；</w:t>
      </w:r>
    </w:p>
    <w:p w14:paraId="26F0E769">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4.病毒发作导致不能进行正常操作的；</w:t>
      </w:r>
    </w:p>
    <w:p w14:paraId="02EA7AF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5.其他无法保证电子交易的公平、公正和安全的情况。</w:t>
      </w:r>
    </w:p>
    <w:p w14:paraId="787D2D33">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出现前款规定情形，不影响采购公平、公正性的，采购代理机构可以待上述情形消除后继续组织电子交易活动；影响或可能影响采购公平、公正性的，应当重新采购。</w:t>
      </w:r>
      <w:r>
        <w:rPr>
          <w:rFonts w:hint="eastAsia"/>
          <w:color w:val="auto"/>
          <w:sz w:val="21"/>
          <w:szCs w:val="21"/>
          <w:highlight w:val="none"/>
        </w:rPr>
        <w:br w:type="page"/>
      </w:r>
    </w:p>
    <w:p w14:paraId="753BEFF1">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第四章  评审方法和评审标准</w:t>
      </w:r>
    </w:p>
    <w:p w14:paraId="1770EF6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一、评审方法</w:t>
      </w:r>
    </w:p>
    <w:p w14:paraId="629D303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本次评审采用综合评分法，总分为100分。评分过程中采用四舍五入法，并保留小数2位。</w:t>
      </w:r>
    </w:p>
    <w:p w14:paraId="434E7F3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供应商评审综合得分=商务分+技术分+价格分</w:t>
      </w:r>
    </w:p>
    <w:p w14:paraId="35747D9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5103AED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794"/>
        <w:gridCol w:w="6789"/>
      </w:tblGrid>
      <w:tr w14:paraId="1DD5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Align w:val="center"/>
          </w:tcPr>
          <w:p w14:paraId="1556B6BD">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评审因素</w:t>
            </w:r>
          </w:p>
        </w:tc>
        <w:tc>
          <w:tcPr>
            <w:tcW w:w="794" w:type="dxa"/>
            <w:vAlign w:val="center"/>
          </w:tcPr>
          <w:p w14:paraId="3AAD1B38">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分值</w:t>
            </w:r>
          </w:p>
        </w:tc>
        <w:tc>
          <w:tcPr>
            <w:tcW w:w="6789" w:type="dxa"/>
            <w:vAlign w:val="center"/>
          </w:tcPr>
          <w:p w14:paraId="1DFA13C7">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评分标准</w:t>
            </w:r>
          </w:p>
        </w:tc>
      </w:tr>
      <w:tr w14:paraId="7A54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242A0028">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价格分</w:t>
            </w:r>
          </w:p>
        </w:tc>
      </w:tr>
      <w:tr w14:paraId="0E7E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Align w:val="center"/>
          </w:tcPr>
          <w:p w14:paraId="2171038B">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最后磋商报价</w:t>
            </w:r>
          </w:p>
        </w:tc>
        <w:tc>
          <w:tcPr>
            <w:tcW w:w="794" w:type="dxa"/>
            <w:vAlign w:val="center"/>
          </w:tcPr>
          <w:p w14:paraId="07A1AD5D">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10</w:t>
            </w:r>
          </w:p>
        </w:tc>
        <w:tc>
          <w:tcPr>
            <w:tcW w:w="6789" w:type="dxa"/>
            <w:vAlign w:val="center"/>
          </w:tcPr>
          <w:p w14:paraId="60846F4C">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价格分统一采用低价优先法计算，即满足磋商文件要求且最后报价最低的供应商的价格为磋商基准价，其价格分为满分。其他供应商的价格分统一按照下列公式计算：</w:t>
            </w:r>
          </w:p>
          <w:p w14:paraId="53AE9E62">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磋商报价得分=（磋商基准价/最后磋商报价）×10%×100</w:t>
            </w:r>
          </w:p>
          <w:p w14:paraId="6CFF0564">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注：本项目专门面向中小企业采购，不再执行价格评审优惠的扶持政策。</w:t>
            </w:r>
          </w:p>
        </w:tc>
      </w:tr>
      <w:tr w14:paraId="0EB5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31AB2BA3">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商务分</w:t>
            </w:r>
          </w:p>
        </w:tc>
      </w:tr>
      <w:tr w14:paraId="2200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Align w:val="center"/>
          </w:tcPr>
          <w:p w14:paraId="71C929F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业绩</w:t>
            </w:r>
          </w:p>
        </w:tc>
        <w:tc>
          <w:tcPr>
            <w:tcW w:w="794" w:type="dxa"/>
            <w:vAlign w:val="center"/>
          </w:tcPr>
          <w:p w14:paraId="4D5B8068">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1</w:t>
            </w:r>
          </w:p>
        </w:tc>
        <w:tc>
          <w:tcPr>
            <w:tcW w:w="6789" w:type="dxa"/>
            <w:vAlign w:val="center"/>
          </w:tcPr>
          <w:p w14:paraId="4A59FEE8">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【客观分】</w:t>
            </w:r>
          </w:p>
          <w:p w14:paraId="7994DE0C">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供应商自2022年1月1日以来（以合同签订时间为准）同类合同业绩（以提供的合同扫描件为准）：每提供1份合同业绩得0.5分，最高得1分。</w:t>
            </w:r>
          </w:p>
          <w:p w14:paraId="5F177568">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注：提供合同扫描件及项目验收报告，未提供或材料不全的不得分。</w:t>
            </w:r>
          </w:p>
        </w:tc>
      </w:tr>
      <w:tr w14:paraId="5DEB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Align w:val="center"/>
          </w:tcPr>
          <w:p w14:paraId="76B867A6">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体系认证</w:t>
            </w:r>
          </w:p>
        </w:tc>
        <w:tc>
          <w:tcPr>
            <w:tcW w:w="794" w:type="dxa"/>
            <w:vAlign w:val="center"/>
          </w:tcPr>
          <w:p w14:paraId="1B6D4A03">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2</w:t>
            </w:r>
          </w:p>
        </w:tc>
        <w:tc>
          <w:tcPr>
            <w:tcW w:w="6789" w:type="dxa"/>
            <w:vAlign w:val="center"/>
          </w:tcPr>
          <w:p w14:paraId="4ABD0E8F">
            <w:pPr>
              <w:spacing w:line="288" w:lineRule="auto"/>
              <w:rPr>
                <w:rFonts w:hint="eastAsia"/>
                <w:color w:val="auto"/>
                <w:sz w:val="21"/>
                <w:szCs w:val="21"/>
                <w:highlight w:val="none"/>
              </w:rPr>
            </w:pPr>
            <w:r>
              <w:rPr>
                <w:rFonts w:hint="eastAsia"/>
                <w:color w:val="auto"/>
                <w:sz w:val="21"/>
                <w:szCs w:val="21"/>
                <w:highlight w:val="none"/>
              </w:rPr>
              <w:t>【客观分】</w:t>
            </w:r>
          </w:p>
          <w:p w14:paraId="51E46A00">
            <w:pPr>
              <w:spacing w:line="288" w:lineRule="auto"/>
              <w:rPr>
                <w:rFonts w:hint="eastAsia"/>
                <w:strike/>
                <w:color w:val="auto"/>
                <w:sz w:val="21"/>
                <w:szCs w:val="21"/>
                <w:highlight w:val="none"/>
              </w:rPr>
            </w:pPr>
            <w:r>
              <w:rPr>
                <w:rFonts w:hint="eastAsia"/>
                <w:color w:val="auto"/>
                <w:sz w:val="21"/>
                <w:szCs w:val="21"/>
                <w:highlight w:val="none"/>
              </w:rPr>
              <w:t>供应商具有有效的质量管理体系认证得2分。</w:t>
            </w:r>
          </w:p>
          <w:p w14:paraId="42C36AFA">
            <w:pPr>
              <w:spacing w:line="288" w:lineRule="auto"/>
              <w:rPr>
                <w:rFonts w:hint="eastAsia"/>
                <w:color w:val="auto"/>
                <w:kern w:val="0"/>
                <w:sz w:val="21"/>
                <w:szCs w:val="21"/>
                <w:highlight w:val="none"/>
              </w:rPr>
            </w:pPr>
            <w:r>
              <w:rPr>
                <w:rFonts w:hint="eastAsia"/>
                <w:color w:val="auto"/>
                <w:sz w:val="21"/>
                <w:szCs w:val="21"/>
                <w:highlight w:val="none"/>
              </w:rPr>
              <w:t>（提供有效的证书扫描件，同时附证书在“全国认证认可信息公共服务平台http://cx.cnca.cn/”查询截图；未提供或提供不全的不得分）。</w:t>
            </w:r>
          </w:p>
        </w:tc>
      </w:tr>
      <w:tr w14:paraId="242A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37FDF199">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技术分</w:t>
            </w:r>
          </w:p>
        </w:tc>
      </w:tr>
      <w:tr w14:paraId="561D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Align w:val="center"/>
          </w:tcPr>
          <w:p w14:paraId="050FBAC4">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响应程度</w:t>
            </w:r>
          </w:p>
        </w:tc>
        <w:tc>
          <w:tcPr>
            <w:tcW w:w="794" w:type="dxa"/>
            <w:shd w:val="clear" w:color="auto" w:fill="auto"/>
            <w:vAlign w:val="center"/>
          </w:tcPr>
          <w:p w14:paraId="477CAA26">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15</w:t>
            </w:r>
          </w:p>
        </w:tc>
        <w:tc>
          <w:tcPr>
            <w:tcW w:w="6789" w:type="dxa"/>
            <w:shd w:val="clear" w:color="auto" w:fill="auto"/>
            <w:vAlign w:val="center"/>
          </w:tcPr>
          <w:p w14:paraId="14984F72">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【客观分】</w:t>
            </w:r>
          </w:p>
          <w:p w14:paraId="322C8183">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满足或明显优于磋商文件第二章采购需求“六、具体服务要求”中明确的全部条款要求的该项得满分；</w:t>
            </w:r>
          </w:p>
          <w:p w14:paraId="707141CC">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低于采购需求要求（负偏离）的每项扣1.5分；</w:t>
            </w:r>
          </w:p>
          <w:p w14:paraId="43F62CB0">
            <w:pPr>
              <w:adjustRightInd w:val="0"/>
              <w:snapToGrid w:val="0"/>
              <w:spacing w:line="288" w:lineRule="auto"/>
              <w:outlineLvl w:val="1"/>
              <w:rPr>
                <w:rFonts w:hint="eastAsia"/>
                <w:color w:val="auto"/>
                <w:sz w:val="21"/>
                <w:szCs w:val="21"/>
                <w:highlight w:val="none"/>
              </w:rPr>
            </w:pPr>
            <w:r>
              <w:rPr>
                <w:rFonts w:hint="eastAsia"/>
                <w:color w:val="auto"/>
                <w:kern w:val="0"/>
                <w:sz w:val="21"/>
                <w:szCs w:val="21"/>
                <w:highlight w:val="none"/>
              </w:rPr>
              <w:t>负偏离10项及以上的，视为采购人不能接受的附加条件，响应无效。</w:t>
            </w:r>
          </w:p>
        </w:tc>
      </w:tr>
      <w:tr w14:paraId="57007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Align w:val="center"/>
          </w:tcPr>
          <w:p w14:paraId="3C1D4884">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故障响应时间承诺</w:t>
            </w:r>
          </w:p>
        </w:tc>
        <w:tc>
          <w:tcPr>
            <w:tcW w:w="794" w:type="dxa"/>
            <w:shd w:val="clear" w:color="auto" w:fill="auto"/>
            <w:vAlign w:val="center"/>
          </w:tcPr>
          <w:p w14:paraId="4A73B111">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5</w:t>
            </w:r>
          </w:p>
        </w:tc>
        <w:tc>
          <w:tcPr>
            <w:tcW w:w="6789" w:type="dxa"/>
            <w:shd w:val="clear" w:color="auto" w:fill="auto"/>
            <w:vAlign w:val="center"/>
          </w:tcPr>
          <w:p w14:paraId="535CAD18">
            <w:pPr>
              <w:adjustRightInd w:val="0"/>
              <w:snapToGrid w:val="0"/>
              <w:spacing w:line="288" w:lineRule="auto"/>
              <w:rPr>
                <w:rFonts w:hint="eastAsia"/>
                <w:b/>
                <w:bCs/>
                <w:color w:val="auto"/>
                <w:kern w:val="0"/>
                <w:sz w:val="21"/>
                <w:szCs w:val="21"/>
                <w:highlight w:val="none"/>
              </w:rPr>
            </w:pPr>
            <w:r>
              <w:rPr>
                <w:rFonts w:hint="eastAsia"/>
                <w:b/>
                <w:bCs/>
                <w:color w:val="auto"/>
                <w:kern w:val="0"/>
                <w:sz w:val="21"/>
                <w:szCs w:val="21"/>
                <w:highlight w:val="none"/>
              </w:rPr>
              <w:t>【客观分】</w:t>
            </w:r>
          </w:p>
          <w:p w14:paraId="25695C58">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 xml:space="preserve">供应商承诺在接到采购人故障报修通知后，系统应满足以下响应标准：  </w:t>
            </w:r>
          </w:p>
          <w:p w14:paraId="560861A7">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 xml:space="preserve">（1）一级故障（系统全面瘫痪/重大安全事件）：10分钟内启动应急响应机制，30分钟内提供远程介入，1小时内抵达现场，4小时内恢复基础服务；  </w:t>
            </w:r>
          </w:p>
          <w:p w14:paraId="1A971AAA">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 xml:space="preserve">（2）二级故障（部分功能异常/性能严重下降）：30分钟内响应，2小时内提供解决方案，12小时内完成修复；  </w:t>
            </w:r>
          </w:p>
          <w:p w14:paraId="31E69AD0">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（3）三级故障（局部功能异常/轻微性能问题）：1小时内响应，24小时内提出修复计划并实施。</w:t>
            </w:r>
          </w:p>
          <w:p w14:paraId="76CDFA19">
            <w:pPr>
              <w:adjustRightInd w:val="0"/>
              <w:snapToGrid w:val="0"/>
              <w:spacing w:line="288" w:lineRule="auto"/>
              <w:rPr>
                <w:rFonts w:hint="eastAsia"/>
                <w:b/>
                <w:bCs/>
                <w:color w:val="auto"/>
                <w:kern w:val="0"/>
                <w:sz w:val="21"/>
                <w:szCs w:val="21"/>
                <w:highlight w:val="none"/>
              </w:rPr>
            </w:pPr>
            <w:r>
              <w:rPr>
                <w:rFonts w:hint="eastAsia"/>
                <w:color w:val="auto"/>
                <w:kern w:val="0"/>
                <w:sz w:val="21"/>
                <w:szCs w:val="21"/>
                <w:highlight w:val="none"/>
              </w:rPr>
              <w:t>满足上述要求的得5分，未提供承诺函或不符合要求的不得分。</w:t>
            </w:r>
          </w:p>
        </w:tc>
      </w:tr>
      <w:tr w14:paraId="79AF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restart"/>
            <w:vAlign w:val="center"/>
          </w:tcPr>
          <w:p w14:paraId="47F2BBF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项目技术方案</w:t>
            </w:r>
          </w:p>
        </w:tc>
        <w:tc>
          <w:tcPr>
            <w:tcW w:w="794" w:type="dxa"/>
            <w:shd w:val="clear" w:color="auto" w:fill="auto"/>
            <w:vAlign w:val="center"/>
          </w:tcPr>
          <w:p w14:paraId="46218FA7">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5</w:t>
            </w:r>
          </w:p>
        </w:tc>
        <w:tc>
          <w:tcPr>
            <w:tcW w:w="6789" w:type="dxa"/>
            <w:shd w:val="clear" w:color="auto" w:fill="auto"/>
            <w:vAlign w:val="center"/>
          </w:tcPr>
          <w:p w14:paraId="1090D7DB">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p>
          <w:p w14:paraId="1FB5AC66">
            <w:pPr>
              <w:adjustRightInd w:val="0"/>
              <w:snapToGrid w:val="0"/>
              <w:spacing w:line="288" w:lineRule="auto"/>
              <w:rPr>
                <w:rFonts w:hint="eastAsia"/>
                <w:color w:val="auto"/>
                <w:kern w:val="0"/>
                <w:sz w:val="21"/>
                <w:szCs w:val="21"/>
                <w:highlight w:val="none"/>
              </w:rPr>
            </w:pPr>
            <w:r>
              <w:rPr>
                <w:rFonts w:hint="eastAsia"/>
                <w:color w:val="auto"/>
                <w:sz w:val="21"/>
                <w:szCs w:val="21"/>
                <w:highlight w:val="none"/>
              </w:rPr>
              <w:t>供应商提供技术方案（含设计原则、系统部署、基础应用软件选型、性能指标实现等）：专业、落地执行力强，针对采购需求</w:t>
            </w:r>
            <w:r>
              <w:rPr>
                <w:rFonts w:hint="eastAsia"/>
                <w:color w:val="auto"/>
                <w:kern w:val="0"/>
                <w:sz w:val="21"/>
                <w:szCs w:val="21"/>
                <w:highlight w:val="none"/>
              </w:rPr>
              <w:t>及实际特点、有利于采购标的实现及合同履约。</w:t>
            </w:r>
          </w:p>
          <w:p w14:paraId="17A3959B">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（评分范围：5,4,3,2,1,0）</w:t>
            </w:r>
          </w:p>
        </w:tc>
      </w:tr>
      <w:tr w14:paraId="5A1F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vAlign w:val="center"/>
          </w:tcPr>
          <w:p w14:paraId="4D5B153B">
            <w:pPr>
              <w:adjustRightInd w:val="0"/>
              <w:snapToGrid w:val="0"/>
              <w:spacing w:line="288" w:lineRule="auto"/>
              <w:jc w:val="center"/>
              <w:rPr>
                <w:rFonts w:hint="eastAsia"/>
                <w:b/>
                <w:bCs/>
                <w:color w:val="auto"/>
                <w:kern w:val="0"/>
                <w:sz w:val="21"/>
                <w:szCs w:val="21"/>
                <w:highlight w:val="none"/>
              </w:rPr>
            </w:pPr>
          </w:p>
        </w:tc>
        <w:tc>
          <w:tcPr>
            <w:tcW w:w="794" w:type="dxa"/>
            <w:shd w:val="clear" w:color="auto" w:fill="auto"/>
            <w:vAlign w:val="center"/>
          </w:tcPr>
          <w:p w14:paraId="3A4A6501">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5</w:t>
            </w:r>
          </w:p>
        </w:tc>
        <w:tc>
          <w:tcPr>
            <w:tcW w:w="6789" w:type="dxa"/>
            <w:shd w:val="clear" w:color="auto" w:fill="auto"/>
            <w:vAlign w:val="center"/>
          </w:tcPr>
          <w:p w14:paraId="5311B8C5">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r>
              <w:rPr>
                <w:rFonts w:hint="eastAsia"/>
                <w:color w:val="auto"/>
                <w:sz w:val="21"/>
                <w:szCs w:val="21"/>
                <w:highlight w:val="none"/>
              </w:rPr>
              <w:t>供应商提供系统安全方案（含认证授权、信息保密、数据完整性、防抵赖性、审计、数据的可回溯性、漏洞升级等）：专业、落地执行力强，</w:t>
            </w:r>
            <w:r>
              <w:rPr>
                <w:rFonts w:hint="eastAsia"/>
                <w:color w:val="auto"/>
                <w:kern w:val="0"/>
                <w:sz w:val="21"/>
                <w:szCs w:val="21"/>
                <w:highlight w:val="none"/>
              </w:rPr>
              <w:t>针对采购需求及实际特点、有利于采购标的实现及合同履约。</w:t>
            </w:r>
          </w:p>
          <w:p w14:paraId="69EA3C80">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（评分范围：5,4,3,2,1,0）</w:t>
            </w:r>
          </w:p>
        </w:tc>
      </w:tr>
      <w:tr w14:paraId="2B41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restart"/>
            <w:vAlign w:val="center"/>
          </w:tcPr>
          <w:p w14:paraId="12EDF619">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实施方案</w:t>
            </w:r>
          </w:p>
        </w:tc>
        <w:tc>
          <w:tcPr>
            <w:tcW w:w="794" w:type="dxa"/>
            <w:shd w:val="clear" w:color="auto" w:fill="auto"/>
            <w:vAlign w:val="center"/>
          </w:tcPr>
          <w:p w14:paraId="4E06DE6B">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5</w:t>
            </w:r>
          </w:p>
        </w:tc>
        <w:tc>
          <w:tcPr>
            <w:tcW w:w="6789" w:type="dxa"/>
            <w:shd w:val="clear" w:color="auto" w:fill="auto"/>
            <w:vAlign w:val="center"/>
          </w:tcPr>
          <w:p w14:paraId="788F97B1">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w:t>
            </w:r>
            <w:r>
              <w:rPr>
                <w:rFonts w:hint="eastAsia"/>
                <w:color w:val="auto"/>
                <w:sz w:val="21"/>
                <w:szCs w:val="21"/>
                <w:highlight w:val="none"/>
              </w:rPr>
              <w:t>供应商提供预实施工期进度表及进度控制措施，提供实施阶段划分，描述各个实施阶段的工作范围、内容、人力投入、过程、责任、交付成果等：专业、落地执行力强，</w:t>
            </w:r>
            <w:r>
              <w:rPr>
                <w:rFonts w:hint="eastAsia"/>
                <w:color w:val="auto"/>
                <w:kern w:val="0"/>
                <w:sz w:val="21"/>
                <w:szCs w:val="21"/>
                <w:highlight w:val="none"/>
              </w:rPr>
              <w:t>针对采购需求及实际特点、有利于采购标的实现及合同履约。</w:t>
            </w:r>
          </w:p>
          <w:p w14:paraId="37BB65ED">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（评分范围：5,4,3,2,1,0）</w:t>
            </w:r>
          </w:p>
        </w:tc>
      </w:tr>
      <w:tr w14:paraId="3EF2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vAlign w:val="center"/>
          </w:tcPr>
          <w:p w14:paraId="1D6F7F74">
            <w:pPr>
              <w:adjustRightInd w:val="0"/>
              <w:snapToGrid w:val="0"/>
              <w:spacing w:line="288" w:lineRule="auto"/>
              <w:jc w:val="center"/>
              <w:rPr>
                <w:rFonts w:hint="eastAsia"/>
                <w:b/>
                <w:bCs/>
                <w:color w:val="auto"/>
                <w:kern w:val="0"/>
                <w:sz w:val="21"/>
                <w:szCs w:val="21"/>
                <w:highlight w:val="none"/>
              </w:rPr>
            </w:pPr>
          </w:p>
        </w:tc>
        <w:tc>
          <w:tcPr>
            <w:tcW w:w="794" w:type="dxa"/>
            <w:shd w:val="clear" w:color="auto" w:fill="auto"/>
            <w:vAlign w:val="center"/>
          </w:tcPr>
          <w:p w14:paraId="59793ADD">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5</w:t>
            </w:r>
          </w:p>
        </w:tc>
        <w:tc>
          <w:tcPr>
            <w:tcW w:w="6789" w:type="dxa"/>
            <w:shd w:val="clear" w:color="auto" w:fill="auto"/>
            <w:vAlign w:val="center"/>
          </w:tcPr>
          <w:p w14:paraId="1AD41331">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【主观分】项目管理协调方案（包含管理范围、管理制度、规范、手段等）：</w:t>
            </w:r>
            <w:r>
              <w:rPr>
                <w:rFonts w:hint="eastAsia"/>
                <w:color w:val="auto"/>
                <w:sz w:val="21"/>
                <w:szCs w:val="21"/>
                <w:highlight w:val="none"/>
              </w:rPr>
              <w:t>专业、落地执行力强，</w:t>
            </w:r>
            <w:r>
              <w:rPr>
                <w:rFonts w:hint="eastAsia"/>
                <w:color w:val="auto"/>
                <w:kern w:val="0"/>
                <w:sz w:val="21"/>
                <w:szCs w:val="21"/>
                <w:highlight w:val="none"/>
              </w:rPr>
              <w:t>针对采购需求及实际特点、有利于采购标的实现及合同履约。</w:t>
            </w:r>
          </w:p>
          <w:p w14:paraId="54F10FA6">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（评分范围：5,4,3,2,1,0）</w:t>
            </w:r>
          </w:p>
        </w:tc>
      </w:tr>
      <w:tr w14:paraId="26DD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vAlign w:val="center"/>
          </w:tcPr>
          <w:p w14:paraId="6BAC56C2">
            <w:pPr>
              <w:adjustRightInd w:val="0"/>
              <w:snapToGrid w:val="0"/>
              <w:spacing w:line="288" w:lineRule="auto"/>
              <w:jc w:val="center"/>
              <w:rPr>
                <w:rFonts w:hint="eastAsia"/>
                <w:b/>
                <w:bCs/>
                <w:color w:val="auto"/>
                <w:kern w:val="0"/>
                <w:sz w:val="21"/>
                <w:szCs w:val="21"/>
                <w:highlight w:val="none"/>
              </w:rPr>
            </w:pPr>
          </w:p>
        </w:tc>
        <w:tc>
          <w:tcPr>
            <w:tcW w:w="794" w:type="dxa"/>
            <w:shd w:val="clear" w:color="auto" w:fill="auto"/>
            <w:vAlign w:val="center"/>
          </w:tcPr>
          <w:p w14:paraId="4D893E79">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5</w:t>
            </w:r>
          </w:p>
        </w:tc>
        <w:tc>
          <w:tcPr>
            <w:tcW w:w="6789" w:type="dxa"/>
            <w:shd w:val="clear" w:color="auto" w:fill="auto"/>
            <w:vAlign w:val="center"/>
          </w:tcPr>
          <w:p w14:paraId="252E7450">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【主观分】供应商提供成果移交方案（含技术转移、技术文档、管理文档交付、知识产权等）：专业、落地执行力强，针对采购需求及实际特点、有利于采购标的实现及合同履约。</w:t>
            </w:r>
          </w:p>
          <w:p w14:paraId="0230D810">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（评分范围：5,4,3,2,1,0）</w:t>
            </w:r>
          </w:p>
        </w:tc>
      </w:tr>
      <w:tr w14:paraId="004D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restart"/>
            <w:vAlign w:val="center"/>
          </w:tcPr>
          <w:p w14:paraId="1EF8C017">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拟派团队人员</w:t>
            </w:r>
          </w:p>
        </w:tc>
        <w:tc>
          <w:tcPr>
            <w:tcW w:w="794" w:type="dxa"/>
            <w:shd w:val="clear" w:color="auto" w:fill="auto"/>
            <w:vAlign w:val="center"/>
          </w:tcPr>
          <w:p w14:paraId="47EE02D4">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2</w:t>
            </w:r>
          </w:p>
        </w:tc>
        <w:tc>
          <w:tcPr>
            <w:tcW w:w="6789" w:type="dxa"/>
            <w:shd w:val="clear" w:color="auto" w:fill="auto"/>
            <w:vAlign w:val="center"/>
          </w:tcPr>
          <w:p w14:paraId="10EF5C01">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【客观分】团队至少配备项目经理1人，项目组成人员不少于3人。提供团队人员清单、供应商为其缴纳社保证明（2025年1月（含）以后任意一月）。符合上述要求的得2分。</w:t>
            </w:r>
          </w:p>
          <w:p w14:paraId="49A955CC">
            <w:pPr>
              <w:adjustRightInd w:val="0"/>
              <w:snapToGrid w:val="0"/>
              <w:spacing w:line="288" w:lineRule="auto"/>
              <w:rPr>
                <w:rFonts w:hint="eastAsia"/>
                <w:color w:val="auto"/>
                <w:sz w:val="21"/>
                <w:szCs w:val="21"/>
                <w:highlight w:val="none"/>
              </w:rPr>
            </w:pPr>
            <w:r>
              <w:rPr>
                <w:rFonts w:hint="eastAsia"/>
                <w:b/>
                <w:bCs/>
                <w:color w:val="auto"/>
                <w:kern w:val="0"/>
                <w:sz w:val="21"/>
                <w:szCs w:val="21"/>
                <w:highlight w:val="none"/>
              </w:rPr>
              <w:t>注：团队人数不满足最低要求的，则所有拟派团队人员评分项均不得分。</w:t>
            </w:r>
          </w:p>
        </w:tc>
      </w:tr>
      <w:tr w14:paraId="6927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vAlign w:val="center"/>
          </w:tcPr>
          <w:p w14:paraId="334B3865">
            <w:pPr>
              <w:adjustRightInd w:val="0"/>
              <w:snapToGrid w:val="0"/>
              <w:spacing w:line="288" w:lineRule="auto"/>
              <w:jc w:val="center"/>
              <w:rPr>
                <w:rFonts w:hint="eastAsia"/>
                <w:b/>
                <w:bCs/>
                <w:color w:val="auto"/>
                <w:kern w:val="0"/>
                <w:sz w:val="21"/>
                <w:szCs w:val="21"/>
                <w:highlight w:val="none"/>
              </w:rPr>
            </w:pPr>
          </w:p>
        </w:tc>
        <w:tc>
          <w:tcPr>
            <w:tcW w:w="794" w:type="dxa"/>
            <w:shd w:val="clear" w:color="auto" w:fill="auto"/>
            <w:vAlign w:val="center"/>
          </w:tcPr>
          <w:p w14:paraId="67BF4BFD">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2</w:t>
            </w:r>
          </w:p>
        </w:tc>
        <w:tc>
          <w:tcPr>
            <w:tcW w:w="6789" w:type="dxa"/>
            <w:shd w:val="clear" w:color="auto" w:fill="auto"/>
            <w:vAlign w:val="center"/>
          </w:tcPr>
          <w:p w14:paraId="30D31435">
            <w:pPr>
              <w:adjustRightInd w:val="0"/>
              <w:spacing w:line="288" w:lineRule="auto"/>
              <w:rPr>
                <w:rFonts w:hint="eastAsia"/>
                <w:b/>
                <w:bCs/>
                <w:strike/>
                <w:color w:val="auto"/>
                <w:kern w:val="0"/>
                <w:sz w:val="21"/>
                <w:szCs w:val="21"/>
                <w:highlight w:val="none"/>
              </w:rPr>
            </w:pPr>
            <w:r>
              <w:rPr>
                <w:rFonts w:hint="eastAsia"/>
                <w:b/>
                <w:bCs/>
                <w:color w:val="auto"/>
                <w:sz w:val="21"/>
                <w:szCs w:val="21"/>
                <w:highlight w:val="none"/>
              </w:rPr>
              <w:t>【客观分】</w:t>
            </w:r>
          </w:p>
          <w:p w14:paraId="2CBB134A">
            <w:pPr>
              <w:pStyle w:val="23"/>
              <w:spacing w:line="288" w:lineRule="auto"/>
              <w:ind w:firstLine="0" w:firstLineChars="0"/>
              <w:jc w:val="both"/>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rPr>
              <w:t>提供项目经理一人，负责全程跟踪项目的开发与实施，直至该项目验收。该项目经理应具备</w:t>
            </w:r>
            <w:r>
              <w:rPr>
                <w:rFonts w:hint="eastAsia" w:ascii="宋体" w:hAnsi="宋体" w:eastAsia="宋体" w:cs="宋体"/>
                <w:color w:val="auto"/>
                <w:sz w:val="21"/>
                <w:szCs w:val="21"/>
                <w:highlight w:val="none"/>
                <w:lang w:val="en-US"/>
              </w:rPr>
              <w:t>类似</w:t>
            </w:r>
            <w:r>
              <w:rPr>
                <w:rFonts w:hint="eastAsia" w:ascii="宋体" w:hAnsi="宋体" w:eastAsia="宋体" w:cs="宋体"/>
                <w:color w:val="auto"/>
                <w:kern w:val="0"/>
                <w:sz w:val="21"/>
                <w:szCs w:val="21"/>
                <w:highlight w:val="none"/>
              </w:rPr>
              <w:t>专属钉项目实施经验，并在项目中承担项目经理职务。</w:t>
            </w:r>
            <w:r>
              <w:rPr>
                <w:rFonts w:hint="eastAsia" w:ascii="宋体" w:hAnsi="宋体" w:eastAsia="宋体" w:cs="宋体"/>
                <w:color w:val="auto"/>
                <w:kern w:val="0"/>
                <w:sz w:val="21"/>
                <w:szCs w:val="21"/>
                <w:highlight w:val="none"/>
                <w:lang w:val="en-US"/>
              </w:rPr>
              <w:t>每提供1个实施经验证明材料得1分，最多得2分。提供项目合同扫描件，若项目合同中不能体现该人员为项目经理的，需另提供合同甲方出具的证明材料。</w:t>
            </w:r>
          </w:p>
          <w:p w14:paraId="1FDFD627">
            <w:pPr>
              <w:pStyle w:val="23"/>
              <w:spacing w:line="288" w:lineRule="auto"/>
              <w:ind w:firstLine="422"/>
              <w:jc w:val="both"/>
              <w:rPr>
                <w:rFonts w:hint="eastAsia" w:ascii="宋体" w:hAnsi="宋体" w:eastAsia="宋体" w:cs="宋体"/>
                <w:color w:val="auto"/>
                <w:kern w:val="0"/>
                <w:sz w:val="21"/>
                <w:szCs w:val="21"/>
                <w:highlight w:val="none"/>
                <w:lang w:val="en-US"/>
              </w:rPr>
            </w:pPr>
            <w:r>
              <w:rPr>
                <w:rFonts w:hint="eastAsia" w:ascii="宋体" w:hAnsi="宋体" w:eastAsia="宋体" w:cs="宋体"/>
                <w:b/>
                <w:bCs/>
                <w:color w:val="auto"/>
                <w:kern w:val="0"/>
                <w:sz w:val="21"/>
                <w:szCs w:val="21"/>
                <w:highlight w:val="none"/>
                <w:lang w:val="en-US"/>
              </w:rPr>
              <w:t>注：团队人数不满足最低要求的，则所有拟派团队人员评分项均不得分。</w:t>
            </w:r>
          </w:p>
        </w:tc>
      </w:tr>
      <w:tr w14:paraId="6015C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vAlign w:val="center"/>
          </w:tcPr>
          <w:p w14:paraId="2318D26D">
            <w:pPr>
              <w:adjustRightInd w:val="0"/>
              <w:snapToGrid w:val="0"/>
              <w:spacing w:line="288" w:lineRule="auto"/>
              <w:jc w:val="center"/>
              <w:rPr>
                <w:rFonts w:hint="eastAsia"/>
                <w:b/>
                <w:bCs/>
                <w:color w:val="auto"/>
                <w:kern w:val="0"/>
                <w:sz w:val="21"/>
                <w:szCs w:val="21"/>
                <w:highlight w:val="none"/>
              </w:rPr>
            </w:pPr>
          </w:p>
        </w:tc>
        <w:tc>
          <w:tcPr>
            <w:tcW w:w="794" w:type="dxa"/>
            <w:shd w:val="clear" w:color="auto" w:fill="auto"/>
            <w:vAlign w:val="center"/>
          </w:tcPr>
          <w:p w14:paraId="0A4D65F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4</w:t>
            </w:r>
          </w:p>
        </w:tc>
        <w:tc>
          <w:tcPr>
            <w:tcW w:w="6789" w:type="dxa"/>
            <w:shd w:val="clear" w:color="auto" w:fill="auto"/>
            <w:vAlign w:val="center"/>
          </w:tcPr>
          <w:p w14:paraId="564D30F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【主观分】</w:t>
            </w:r>
            <w:r>
              <w:rPr>
                <w:rFonts w:hint="eastAsia"/>
                <w:b/>
                <w:bCs/>
                <w:color w:val="auto"/>
                <w:kern w:val="0"/>
                <w:sz w:val="21"/>
                <w:szCs w:val="21"/>
                <w:highlight w:val="none"/>
              </w:rPr>
              <w:t>注：团队人数不满足最低要求的，则所有拟派团队人员评分项均不得分。</w:t>
            </w:r>
          </w:p>
          <w:p w14:paraId="6A5D0A3D">
            <w:pPr>
              <w:adjustRightInd w:val="0"/>
              <w:snapToGrid w:val="0"/>
              <w:spacing w:line="288" w:lineRule="auto"/>
              <w:rPr>
                <w:rFonts w:hint="eastAsia"/>
                <w:color w:val="auto"/>
                <w:sz w:val="21"/>
                <w:szCs w:val="21"/>
                <w:highlight w:val="none"/>
              </w:rPr>
            </w:pPr>
            <w:r>
              <w:rPr>
                <w:rFonts w:hint="eastAsia"/>
                <w:color w:val="auto"/>
                <w:kern w:val="0"/>
                <w:sz w:val="21"/>
                <w:szCs w:val="21"/>
                <w:highlight w:val="none"/>
              </w:rPr>
              <w:t>项目组其他实施人员应满足项目开发和实施的需要，项目组成人员（除项目经理外）应不少于3人，根据实施人员</w:t>
            </w:r>
            <w:r>
              <w:rPr>
                <w:rFonts w:hint="eastAsia"/>
                <w:color w:val="auto"/>
                <w:sz w:val="21"/>
                <w:szCs w:val="21"/>
                <w:highlight w:val="none"/>
              </w:rPr>
              <w:t>文化水平、专业、经验进行评分：文化水平高，专业技术能力强，具有同类项目实施经验。(评分范围：4,3,2,1,0)</w:t>
            </w:r>
          </w:p>
          <w:p w14:paraId="0E5EA612">
            <w:pPr>
              <w:adjustRightInd w:val="0"/>
              <w:snapToGrid w:val="0"/>
              <w:spacing w:line="288" w:lineRule="auto"/>
              <w:rPr>
                <w:rFonts w:hint="eastAsia"/>
                <w:color w:val="auto"/>
                <w:sz w:val="21"/>
                <w:szCs w:val="21"/>
                <w:highlight w:val="none"/>
              </w:rPr>
            </w:pPr>
            <w:r>
              <w:rPr>
                <w:rFonts w:hint="eastAsia"/>
                <w:color w:val="auto"/>
                <w:sz w:val="21"/>
                <w:szCs w:val="21"/>
                <w:highlight w:val="none"/>
              </w:rPr>
              <w:t>注：提供相关证明材料（如人员履历、学历证书、专业技能证书等）</w:t>
            </w:r>
          </w:p>
        </w:tc>
      </w:tr>
      <w:tr w14:paraId="7B09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vAlign w:val="center"/>
          </w:tcPr>
          <w:p w14:paraId="3E87AE05">
            <w:pPr>
              <w:adjustRightInd w:val="0"/>
              <w:snapToGrid w:val="0"/>
              <w:spacing w:line="288" w:lineRule="auto"/>
              <w:jc w:val="center"/>
              <w:rPr>
                <w:rFonts w:hint="eastAsia"/>
                <w:b/>
                <w:bCs/>
                <w:color w:val="auto"/>
                <w:kern w:val="0"/>
                <w:sz w:val="21"/>
                <w:szCs w:val="21"/>
                <w:highlight w:val="none"/>
              </w:rPr>
            </w:pPr>
          </w:p>
        </w:tc>
        <w:tc>
          <w:tcPr>
            <w:tcW w:w="794" w:type="dxa"/>
            <w:shd w:val="clear" w:color="auto" w:fill="auto"/>
            <w:vAlign w:val="center"/>
          </w:tcPr>
          <w:p w14:paraId="762BBC0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5</w:t>
            </w:r>
          </w:p>
        </w:tc>
        <w:tc>
          <w:tcPr>
            <w:tcW w:w="6789" w:type="dxa"/>
            <w:shd w:val="clear" w:color="auto" w:fill="auto"/>
            <w:vAlign w:val="center"/>
          </w:tcPr>
          <w:p w14:paraId="06D91397">
            <w:pPr>
              <w:adjustRightInd w:val="0"/>
              <w:snapToGrid w:val="0"/>
              <w:spacing w:line="288" w:lineRule="auto"/>
              <w:rPr>
                <w:rFonts w:hint="eastAsia"/>
                <w:b/>
                <w:bCs/>
                <w:color w:val="auto"/>
                <w:kern w:val="0"/>
                <w:sz w:val="21"/>
                <w:szCs w:val="21"/>
                <w:highlight w:val="none"/>
              </w:rPr>
            </w:pPr>
            <w:r>
              <w:rPr>
                <w:rFonts w:hint="eastAsia"/>
                <w:b/>
                <w:bCs/>
                <w:color w:val="auto"/>
                <w:kern w:val="0"/>
                <w:sz w:val="21"/>
                <w:szCs w:val="21"/>
                <w:highlight w:val="none"/>
              </w:rPr>
              <w:t>【主观分】注：团队人数不满足最低要求的，则所有拟派团队人员评分项均不得分。</w:t>
            </w:r>
          </w:p>
          <w:p w14:paraId="50D1406D">
            <w:pPr>
              <w:adjustRightInd w:val="0"/>
              <w:snapToGrid w:val="0"/>
              <w:spacing w:line="288" w:lineRule="auto"/>
              <w:rPr>
                <w:rFonts w:hint="eastAsia"/>
                <w:color w:val="auto"/>
                <w:kern w:val="0"/>
                <w:sz w:val="21"/>
                <w:szCs w:val="21"/>
                <w:highlight w:val="none"/>
              </w:rPr>
            </w:pPr>
            <w:r>
              <w:rPr>
                <w:rFonts w:hint="eastAsia"/>
                <w:color w:val="auto"/>
                <w:kern w:val="0"/>
                <w:sz w:val="21"/>
                <w:szCs w:val="21"/>
                <w:highlight w:val="none"/>
              </w:rPr>
              <w:t>项目团队管理方案（含项目组织机构、</w:t>
            </w:r>
            <w:r>
              <w:rPr>
                <w:rFonts w:hint="eastAsia"/>
                <w:color w:val="auto"/>
                <w:sz w:val="21"/>
                <w:szCs w:val="21"/>
                <w:highlight w:val="none"/>
              </w:rPr>
              <w:t>岗位职责分工、多岗位的协作关系、人员培训等</w:t>
            </w:r>
            <w:r>
              <w:rPr>
                <w:rFonts w:hint="eastAsia"/>
                <w:color w:val="auto"/>
                <w:kern w:val="0"/>
                <w:sz w:val="21"/>
                <w:szCs w:val="21"/>
                <w:highlight w:val="none"/>
              </w:rPr>
              <w:t>）：健全、专业、针对采购需求及实际特点、有利于采购标的实现及合同履约。</w:t>
            </w:r>
          </w:p>
          <w:p w14:paraId="06A174C3">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（评分范围：5,4,3,2,1,0）</w:t>
            </w:r>
          </w:p>
        </w:tc>
      </w:tr>
      <w:tr w14:paraId="4D92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restart"/>
            <w:vAlign w:val="center"/>
          </w:tcPr>
          <w:p w14:paraId="23F21A0D">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售后服务</w:t>
            </w:r>
          </w:p>
        </w:tc>
        <w:tc>
          <w:tcPr>
            <w:tcW w:w="794" w:type="dxa"/>
            <w:shd w:val="clear" w:color="auto" w:fill="auto"/>
            <w:vAlign w:val="center"/>
          </w:tcPr>
          <w:p w14:paraId="19DE2730">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10</w:t>
            </w:r>
          </w:p>
        </w:tc>
        <w:tc>
          <w:tcPr>
            <w:tcW w:w="6789" w:type="dxa"/>
            <w:shd w:val="clear" w:color="auto" w:fill="auto"/>
            <w:vAlign w:val="center"/>
          </w:tcPr>
          <w:p w14:paraId="7A921455">
            <w:pPr>
              <w:adjustRightInd w:val="0"/>
              <w:snapToGrid w:val="0"/>
              <w:spacing w:line="288" w:lineRule="auto"/>
              <w:rPr>
                <w:rFonts w:hint="eastAsia"/>
                <w:color w:val="auto"/>
                <w:sz w:val="21"/>
                <w:szCs w:val="21"/>
                <w:highlight w:val="none"/>
              </w:rPr>
            </w:pPr>
            <w:r>
              <w:rPr>
                <w:rFonts w:hint="eastAsia"/>
                <w:color w:val="auto"/>
                <w:kern w:val="0"/>
                <w:sz w:val="21"/>
                <w:szCs w:val="21"/>
                <w:highlight w:val="none"/>
              </w:rPr>
              <w:t>【主观分】</w:t>
            </w:r>
            <w:r>
              <w:rPr>
                <w:rFonts w:hint="eastAsia"/>
                <w:color w:val="auto"/>
                <w:sz w:val="21"/>
                <w:szCs w:val="21"/>
                <w:highlight w:val="none"/>
              </w:rPr>
              <w:t>保期内运行服务：全面、及时、针对采购需求及实际特点、有利于项目实施。</w:t>
            </w:r>
          </w:p>
          <w:p w14:paraId="5122EE0C">
            <w:pPr>
              <w:adjustRightInd w:val="0"/>
              <w:snapToGrid w:val="0"/>
              <w:spacing w:line="288" w:lineRule="auto"/>
              <w:rPr>
                <w:rFonts w:hint="eastAsia"/>
                <w:color w:val="auto"/>
                <w:sz w:val="21"/>
                <w:szCs w:val="21"/>
                <w:highlight w:val="none"/>
              </w:rPr>
            </w:pPr>
            <w:r>
              <w:rPr>
                <w:rFonts w:hint="eastAsia"/>
                <w:color w:val="auto"/>
                <w:sz w:val="21"/>
                <w:szCs w:val="21"/>
                <w:highlight w:val="none"/>
              </w:rPr>
              <w:t>（1）售后维护服务内容、频率、规划</w:t>
            </w:r>
            <w:r>
              <w:rPr>
                <w:rFonts w:hint="eastAsia"/>
                <w:b/>
                <w:bCs/>
                <w:color w:val="auto"/>
                <w:kern w:val="0"/>
                <w:sz w:val="21"/>
                <w:szCs w:val="21"/>
                <w:highlight w:val="none"/>
              </w:rPr>
              <w:t>（评分范围：4,3,2,1,0）</w:t>
            </w:r>
          </w:p>
          <w:p w14:paraId="44133539">
            <w:pPr>
              <w:adjustRightInd w:val="0"/>
              <w:snapToGrid w:val="0"/>
              <w:spacing w:line="288" w:lineRule="auto"/>
              <w:rPr>
                <w:rFonts w:hint="eastAsia"/>
                <w:color w:val="auto"/>
                <w:sz w:val="21"/>
                <w:szCs w:val="21"/>
                <w:highlight w:val="none"/>
              </w:rPr>
            </w:pPr>
            <w:r>
              <w:rPr>
                <w:rFonts w:hint="eastAsia"/>
                <w:color w:val="auto"/>
                <w:sz w:val="21"/>
                <w:szCs w:val="21"/>
                <w:highlight w:val="none"/>
              </w:rPr>
              <w:t>（2）服务人员、客诉反馈机制</w:t>
            </w:r>
            <w:r>
              <w:rPr>
                <w:rFonts w:hint="eastAsia"/>
                <w:b/>
                <w:bCs/>
                <w:color w:val="auto"/>
                <w:kern w:val="0"/>
                <w:sz w:val="21"/>
                <w:szCs w:val="21"/>
                <w:highlight w:val="none"/>
              </w:rPr>
              <w:t>（评分范围：3,2,1,0）</w:t>
            </w:r>
          </w:p>
          <w:p w14:paraId="2FEDB701">
            <w:pPr>
              <w:adjustRightInd w:val="0"/>
              <w:snapToGrid w:val="0"/>
              <w:spacing w:line="288" w:lineRule="auto"/>
              <w:rPr>
                <w:rFonts w:hint="eastAsia"/>
                <w:color w:val="auto"/>
                <w:sz w:val="21"/>
                <w:szCs w:val="21"/>
                <w:highlight w:val="none"/>
              </w:rPr>
            </w:pPr>
            <w:r>
              <w:rPr>
                <w:rFonts w:hint="eastAsia"/>
                <w:color w:val="auto"/>
                <w:sz w:val="21"/>
                <w:szCs w:val="21"/>
                <w:highlight w:val="none"/>
              </w:rPr>
              <w:t>（3）服务方式、服务流程、服务档案记录</w:t>
            </w:r>
            <w:r>
              <w:rPr>
                <w:rFonts w:hint="eastAsia"/>
                <w:b/>
                <w:bCs/>
                <w:color w:val="auto"/>
                <w:kern w:val="0"/>
                <w:sz w:val="21"/>
                <w:szCs w:val="21"/>
                <w:highlight w:val="none"/>
              </w:rPr>
              <w:t>（评分范围：3,2,1,0）</w:t>
            </w:r>
          </w:p>
        </w:tc>
      </w:tr>
      <w:tr w14:paraId="32AD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vAlign w:val="center"/>
          </w:tcPr>
          <w:p w14:paraId="082E4453">
            <w:pPr>
              <w:adjustRightInd w:val="0"/>
              <w:snapToGrid w:val="0"/>
              <w:spacing w:line="288" w:lineRule="auto"/>
              <w:jc w:val="center"/>
              <w:rPr>
                <w:rFonts w:hint="eastAsia"/>
                <w:b/>
                <w:bCs/>
                <w:color w:val="auto"/>
                <w:kern w:val="0"/>
                <w:sz w:val="21"/>
                <w:szCs w:val="21"/>
                <w:highlight w:val="none"/>
              </w:rPr>
            </w:pPr>
          </w:p>
        </w:tc>
        <w:tc>
          <w:tcPr>
            <w:tcW w:w="794" w:type="dxa"/>
            <w:shd w:val="clear" w:color="auto" w:fill="auto"/>
            <w:vAlign w:val="center"/>
          </w:tcPr>
          <w:p w14:paraId="71FFD694">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9</w:t>
            </w:r>
          </w:p>
        </w:tc>
        <w:tc>
          <w:tcPr>
            <w:tcW w:w="6789" w:type="dxa"/>
            <w:shd w:val="clear" w:color="auto" w:fill="auto"/>
            <w:vAlign w:val="center"/>
          </w:tcPr>
          <w:p w14:paraId="7ED7CEF8">
            <w:pPr>
              <w:adjustRightInd w:val="0"/>
              <w:snapToGrid w:val="0"/>
              <w:spacing w:line="288" w:lineRule="auto"/>
              <w:rPr>
                <w:rFonts w:hint="eastAsia"/>
                <w:color w:val="auto"/>
                <w:sz w:val="21"/>
                <w:szCs w:val="21"/>
                <w:highlight w:val="none"/>
              </w:rPr>
            </w:pPr>
            <w:r>
              <w:rPr>
                <w:rFonts w:hint="eastAsia"/>
                <w:color w:val="auto"/>
                <w:kern w:val="0"/>
                <w:sz w:val="21"/>
                <w:szCs w:val="21"/>
                <w:highlight w:val="none"/>
              </w:rPr>
              <w:t>【主观分】</w:t>
            </w:r>
            <w:r>
              <w:rPr>
                <w:rFonts w:hint="eastAsia"/>
                <w:color w:val="auto"/>
                <w:sz w:val="21"/>
                <w:szCs w:val="21"/>
                <w:highlight w:val="none"/>
              </w:rPr>
              <w:t>保期后运行服务：全面、及时、针对采购需求及实际特点、有利于项目实施。</w:t>
            </w:r>
          </w:p>
          <w:p w14:paraId="382BECD1">
            <w:pPr>
              <w:adjustRightInd w:val="0"/>
              <w:snapToGrid w:val="0"/>
              <w:spacing w:line="288" w:lineRule="auto"/>
              <w:rPr>
                <w:rFonts w:hint="eastAsia"/>
                <w:color w:val="auto"/>
                <w:kern w:val="0"/>
                <w:sz w:val="21"/>
                <w:szCs w:val="21"/>
                <w:highlight w:val="none"/>
              </w:rPr>
            </w:pPr>
            <w:r>
              <w:rPr>
                <w:rFonts w:hint="eastAsia"/>
                <w:color w:val="auto"/>
                <w:sz w:val="21"/>
                <w:szCs w:val="21"/>
                <w:highlight w:val="none"/>
              </w:rPr>
              <w:t>（1）</w:t>
            </w:r>
            <w:r>
              <w:rPr>
                <w:rFonts w:hint="eastAsia"/>
                <w:color w:val="auto"/>
                <w:kern w:val="0"/>
                <w:sz w:val="21"/>
                <w:szCs w:val="21"/>
                <w:highlight w:val="none"/>
              </w:rPr>
              <w:t>售后维护服务内容、收费服务标准</w:t>
            </w:r>
            <w:r>
              <w:rPr>
                <w:rFonts w:hint="eastAsia"/>
                <w:b/>
                <w:bCs/>
                <w:color w:val="auto"/>
                <w:kern w:val="0"/>
                <w:sz w:val="21"/>
                <w:szCs w:val="21"/>
                <w:highlight w:val="none"/>
              </w:rPr>
              <w:t>（评分范围：3,2,1,0）</w:t>
            </w:r>
          </w:p>
          <w:p w14:paraId="0828D6FC">
            <w:pPr>
              <w:adjustRightInd w:val="0"/>
              <w:snapToGrid w:val="0"/>
              <w:spacing w:line="288" w:lineRule="auto"/>
              <w:rPr>
                <w:rFonts w:hint="eastAsia"/>
                <w:color w:val="auto"/>
                <w:kern w:val="0"/>
                <w:sz w:val="21"/>
                <w:szCs w:val="21"/>
                <w:highlight w:val="none"/>
              </w:rPr>
            </w:pPr>
            <w:r>
              <w:rPr>
                <w:rFonts w:hint="eastAsia"/>
                <w:color w:val="auto"/>
                <w:sz w:val="21"/>
                <w:szCs w:val="21"/>
                <w:highlight w:val="none"/>
              </w:rPr>
              <w:t>（2）服务人员、客诉反馈机制</w:t>
            </w:r>
            <w:r>
              <w:rPr>
                <w:rFonts w:hint="eastAsia"/>
                <w:b/>
                <w:bCs/>
                <w:color w:val="auto"/>
                <w:kern w:val="0"/>
                <w:sz w:val="21"/>
                <w:szCs w:val="21"/>
                <w:highlight w:val="none"/>
              </w:rPr>
              <w:t>（评分范围：3,2,1,0）</w:t>
            </w:r>
          </w:p>
          <w:p w14:paraId="21CC38D9">
            <w:pPr>
              <w:adjustRightInd w:val="0"/>
              <w:snapToGrid w:val="0"/>
              <w:spacing w:line="288" w:lineRule="auto"/>
              <w:rPr>
                <w:rFonts w:hint="eastAsia"/>
                <w:color w:val="auto"/>
                <w:kern w:val="0"/>
                <w:sz w:val="21"/>
                <w:szCs w:val="21"/>
                <w:highlight w:val="none"/>
              </w:rPr>
            </w:pPr>
            <w:r>
              <w:rPr>
                <w:rFonts w:hint="eastAsia"/>
                <w:color w:val="auto"/>
                <w:sz w:val="21"/>
                <w:szCs w:val="21"/>
                <w:highlight w:val="none"/>
              </w:rPr>
              <w:t>（3）响应时效、服务方式、服务流程、服务档案记录</w:t>
            </w:r>
            <w:r>
              <w:rPr>
                <w:rFonts w:hint="eastAsia"/>
                <w:b/>
                <w:bCs/>
                <w:color w:val="auto"/>
                <w:kern w:val="0"/>
                <w:sz w:val="21"/>
                <w:szCs w:val="21"/>
                <w:highlight w:val="none"/>
              </w:rPr>
              <w:t>（评分范围：3,2,1,0）</w:t>
            </w:r>
          </w:p>
        </w:tc>
      </w:tr>
      <w:tr w14:paraId="3D19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Align w:val="center"/>
          </w:tcPr>
          <w:p w14:paraId="47D0B502">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服务保障应急预案</w:t>
            </w:r>
          </w:p>
        </w:tc>
        <w:tc>
          <w:tcPr>
            <w:tcW w:w="794" w:type="dxa"/>
            <w:shd w:val="clear" w:color="auto" w:fill="auto"/>
            <w:vAlign w:val="center"/>
          </w:tcPr>
          <w:p w14:paraId="2CBCEF0F">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5</w:t>
            </w:r>
          </w:p>
        </w:tc>
        <w:tc>
          <w:tcPr>
            <w:tcW w:w="6789" w:type="dxa"/>
            <w:shd w:val="clear" w:color="auto" w:fill="auto"/>
            <w:vAlign w:val="center"/>
          </w:tcPr>
          <w:p w14:paraId="672BEA6A">
            <w:pPr>
              <w:adjustRightInd w:val="0"/>
              <w:snapToGrid w:val="0"/>
              <w:spacing w:line="288" w:lineRule="auto"/>
              <w:rPr>
                <w:rFonts w:hint="eastAsia"/>
                <w:color w:val="auto"/>
                <w:sz w:val="21"/>
                <w:szCs w:val="21"/>
                <w:highlight w:val="none"/>
              </w:rPr>
            </w:pPr>
            <w:r>
              <w:rPr>
                <w:rFonts w:hint="eastAsia"/>
                <w:color w:val="auto"/>
                <w:kern w:val="0"/>
                <w:sz w:val="21"/>
                <w:szCs w:val="21"/>
                <w:highlight w:val="none"/>
              </w:rPr>
              <w:t>【主观分】</w:t>
            </w:r>
            <w:r>
              <w:rPr>
                <w:rFonts w:hint="eastAsia"/>
                <w:color w:val="auto"/>
                <w:sz w:val="21"/>
                <w:szCs w:val="21"/>
                <w:highlight w:val="none"/>
              </w:rPr>
              <w:t>供应商提供</w:t>
            </w:r>
            <w:r>
              <w:rPr>
                <w:rFonts w:hint="eastAsia"/>
                <w:b/>
                <w:bCs/>
                <w:color w:val="auto"/>
                <w:kern w:val="0"/>
                <w:sz w:val="21"/>
                <w:szCs w:val="21"/>
                <w:highlight w:val="none"/>
              </w:rPr>
              <w:t>服务保障应急预案</w:t>
            </w:r>
            <w:r>
              <w:rPr>
                <w:rFonts w:hint="eastAsia"/>
                <w:color w:val="auto"/>
                <w:sz w:val="21"/>
                <w:szCs w:val="21"/>
                <w:highlight w:val="none"/>
              </w:rPr>
              <w:t>（包括服务过程中可能出现的突发情况及应对措施、不同响应级别人员、时间等）：全面、及时、针对采购需求及实际特点、有利于项目实施。</w:t>
            </w:r>
          </w:p>
          <w:p w14:paraId="1ACCC7CA">
            <w:pPr>
              <w:adjustRightInd w:val="0"/>
              <w:snapToGrid w:val="0"/>
              <w:spacing w:line="288" w:lineRule="auto"/>
              <w:rPr>
                <w:rFonts w:hint="eastAsia"/>
                <w:color w:val="auto"/>
                <w:sz w:val="21"/>
                <w:szCs w:val="21"/>
                <w:highlight w:val="none"/>
              </w:rPr>
            </w:pPr>
            <w:r>
              <w:rPr>
                <w:rFonts w:hint="eastAsia"/>
                <w:b/>
                <w:bCs/>
                <w:color w:val="auto"/>
                <w:sz w:val="21"/>
                <w:szCs w:val="21"/>
                <w:highlight w:val="none"/>
              </w:rPr>
              <w:t>（评分范围:5,4,3,2,1,0）</w:t>
            </w:r>
          </w:p>
        </w:tc>
      </w:tr>
      <w:tr w14:paraId="402F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restart"/>
            <w:vAlign w:val="center"/>
          </w:tcPr>
          <w:p w14:paraId="112CD3FB">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演示</w:t>
            </w:r>
          </w:p>
        </w:tc>
        <w:tc>
          <w:tcPr>
            <w:tcW w:w="794" w:type="dxa"/>
            <w:shd w:val="clear" w:color="auto" w:fill="auto"/>
            <w:vAlign w:val="center"/>
          </w:tcPr>
          <w:p w14:paraId="7FCCF4E2">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1</w:t>
            </w:r>
          </w:p>
        </w:tc>
        <w:tc>
          <w:tcPr>
            <w:tcW w:w="6789" w:type="dxa"/>
            <w:shd w:val="clear" w:color="auto" w:fill="auto"/>
            <w:vAlign w:val="center"/>
          </w:tcPr>
          <w:p w14:paraId="74DB84D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【主观分】</w:t>
            </w:r>
          </w:p>
          <w:p w14:paraId="248477B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在线文档管控演示：</w:t>
            </w:r>
          </w:p>
          <w:p w14:paraId="08F06259">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1.创建在线文档：允许或禁止用户创建归属于外部组织的在线文档；</w:t>
            </w:r>
          </w:p>
          <w:p w14:paraId="08F9A7C8">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2.在线文档复制功能：允许或禁止用户将组织内部文档内容复制到文档外；</w:t>
            </w:r>
          </w:p>
          <w:p w14:paraId="6CA66704">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3.导出在线文档到本地：允许或禁止用户将组织内部在线文档导出到本地；</w:t>
            </w:r>
          </w:p>
          <w:p w14:paraId="46CAE99B">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4.在线文档授权：允许或禁止用户给组织外部人员添加内部文档权限。</w:t>
            </w:r>
          </w:p>
          <w:p w14:paraId="7170C189">
            <w:pPr>
              <w:spacing w:line="288" w:lineRule="auto"/>
              <w:rPr>
                <w:rFonts w:hint="eastAsia"/>
                <w:b/>
                <w:bCs/>
                <w:color w:val="auto"/>
                <w:sz w:val="21"/>
                <w:szCs w:val="21"/>
                <w:highlight w:val="none"/>
              </w:rPr>
            </w:pPr>
            <w:r>
              <w:rPr>
                <w:rFonts w:hint="eastAsia"/>
                <w:b/>
                <w:bCs/>
                <w:color w:val="auto"/>
                <w:sz w:val="21"/>
                <w:szCs w:val="21"/>
                <w:highlight w:val="none"/>
              </w:rPr>
              <w:t>演示内容与采购需求匹配程度高，内容完整。</w:t>
            </w:r>
          </w:p>
          <w:p w14:paraId="0DBDA9FF">
            <w:pPr>
              <w:adjustRightInd w:val="0"/>
              <w:snapToGrid w:val="0"/>
              <w:spacing w:line="288" w:lineRule="auto"/>
              <w:rPr>
                <w:rFonts w:hint="eastAsia"/>
                <w:color w:val="auto"/>
                <w:sz w:val="21"/>
                <w:szCs w:val="21"/>
                <w:highlight w:val="none"/>
              </w:rPr>
            </w:pPr>
            <w:r>
              <w:rPr>
                <w:rFonts w:hint="eastAsia"/>
                <w:b/>
                <w:bCs/>
                <w:color w:val="auto"/>
                <w:sz w:val="21"/>
                <w:szCs w:val="21"/>
                <w:highlight w:val="none"/>
              </w:rPr>
              <w:t>（评分范围：1,0.5,0）</w:t>
            </w:r>
          </w:p>
        </w:tc>
      </w:tr>
      <w:tr w14:paraId="57A8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tcPr>
          <w:p w14:paraId="71C15FCA">
            <w:pPr>
              <w:adjustRightInd w:val="0"/>
              <w:snapToGrid w:val="0"/>
              <w:spacing w:line="288" w:lineRule="auto"/>
              <w:jc w:val="center"/>
              <w:rPr>
                <w:rFonts w:hint="eastAsia"/>
                <w:b/>
                <w:bCs/>
                <w:color w:val="auto"/>
                <w:kern w:val="0"/>
                <w:sz w:val="21"/>
                <w:szCs w:val="21"/>
                <w:highlight w:val="none"/>
              </w:rPr>
            </w:pPr>
          </w:p>
        </w:tc>
        <w:tc>
          <w:tcPr>
            <w:tcW w:w="794" w:type="dxa"/>
            <w:vAlign w:val="center"/>
          </w:tcPr>
          <w:p w14:paraId="2284CDD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2</w:t>
            </w:r>
          </w:p>
        </w:tc>
        <w:tc>
          <w:tcPr>
            <w:tcW w:w="6789" w:type="dxa"/>
            <w:shd w:val="clear" w:color="auto" w:fill="auto"/>
            <w:vAlign w:val="center"/>
          </w:tcPr>
          <w:p w14:paraId="5BD92B2F">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【主观分】群内信息保护演示（2分）：</w:t>
            </w:r>
          </w:p>
          <w:p w14:paraId="355A9CDE">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1.下载聊天会话中的图片：允许或禁止用户将内部聊天图片下载到本地；</w:t>
            </w:r>
          </w:p>
          <w:p w14:paraId="7040AE9D">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2.外部聊天场景时粘贴：允许或禁止用户在外部聊天场景时使用粘贴功能；</w:t>
            </w:r>
          </w:p>
          <w:p w14:paraId="7C779F30">
            <w:pPr>
              <w:pStyle w:val="9"/>
              <w:adjustRightInd w:val="0"/>
              <w:spacing w:line="288" w:lineRule="auto"/>
              <w:ind w:firstLine="0"/>
              <w:jc w:val="left"/>
              <w:rPr>
                <w:rFonts w:hint="eastAsia" w:hAnsi="宋体" w:cs="宋体"/>
                <w:color w:val="auto"/>
                <w:sz w:val="21"/>
                <w:szCs w:val="21"/>
                <w:highlight w:val="none"/>
              </w:rPr>
            </w:pPr>
            <w:r>
              <w:rPr>
                <w:rFonts w:hint="eastAsia" w:hAnsi="宋体" w:cs="宋体"/>
                <w:color w:val="auto"/>
                <w:sz w:val="21"/>
                <w:szCs w:val="21"/>
                <w:highlight w:val="none"/>
              </w:rPr>
              <w:t>3.群聊截图：允许或禁止用户在PC端外部群及非同事单聊使用钉钉自带的截图功能 。</w:t>
            </w:r>
          </w:p>
          <w:p w14:paraId="1422F2D8">
            <w:pPr>
              <w:spacing w:line="288" w:lineRule="auto"/>
              <w:rPr>
                <w:rFonts w:hint="eastAsia"/>
                <w:b/>
                <w:bCs/>
                <w:color w:val="auto"/>
                <w:sz w:val="21"/>
                <w:szCs w:val="21"/>
                <w:highlight w:val="none"/>
              </w:rPr>
            </w:pPr>
            <w:r>
              <w:rPr>
                <w:rFonts w:hint="eastAsia"/>
                <w:b/>
                <w:bCs/>
                <w:color w:val="auto"/>
                <w:sz w:val="21"/>
                <w:szCs w:val="21"/>
                <w:highlight w:val="none"/>
              </w:rPr>
              <w:t>演示内容与采购需求匹配程度高，内容完整。</w:t>
            </w:r>
          </w:p>
          <w:p w14:paraId="1BCB0C6E">
            <w:pPr>
              <w:adjustRightInd w:val="0"/>
              <w:snapToGrid w:val="0"/>
              <w:spacing w:line="288" w:lineRule="auto"/>
              <w:rPr>
                <w:rFonts w:hint="eastAsia"/>
                <w:color w:val="auto"/>
                <w:sz w:val="21"/>
                <w:szCs w:val="21"/>
                <w:highlight w:val="none"/>
              </w:rPr>
            </w:pPr>
            <w:r>
              <w:rPr>
                <w:rFonts w:hint="eastAsia"/>
                <w:b/>
                <w:bCs/>
                <w:color w:val="auto"/>
                <w:sz w:val="21"/>
                <w:szCs w:val="21"/>
                <w:highlight w:val="none"/>
              </w:rPr>
              <w:t>（评分范围：2，1.5,1,0.5,0）</w:t>
            </w:r>
          </w:p>
        </w:tc>
      </w:tr>
      <w:tr w14:paraId="35DB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15" w:type="dxa"/>
            <w:vMerge w:val="continue"/>
          </w:tcPr>
          <w:p w14:paraId="7C4707D3">
            <w:pPr>
              <w:adjustRightInd w:val="0"/>
              <w:snapToGrid w:val="0"/>
              <w:spacing w:line="288" w:lineRule="auto"/>
              <w:jc w:val="center"/>
              <w:rPr>
                <w:rFonts w:hint="eastAsia"/>
                <w:b/>
                <w:bCs/>
                <w:color w:val="auto"/>
                <w:kern w:val="0"/>
                <w:sz w:val="21"/>
                <w:szCs w:val="21"/>
                <w:highlight w:val="none"/>
              </w:rPr>
            </w:pPr>
          </w:p>
        </w:tc>
        <w:tc>
          <w:tcPr>
            <w:tcW w:w="794" w:type="dxa"/>
            <w:vAlign w:val="center"/>
          </w:tcPr>
          <w:p w14:paraId="4C0423EF">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2</w:t>
            </w:r>
          </w:p>
        </w:tc>
        <w:tc>
          <w:tcPr>
            <w:tcW w:w="6789" w:type="dxa"/>
            <w:shd w:val="clear" w:color="auto" w:fill="auto"/>
            <w:vAlign w:val="center"/>
          </w:tcPr>
          <w:p w14:paraId="55E37272">
            <w:pPr>
              <w:adjustRightInd w:val="0"/>
              <w:snapToGrid w:val="0"/>
              <w:spacing w:line="288" w:lineRule="auto"/>
              <w:jc w:val="left"/>
              <w:rPr>
                <w:rFonts w:hint="eastAsia"/>
                <w:b/>
                <w:bCs/>
                <w:color w:val="auto"/>
                <w:sz w:val="21"/>
                <w:szCs w:val="21"/>
                <w:highlight w:val="none"/>
              </w:rPr>
            </w:pPr>
            <w:r>
              <w:rPr>
                <w:rFonts w:hint="eastAsia"/>
                <w:color w:val="auto"/>
                <w:sz w:val="21"/>
                <w:szCs w:val="21"/>
                <w:highlight w:val="none"/>
              </w:rPr>
              <w:t>【主观分】钉内文件管控演示（2分）：</w:t>
            </w:r>
          </w:p>
          <w:p w14:paraId="11AA6B77">
            <w:pPr>
              <w:adjustRightInd w:val="0"/>
              <w:snapToGrid w:val="0"/>
              <w:spacing w:line="288" w:lineRule="auto"/>
              <w:rPr>
                <w:rFonts w:hint="eastAsia"/>
                <w:color w:val="auto"/>
                <w:sz w:val="21"/>
                <w:szCs w:val="21"/>
                <w:highlight w:val="none"/>
              </w:rPr>
            </w:pPr>
            <w:r>
              <w:rPr>
                <w:rFonts w:hint="eastAsia"/>
                <w:color w:val="auto"/>
                <w:sz w:val="21"/>
                <w:szCs w:val="21"/>
                <w:highlight w:val="none"/>
              </w:rPr>
              <w:t>1.分享文件外链：允许或禁止用户将聊天和钉钉云盘中的文件生成外链分享；</w:t>
            </w:r>
          </w:p>
          <w:p w14:paraId="51E964DC">
            <w:pPr>
              <w:adjustRightInd w:val="0"/>
              <w:snapToGrid w:val="0"/>
              <w:spacing w:line="288" w:lineRule="auto"/>
              <w:rPr>
                <w:rFonts w:hint="eastAsia"/>
                <w:color w:val="auto"/>
                <w:sz w:val="21"/>
                <w:szCs w:val="21"/>
                <w:highlight w:val="none"/>
              </w:rPr>
            </w:pPr>
            <w:r>
              <w:rPr>
                <w:rFonts w:hint="eastAsia"/>
                <w:color w:val="auto"/>
                <w:sz w:val="21"/>
                <w:szCs w:val="21"/>
                <w:highlight w:val="none"/>
              </w:rPr>
              <w:t>2.上传本地文件：允许或禁止用户将本地电脑端的文件发送到组织外部；</w:t>
            </w:r>
          </w:p>
          <w:p w14:paraId="01CF2158">
            <w:pPr>
              <w:adjustRightInd w:val="0"/>
              <w:snapToGrid w:val="0"/>
              <w:spacing w:line="288" w:lineRule="auto"/>
              <w:rPr>
                <w:rFonts w:hint="eastAsia"/>
                <w:color w:val="auto"/>
                <w:sz w:val="21"/>
                <w:szCs w:val="21"/>
                <w:highlight w:val="none"/>
              </w:rPr>
            </w:pPr>
            <w:r>
              <w:rPr>
                <w:rFonts w:hint="eastAsia"/>
                <w:color w:val="auto"/>
                <w:sz w:val="21"/>
                <w:szCs w:val="21"/>
                <w:highlight w:val="none"/>
              </w:rPr>
              <w:t>3.文件局域网传输功能：允许或禁止用户使用Windows端-单聊窗口中的“局域网传输”功能。</w:t>
            </w:r>
          </w:p>
          <w:p w14:paraId="023EE325">
            <w:pPr>
              <w:spacing w:line="288" w:lineRule="auto"/>
              <w:rPr>
                <w:rFonts w:hint="eastAsia"/>
                <w:b/>
                <w:bCs/>
                <w:color w:val="auto"/>
                <w:sz w:val="21"/>
                <w:szCs w:val="21"/>
                <w:highlight w:val="none"/>
              </w:rPr>
            </w:pPr>
            <w:r>
              <w:rPr>
                <w:rFonts w:hint="eastAsia"/>
                <w:b/>
                <w:bCs/>
                <w:color w:val="auto"/>
                <w:sz w:val="21"/>
                <w:szCs w:val="21"/>
                <w:highlight w:val="none"/>
              </w:rPr>
              <w:t>演示内容与采购需求匹配程度高，内容完整。</w:t>
            </w:r>
          </w:p>
          <w:p w14:paraId="419CC26F">
            <w:pPr>
              <w:adjustRightInd w:val="0"/>
              <w:snapToGrid w:val="0"/>
              <w:spacing w:line="288" w:lineRule="auto"/>
              <w:rPr>
                <w:rFonts w:hint="eastAsia"/>
                <w:color w:val="auto"/>
                <w:sz w:val="21"/>
                <w:szCs w:val="21"/>
                <w:highlight w:val="none"/>
              </w:rPr>
            </w:pPr>
            <w:r>
              <w:rPr>
                <w:rFonts w:hint="eastAsia"/>
                <w:b/>
                <w:bCs/>
                <w:color w:val="auto"/>
                <w:sz w:val="21"/>
                <w:szCs w:val="21"/>
                <w:highlight w:val="none"/>
              </w:rPr>
              <w:t>（评分范围：2，1.5,1,0.5,0）</w:t>
            </w:r>
          </w:p>
        </w:tc>
      </w:tr>
    </w:tbl>
    <w:p w14:paraId="50E43F6B">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5F61BEE4">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第五章  拟签订的合同文本</w:t>
      </w:r>
    </w:p>
    <w:p w14:paraId="43E5148F">
      <w:pPr>
        <w:adjustRightInd w:val="0"/>
        <w:snapToGrid w:val="0"/>
        <w:spacing w:line="288" w:lineRule="auto"/>
        <w:jc w:val="center"/>
        <w:rPr>
          <w:rFonts w:hint="eastAsia"/>
          <w:b/>
          <w:bCs/>
          <w:color w:val="auto"/>
          <w:sz w:val="21"/>
          <w:szCs w:val="21"/>
          <w:highlight w:val="none"/>
        </w:rPr>
      </w:pPr>
      <w:r>
        <w:rPr>
          <w:rFonts w:hint="eastAsia"/>
          <w:b/>
          <w:color w:val="auto"/>
          <w:spacing w:val="-6"/>
          <w:sz w:val="21"/>
          <w:szCs w:val="21"/>
          <w:highlight w:val="none"/>
        </w:rPr>
        <w:t>浙江交通职业技术学院交院钉运维项目政府采购合同</w:t>
      </w:r>
    </w:p>
    <w:p w14:paraId="465282B9">
      <w:pPr>
        <w:adjustRightInd w:val="0"/>
        <w:snapToGrid w:val="0"/>
        <w:spacing w:line="288" w:lineRule="auto"/>
        <w:rPr>
          <w:rFonts w:hint="eastAsia"/>
          <w:color w:val="auto"/>
          <w:sz w:val="21"/>
          <w:szCs w:val="21"/>
          <w:highlight w:val="none"/>
        </w:rPr>
      </w:pPr>
    </w:p>
    <w:p w14:paraId="666DC5B3">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项目名称：浙江交通职业技术学院交院钉运维项目</w:t>
      </w:r>
    </w:p>
    <w:p w14:paraId="1C4663B5">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项目编号：</w:t>
      </w:r>
      <w:r>
        <w:rPr>
          <w:rFonts w:hint="eastAsia" w:cs="Times New Roman"/>
          <w:b/>
          <w:bCs/>
          <w:color w:val="auto"/>
          <w:spacing w:val="-6"/>
          <w:sz w:val="21"/>
          <w:szCs w:val="21"/>
          <w:highlight w:val="none"/>
          <w:lang w:eastAsia="zh-CN"/>
        </w:rPr>
        <w:t>QSZB-Z(F)-C25134(CS)L</w:t>
      </w:r>
      <w:r>
        <w:rPr>
          <w:rFonts w:hint="eastAsia" w:cs="Times New Roman"/>
          <w:b/>
          <w:bCs/>
          <w:color w:val="auto"/>
          <w:spacing w:val="-6"/>
          <w:sz w:val="21"/>
          <w:szCs w:val="21"/>
          <w:highlight w:val="none"/>
        </w:rPr>
        <w:t xml:space="preserve"> </w:t>
      </w:r>
    </w:p>
    <w:p w14:paraId="536BDE03">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采购计划文号：</w:t>
      </w:r>
    </w:p>
    <w:p w14:paraId="6C30E8F6">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甲方（需方）：浙江交通职业技术学院</w:t>
      </w:r>
    </w:p>
    <w:p w14:paraId="2B661756">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乙方（供方）：</w:t>
      </w:r>
    </w:p>
    <w:p w14:paraId="0699FC5D">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采购代理机构：浙江求是招标代理有限公司</w:t>
      </w:r>
    </w:p>
    <w:p w14:paraId="5C731F26">
      <w:pPr>
        <w:adjustRightInd w:val="0"/>
        <w:snapToGrid w:val="0"/>
        <w:spacing w:line="288" w:lineRule="auto"/>
        <w:rPr>
          <w:rFonts w:hint="eastAsia" w:cs="Times New Roman"/>
          <w:color w:val="auto"/>
          <w:spacing w:val="-6"/>
          <w:sz w:val="21"/>
          <w:szCs w:val="21"/>
          <w:highlight w:val="none"/>
        </w:rPr>
      </w:pPr>
    </w:p>
    <w:p w14:paraId="477EEAD1">
      <w:pPr>
        <w:adjustRightInd w:val="0"/>
        <w:snapToGrid w:val="0"/>
        <w:spacing w:line="288" w:lineRule="auto"/>
        <w:ind w:firstLine="416" w:firstLineChars="200"/>
        <w:rPr>
          <w:rFonts w:hint="eastAsia"/>
          <w:color w:val="auto"/>
          <w:spacing w:val="-6"/>
          <w:sz w:val="22"/>
          <w:szCs w:val="22"/>
          <w:highlight w:val="none"/>
        </w:rPr>
      </w:pPr>
      <w:r>
        <w:rPr>
          <w:rFonts w:hint="eastAsia"/>
          <w:color w:val="auto"/>
          <w:spacing w:val="-6"/>
          <w:sz w:val="22"/>
          <w:szCs w:val="22"/>
          <w:highlight w:val="none"/>
        </w:rPr>
        <w:t>根据《中华人民共和国政府采购法》等法律法规规定，浙江求是招标代理有限公司受</w:t>
      </w:r>
      <w:r>
        <w:rPr>
          <w:rFonts w:hint="eastAsia"/>
          <w:color w:val="auto"/>
          <w:spacing w:val="-6"/>
          <w:sz w:val="22"/>
          <w:szCs w:val="22"/>
          <w:highlight w:val="none"/>
          <w:u w:val="single"/>
        </w:rPr>
        <w:t xml:space="preserve"> 浙江交通职业技术学院 </w:t>
      </w:r>
      <w:r>
        <w:rPr>
          <w:rFonts w:hint="eastAsia"/>
          <w:color w:val="auto"/>
          <w:spacing w:val="-6"/>
          <w:sz w:val="22"/>
          <w:szCs w:val="22"/>
          <w:highlight w:val="none"/>
        </w:rPr>
        <w:t>委托，经</w:t>
      </w:r>
      <w:r>
        <w:rPr>
          <w:rFonts w:hint="eastAsia"/>
          <w:color w:val="auto"/>
          <w:spacing w:val="-6"/>
          <w:sz w:val="22"/>
          <w:szCs w:val="22"/>
          <w:highlight w:val="none"/>
          <w:u w:val="single"/>
        </w:rPr>
        <w:t>竞争性磋商采购</w:t>
      </w:r>
      <w:r>
        <w:rPr>
          <w:rFonts w:hint="eastAsia"/>
          <w:color w:val="auto"/>
          <w:spacing w:val="-6"/>
          <w:sz w:val="22"/>
          <w:szCs w:val="22"/>
          <w:highlight w:val="none"/>
        </w:rPr>
        <w:t>，确定</w:t>
      </w:r>
      <w:r>
        <w:rPr>
          <w:rFonts w:hint="eastAsia"/>
          <w:color w:val="auto"/>
          <w:spacing w:val="-6"/>
          <w:sz w:val="22"/>
          <w:szCs w:val="22"/>
          <w:highlight w:val="none"/>
          <w:u w:val="single"/>
        </w:rPr>
        <w:t xml:space="preserve">              </w:t>
      </w:r>
      <w:r>
        <w:rPr>
          <w:rFonts w:hint="eastAsia"/>
          <w:color w:val="auto"/>
          <w:spacing w:val="-6"/>
          <w:sz w:val="22"/>
          <w:szCs w:val="22"/>
          <w:highlight w:val="none"/>
        </w:rPr>
        <w:t>为</w:t>
      </w:r>
      <w:r>
        <w:rPr>
          <w:rFonts w:hint="eastAsia"/>
          <w:color w:val="auto"/>
          <w:spacing w:val="-6"/>
          <w:sz w:val="22"/>
          <w:szCs w:val="22"/>
          <w:highlight w:val="none"/>
          <w:u w:val="single"/>
        </w:rPr>
        <w:t xml:space="preserve"> 2025年专属钉钉 </w:t>
      </w:r>
      <w:r>
        <w:rPr>
          <w:rFonts w:hint="eastAsia"/>
          <w:color w:val="auto"/>
          <w:spacing w:val="-6"/>
          <w:sz w:val="22"/>
          <w:szCs w:val="22"/>
          <w:highlight w:val="none"/>
        </w:rPr>
        <w:t>项目编号</w:t>
      </w:r>
      <w:r>
        <w:rPr>
          <w:rFonts w:hint="eastAsia"/>
          <w:color w:val="auto"/>
          <w:spacing w:val="-6"/>
          <w:sz w:val="22"/>
          <w:szCs w:val="22"/>
          <w:highlight w:val="none"/>
          <w:u w:val="single"/>
        </w:rPr>
        <w:t>（</w:t>
      </w:r>
      <w:r>
        <w:rPr>
          <w:rFonts w:hint="eastAsia"/>
          <w:color w:val="auto"/>
          <w:spacing w:val="-6"/>
          <w:sz w:val="22"/>
          <w:szCs w:val="22"/>
          <w:highlight w:val="none"/>
          <w:u w:val="single"/>
          <w:lang w:eastAsia="zh-CN"/>
        </w:rPr>
        <w:t>QSZB-Z(F)-C25134(CS)L</w:t>
      </w:r>
      <w:r>
        <w:rPr>
          <w:rFonts w:hint="eastAsia"/>
          <w:color w:val="auto"/>
          <w:spacing w:val="-6"/>
          <w:sz w:val="22"/>
          <w:szCs w:val="22"/>
          <w:highlight w:val="none"/>
          <w:u w:val="single"/>
        </w:rPr>
        <w:t xml:space="preserve"> ）</w:t>
      </w:r>
      <w:r>
        <w:rPr>
          <w:rFonts w:hint="eastAsia"/>
          <w:color w:val="auto"/>
          <w:spacing w:val="-6"/>
          <w:sz w:val="22"/>
          <w:szCs w:val="22"/>
          <w:highlight w:val="none"/>
        </w:rPr>
        <w:t>的成交供应商。根据《中华人民共和国民法典》规定，签署本合同。</w:t>
      </w:r>
    </w:p>
    <w:p w14:paraId="6B0330FC">
      <w:pPr>
        <w:adjustRightInd w:val="0"/>
        <w:snapToGrid w:val="0"/>
        <w:spacing w:line="288" w:lineRule="auto"/>
        <w:rPr>
          <w:rFonts w:hint="eastAsia"/>
          <w:b/>
          <w:color w:val="auto"/>
          <w:spacing w:val="-6"/>
          <w:sz w:val="22"/>
          <w:szCs w:val="22"/>
          <w:highlight w:val="none"/>
        </w:rPr>
      </w:pPr>
    </w:p>
    <w:p w14:paraId="747B2450">
      <w:pPr>
        <w:spacing w:line="288" w:lineRule="auto"/>
        <w:ind w:firstLine="409" w:firstLineChars="196"/>
        <w:rPr>
          <w:rFonts w:hint="eastAsia"/>
          <w:b/>
          <w:color w:val="auto"/>
          <w:spacing w:val="-6"/>
          <w:sz w:val="22"/>
          <w:szCs w:val="22"/>
          <w:highlight w:val="none"/>
        </w:rPr>
      </w:pPr>
      <w:r>
        <w:rPr>
          <w:rFonts w:hint="eastAsia"/>
          <w:b/>
          <w:color w:val="auto"/>
          <w:spacing w:val="-6"/>
          <w:sz w:val="22"/>
          <w:szCs w:val="22"/>
          <w:highlight w:val="none"/>
        </w:rPr>
        <w:t>第一条：</w:t>
      </w:r>
      <w:r>
        <w:rPr>
          <w:rFonts w:hint="eastAsia"/>
          <w:b/>
          <w:color w:val="auto"/>
          <w:sz w:val="22"/>
          <w:szCs w:val="22"/>
          <w:highlight w:val="none"/>
        </w:rPr>
        <w:t>服务内容和要求</w:t>
      </w:r>
    </w:p>
    <w:p w14:paraId="332CF924">
      <w:pPr>
        <w:snapToGrid w:val="0"/>
        <w:spacing w:line="288" w:lineRule="auto"/>
        <w:ind w:firstLine="440" w:firstLineChars="200"/>
        <w:rPr>
          <w:rFonts w:hint="eastAsia"/>
          <w:color w:val="auto"/>
          <w:sz w:val="22"/>
          <w:szCs w:val="22"/>
          <w:highlight w:val="none"/>
        </w:rPr>
      </w:pPr>
      <w:r>
        <w:rPr>
          <w:rFonts w:hint="eastAsia"/>
          <w:color w:val="auto"/>
          <w:sz w:val="22"/>
          <w:szCs w:val="22"/>
          <w:highlight w:val="none"/>
        </w:rPr>
        <w:t>1.</w:t>
      </w:r>
    </w:p>
    <w:p w14:paraId="5F5E9917">
      <w:pPr>
        <w:snapToGrid w:val="0"/>
        <w:spacing w:line="288" w:lineRule="auto"/>
        <w:ind w:firstLine="440" w:firstLineChars="200"/>
        <w:rPr>
          <w:rFonts w:hint="eastAsia"/>
          <w:color w:val="auto"/>
          <w:sz w:val="22"/>
          <w:szCs w:val="22"/>
          <w:highlight w:val="none"/>
        </w:rPr>
      </w:pPr>
      <w:r>
        <w:rPr>
          <w:rFonts w:hint="eastAsia"/>
          <w:color w:val="auto"/>
          <w:sz w:val="22"/>
          <w:szCs w:val="22"/>
          <w:highlight w:val="none"/>
        </w:rPr>
        <w:t>2.</w:t>
      </w:r>
    </w:p>
    <w:p w14:paraId="4B23FE57">
      <w:pPr>
        <w:snapToGrid w:val="0"/>
        <w:spacing w:line="288" w:lineRule="auto"/>
        <w:ind w:firstLine="440" w:firstLineChars="200"/>
        <w:rPr>
          <w:rFonts w:hint="eastAsia"/>
          <w:color w:val="auto"/>
          <w:spacing w:val="-6"/>
          <w:sz w:val="22"/>
          <w:szCs w:val="22"/>
          <w:highlight w:val="none"/>
        </w:rPr>
      </w:pPr>
      <w:r>
        <w:rPr>
          <w:rFonts w:hint="eastAsia"/>
          <w:color w:val="auto"/>
          <w:sz w:val="22"/>
          <w:szCs w:val="22"/>
          <w:highlight w:val="none"/>
        </w:rPr>
        <w:t>3.……</w:t>
      </w:r>
    </w:p>
    <w:p w14:paraId="3EE13A87">
      <w:pPr>
        <w:spacing w:line="288" w:lineRule="auto"/>
        <w:ind w:firstLine="409" w:firstLineChars="196"/>
        <w:rPr>
          <w:rFonts w:hint="eastAsia"/>
          <w:b/>
          <w:color w:val="auto"/>
          <w:spacing w:val="-6"/>
          <w:sz w:val="22"/>
          <w:szCs w:val="22"/>
          <w:highlight w:val="none"/>
        </w:rPr>
      </w:pPr>
      <w:r>
        <w:rPr>
          <w:rFonts w:hint="eastAsia"/>
          <w:b/>
          <w:color w:val="auto"/>
          <w:spacing w:val="-6"/>
          <w:sz w:val="22"/>
          <w:szCs w:val="22"/>
          <w:highlight w:val="none"/>
        </w:rPr>
        <w:t>第二条：合同履行时间、履行地点和合同金额</w:t>
      </w:r>
    </w:p>
    <w:p w14:paraId="618F2E99">
      <w:pPr>
        <w:snapToGrid w:val="0"/>
        <w:spacing w:line="288" w:lineRule="auto"/>
        <w:ind w:firstLine="440" w:firstLineChars="200"/>
        <w:rPr>
          <w:rFonts w:hint="eastAsia"/>
          <w:color w:val="auto"/>
          <w:sz w:val="22"/>
          <w:szCs w:val="22"/>
          <w:highlight w:val="none"/>
        </w:rPr>
      </w:pPr>
      <w:r>
        <w:rPr>
          <w:rFonts w:hint="eastAsia"/>
          <w:color w:val="auto"/>
          <w:sz w:val="22"/>
          <w:szCs w:val="22"/>
          <w:highlight w:val="none"/>
        </w:rPr>
        <w:t>1.履行时间：</w:t>
      </w:r>
      <w:r>
        <w:rPr>
          <w:rFonts w:hint="eastAsia"/>
          <w:color w:val="auto"/>
          <w:sz w:val="22"/>
          <w:szCs w:val="22"/>
          <w:highlight w:val="none"/>
          <w:u w:val="single"/>
        </w:rPr>
        <w:t xml:space="preserve">                </w:t>
      </w:r>
      <w:r>
        <w:rPr>
          <w:rFonts w:hint="eastAsia"/>
          <w:color w:val="auto"/>
          <w:sz w:val="22"/>
          <w:szCs w:val="22"/>
          <w:highlight w:val="none"/>
        </w:rPr>
        <w:t>；</w:t>
      </w:r>
    </w:p>
    <w:p w14:paraId="4CFB9074">
      <w:pPr>
        <w:snapToGrid w:val="0"/>
        <w:spacing w:line="288" w:lineRule="auto"/>
        <w:ind w:firstLine="440" w:firstLineChars="200"/>
        <w:rPr>
          <w:rFonts w:hint="eastAsia"/>
          <w:color w:val="auto"/>
          <w:sz w:val="22"/>
          <w:szCs w:val="22"/>
          <w:highlight w:val="none"/>
        </w:rPr>
      </w:pPr>
      <w:r>
        <w:rPr>
          <w:rFonts w:hint="eastAsia"/>
          <w:color w:val="auto"/>
          <w:sz w:val="22"/>
          <w:szCs w:val="22"/>
          <w:highlight w:val="none"/>
        </w:rPr>
        <w:t>2.履行地点：</w:t>
      </w:r>
      <w:r>
        <w:rPr>
          <w:rFonts w:hint="eastAsia"/>
          <w:color w:val="auto"/>
          <w:sz w:val="22"/>
          <w:szCs w:val="22"/>
          <w:highlight w:val="none"/>
          <w:u w:val="single"/>
        </w:rPr>
        <w:t xml:space="preserve">                </w:t>
      </w:r>
      <w:r>
        <w:rPr>
          <w:rFonts w:hint="eastAsia"/>
          <w:color w:val="auto"/>
          <w:sz w:val="22"/>
          <w:szCs w:val="22"/>
          <w:highlight w:val="none"/>
        </w:rPr>
        <w:t>；</w:t>
      </w:r>
    </w:p>
    <w:p w14:paraId="69E1890E">
      <w:pPr>
        <w:snapToGrid w:val="0"/>
        <w:spacing w:line="288" w:lineRule="auto"/>
        <w:ind w:firstLine="440" w:firstLineChars="200"/>
        <w:rPr>
          <w:rFonts w:hint="eastAsia"/>
          <w:color w:val="auto"/>
          <w:sz w:val="22"/>
          <w:szCs w:val="22"/>
          <w:highlight w:val="none"/>
        </w:rPr>
      </w:pPr>
      <w:r>
        <w:rPr>
          <w:rFonts w:hint="eastAsia"/>
          <w:color w:val="auto"/>
          <w:sz w:val="22"/>
          <w:szCs w:val="22"/>
          <w:highlight w:val="none"/>
        </w:rPr>
        <w:t>3.本合同金额为（大写）：</w:t>
      </w:r>
      <w:r>
        <w:rPr>
          <w:rFonts w:hint="eastAsia"/>
          <w:color w:val="auto"/>
          <w:sz w:val="22"/>
          <w:szCs w:val="22"/>
          <w:highlight w:val="none"/>
          <w:u w:val="single"/>
        </w:rPr>
        <w:t xml:space="preserve">             </w:t>
      </w:r>
      <w:r>
        <w:rPr>
          <w:rFonts w:hint="eastAsia"/>
          <w:color w:val="auto"/>
          <w:sz w:val="22"/>
          <w:szCs w:val="22"/>
          <w:highlight w:val="none"/>
        </w:rPr>
        <w:t>元（￥</w:t>
      </w:r>
      <w:r>
        <w:rPr>
          <w:rFonts w:hint="eastAsia"/>
          <w:color w:val="auto"/>
          <w:sz w:val="22"/>
          <w:szCs w:val="22"/>
          <w:highlight w:val="none"/>
          <w:u w:val="single"/>
        </w:rPr>
        <w:t xml:space="preserve">            </w:t>
      </w:r>
      <w:r>
        <w:rPr>
          <w:rFonts w:hint="eastAsia"/>
          <w:color w:val="auto"/>
          <w:sz w:val="22"/>
          <w:szCs w:val="22"/>
          <w:highlight w:val="none"/>
        </w:rPr>
        <w:t>元）人民币。本合同的价款为含税价。</w:t>
      </w:r>
    </w:p>
    <w:p w14:paraId="0C53D2E7">
      <w:pPr>
        <w:spacing w:line="288" w:lineRule="auto"/>
        <w:ind w:firstLine="418" w:firstLineChars="200"/>
        <w:rPr>
          <w:rFonts w:hint="eastAsia"/>
          <w:color w:val="auto"/>
          <w:spacing w:val="-6"/>
          <w:sz w:val="22"/>
          <w:szCs w:val="22"/>
          <w:highlight w:val="none"/>
        </w:rPr>
      </w:pPr>
      <w:r>
        <w:rPr>
          <w:rFonts w:hint="eastAsia"/>
          <w:b/>
          <w:color w:val="auto"/>
          <w:spacing w:val="-6"/>
          <w:sz w:val="22"/>
          <w:szCs w:val="22"/>
          <w:highlight w:val="none"/>
        </w:rPr>
        <w:t>第三条：</w:t>
      </w:r>
      <w:r>
        <w:rPr>
          <w:rFonts w:hint="eastAsia"/>
          <w:b/>
          <w:color w:val="auto"/>
          <w:sz w:val="22"/>
          <w:szCs w:val="22"/>
          <w:highlight w:val="none"/>
        </w:rPr>
        <w:t>技术资料</w:t>
      </w:r>
    </w:p>
    <w:p w14:paraId="06CEA237">
      <w:pPr>
        <w:pStyle w:val="10"/>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1.乙方应按磋商文件规定的时间向甲方提供有关技术资料。</w:t>
      </w:r>
    </w:p>
    <w:p w14:paraId="4031D798">
      <w:pPr>
        <w:pStyle w:val="10"/>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2.未经甲方事先书面同意，乙方不得将与本合同及有关的任何合同条文、规格、计划、图纸、样品或资料提供给任何第三方。即使向履行本合同有关的人员提供，也应注意保密并限于履行合同的必需范围。</w:t>
      </w:r>
    </w:p>
    <w:p w14:paraId="5328C439">
      <w:pPr>
        <w:pStyle w:val="10"/>
        <w:snapToGrid w:val="0"/>
        <w:spacing w:line="288" w:lineRule="auto"/>
        <w:ind w:firstLine="440" w:firstLineChars="200"/>
        <w:rPr>
          <w:rFonts w:hint="eastAsia" w:ascii="宋体" w:hAnsi="宋体" w:eastAsia="宋体" w:cs="宋体"/>
          <w:bCs/>
          <w:color w:val="auto"/>
          <w:sz w:val="22"/>
          <w:szCs w:val="22"/>
          <w:highlight w:val="none"/>
        </w:rPr>
      </w:pPr>
      <w:r>
        <w:rPr>
          <w:rFonts w:hint="eastAsia" w:ascii="宋体" w:hAnsi="宋体" w:eastAsia="宋体" w:cs="宋体"/>
          <w:color w:val="auto"/>
          <w:sz w:val="22"/>
          <w:szCs w:val="22"/>
          <w:highlight w:val="none"/>
        </w:rPr>
        <w:t>3.乙方应保证提供服务过程中不会侵犯任何第三方的知识产权</w:t>
      </w:r>
      <w:r>
        <w:rPr>
          <w:rFonts w:hint="eastAsia" w:ascii="宋体" w:hAnsi="宋体" w:eastAsia="宋体" w:cs="宋体"/>
          <w:bCs/>
          <w:color w:val="auto"/>
          <w:sz w:val="22"/>
          <w:szCs w:val="22"/>
          <w:highlight w:val="none"/>
        </w:rPr>
        <w:t>，否则甲方有权解除本合同，拒绝支付合同价款，并要求乙方赔偿所有损失。</w:t>
      </w:r>
    </w:p>
    <w:p w14:paraId="5DFCAF06">
      <w:pPr>
        <w:spacing w:line="288" w:lineRule="auto"/>
        <w:ind w:firstLine="409" w:firstLineChars="196"/>
        <w:rPr>
          <w:rFonts w:hint="eastAsia"/>
          <w:b/>
          <w:color w:val="auto"/>
          <w:spacing w:val="-6"/>
          <w:sz w:val="22"/>
          <w:szCs w:val="22"/>
          <w:highlight w:val="none"/>
        </w:rPr>
      </w:pPr>
      <w:r>
        <w:rPr>
          <w:rFonts w:hint="eastAsia"/>
          <w:b/>
          <w:color w:val="auto"/>
          <w:spacing w:val="-6"/>
          <w:sz w:val="22"/>
          <w:szCs w:val="22"/>
          <w:highlight w:val="none"/>
        </w:rPr>
        <w:t>第四条：</w:t>
      </w:r>
      <w:r>
        <w:rPr>
          <w:rFonts w:hint="eastAsia"/>
          <w:b/>
          <w:color w:val="auto"/>
          <w:sz w:val="22"/>
          <w:szCs w:val="22"/>
          <w:highlight w:val="none"/>
        </w:rPr>
        <w:t>转包或分包</w:t>
      </w:r>
    </w:p>
    <w:p w14:paraId="41D35DBC">
      <w:pPr>
        <w:snapToGrid w:val="0"/>
        <w:spacing w:line="288" w:lineRule="auto"/>
        <w:ind w:firstLine="440" w:firstLineChars="200"/>
        <w:rPr>
          <w:rFonts w:hint="eastAsia"/>
          <w:color w:val="auto"/>
          <w:sz w:val="22"/>
          <w:szCs w:val="22"/>
          <w:highlight w:val="none"/>
        </w:rPr>
      </w:pPr>
      <w:r>
        <w:rPr>
          <w:rFonts w:hint="eastAsia"/>
          <w:color w:val="auto"/>
          <w:sz w:val="22"/>
          <w:szCs w:val="22"/>
          <w:highlight w:val="none"/>
        </w:rPr>
        <w:t>1.本合同范围的服务，应由乙方直接完成，不得转让给任何第三方；</w:t>
      </w:r>
    </w:p>
    <w:p w14:paraId="64BFC5FE">
      <w:pPr>
        <w:snapToGrid w:val="0"/>
        <w:spacing w:line="288" w:lineRule="auto"/>
        <w:ind w:firstLine="440" w:firstLineChars="200"/>
        <w:rPr>
          <w:rFonts w:hint="eastAsia"/>
          <w:color w:val="auto"/>
          <w:sz w:val="22"/>
          <w:szCs w:val="22"/>
          <w:highlight w:val="none"/>
        </w:rPr>
      </w:pPr>
      <w:r>
        <w:rPr>
          <w:rFonts w:hint="eastAsia"/>
          <w:color w:val="auto"/>
          <w:sz w:val="22"/>
          <w:szCs w:val="22"/>
          <w:highlight w:val="none"/>
        </w:rPr>
        <w:t>2.除非得到甲方的书面同意，乙方不得将本合同范围的服务全部或部分转包分包给任何第三方完成；</w:t>
      </w:r>
    </w:p>
    <w:p w14:paraId="2C1B932A">
      <w:pPr>
        <w:snapToGrid w:val="0"/>
        <w:spacing w:line="288" w:lineRule="auto"/>
        <w:ind w:firstLine="440" w:firstLineChars="200"/>
        <w:rPr>
          <w:rFonts w:hint="eastAsia"/>
          <w:color w:val="auto"/>
          <w:sz w:val="22"/>
          <w:szCs w:val="22"/>
          <w:highlight w:val="none"/>
        </w:rPr>
      </w:pPr>
      <w:r>
        <w:rPr>
          <w:rFonts w:hint="eastAsia"/>
          <w:color w:val="auto"/>
          <w:sz w:val="22"/>
          <w:szCs w:val="22"/>
          <w:highlight w:val="none"/>
        </w:rPr>
        <w:t>3.乙方转让或转包分包的，甲方有权解除合同和拒付（或要求乙方退还）合同价款，并追究乙方的违约责任。</w:t>
      </w:r>
    </w:p>
    <w:p w14:paraId="38E98FB2">
      <w:pPr>
        <w:spacing w:line="288" w:lineRule="auto"/>
        <w:ind w:firstLine="418" w:firstLineChars="200"/>
        <w:rPr>
          <w:rFonts w:hint="eastAsia"/>
          <w:b/>
          <w:color w:val="auto"/>
          <w:spacing w:val="-6"/>
          <w:sz w:val="22"/>
          <w:szCs w:val="22"/>
          <w:highlight w:val="none"/>
        </w:rPr>
      </w:pPr>
      <w:r>
        <w:rPr>
          <w:rFonts w:hint="eastAsia"/>
          <w:b/>
          <w:color w:val="auto"/>
          <w:spacing w:val="-6"/>
          <w:sz w:val="22"/>
          <w:szCs w:val="22"/>
          <w:highlight w:val="none"/>
        </w:rPr>
        <w:t>第五条：付款支付</w:t>
      </w:r>
    </w:p>
    <w:p w14:paraId="733A668B">
      <w:pPr>
        <w:spacing w:line="288" w:lineRule="auto"/>
        <w:ind w:firstLine="418" w:firstLineChars="200"/>
        <w:rPr>
          <w:rFonts w:hint="eastAsia"/>
          <w:b/>
          <w:color w:val="auto"/>
          <w:spacing w:val="-6"/>
          <w:sz w:val="22"/>
          <w:szCs w:val="22"/>
          <w:highlight w:val="none"/>
        </w:rPr>
      </w:pPr>
    </w:p>
    <w:p w14:paraId="227CDC42">
      <w:pPr>
        <w:spacing w:line="288" w:lineRule="auto"/>
        <w:rPr>
          <w:rFonts w:hint="eastAsia"/>
          <w:b/>
          <w:color w:val="auto"/>
          <w:spacing w:val="-6"/>
          <w:sz w:val="22"/>
          <w:szCs w:val="22"/>
          <w:highlight w:val="none"/>
        </w:rPr>
      </w:pPr>
    </w:p>
    <w:p w14:paraId="2B1A89E6">
      <w:pPr>
        <w:spacing w:line="288" w:lineRule="auto"/>
        <w:ind w:firstLine="418" w:firstLineChars="200"/>
        <w:rPr>
          <w:rFonts w:hint="eastAsia"/>
          <w:b/>
          <w:color w:val="auto"/>
          <w:spacing w:val="-6"/>
          <w:sz w:val="22"/>
          <w:szCs w:val="22"/>
          <w:highlight w:val="none"/>
        </w:rPr>
      </w:pPr>
      <w:r>
        <w:rPr>
          <w:rFonts w:hint="eastAsia"/>
          <w:b/>
          <w:color w:val="auto"/>
          <w:spacing w:val="-6"/>
          <w:sz w:val="22"/>
          <w:szCs w:val="22"/>
          <w:highlight w:val="none"/>
        </w:rPr>
        <w:t>第六条：</w:t>
      </w:r>
      <w:r>
        <w:rPr>
          <w:rFonts w:hint="eastAsia"/>
          <w:b/>
          <w:color w:val="auto"/>
          <w:sz w:val="22"/>
          <w:szCs w:val="22"/>
          <w:highlight w:val="none"/>
        </w:rPr>
        <w:t>质量保证及后续服务</w:t>
      </w:r>
    </w:p>
    <w:p w14:paraId="3428FFB1">
      <w:pPr>
        <w:pStyle w:val="10"/>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1.乙方应按磋商文件规定向甲方提供服务。</w:t>
      </w:r>
    </w:p>
    <w:p w14:paraId="23E5F98D">
      <w:pPr>
        <w:pStyle w:val="10"/>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2.乙方提供的服务成果验收不合格的，或在服务质量保证期内出现问题，乙方应负责免费提供后续服务。对达不到服务要求的，根据实际情况，甲方有权自行选择以下办法处理：</w:t>
      </w:r>
    </w:p>
    <w:p w14:paraId="48A35E4E">
      <w:pPr>
        <w:pStyle w:val="10"/>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（1）重做：由乙方承担所发生的全部费用，并承担所有损失。</w:t>
      </w:r>
    </w:p>
    <w:p w14:paraId="3E65A623">
      <w:pPr>
        <w:pStyle w:val="10"/>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（2）解除合同：甲方拒付（或要求乙方退还）合同价款。</w:t>
      </w:r>
    </w:p>
    <w:p w14:paraId="5CA35159">
      <w:pPr>
        <w:pStyle w:val="10"/>
        <w:snapToGrid w:val="0"/>
        <w:spacing w:line="288"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3.合同履行期限内，乙方接到甲方通知后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小时内到达甲方现场，并在</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小时内排除故障。</w:t>
      </w:r>
    </w:p>
    <w:p w14:paraId="0074ABDC">
      <w:pPr>
        <w:spacing w:line="288" w:lineRule="auto"/>
        <w:ind w:firstLine="440" w:firstLineChars="200"/>
        <w:rPr>
          <w:rFonts w:hint="eastAsia"/>
          <w:b/>
          <w:color w:val="auto"/>
          <w:spacing w:val="-6"/>
          <w:sz w:val="22"/>
          <w:szCs w:val="22"/>
          <w:highlight w:val="none"/>
        </w:rPr>
      </w:pPr>
      <w:r>
        <w:rPr>
          <w:rFonts w:hint="eastAsia"/>
          <w:color w:val="auto"/>
          <w:sz w:val="22"/>
          <w:szCs w:val="22"/>
          <w:highlight w:val="none"/>
        </w:rPr>
        <w:t>4.在服务质量保证期内，乙方应对出现的质量及安全问题负责处理解决并承担一切费用。</w:t>
      </w:r>
    </w:p>
    <w:p w14:paraId="16F1D950">
      <w:pPr>
        <w:spacing w:line="288" w:lineRule="auto"/>
        <w:ind w:firstLine="418" w:firstLineChars="200"/>
        <w:rPr>
          <w:rFonts w:hint="eastAsia"/>
          <w:b/>
          <w:color w:val="auto"/>
          <w:spacing w:val="-6"/>
          <w:sz w:val="22"/>
          <w:szCs w:val="22"/>
          <w:highlight w:val="none"/>
        </w:rPr>
      </w:pPr>
      <w:r>
        <w:rPr>
          <w:rFonts w:hint="eastAsia"/>
          <w:b/>
          <w:color w:val="auto"/>
          <w:spacing w:val="-6"/>
          <w:sz w:val="22"/>
          <w:szCs w:val="22"/>
          <w:highlight w:val="none"/>
        </w:rPr>
        <w:t>第七条：违约责任</w:t>
      </w:r>
    </w:p>
    <w:p w14:paraId="572A82FE">
      <w:pPr>
        <w:snapToGrid w:val="0"/>
        <w:spacing w:line="288" w:lineRule="auto"/>
        <w:ind w:firstLine="416" w:firstLineChars="200"/>
        <w:rPr>
          <w:rFonts w:hint="eastAsia"/>
          <w:color w:val="auto"/>
          <w:spacing w:val="-6"/>
          <w:sz w:val="22"/>
          <w:szCs w:val="22"/>
          <w:highlight w:val="none"/>
        </w:rPr>
      </w:pPr>
      <w:r>
        <w:rPr>
          <w:rFonts w:hint="eastAsia"/>
          <w:color w:val="auto"/>
          <w:spacing w:val="-6"/>
          <w:sz w:val="22"/>
          <w:szCs w:val="22"/>
          <w:highlight w:val="none"/>
        </w:rPr>
        <w:t>1.乙方未能在本合同第二条第1款约定的期限内履行合同交付义务的，自逾期之日起，向甲方每日偿付合同总价千分之一的违约金；乙方逾期30日不能交付的，应向甲方支付合同总价百分之五的违约金，甲方同时有权选择解除合同。由于海关、灾难等不可抗力原因导致乙方延迟交货的，不在此范围内。</w:t>
      </w:r>
    </w:p>
    <w:p w14:paraId="14F020B5">
      <w:pPr>
        <w:snapToGrid w:val="0"/>
        <w:spacing w:line="288" w:lineRule="auto"/>
        <w:ind w:firstLine="416" w:firstLineChars="200"/>
        <w:rPr>
          <w:rFonts w:hint="eastAsia"/>
          <w:color w:val="auto"/>
          <w:spacing w:val="-6"/>
          <w:sz w:val="22"/>
          <w:szCs w:val="22"/>
          <w:highlight w:val="none"/>
        </w:rPr>
      </w:pPr>
      <w:r>
        <w:rPr>
          <w:rFonts w:hint="eastAsia"/>
          <w:color w:val="auto"/>
          <w:spacing w:val="-6"/>
          <w:sz w:val="22"/>
          <w:szCs w:val="22"/>
          <w:highlight w:val="none"/>
        </w:rPr>
        <w:t>2.甲方逾期支付合同价款的，应向乙方每日偿付合同总价千分之一的违约金。由于假期等客观原因导致逾期支付合同价款的，双方友好协商解决。</w:t>
      </w:r>
    </w:p>
    <w:p w14:paraId="5B23740D">
      <w:pPr>
        <w:snapToGrid w:val="0"/>
        <w:spacing w:line="288" w:lineRule="auto"/>
        <w:ind w:firstLine="416" w:firstLineChars="200"/>
        <w:rPr>
          <w:rFonts w:hint="eastAsia"/>
          <w:color w:val="auto"/>
          <w:spacing w:val="-6"/>
          <w:sz w:val="22"/>
          <w:szCs w:val="22"/>
          <w:highlight w:val="none"/>
        </w:rPr>
      </w:pPr>
      <w:r>
        <w:rPr>
          <w:rFonts w:hint="eastAsia"/>
          <w:color w:val="auto"/>
          <w:spacing w:val="-6"/>
          <w:sz w:val="22"/>
          <w:szCs w:val="22"/>
          <w:highlight w:val="none"/>
        </w:rPr>
        <w:t>3.乙方在合同成果交付验收合格之日起【 】年内违反本合同有关质量保证及售后服务约定的，甲方有权要求赔偿该损失。</w:t>
      </w:r>
    </w:p>
    <w:p w14:paraId="7A280EAE">
      <w:pPr>
        <w:spacing w:line="288" w:lineRule="auto"/>
        <w:ind w:firstLine="418" w:firstLineChars="200"/>
        <w:rPr>
          <w:rFonts w:hint="eastAsia"/>
          <w:b/>
          <w:color w:val="auto"/>
          <w:spacing w:val="-6"/>
          <w:sz w:val="22"/>
          <w:szCs w:val="22"/>
          <w:highlight w:val="none"/>
        </w:rPr>
      </w:pPr>
      <w:r>
        <w:rPr>
          <w:rFonts w:hint="eastAsia"/>
          <w:b/>
          <w:color w:val="auto"/>
          <w:spacing w:val="-6"/>
          <w:sz w:val="22"/>
          <w:szCs w:val="22"/>
          <w:highlight w:val="none"/>
        </w:rPr>
        <w:t>第八条：争议解决</w:t>
      </w:r>
    </w:p>
    <w:p w14:paraId="6DC821FE">
      <w:pPr>
        <w:adjustRightInd w:val="0"/>
        <w:snapToGrid w:val="0"/>
        <w:spacing w:line="288" w:lineRule="auto"/>
        <w:ind w:right="26" w:rightChars="11" w:firstLine="416" w:firstLineChars="200"/>
        <w:rPr>
          <w:rFonts w:hint="eastAsia"/>
          <w:color w:val="auto"/>
          <w:spacing w:val="-6"/>
          <w:sz w:val="22"/>
          <w:szCs w:val="22"/>
          <w:highlight w:val="none"/>
        </w:rPr>
      </w:pPr>
      <w:r>
        <w:rPr>
          <w:rFonts w:hint="eastAsia"/>
          <w:color w:val="auto"/>
          <w:spacing w:val="-6"/>
          <w:sz w:val="22"/>
          <w:szCs w:val="22"/>
          <w:highlight w:val="none"/>
        </w:rPr>
        <w:t>因本合同发生纠纷，甲乙双方应当及时协商，协商不成时，任何一方可向甲方所在地人民法院起诉。</w:t>
      </w:r>
    </w:p>
    <w:p w14:paraId="31CD05FC">
      <w:pPr>
        <w:spacing w:line="288" w:lineRule="auto"/>
        <w:ind w:firstLine="418" w:firstLineChars="200"/>
        <w:rPr>
          <w:rFonts w:hint="eastAsia"/>
          <w:b/>
          <w:color w:val="auto"/>
          <w:spacing w:val="-6"/>
          <w:sz w:val="22"/>
          <w:szCs w:val="22"/>
          <w:highlight w:val="none"/>
        </w:rPr>
      </w:pPr>
      <w:r>
        <w:rPr>
          <w:rFonts w:hint="eastAsia"/>
          <w:b/>
          <w:color w:val="auto"/>
          <w:spacing w:val="-6"/>
          <w:sz w:val="22"/>
          <w:szCs w:val="22"/>
          <w:highlight w:val="none"/>
        </w:rPr>
        <w:t>第九条：合同生效</w:t>
      </w:r>
    </w:p>
    <w:p w14:paraId="216B6000">
      <w:pPr>
        <w:adjustRightInd w:val="0"/>
        <w:snapToGrid w:val="0"/>
        <w:spacing w:line="288" w:lineRule="auto"/>
        <w:ind w:firstLine="416" w:firstLineChars="200"/>
        <w:rPr>
          <w:rFonts w:hint="eastAsia"/>
          <w:color w:val="auto"/>
          <w:spacing w:val="-6"/>
          <w:sz w:val="22"/>
          <w:szCs w:val="22"/>
          <w:highlight w:val="none"/>
        </w:rPr>
      </w:pPr>
      <w:r>
        <w:rPr>
          <w:rFonts w:hint="eastAsia"/>
          <w:color w:val="auto"/>
          <w:spacing w:val="-6"/>
          <w:sz w:val="22"/>
          <w:szCs w:val="22"/>
          <w:highlight w:val="none"/>
        </w:rPr>
        <w:t>1.合同经甲、乙双方法定代表人或授权代表签名并加盖单位公章或合同专用章后生效。</w:t>
      </w:r>
    </w:p>
    <w:p w14:paraId="2F4EB678">
      <w:pPr>
        <w:adjustRightInd w:val="0"/>
        <w:snapToGrid w:val="0"/>
        <w:spacing w:line="288" w:lineRule="auto"/>
        <w:ind w:firstLine="416" w:firstLineChars="200"/>
        <w:rPr>
          <w:rFonts w:hint="eastAsia"/>
          <w:color w:val="auto"/>
          <w:spacing w:val="-6"/>
          <w:sz w:val="22"/>
          <w:szCs w:val="22"/>
          <w:highlight w:val="none"/>
        </w:rPr>
      </w:pPr>
      <w:r>
        <w:rPr>
          <w:rFonts w:hint="eastAsia"/>
          <w:color w:val="auto"/>
          <w:spacing w:val="-6"/>
          <w:sz w:val="22"/>
          <w:szCs w:val="22"/>
          <w:highlight w:val="none"/>
        </w:rPr>
        <w:t>2.本合同附件、磋商文件、响应文件、询标澄清、成交通知书均为合同的组成部分，与本合同具有同等法律效力。</w:t>
      </w:r>
    </w:p>
    <w:p w14:paraId="79BAE498">
      <w:pPr>
        <w:spacing w:line="288" w:lineRule="auto"/>
        <w:ind w:firstLine="418" w:firstLineChars="200"/>
        <w:rPr>
          <w:rFonts w:hint="eastAsia"/>
          <w:b/>
          <w:color w:val="auto"/>
          <w:spacing w:val="-6"/>
          <w:sz w:val="22"/>
          <w:szCs w:val="22"/>
          <w:highlight w:val="none"/>
        </w:rPr>
      </w:pPr>
      <w:r>
        <w:rPr>
          <w:rFonts w:hint="eastAsia"/>
          <w:b/>
          <w:color w:val="auto"/>
          <w:spacing w:val="-6"/>
          <w:sz w:val="22"/>
          <w:szCs w:val="22"/>
          <w:highlight w:val="none"/>
        </w:rPr>
        <w:t>第十条：合同份数</w:t>
      </w:r>
    </w:p>
    <w:p w14:paraId="11E0949B">
      <w:pPr>
        <w:adjustRightInd w:val="0"/>
        <w:snapToGrid w:val="0"/>
        <w:spacing w:line="288" w:lineRule="auto"/>
        <w:ind w:firstLine="416" w:firstLineChars="200"/>
        <w:rPr>
          <w:rFonts w:hint="eastAsia" w:cs="Times New Roman"/>
          <w:color w:val="auto"/>
          <w:spacing w:val="-6"/>
          <w:sz w:val="21"/>
          <w:szCs w:val="21"/>
          <w:highlight w:val="none"/>
        </w:rPr>
      </w:pPr>
      <w:r>
        <w:rPr>
          <w:rFonts w:hint="eastAsia"/>
          <w:color w:val="auto"/>
          <w:spacing w:val="-6"/>
          <w:sz w:val="22"/>
          <w:szCs w:val="22"/>
          <w:highlight w:val="none"/>
        </w:rPr>
        <w:t>本合同一式五份，甲方执三份，乙方执一份，采购代理机构执一份。</w:t>
      </w:r>
    </w:p>
    <w:tbl>
      <w:tblPr>
        <w:tblStyle w:val="1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6E0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6FB1BBAC">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甲方（需方）：（公章/合同专用章）</w:t>
            </w:r>
          </w:p>
        </w:tc>
        <w:tc>
          <w:tcPr>
            <w:tcW w:w="4678" w:type="dxa"/>
            <w:vAlign w:val="center"/>
          </w:tcPr>
          <w:p w14:paraId="1079ACA0">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乙方（供方）：（公章/合同专用章）</w:t>
            </w:r>
          </w:p>
        </w:tc>
      </w:tr>
      <w:tr w14:paraId="2208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F94D707">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甲方代表：</w:t>
            </w:r>
          </w:p>
          <w:p w14:paraId="0C0A334A">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c>
          <w:tcPr>
            <w:tcW w:w="4678" w:type="dxa"/>
            <w:vAlign w:val="center"/>
          </w:tcPr>
          <w:p w14:paraId="7E5E4837">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乙方代表：</w:t>
            </w:r>
          </w:p>
          <w:p w14:paraId="020557E0">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r>
      <w:tr w14:paraId="49AB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A0A79A9">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地址：</w:t>
            </w:r>
          </w:p>
        </w:tc>
        <w:tc>
          <w:tcPr>
            <w:tcW w:w="4678" w:type="dxa"/>
            <w:vAlign w:val="center"/>
          </w:tcPr>
          <w:p w14:paraId="0EEA32CC">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地址：</w:t>
            </w:r>
          </w:p>
        </w:tc>
      </w:tr>
      <w:tr w14:paraId="3F9A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07D23D2">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电话：</w:t>
            </w:r>
          </w:p>
        </w:tc>
        <w:tc>
          <w:tcPr>
            <w:tcW w:w="4678" w:type="dxa"/>
            <w:vAlign w:val="center"/>
          </w:tcPr>
          <w:p w14:paraId="6BD40395">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电话：</w:t>
            </w:r>
          </w:p>
        </w:tc>
      </w:tr>
      <w:tr w14:paraId="5A3D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1E5178E1">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开户银行：</w:t>
            </w:r>
          </w:p>
        </w:tc>
        <w:tc>
          <w:tcPr>
            <w:tcW w:w="4678" w:type="dxa"/>
            <w:vAlign w:val="center"/>
          </w:tcPr>
          <w:p w14:paraId="3697023E">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开户银行：</w:t>
            </w:r>
          </w:p>
        </w:tc>
      </w:tr>
      <w:tr w14:paraId="481E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0F3B4D7B">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账号：</w:t>
            </w:r>
          </w:p>
        </w:tc>
        <w:tc>
          <w:tcPr>
            <w:tcW w:w="4678" w:type="dxa"/>
            <w:vAlign w:val="center"/>
          </w:tcPr>
          <w:p w14:paraId="71183109">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账号：</w:t>
            </w:r>
          </w:p>
        </w:tc>
      </w:tr>
      <w:tr w14:paraId="6592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6B6ED4A">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签名日期：      年    月    日</w:t>
            </w:r>
          </w:p>
        </w:tc>
        <w:tc>
          <w:tcPr>
            <w:tcW w:w="4678" w:type="dxa"/>
            <w:vAlign w:val="center"/>
          </w:tcPr>
          <w:p w14:paraId="72BA0659">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签名日期：      年    月    日</w:t>
            </w:r>
          </w:p>
        </w:tc>
      </w:tr>
      <w:tr w14:paraId="067BB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BA2720">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合同鉴证方：浙江求是招标代理有限公司（公章/合同专用章）</w:t>
            </w:r>
          </w:p>
        </w:tc>
      </w:tr>
      <w:tr w14:paraId="64FC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53C03C05">
            <w:pPr>
              <w:tabs>
                <w:tab w:val="left" w:pos="2880"/>
              </w:tabs>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采购代理机构代表：</w:t>
            </w:r>
          </w:p>
          <w:p w14:paraId="10CB5EB1">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（签名）</w:t>
            </w:r>
          </w:p>
        </w:tc>
      </w:tr>
      <w:tr w14:paraId="0850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057EDF3">
            <w:pPr>
              <w:tabs>
                <w:tab w:val="left" w:pos="2880"/>
              </w:tabs>
              <w:adjustRightInd w:val="0"/>
              <w:snapToGrid w:val="0"/>
              <w:spacing w:line="288" w:lineRule="auto"/>
              <w:rPr>
                <w:rFonts w:hint="eastAsia" w:cs="Times New Roman"/>
                <w:color w:val="auto"/>
                <w:spacing w:val="-6"/>
                <w:sz w:val="21"/>
                <w:szCs w:val="21"/>
                <w:highlight w:val="none"/>
              </w:rPr>
            </w:pPr>
            <w:r>
              <w:rPr>
                <w:rFonts w:hint="eastAsia"/>
                <w:color w:val="auto"/>
                <w:sz w:val="21"/>
                <w:szCs w:val="21"/>
                <w:highlight w:val="none"/>
              </w:rPr>
              <w:t>地址：杭州市玉古路173号中田大厦21楼</w:t>
            </w:r>
          </w:p>
        </w:tc>
      </w:tr>
      <w:tr w14:paraId="3B5A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CDAA78A">
            <w:pPr>
              <w:tabs>
                <w:tab w:val="left" w:pos="2880"/>
              </w:tabs>
              <w:adjustRightInd w:val="0"/>
              <w:snapToGrid w:val="0"/>
              <w:spacing w:line="288" w:lineRule="auto"/>
              <w:rPr>
                <w:rFonts w:hint="eastAsia" w:cs="Times New Roman"/>
                <w:color w:val="auto"/>
                <w:spacing w:val="-6"/>
                <w:sz w:val="21"/>
                <w:szCs w:val="21"/>
                <w:highlight w:val="none"/>
              </w:rPr>
            </w:pPr>
            <w:r>
              <w:rPr>
                <w:rFonts w:hint="eastAsia"/>
                <w:color w:val="auto"/>
                <w:sz w:val="21"/>
                <w:szCs w:val="21"/>
                <w:highlight w:val="none"/>
              </w:rPr>
              <w:t>电话：0571-87666115</w:t>
            </w:r>
          </w:p>
        </w:tc>
      </w:tr>
      <w:tr w14:paraId="764C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0C06A74A">
            <w:pPr>
              <w:adjustRightInd w:val="0"/>
              <w:snapToGrid w:val="0"/>
              <w:spacing w:line="288" w:lineRule="auto"/>
              <w:rPr>
                <w:rFonts w:hint="eastAsia" w:cs="Times New Roman"/>
                <w:color w:val="auto"/>
                <w:spacing w:val="-6"/>
                <w:sz w:val="21"/>
                <w:szCs w:val="21"/>
                <w:highlight w:val="none"/>
              </w:rPr>
            </w:pPr>
            <w:r>
              <w:rPr>
                <w:rFonts w:hint="eastAsia" w:cs="Times New Roman"/>
                <w:color w:val="auto"/>
                <w:spacing w:val="-6"/>
                <w:sz w:val="21"/>
                <w:szCs w:val="21"/>
                <w:highlight w:val="none"/>
              </w:rPr>
              <w:t>鉴证日期：      年    月    日</w:t>
            </w:r>
          </w:p>
        </w:tc>
      </w:tr>
    </w:tbl>
    <w:p w14:paraId="7163F7E1">
      <w:pPr>
        <w:adjustRightInd w:val="0"/>
        <w:snapToGrid w:val="0"/>
        <w:spacing w:line="288" w:lineRule="auto"/>
        <w:rPr>
          <w:rFonts w:hint="eastAsia"/>
          <w:color w:val="auto"/>
          <w:sz w:val="21"/>
          <w:szCs w:val="21"/>
          <w:highlight w:val="none"/>
        </w:rPr>
      </w:pPr>
    </w:p>
    <w:p w14:paraId="23296FA5">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07ACDEFE">
      <w:pPr>
        <w:adjustRightInd w:val="0"/>
        <w:snapToGrid w:val="0"/>
        <w:spacing w:line="288" w:lineRule="auto"/>
        <w:jc w:val="center"/>
        <w:outlineLvl w:val="0"/>
        <w:rPr>
          <w:rFonts w:hint="eastAsia"/>
          <w:b/>
          <w:bCs/>
          <w:color w:val="auto"/>
          <w:sz w:val="32"/>
          <w:szCs w:val="32"/>
          <w:highlight w:val="none"/>
        </w:rPr>
      </w:pPr>
      <w:r>
        <w:rPr>
          <w:rFonts w:hint="eastAsia"/>
          <w:b/>
          <w:bCs/>
          <w:color w:val="auto"/>
          <w:sz w:val="32"/>
          <w:szCs w:val="32"/>
          <w:highlight w:val="none"/>
        </w:rPr>
        <w:t>第六章  响应文件格式</w:t>
      </w:r>
    </w:p>
    <w:p w14:paraId="0DF365C8">
      <w:pPr>
        <w:adjustRightInd w:val="0"/>
        <w:snapToGrid w:val="0"/>
        <w:spacing w:line="288" w:lineRule="auto"/>
        <w:rPr>
          <w:rFonts w:hint="eastAsia"/>
          <w:color w:val="auto"/>
          <w:sz w:val="21"/>
          <w:szCs w:val="21"/>
          <w:highlight w:val="none"/>
        </w:rPr>
      </w:pPr>
    </w:p>
    <w:p w14:paraId="4D946347">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 xml:space="preserve">目 </w:t>
      </w:r>
      <w:r>
        <w:rPr>
          <w:b/>
          <w:bCs/>
          <w:color w:val="auto"/>
          <w:sz w:val="21"/>
          <w:szCs w:val="21"/>
          <w:highlight w:val="none"/>
        </w:rPr>
        <w:t xml:space="preserve"> </w:t>
      </w:r>
      <w:r>
        <w:rPr>
          <w:rFonts w:hint="eastAsia"/>
          <w:b/>
          <w:bCs/>
          <w:color w:val="auto"/>
          <w:sz w:val="21"/>
          <w:szCs w:val="21"/>
          <w:highlight w:val="none"/>
        </w:rPr>
        <w:t>录</w:t>
      </w:r>
    </w:p>
    <w:p w14:paraId="50B1686B">
      <w:pPr>
        <w:adjustRightInd w:val="0"/>
        <w:snapToGrid w:val="0"/>
        <w:spacing w:line="288" w:lineRule="auto"/>
        <w:rPr>
          <w:rFonts w:hint="eastAsia"/>
          <w:color w:val="auto"/>
          <w:sz w:val="21"/>
          <w:szCs w:val="21"/>
          <w:highlight w:val="none"/>
        </w:rPr>
      </w:pPr>
    </w:p>
    <w:p w14:paraId="40FFB19B">
      <w:pPr>
        <w:adjustRightInd w:val="0"/>
        <w:snapToGrid w:val="0"/>
        <w:spacing w:line="288" w:lineRule="auto"/>
        <w:ind w:firstLine="422" w:firstLineChars="200"/>
        <w:rPr>
          <w:rFonts w:hint="eastAsia"/>
          <w:b/>
          <w:bCs/>
          <w:color w:val="auto"/>
          <w:sz w:val="21"/>
          <w:szCs w:val="21"/>
          <w:highlight w:val="none"/>
        </w:rPr>
      </w:pPr>
      <w:bookmarkStart w:id="60" w:name="_Hlk71884160"/>
      <w:r>
        <w:rPr>
          <w:rFonts w:hint="eastAsia"/>
          <w:b/>
          <w:bCs/>
          <w:color w:val="auto"/>
          <w:sz w:val="21"/>
          <w:szCs w:val="21"/>
          <w:highlight w:val="none"/>
        </w:rPr>
        <w:t>▲1.资格文件（单独上传）。资格审查要求的资格证明材料（均需加盖公章）</w:t>
      </w:r>
    </w:p>
    <w:bookmarkEnd w:id="60"/>
    <w:p w14:paraId="2C4D4DE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（1）有效的法人或者其他组织的营业执照等证明文件，自然人的身份证明</w:t>
      </w:r>
    </w:p>
    <w:p w14:paraId="2CB201B7">
      <w:pPr>
        <w:adjustRightInd w:val="0"/>
        <w:snapToGrid w:val="0"/>
        <w:spacing w:line="288" w:lineRule="auto"/>
        <w:ind w:firstLine="420" w:firstLineChars="200"/>
        <w:rPr>
          <w:rFonts w:hint="eastAsia"/>
          <w:color w:val="auto"/>
          <w:sz w:val="21"/>
          <w:szCs w:val="21"/>
          <w:highlight w:val="none"/>
        </w:rPr>
      </w:pPr>
      <w:bookmarkStart w:id="61" w:name="_Hlk71884127"/>
      <w:r>
        <w:rPr>
          <w:rFonts w:hint="eastAsia"/>
          <w:color w:val="auto"/>
          <w:sz w:val="21"/>
          <w:szCs w:val="21"/>
          <w:highlight w:val="none"/>
        </w:rPr>
        <w:t>（</w:t>
      </w:r>
      <w:r>
        <w:rPr>
          <w:color w:val="auto"/>
          <w:sz w:val="21"/>
          <w:szCs w:val="21"/>
          <w:highlight w:val="none"/>
        </w:rPr>
        <w:t>2）符合参加政府采购活动应当具备的一般条件的承诺函</w:t>
      </w:r>
    </w:p>
    <w:p w14:paraId="43F893C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3）落实政府采购政策需满足的资格要求：</w:t>
      </w:r>
    </w:p>
    <w:p w14:paraId="324B4D3C">
      <w:pPr>
        <w:adjustRightInd w:val="0"/>
        <w:snapToGrid w:val="0"/>
        <w:spacing w:line="288" w:lineRule="auto"/>
        <w:ind w:left="480" w:leftChars="200" w:firstLine="420" w:firstLineChars="200"/>
        <w:rPr>
          <w:rFonts w:hint="eastAsia"/>
          <w:color w:val="auto"/>
          <w:sz w:val="21"/>
          <w:szCs w:val="21"/>
          <w:highlight w:val="none"/>
        </w:rPr>
      </w:pPr>
      <w:r>
        <w:rPr>
          <w:rFonts w:hint="eastAsia"/>
          <w:color w:val="auto"/>
          <w:sz w:val="21"/>
          <w:szCs w:val="21"/>
          <w:highlight w:val="none"/>
        </w:rPr>
        <w:t>中小企业声明函（若属于中小企业）</w:t>
      </w:r>
    </w:p>
    <w:p w14:paraId="0DDEB2E5">
      <w:pPr>
        <w:adjustRightInd w:val="0"/>
        <w:snapToGrid w:val="0"/>
        <w:spacing w:line="288" w:lineRule="auto"/>
        <w:ind w:left="480" w:leftChars="200" w:firstLine="420" w:firstLineChars="200"/>
        <w:rPr>
          <w:rFonts w:hint="eastAsia"/>
          <w:color w:val="auto"/>
          <w:sz w:val="21"/>
          <w:szCs w:val="21"/>
          <w:highlight w:val="none"/>
        </w:rPr>
      </w:pPr>
      <w:r>
        <w:rPr>
          <w:rFonts w:hint="eastAsia"/>
          <w:color w:val="auto"/>
          <w:sz w:val="21"/>
          <w:szCs w:val="21"/>
          <w:highlight w:val="none"/>
        </w:rPr>
        <w:t>属于监狱企业的证明文件（若属于监狱企业）</w:t>
      </w:r>
    </w:p>
    <w:p w14:paraId="3381A23B">
      <w:pPr>
        <w:adjustRightInd w:val="0"/>
        <w:snapToGrid w:val="0"/>
        <w:spacing w:line="288" w:lineRule="auto"/>
        <w:ind w:left="480" w:leftChars="200" w:firstLine="420" w:firstLineChars="200"/>
        <w:rPr>
          <w:rFonts w:hint="eastAsia"/>
          <w:color w:val="auto"/>
          <w:sz w:val="21"/>
          <w:szCs w:val="21"/>
          <w:highlight w:val="none"/>
        </w:rPr>
      </w:pPr>
      <w:r>
        <w:rPr>
          <w:rFonts w:hint="eastAsia"/>
          <w:color w:val="auto"/>
          <w:sz w:val="21"/>
          <w:szCs w:val="21"/>
          <w:highlight w:val="none"/>
        </w:rPr>
        <w:t>残疾人福利性单位声明函（若属于残疾人福利性单位）</w:t>
      </w:r>
    </w:p>
    <w:p w14:paraId="0F397D44">
      <w:pPr>
        <w:numPr>
          <w:ilvl w:val="0"/>
          <w:numId w:val="3"/>
        </w:num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本项目的特定资格要求</w:t>
      </w:r>
      <w:r>
        <w:rPr>
          <w:color w:val="auto"/>
          <w:sz w:val="21"/>
          <w:szCs w:val="21"/>
          <w:highlight w:val="none"/>
        </w:rPr>
        <w:t>证明材料：无</w:t>
      </w:r>
    </w:p>
    <w:p w14:paraId="2B874649">
      <w:pPr>
        <w:numPr>
          <w:ilvl w:val="0"/>
          <w:numId w:val="3"/>
        </w:num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联合协议（以联合体形式响应的，提供联合协议；本项目不接受联合体响应或者供应商不以联合体形式响应的，则不需要提供）</w:t>
      </w:r>
    </w:p>
    <w:p w14:paraId="7FA03B47">
      <w:pPr>
        <w:adjustRightInd w:val="0"/>
        <w:snapToGrid w:val="0"/>
        <w:spacing w:line="288" w:lineRule="auto"/>
        <w:ind w:firstLine="396" w:firstLineChars="200"/>
        <w:rPr>
          <w:rFonts w:hint="eastAsia"/>
          <w:bCs/>
          <w:color w:val="auto"/>
          <w:sz w:val="21"/>
          <w:szCs w:val="21"/>
          <w:highlight w:val="none"/>
        </w:rPr>
      </w:pPr>
      <w:r>
        <w:rPr>
          <w:rFonts w:hint="eastAsia"/>
          <w:bCs/>
          <w:color w:val="auto"/>
          <w:spacing w:val="-6"/>
          <w:sz w:val="21"/>
          <w:szCs w:val="21"/>
          <w:highlight w:val="none"/>
        </w:rPr>
        <w:t>▲联合体响应的，联合体各方均应提供资格文件（</w:t>
      </w:r>
      <w:r>
        <w:rPr>
          <w:bCs/>
          <w:color w:val="auto"/>
          <w:spacing w:val="-6"/>
          <w:sz w:val="21"/>
          <w:szCs w:val="21"/>
          <w:highlight w:val="none"/>
        </w:rPr>
        <w:t>1）、（2）</w:t>
      </w:r>
      <w:r>
        <w:rPr>
          <w:rFonts w:hint="eastAsia"/>
          <w:bCs/>
          <w:color w:val="auto"/>
          <w:spacing w:val="-6"/>
          <w:sz w:val="21"/>
          <w:szCs w:val="21"/>
          <w:highlight w:val="none"/>
        </w:rPr>
        <w:t>材料</w:t>
      </w:r>
      <w:r>
        <w:rPr>
          <w:bCs/>
          <w:color w:val="auto"/>
          <w:spacing w:val="-6"/>
          <w:sz w:val="21"/>
          <w:szCs w:val="21"/>
          <w:highlight w:val="none"/>
        </w:rPr>
        <w:t>。</w:t>
      </w:r>
    </w:p>
    <w:p w14:paraId="410F0E0D">
      <w:pPr>
        <w:adjustRightInd w:val="0"/>
        <w:snapToGrid w:val="0"/>
        <w:spacing w:line="288" w:lineRule="auto"/>
        <w:ind w:firstLine="422" w:firstLineChars="200"/>
        <w:rPr>
          <w:rFonts w:hint="eastAsia"/>
          <w:b/>
          <w:bCs/>
          <w:color w:val="auto"/>
          <w:sz w:val="21"/>
          <w:szCs w:val="21"/>
          <w:highlight w:val="none"/>
        </w:rPr>
      </w:pPr>
    </w:p>
    <w:bookmarkEnd w:id="61"/>
    <w:p w14:paraId="799ADAEA">
      <w:pPr>
        <w:adjustRightInd w:val="0"/>
        <w:snapToGrid w:val="0"/>
        <w:spacing w:line="288" w:lineRule="auto"/>
        <w:ind w:firstLine="422" w:firstLineChars="200"/>
        <w:rPr>
          <w:rFonts w:hint="eastAsia"/>
          <w:b/>
          <w:bCs/>
          <w:color w:val="auto"/>
          <w:sz w:val="21"/>
          <w:szCs w:val="21"/>
          <w:highlight w:val="none"/>
        </w:rPr>
      </w:pPr>
      <w:r>
        <w:rPr>
          <w:b/>
          <w:bCs/>
          <w:color w:val="auto"/>
          <w:sz w:val="21"/>
          <w:szCs w:val="21"/>
          <w:highlight w:val="none"/>
        </w:rPr>
        <w:t>2</w:t>
      </w:r>
      <w:r>
        <w:rPr>
          <w:rFonts w:hint="eastAsia"/>
          <w:b/>
          <w:bCs/>
          <w:color w:val="auto"/>
          <w:sz w:val="21"/>
          <w:szCs w:val="21"/>
          <w:highlight w:val="none"/>
        </w:rPr>
        <w:t>.商务和技术文件（单独上传）</w:t>
      </w:r>
    </w:p>
    <w:p w14:paraId="44CD4D2D">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（1）响应函</w:t>
      </w:r>
    </w:p>
    <w:p w14:paraId="13168F17">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2）授权委托书/法定代表人（单位负责人、自然人本人）身份证明</w:t>
      </w:r>
    </w:p>
    <w:p w14:paraId="637C33B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附：授权代表社保缴纳证明（2025年1月（含）</w:t>
      </w:r>
      <w:r>
        <w:rPr>
          <w:color w:val="auto"/>
          <w:sz w:val="21"/>
          <w:szCs w:val="21"/>
          <w:highlight w:val="none"/>
        </w:rPr>
        <w:t>以后任意一月）</w:t>
      </w:r>
    </w:p>
    <w:p w14:paraId="2ED966A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3</w:t>
      </w:r>
      <w:r>
        <w:rPr>
          <w:rFonts w:hint="eastAsia"/>
          <w:color w:val="auto"/>
          <w:sz w:val="21"/>
          <w:szCs w:val="21"/>
          <w:highlight w:val="none"/>
        </w:rPr>
        <w:t>）供应商同类合同一览表</w:t>
      </w:r>
    </w:p>
    <w:p w14:paraId="6542CBD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4）采购需求偏离表</w:t>
      </w:r>
    </w:p>
    <w:p w14:paraId="4E93988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标的配置</w:t>
      </w:r>
      <w:r>
        <w:rPr>
          <w:color w:val="auto"/>
          <w:sz w:val="21"/>
          <w:szCs w:val="21"/>
          <w:highlight w:val="none"/>
        </w:rPr>
        <w:t>清单</w:t>
      </w:r>
    </w:p>
    <w:p w14:paraId="0F504D11">
      <w:pPr>
        <w:adjustRightInd w:val="0"/>
        <w:snapToGrid w:val="0"/>
        <w:spacing w:line="288" w:lineRule="auto"/>
        <w:ind w:firstLine="420" w:firstLineChars="200"/>
        <w:rPr>
          <w:rFonts w:hint="eastAsia"/>
          <w:color w:val="auto"/>
          <w:sz w:val="21"/>
          <w:szCs w:val="21"/>
          <w:highlight w:val="none"/>
        </w:rPr>
      </w:pPr>
      <w:bookmarkStart w:id="62" w:name="_Hlk71884196"/>
      <w:r>
        <w:rPr>
          <w:rFonts w:hint="eastAsia"/>
          <w:color w:val="auto"/>
          <w:sz w:val="21"/>
          <w:szCs w:val="21"/>
          <w:highlight w:val="none"/>
        </w:rPr>
        <w:t>（</w:t>
      </w:r>
      <w:r>
        <w:rPr>
          <w:color w:val="auto"/>
          <w:sz w:val="21"/>
          <w:szCs w:val="21"/>
          <w:highlight w:val="none"/>
        </w:rPr>
        <w:t>6）技术方案</w:t>
      </w:r>
      <w:r>
        <w:rPr>
          <w:rFonts w:hint="eastAsia"/>
          <w:color w:val="auto"/>
          <w:sz w:val="21"/>
          <w:szCs w:val="21"/>
          <w:highlight w:val="none"/>
        </w:rPr>
        <w:t>【格式自拟，可根据自身情况结合评审细则提供】</w:t>
      </w:r>
    </w:p>
    <w:p w14:paraId="16A9319C">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供应商</w:t>
      </w:r>
      <w:r>
        <w:rPr>
          <w:color w:val="auto"/>
          <w:sz w:val="21"/>
          <w:szCs w:val="21"/>
          <w:highlight w:val="none"/>
        </w:rPr>
        <w:t>需要说明的其他文件和材料</w:t>
      </w:r>
      <w:bookmarkEnd w:id="62"/>
    </w:p>
    <w:p w14:paraId="73E0FC7E">
      <w:pPr>
        <w:adjustRightInd w:val="0"/>
        <w:snapToGrid w:val="0"/>
        <w:spacing w:line="288" w:lineRule="auto"/>
        <w:ind w:firstLine="458" w:firstLineChars="200"/>
        <w:jc w:val="left"/>
        <w:rPr>
          <w:rFonts w:hint="eastAsia" w:cs="Times New Roman"/>
          <w:b/>
          <w:color w:val="auto"/>
          <w:spacing w:val="-6"/>
          <w:szCs w:val="21"/>
          <w:highlight w:val="none"/>
        </w:rPr>
      </w:pPr>
    </w:p>
    <w:p w14:paraId="19437146">
      <w:pPr>
        <w:adjustRightInd w:val="0"/>
        <w:snapToGrid w:val="0"/>
        <w:spacing w:line="288" w:lineRule="auto"/>
        <w:ind w:firstLine="458" w:firstLineChars="200"/>
        <w:jc w:val="left"/>
        <w:rPr>
          <w:rFonts w:hint="eastAsia" w:cs="Times New Roman"/>
          <w:b/>
          <w:color w:val="auto"/>
          <w:spacing w:val="-6"/>
          <w:szCs w:val="21"/>
          <w:highlight w:val="none"/>
        </w:rPr>
      </w:pPr>
      <w:r>
        <w:rPr>
          <w:rFonts w:hint="eastAsia"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4B5D5BE0">
      <w:pPr>
        <w:adjustRightInd w:val="0"/>
        <w:snapToGrid w:val="0"/>
        <w:spacing w:line="288" w:lineRule="auto"/>
        <w:ind w:firstLine="420" w:firstLineChars="200"/>
        <w:rPr>
          <w:rFonts w:hint="eastAsia"/>
          <w:color w:val="auto"/>
          <w:sz w:val="21"/>
          <w:szCs w:val="21"/>
          <w:highlight w:val="none"/>
        </w:rPr>
      </w:pPr>
    </w:p>
    <w:p w14:paraId="579A8B39">
      <w:pPr>
        <w:adjustRightInd w:val="0"/>
        <w:snapToGrid w:val="0"/>
        <w:spacing w:line="288" w:lineRule="auto"/>
        <w:ind w:firstLine="422" w:firstLineChars="200"/>
        <w:rPr>
          <w:rFonts w:hint="eastAsia"/>
          <w:b/>
          <w:bCs/>
          <w:color w:val="auto"/>
          <w:sz w:val="21"/>
          <w:szCs w:val="21"/>
          <w:highlight w:val="none"/>
        </w:rPr>
      </w:pPr>
      <w:r>
        <w:rPr>
          <w:b/>
          <w:bCs/>
          <w:color w:val="auto"/>
          <w:sz w:val="21"/>
          <w:szCs w:val="21"/>
          <w:highlight w:val="none"/>
        </w:rPr>
        <w:t>3</w:t>
      </w:r>
      <w:r>
        <w:rPr>
          <w:rFonts w:hint="eastAsia"/>
          <w:b/>
          <w:bCs/>
          <w:color w:val="auto"/>
          <w:sz w:val="21"/>
          <w:szCs w:val="21"/>
          <w:highlight w:val="none"/>
        </w:rPr>
        <w:t>.报价文件（单独上传）</w:t>
      </w:r>
    </w:p>
    <w:p w14:paraId="5EDBE44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（1）初次报价一览表</w:t>
      </w:r>
    </w:p>
    <w:p w14:paraId="34D2023D">
      <w:pPr>
        <w:widowControl/>
        <w:jc w:val="left"/>
        <w:rPr>
          <w:rFonts w:hint="eastAsia"/>
          <w:color w:val="auto"/>
          <w:sz w:val="21"/>
          <w:szCs w:val="21"/>
          <w:highlight w:val="none"/>
        </w:rPr>
      </w:pPr>
      <w:r>
        <w:rPr>
          <w:color w:val="auto"/>
          <w:sz w:val="21"/>
          <w:szCs w:val="21"/>
          <w:highlight w:val="none"/>
        </w:rPr>
        <w:br w:type="page"/>
      </w:r>
    </w:p>
    <w:p w14:paraId="77ACB4B3">
      <w:pPr>
        <w:tabs>
          <w:tab w:val="center" w:pos="4706"/>
        </w:tabs>
        <w:adjustRightInd w:val="0"/>
        <w:snapToGrid w:val="0"/>
        <w:spacing w:line="288" w:lineRule="auto"/>
        <w:jc w:val="center"/>
        <w:outlineLvl w:val="2"/>
        <w:rPr>
          <w:rFonts w:hint="eastAsia" w:cs="Times New Roman"/>
          <w:b/>
          <w:color w:val="auto"/>
          <w:spacing w:val="-6"/>
          <w:sz w:val="21"/>
          <w:szCs w:val="21"/>
          <w:highlight w:val="none"/>
        </w:rPr>
      </w:pPr>
      <w:bookmarkStart w:id="63" w:name="_Hlk140130228"/>
      <w:r>
        <w:rPr>
          <w:rFonts w:hint="eastAsia" w:cs="Times New Roman"/>
          <w:b/>
          <w:color w:val="auto"/>
          <w:spacing w:val="-6"/>
          <w:sz w:val="21"/>
          <w:szCs w:val="21"/>
          <w:highlight w:val="none"/>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2B1C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9D2F5D">
            <w:pPr>
              <w:adjustRightInd w:val="0"/>
              <w:snapToGrid w:val="0"/>
              <w:spacing w:line="288" w:lineRule="auto"/>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序号</w:t>
            </w:r>
          </w:p>
        </w:tc>
        <w:tc>
          <w:tcPr>
            <w:tcW w:w="2091" w:type="dxa"/>
            <w:vAlign w:val="center"/>
          </w:tcPr>
          <w:p w14:paraId="242ED1D6">
            <w:pPr>
              <w:adjustRightInd w:val="0"/>
              <w:snapToGrid w:val="0"/>
              <w:spacing w:line="288" w:lineRule="auto"/>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评审因素</w:t>
            </w:r>
          </w:p>
        </w:tc>
        <w:tc>
          <w:tcPr>
            <w:tcW w:w="709" w:type="dxa"/>
            <w:vAlign w:val="center"/>
          </w:tcPr>
          <w:p w14:paraId="3334CA6C">
            <w:pPr>
              <w:adjustRightInd w:val="0"/>
              <w:snapToGrid w:val="0"/>
              <w:spacing w:line="288" w:lineRule="auto"/>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分值</w:t>
            </w:r>
          </w:p>
        </w:tc>
        <w:tc>
          <w:tcPr>
            <w:tcW w:w="3040" w:type="dxa"/>
            <w:vAlign w:val="center"/>
          </w:tcPr>
          <w:p w14:paraId="0B46563F">
            <w:pPr>
              <w:tabs>
                <w:tab w:val="left" w:pos="1418"/>
              </w:tabs>
              <w:adjustRightInd w:val="0"/>
              <w:snapToGrid w:val="0"/>
              <w:spacing w:line="288" w:lineRule="auto"/>
              <w:ind w:firstLine="398"/>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评分标准</w:t>
            </w:r>
          </w:p>
        </w:tc>
        <w:tc>
          <w:tcPr>
            <w:tcW w:w="967" w:type="dxa"/>
            <w:vAlign w:val="center"/>
          </w:tcPr>
          <w:p w14:paraId="24676D87">
            <w:pPr>
              <w:tabs>
                <w:tab w:val="left" w:pos="1418"/>
              </w:tabs>
              <w:adjustRightInd w:val="0"/>
              <w:snapToGrid w:val="0"/>
              <w:spacing w:line="288" w:lineRule="auto"/>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自评分</w:t>
            </w:r>
          </w:p>
        </w:tc>
        <w:tc>
          <w:tcPr>
            <w:tcW w:w="1053" w:type="dxa"/>
            <w:vAlign w:val="center"/>
          </w:tcPr>
          <w:p w14:paraId="2EE1A830">
            <w:pPr>
              <w:tabs>
                <w:tab w:val="left" w:pos="1418"/>
              </w:tabs>
              <w:adjustRightInd w:val="0"/>
              <w:snapToGrid w:val="0"/>
              <w:spacing w:line="288" w:lineRule="auto"/>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自评依据</w:t>
            </w:r>
          </w:p>
        </w:tc>
        <w:tc>
          <w:tcPr>
            <w:tcW w:w="881" w:type="dxa"/>
            <w:vAlign w:val="center"/>
          </w:tcPr>
          <w:p w14:paraId="21FE129B">
            <w:pPr>
              <w:tabs>
                <w:tab w:val="left" w:pos="1418"/>
              </w:tabs>
              <w:adjustRightInd w:val="0"/>
              <w:snapToGrid w:val="0"/>
              <w:spacing w:line="288" w:lineRule="auto"/>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页码</w:t>
            </w:r>
          </w:p>
        </w:tc>
      </w:tr>
      <w:tr w14:paraId="1909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7F0C619A">
            <w:pPr>
              <w:tabs>
                <w:tab w:val="left" w:pos="1418"/>
              </w:tabs>
              <w:adjustRightInd w:val="0"/>
              <w:snapToGrid w:val="0"/>
              <w:spacing w:line="288" w:lineRule="auto"/>
              <w:jc w:val="center"/>
              <w:rPr>
                <w:rFonts w:hint="eastAsia" w:cs="Times New Roman"/>
                <w:b/>
                <w:color w:val="auto"/>
                <w:spacing w:val="-6"/>
                <w:kern w:val="0"/>
                <w:sz w:val="21"/>
                <w:szCs w:val="21"/>
                <w:highlight w:val="none"/>
              </w:rPr>
            </w:pPr>
            <w:r>
              <w:rPr>
                <w:rFonts w:hint="eastAsia" w:cs="Times New Roman"/>
                <w:b/>
                <w:color w:val="auto"/>
                <w:spacing w:val="-6"/>
                <w:kern w:val="0"/>
                <w:sz w:val="21"/>
                <w:szCs w:val="21"/>
                <w:highlight w:val="none"/>
              </w:rPr>
              <w:t>商务分</w:t>
            </w:r>
          </w:p>
        </w:tc>
      </w:tr>
      <w:tr w14:paraId="7BBC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33C0A6B">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01687774">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1FBB42AF">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6DF9E720">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27249AC5">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4252353C">
            <w:pPr>
              <w:adjustRightInd w:val="0"/>
              <w:snapToGrid w:val="0"/>
              <w:spacing w:line="288" w:lineRule="auto"/>
              <w:jc w:val="center"/>
              <w:rPr>
                <w:rFonts w:hint="eastAsia" w:cs="Times New Roman"/>
                <w:color w:val="auto"/>
                <w:spacing w:val="-6"/>
                <w:sz w:val="21"/>
                <w:szCs w:val="21"/>
                <w:highlight w:val="none"/>
              </w:rPr>
            </w:pPr>
          </w:p>
        </w:tc>
        <w:tc>
          <w:tcPr>
            <w:tcW w:w="881" w:type="dxa"/>
          </w:tcPr>
          <w:p w14:paraId="66D10514">
            <w:pPr>
              <w:adjustRightInd w:val="0"/>
              <w:snapToGrid w:val="0"/>
              <w:spacing w:line="288" w:lineRule="auto"/>
              <w:jc w:val="center"/>
              <w:rPr>
                <w:rFonts w:hint="eastAsia" w:cs="Times New Roman"/>
                <w:color w:val="auto"/>
                <w:spacing w:val="-6"/>
                <w:sz w:val="21"/>
                <w:szCs w:val="21"/>
                <w:highlight w:val="none"/>
              </w:rPr>
            </w:pPr>
          </w:p>
        </w:tc>
      </w:tr>
      <w:tr w14:paraId="4E01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2044665">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490D49DD">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1DD76D77">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6C8F4153">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4EC9F7DA">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353632D9">
            <w:pPr>
              <w:adjustRightInd w:val="0"/>
              <w:snapToGrid w:val="0"/>
              <w:spacing w:line="288" w:lineRule="auto"/>
              <w:jc w:val="center"/>
              <w:rPr>
                <w:rFonts w:hint="eastAsia" w:cs="Times New Roman"/>
                <w:color w:val="auto"/>
                <w:spacing w:val="-6"/>
                <w:sz w:val="21"/>
                <w:szCs w:val="21"/>
                <w:highlight w:val="none"/>
              </w:rPr>
            </w:pPr>
          </w:p>
        </w:tc>
        <w:tc>
          <w:tcPr>
            <w:tcW w:w="881" w:type="dxa"/>
          </w:tcPr>
          <w:p w14:paraId="7B4981B3">
            <w:pPr>
              <w:adjustRightInd w:val="0"/>
              <w:snapToGrid w:val="0"/>
              <w:spacing w:line="288" w:lineRule="auto"/>
              <w:jc w:val="center"/>
              <w:rPr>
                <w:rFonts w:hint="eastAsia" w:cs="Times New Roman"/>
                <w:color w:val="auto"/>
                <w:spacing w:val="-6"/>
                <w:sz w:val="21"/>
                <w:szCs w:val="21"/>
                <w:highlight w:val="none"/>
              </w:rPr>
            </w:pPr>
          </w:p>
        </w:tc>
      </w:tr>
      <w:tr w14:paraId="015F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137602A">
            <w:pPr>
              <w:adjustRightInd w:val="0"/>
              <w:snapToGrid w:val="0"/>
              <w:spacing w:line="288" w:lineRule="auto"/>
              <w:jc w:val="center"/>
              <w:rPr>
                <w:rFonts w:hint="eastAsia" w:cs="Times New Roman"/>
                <w:color w:val="auto"/>
                <w:kern w:val="0"/>
                <w:sz w:val="21"/>
                <w:szCs w:val="21"/>
                <w:highlight w:val="none"/>
              </w:rPr>
            </w:pPr>
          </w:p>
        </w:tc>
        <w:tc>
          <w:tcPr>
            <w:tcW w:w="2091" w:type="dxa"/>
            <w:vAlign w:val="center"/>
          </w:tcPr>
          <w:p w14:paraId="347103F9">
            <w:pPr>
              <w:adjustRightInd w:val="0"/>
              <w:snapToGrid w:val="0"/>
              <w:spacing w:line="288" w:lineRule="auto"/>
              <w:jc w:val="center"/>
              <w:rPr>
                <w:rFonts w:hint="eastAsia" w:cs="Times New Roman"/>
                <w:color w:val="auto"/>
                <w:kern w:val="0"/>
                <w:sz w:val="21"/>
                <w:szCs w:val="21"/>
                <w:highlight w:val="none"/>
              </w:rPr>
            </w:pPr>
          </w:p>
        </w:tc>
        <w:tc>
          <w:tcPr>
            <w:tcW w:w="709" w:type="dxa"/>
            <w:vAlign w:val="center"/>
          </w:tcPr>
          <w:p w14:paraId="6EB243B1">
            <w:pPr>
              <w:adjustRightInd w:val="0"/>
              <w:snapToGrid w:val="0"/>
              <w:spacing w:line="288" w:lineRule="auto"/>
              <w:jc w:val="center"/>
              <w:rPr>
                <w:rFonts w:hint="eastAsia" w:cs="Times New Roman"/>
                <w:color w:val="auto"/>
                <w:kern w:val="0"/>
                <w:sz w:val="21"/>
                <w:szCs w:val="21"/>
                <w:highlight w:val="none"/>
              </w:rPr>
            </w:pPr>
          </w:p>
        </w:tc>
        <w:tc>
          <w:tcPr>
            <w:tcW w:w="3040" w:type="dxa"/>
            <w:vAlign w:val="center"/>
          </w:tcPr>
          <w:p w14:paraId="47DBCE25">
            <w:pPr>
              <w:adjustRightInd w:val="0"/>
              <w:snapToGrid w:val="0"/>
              <w:spacing w:line="288" w:lineRule="auto"/>
              <w:rPr>
                <w:rFonts w:hint="eastAsia" w:cs="Times New Roman"/>
                <w:color w:val="auto"/>
                <w:kern w:val="0"/>
                <w:sz w:val="21"/>
                <w:szCs w:val="21"/>
                <w:highlight w:val="none"/>
              </w:rPr>
            </w:pPr>
          </w:p>
        </w:tc>
        <w:tc>
          <w:tcPr>
            <w:tcW w:w="967" w:type="dxa"/>
            <w:vAlign w:val="center"/>
          </w:tcPr>
          <w:p w14:paraId="56802A32">
            <w:pPr>
              <w:adjustRightInd w:val="0"/>
              <w:snapToGrid w:val="0"/>
              <w:spacing w:line="288" w:lineRule="auto"/>
              <w:jc w:val="center"/>
              <w:rPr>
                <w:rFonts w:hint="eastAsia" w:cs="Times New Roman"/>
                <w:color w:val="auto"/>
                <w:sz w:val="21"/>
                <w:szCs w:val="21"/>
                <w:highlight w:val="none"/>
              </w:rPr>
            </w:pPr>
          </w:p>
        </w:tc>
        <w:tc>
          <w:tcPr>
            <w:tcW w:w="1053" w:type="dxa"/>
            <w:vAlign w:val="center"/>
          </w:tcPr>
          <w:p w14:paraId="0DDFA851">
            <w:pPr>
              <w:adjustRightInd w:val="0"/>
              <w:snapToGrid w:val="0"/>
              <w:spacing w:line="288" w:lineRule="auto"/>
              <w:jc w:val="center"/>
              <w:rPr>
                <w:rFonts w:hint="eastAsia" w:cs="Times New Roman"/>
                <w:color w:val="auto"/>
                <w:sz w:val="21"/>
                <w:szCs w:val="21"/>
                <w:highlight w:val="none"/>
              </w:rPr>
            </w:pPr>
          </w:p>
        </w:tc>
        <w:tc>
          <w:tcPr>
            <w:tcW w:w="881" w:type="dxa"/>
          </w:tcPr>
          <w:p w14:paraId="5848F155">
            <w:pPr>
              <w:adjustRightInd w:val="0"/>
              <w:snapToGrid w:val="0"/>
              <w:spacing w:line="288" w:lineRule="auto"/>
              <w:jc w:val="center"/>
              <w:rPr>
                <w:rFonts w:hint="eastAsia" w:cs="Times New Roman"/>
                <w:color w:val="auto"/>
                <w:sz w:val="21"/>
                <w:szCs w:val="21"/>
                <w:highlight w:val="none"/>
              </w:rPr>
            </w:pPr>
          </w:p>
        </w:tc>
      </w:tr>
      <w:tr w14:paraId="788D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C9EDC59">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35781FFF">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5C703A86">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58820C0E">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10156C13">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20DFD977">
            <w:pPr>
              <w:adjustRightInd w:val="0"/>
              <w:snapToGrid w:val="0"/>
              <w:spacing w:line="288" w:lineRule="auto"/>
              <w:jc w:val="center"/>
              <w:rPr>
                <w:rFonts w:hint="eastAsia" w:cs="Times New Roman"/>
                <w:color w:val="auto"/>
                <w:spacing w:val="-6"/>
                <w:sz w:val="21"/>
                <w:szCs w:val="21"/>
                <w:highlight w:val="none"/>
              </w:rPr>
            </w:pPr>
          </w:p>
        </w:tc>
        <w:tc>
          <w:tcPr>
            <w:tcW w:w="881" w:type="dxa"/>
          </w:tcPr>
          <w:p w14:paraId="46A6656C">
            <w:pPr>
              <w:adjustRightInd w:val="0"/>
              <w:snapToGrid w:val="0"/>
              <w:spacing w:line="288" w:lineRule="auto"/>
              <w:jc w:val="center"/>
              <w:rPr>
                <w:rFonts w:hint="eastAsia" w:cs="Times New Roman"/>
                <w:color w:val="auto"/>
                <w:spacing w:val="-6"/>
                <w:sz w:val="21"/>
                <w:szCs w:val="21"/>
                <w:highlight w:val="none"/>
              </w:rPr>
            </w:pPr>
          </w:p>
        </w:tc>
      </w:tr>
      <w:tr w14:paraId="4CF2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3025BB9">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3C85BD05">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71B1498C">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395F6CCE">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1CDDF8E0">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0AA15B48">
            <w:pPr>
              <w:adjustRightInd w:val="0"/>
              <w:snapToGrid w:val="0"/>
              <w:spacing w:line="288" w:lineRule="auto"/>
              <w:jc w:val="center"/>
              <w:rPr>
                <w:rFonts w:hint="eastAsia" w:cs="Times New Roman"/>
                <w:color w:val="auto"/>
                <w:spacing w:val="-6"/>
                <w:sz w:val="21"/>
                <w:szCs w:val="21"/>
                <w:highlight w:val="none"/>
              </w:rPr>
            </w:pPr>
          </w:p>
        </w:tc>
        <w:tc>
          <w:tcPr>
            <w:tcW w:w="881" w:type="dxa"/>
          </w:tcPr>
          <w:p w14:paraId="6B378B95">
            <w:pPr>
              <w:adjustRightInd w:val="0"/>
              <w:snapToGrid w:val="0"/>
              <w:spacing w:line="288" w:lineRule="auto"/>
              <w:jc w:val="center"/>
              <w:rPr>
                <w:rFonts w:hint="eastAsia" w:cs="Times New Roman"/>
                <w:color w:val="auto"/>
                <w:spacing w:val="-6"/>
                <w:sz w:val="21"/>
                <w:szCs w:val="21"/>
                <w:highlight w:val="none"/>
              </w:rPr>
            </w:pPr>
          </w:p>
        </w:tc>
      </w:tr>
      <w:tr w14:paraId="242F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1649C79A">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277B27ED">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3AB785CA">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2D94764B">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338AE1E8">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72093FC5">
            <w:pPr>
              <w:adjustRightInd w:val="0"/>
              <w:snapToGrid w:val="0"/>
              <w:spacing w:line="288" w:lineRule="auto"/>
              <w:jc w:val="center"/>
              <w:rPr>
                <w:rFonts w:hint="eastAsia" w:cs="Times New Roman"/>
                <w:color w:val="auto"/>
                <w:spacing w:val="-6"/>
                <w:sz w:val="21"/>
                <w:szCs w:val="21"/>
                <w:highlight w:val="none"/>
              </w:rPr>
            </w:pPr>
          </w:p>
        </w:tc>
        <w:tc>
          <w:tcPr>
            <w:tcW w:w="881" w:type="dxa"/>
          </w:tcPr>
          <w:p w14:paraId="67E05523">
            <w:pPr>
              <w:adjustRightInd w:val="0"/>
              <w:snapToGrid w:val="0"/>
              <w:spacing w:line="288" w:lineRule="auto"/>
              <w:jc w:val="center"/>
              <w:rPr>
                <w:rFonts w:hint="eastAsia" w:cs="Times New Roman"/>
                <w:color w:val="auto"/>
                <w:spacing w:val="-6"/>
                <w:sz w:val="21"/>
                <w:szCs w:val="21"/>
                <w:highlight w:val="none"/>
              </w:rPr>
            </w:pPr>
          </w:p>
        </w:tc>
      </w:tr>
      <w:tr w14:paraId="53F4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3A4DC111">
            <w:pPr>
              <w:adjustRightInd w:val="0"/>
              <w:snapToGrid w:val="0"/>
              <w:spacing w:line="288" w:lineRule="auto"/>
              <w:jc w:val="center"/>
              <w:rPr>
                <w:rFonts w:hint="eastAsia" w:cs="Times New Roman"/>
                <w:b/>
                <w:color w:val="auto"/>
                <w:spacing w:val="-6"/>
                <w:sz w:val="21"/>
                <w:szCs w:val="21"/>
                <w:highlight w:val="none"/>
              </w:rPr>
            </w:pPr>
            <w:r>
              <w:rPr>
                <w:rFonts w:hint="eastAsia" w:cs="Times New Roman"/>
                <w:b/>
                <w:color w:val="auto"/>
                <w:spacing w:val="-6"/>
                <w:sz w:val="21"/>
                <w:szCs w:val="21"/>
                <w:highlight w:val="none"/>
              </w:rPr>
              <w:t>技术分</w:t>
            </w:r>
          </w:p>
        </w:tc>
      </w:tr>
      <w:tr w14:paraId="178EE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681000E">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7DEBFD43">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615FEDEC">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383756DE">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3E0C5E36">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7B87161B">
            <w:pPr>
              <w:adjustRightInd w:val="0"/>
              <w:snapToGrid w:val="0"/>
              <w:spacing w:line="288" w:lineRule="auto"/>
              <w:jc w:val="center"/>
              <w:rPr>
                <w:rFonts w:hint="eastAsia" w:cs="Times New Roman"/>
                <w:color w:val="auto"/>
                <w:spacing w:val="-6"/>
                <w:sz w:val="21"/>
                <w:szCs w:val="21"/>
                <w:highlight w:val="none"/>
              </w:rPr>
            </w:pPr>
          </w:p>
        </w:tc>
        <w:tc>
          <w:tcPr>
            <w:tcW w:w="881" w:type="dxa"/>
          </w:tcPr>
          <w:p w14:paraId="0867F782">
            <w:pPr>
              <w:adjustRightInd w:val="0"/>
              <w:snapToGrid w:val="0"/>
              <w:spacing w:line="288" w:lineRule="auto"/>
              <w:jc w:val="center"/>
              <w:rPr>
                <w:rFonts w:hint="eastAsia" w:cs="Times New Roman"/>
                <w:color w:val="auto"/>
                <w:spacing w:val="-6"/>
                <w:sz w:val="21"/>
                <w:szCs w:val="21"/>
                <w:highlight w:val="none"/>
              </w:rPr>
            </w:pPr>
          </w:p>
        </w:tc>
      </w:tr>
      <w:tr w14:paraId="1478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035753C">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7DDF6392">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7DFBE400">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4366DFE4">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5CA80C76">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35F2F484">
            <w:pPr>
              <w:adjustRightInd w:val="0"/>
              <w:snapToGrid w:val="0"/>
              <w:spacing w:line="288" w:lineRule="auto"/>
              <w:jc w:val="center"/>
              <w:rPr>
                <w:rFonts w:hint="eastAsia" w:cs="Times New Roman"/>
                <w:color w:val="auto"/>
                <w:spacing w:val="-6"/>
                <w:sz w:val="21"/>
                <w:szCs w:val="21"/>
                <w:highlight w:val="none"/>
              </w:rPr>
            </w:pPr>
          </w:p>
        </w:tc>
        <w:tc>
          <w:tcPr>
            <w:tcW w:w="881" w:type="dxa"/>
          </w:tcPr>
          <w:p w14:paraId="449B4A23">
            <w:pPr>
              <w:adjustRightInd w:val="0"/>
              <w:snapToGrid w:val="0"/>
              <w:spacing w:line="288" w:lineRule="auto"/>
              <w:jc w:val="center"/>
              <w:rPr>
                <w:rFonts w:hint="eastAsia" w:cs="Times New Roman"/>
                <w:color w:val="auto"/>
                <w:spacing w:val="-6"/>
                <w:sz w:val="21"/>
                <w:szCs w:val="21"/>
                <w:highlight w:val="none"/>
              </w:rPr>
            </w:pPr>
          </w:p>
        </w:tc>
      </w:tr>
      <w:tr w14:paraId="0A2B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BAE35EB">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45575C53">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437DC1D5">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4A81CE83">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70DC5207">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4F43B999">
            <w:pPr>
              <w:adjustRightInd w:val="0"/>
              <w:snapToGrid w:val="0"/>
              <w:spacing w:line="288" w:lineRule="auto"/>
              <w:jc w:val="center"/>
              <w:rPr>
                <w:rFonts w:hint="eastAsia" w:cs="Times New Roman"/>
                <w:color w:val="auto"/>
                <w:spacing w:val="-6"/>
                <w:sz w:val="21"/>
                <w:szCs w:val="21"/>
                <w:highlight w:val="none"/>
              </w:rPr>
            </w:pPr>
          </w:p>
        </w:tc>
        <w:tc>
          <w:tcPr>
            <w:tcW w:w="881" w:type="dxa"/>
          </w:tcPr>
          <w:p w14:paraId="74340183">
            <w:pPr>
              <w:adjustRightInd w:val="0"/>
              <w:snapToGrid w:val="0"/>
              <w:spacing w:line="288" w:lineRule="auto"/>
              <w:jc w:val="center"/>
              <w:rPr>
                <w:rFonts w:hint="eastAsia" w:cs="Times New Roman"/>
                <w:color w:val="auto"/>
                <w:spacing w:val="-6"/>
                <w:sz w:val="21"/>
                <w:szCs w:val="21"/>
                <w:highlight w:val="none"/>
              </w:rPr>
            </w:pPr>
          </w:p>
        </w:tc>
      </w:tr>
      <w:tr w14:paraId="1B86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F499A63">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35B4973D">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6C1ADFBE">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5E065B08">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34DF2809">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700FAAD9">
            <w:pPr>
              <w:adjustRightInd w:val="0"/>
              <w:snapToGrid w:val="0"/>
              <w:spacing w:line="288" w:lineRule="auto"/>
              <w:jc w:val="center"/>
              <w:rPr>
                <w:rFonts w:hint="eastAsia" w:cs="Times New Roman"/>
                <w:color w:val="auto"/>
                <w:spacing w:val="-6"/>
                <w:sz w:val="21"/>
                <w:szCs w:val="21"/>
                <w:highlight w:val="none"/>
              </w:rPr>
            </w:pPr>
          </w:p>
        </w:tc>
        <w:tc>
          <w:tcPr>
            <w:tcW w:w="881" w:type="dxa"/>
          </w:tcPr>
          <w:p w14:paraId="241A2EE9">
            <w:pPr>
              <w:adjustRightInd w:val="0"/>
              <w:snapToGrid w:val="0"/>
              <w:spacing w:line="288" w:lineRule="auto"/>
              <w:jc w:val="center"/>
              <w:rPr>
                <w:rFonts w:hint="eastAsia" w:cs="Times New Roman"/>
                <w:color w:val="auto"/>
                <w:spacing w:val="-6"/>
                <w:sz w:val="21"/>
                <w:szCs w:val="21"/>
                <w:highlight w:val="none"/>
              </w:rPr>
            </w:pPr>
          </w:p>
        </w:tc>
      </w:tr>
      <w:tr w14:paraId="3C29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0D10A705">
            <w:pPr>
              <w:adjustRightInd w:val="0"/>
              <w:snapToGrid w:val="0"/>
              <w:spacing w:line="288" w:lineRule="auto"/>
              <w:jc w:val="center"/>
              <w:rPr>
                <w:rFonts w:hint="eastAsia" w:cs="Times New Roman"/>
                <w:color w:val="auto"/>
                <w:spacing w:val="-6"/>
                <w:sz w:val="21"/>
                <w:szCs w:val="21"/>
                <w:highlight w:val="none"/>
              </w:rPr>
            </w:pPr>
          </w:p>
        </w:tc>
        <w:tc>
          <w:tcPr>
            <w:tcW w:w="2091" w:type="dxa"/>
            <w:vAlign w:val="center"/>
          </w:tcPr>
          <w:p w14:paraId="52E42F60">
            <w:pPr>
              <w:adjustRightInd w:val="0"/>
              <w:snapToGrid w:val="0"/>
              <w:spacing w:line="288" w:lineRule="auto"/>
              <w:jc w:val="center"/>
              <w:rPr>
                <w:rFonts w:hint="eastAsia" w:cs="Times New Roman"/>
                <w:color w:val="auto"/>
                <w:spacing w:val="-6"/>
                <w:sz w:val="21"/>
                <w:szCs w:val="21"/>
                <w:highlight w:val="none"/>
              </w:rPr>
            </w:pPr>
          </w:p>
        </w:tc>
        <w:tc>
          <w:tcPr>
            <w:tcW w:w="709" w:type="dxa"/>
            <w:vAlign w:val="center"/>
          </w:tcPr>
          <w:p w14:paraId="16FA576F">
            <w:pPr>
              <w:adjustRightInd w:val="0"/>
              <w:snapToGrid w:val="0"/>
              <w:spacing w:line="288" w:lineRule="auto"/>
              <w:jc w:val="center"/>
              <w:rPr>
                <w:rFonts w:hint="eastAsia" w:cs="Times New Roman"/>
                <w:color w:val="auto"/>
                <w:spacing w:val="-6"/>
                <w:sz w:val="21"/>
                <w:szCs w:val="21"/>
                <w:highlight w:val="none"/>
              </w:rPr>
            </w:pPr>
          </w:p>
        </w:tc>
        <w:tc>
          <w:tcPr>
            <w:tcW w:w="3040" w:type="dxa"/>
            <w:vAlign w:val="center"/>
          </w:tcPr>
          <w:p w14:paraId="1CF903D6">
            <w:pPr>
              <w:adjustRightInd w:val="0"/>
              <w:snapToGrid w:val="0"/>
              <w:spacing w:line="288" w:lineRule="auto"/>
              <w:rPr>
                <w:rFonts w:hint="eastAsia" w:cs="Times New Roman"/>
                <w:color w:val="auto"/>
                <w:spacing w:val="-6"/>
                <w:sz w:val="21"/>
                <w:szCs w:val="21"/>
                <w:highlight w:val="none"/>
              </w:rPr>
            </w:pPr>
          </w:p>
        </w:tc>
        <w:tc>
          <w:tcPr>
            <w:tcW w:w="967" w:type="dxa"/>
            <w:vAlign w:val="center"/>
          </w:tcPr>
          <w:p w14:paraId="1814D94C">
            <w:pPr>
              <w:adjustRightInd w:val="0"/>
              <w:snapToGrid w:val="0"/>
              <w:spacing w:line="288" w:lineRule="auto"/>
              <w:jc w:val="center"/>
              <w:rPr>
                <w:rFonts w:hint="eastAsia" w:cs="Times New Roman"/>
                <w:color w:val="auto"/>
                <w:spacing w:val="-6"/>
                <w:sz w:val="21"/>
                <w:szCs w:val="21"/>
                <w:highlight w:val="none"/>
              </w:rPr>
            </w:pPr>
          </w:p>
        </w:tc>
        <w:tc>
          <w:tcPr>
            <w:tcW w:w="1053" w:type="dxa"/>
            <w:vAlign w:val="center"/>
          </w:tcPr>
          <w:p w14:paraId="72E1070E">
            <w:pPr>
              <w:adjustRightInd w:val="0"/>
              <w:snapToGrid w:val="0"/>
              <w:spacing w:line="288" w:lineRule="auto"/>
              <w:jc w:val="center"/>
              <w:rPr>
                <w:rFonts w:hint="eastAsia" w:cs="Times New Roman"/>
                <w:color w:val="auto"/>
                <w:spacing w:val="-6"/>
                <w:sz w:val="21"/>
                <w:szCs w:val="21"/>
                <w:highlight w:val="none"/>
              </w:rPr>
            </w:pPr>
          </w:p>
        </w:tc>
        <w:tc>
          <w:tcPr>
            <w:tcW w:w="881" w:type="dxa"/>
          </w:tcPr>
          <w:p w14:paraId="3DD8AB1B">
            <w:pPr>
              <w:adjustRightInd w:val="0"/>
              <w:snapToGrid w:val="0"/>
              <w:spacing w:line="288" w:lineRule="auto"/>
              <w:jc w:val="center"/>
              <w:rPr>
                <w:rFonts w:hint="eastAsia" w:cs="Times New Roman"/>
                <w:color w:val="auto"/>
                <w:spacing w:val="-6"/>
                <w:sz w:val="21"/>
                <w:szCs w:val="21"/>
                <w:highlight w:val="none"/>
              </w:rPr>
            </w:pPr>
          </w:p>
        </w:tc>
      </w:tr>
    </w:tbl>
    <w:p w14:paraId="0E7B90C5">
      <w:pPr>
        <w:adjustRightInd w:val="0"/>
        <w:snapToGrid w:val="0"/>
        <w:spacing w:line="288" w:lineRule="auto"/>
        <w:rPr>
          <w:rFonts w:hint="eastAsia" w:cs="Times New Roman"/>
          <w:color w:val="auto"/>
          <w:spacing w:val="-6"/>
          <w:sz w:val="21"/>
          <w:szCs w:val="21"/>
          <w:highlight w:val="none"/>
        </w:rPr>
      </w:pPr>
    </w:p>
    <w:p w14:paraId="356D9748">
      <w:pPr>
        <w:widowControl/>
        <w:jc w:val="left"/>
        <w:rPr>
          <w:rFonts w:hint="eastAsia" w:cs="Times New Roman"/>
          <w:color w:val="auto"/>
          <w:spacing w:val="-6"/>
          <w:sz w:val="21"/>
          <w:szCs w:val="21"/>
          <w:highlight w:val="none"/>
        </w:rPr>
      </w:pPr>
      <w:r>
        <w:rPr>
          <w:rFonts w:hint="eastAsia" w:cs="Times New Roman"/>
          <w:color w:val="auto"/>
          <w:spacing w:val="-6"/>
          <w:sz w:val="21"/>
          <w:szCs w:val="21"/>
          <w:highlight w:val="none"/>
        </w:rPr>
        <w:t>备注：本表仅为方便磋商小组评审使用，不作为判别响应文件是否有效的依据。</w:t>
      </w:r>
    </w:p>
    <w:bookmarkEnd w:id="63"/>
    <w:p w14:paraId="48516419">
      <w:pPr>
        <w:widowControl/>
        <w:jc w:val="left"/>
        <w:rPr>
          <w:rFonts w:hint="eastAsia"/>
          <w:b/>
          <w:bCs/>
          <w:color w:val="auto"/>
          <w:sz w:val="21"/>
          <w:szCs w:val="21"/>
          <w:highlight w:val="none"/>
        </w:rPr>
      </w:pPr>
      <w:r>
        <w:rPr>
          <w:b/>
          <w:bCs/>
          <w:color w:val="auto"/>
          <w:sz w:val="21"/>
          <w:szCs w:val="21"/>
          <w:highlight w:val="none"/>
        </w:rPr>
        <w:br w:type="page"/>
      </w:r>
    </w:p>
    <w:p w14:paraId="7579DCBC">
      <w:pPr>
        <w:adjustRightInd w:val="0"/>
        <w:snapToGrid w:val="0"/>
        <w:spacing w:line="288" w:lineRule="auto"/>
        <w:rPr>
          <w:rFonts w:hint="eastAsia"/>
          <w:color w:val="auto"/>
          <w:highlight w:val="none"/>
        </w:rPr>
      </w:pPr>
    </w:p>
    <w:p w14:paraId="5F160757">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资格文件</w:t>
      </w:r>
    </w:p>
    <w:p w14:paraId="6B2475EF">
      <w:pPr>
        <w:adjustRightInd w:val="0"/>
        <w:snapToGrid w:val="0"/>
        <w:spacing w:line="288" w:lineRule="auto"/>
        <w:jc w:val="center"/>
        <w:rPr>
          <w:rFonts w:hint="eastAsia"/>
          <w:b/>
          <w:bCs/>
          <w:color w:val="auto"/>
          <w:sz w:val="21"/>
          <w:szCs w:val="21"/>
          <w:highlight w:val="none"/>
        </w:rPr>
      </w:pPr>
    </w:p>
    <w:p w14:paraId="70CD5027">
      <w:pPr>
        <w:adjustRightInd w:val="0"/>
        <w:snapToGrid w:val="0"/>
        <w:spacing w:line="288" w:lineRule="auto"/>
        <w:jc w:val="center"/>
        <w:rPr>
          <w:rFonts w:hint="eastAsia"/>
          <w:b/>
          <w:bCs/>
          <w:color w:val="auto"/>
          <w:sz w:val="21"/>
          <w:szCs w:val="21"/>
          <w:highlight w:val="none"/>
        </w:rPr>
      </w:pPr>
    </w:p>
    <w:p w14:paraId="0F88CB9A">
      <w:pPr>
        <w:adjustRightInd w:val="0"/>
        <w:snapToGrid w:val="0"/>
        <w:spacing w:line="288" w:lineRule="auto"/>
        <w:jc w:val="center"/>
        <w:rPr>
          <w:rFonts w:hint="eastAsia"/>
          <w:b/>
          <w:bCs/>
          <w:color w:val="auto"/>
          <w:sz w:val="21"/>
          <w:szCs w:val="21"/>
          <w:highlight w:val="none"/>
        </w:rPr>
      </w:pPr>
      <w:bookmarkStart w:id="64" w:name="_Hlk94097338"/>
      <w:r>
        <w:rPr>
          <w:rFonts w:hint="eastAsia"/>
          <w:b/>
          <w:bCs/>
          <w:color w:val="auto"/>
          <w:sz w:val="21"/>
          <w:szCs w:val="21"/>
          <w:highlight w:val="none"/>
        </w:rPr>
        <w:t>资格审查要求的资格证明材料（均需加盖公章）</w:t>
      </w:r>
    </w:p>
    <w:bookmarkEnd w:id="64"/>
    <w:p w14:paraId="0DF787EC">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6C262C51">
      <w:pPr>
        <w:adjustRightInd w:val="0"/>
        <w:snapToGrid w:val="0"/>
        <w:spacing w:line="288" w:lineRule="auto"/>
        <w:outlineLvl w:val="2"/>
        <w:rPr>
          <w:rFonts w:hint="eastAsia"/>
          <w:b/>
          <w:bCs/>
          <w:color w:val="auto"/>
          <w:sz w:val="21"/>
          <w:szCs w:val="21"/>
          <w:highlight w:val="none"/>
        </w:rPr>
      </w:pPr>
      <w:r>
        <w:rPr>
          <w:rFonts w:hint="eastAsia"/>
          <w:b/>
          <w:bCs/>
          <w:color w:val="auto"/>
          <w:sz w:val="21"/>
          <w:szCs w:val="21"/>
          <w:highlight w:val="none"/>
        </w:rPr>
        <w:t>（1）有效的法人或者其他组织的营业执照等证明文件，自然人的身份证明（扫描件）</w:t>
      </w:r>
    </w:p>
    <w:p w14:paraId="0F7F197D">
      <w:pPr>
        <w:adjustRightInd w:val="0"/>
        <w:snapToGrid w:val="0"/>
        <w:spacing w:line="288" w:lineRule="auto"/>
        <w:rPr>
          <w:rFonts w:hint="eastAsia"/>
          <w:color w:val="auto"/>
          <w:sz w:val="21"/>
          <w:szCs w:val="21"/>
          <w:highlight w:val="none"/>
        </w:rPr>
      </w:pPr>
    </w:p>
    <w:p w14:paraId="1A017FD8">
      <w:pPr>
        <w:adjustRightInd w:val="0"/>
        <w:snapToGrid w:val="0"/>
        <w:spacing w:line="288" w:lineRule="auto"/>
        <w:rPr>
          <w:rFonts w:hint="eastAsia"/>
          <w:color w:val="auto"/>
          <w:sz w:val="21"/>
          <w:szCs w:val="21"/>
          <w:highlight w:val="none"/>
        </w:rPr>
      </w:pPr>
      <w:r>
        <w:rPr>
          <w:rFonts w:hint="eastAsia"/>
          <w:color w:val="auto"/>
          <w:sz w:val="21"/>
          <w:szCs w:val="21"/>
          <w:highlight w:val="none"/>
        </w:rPr>
        <w:t>说明：</w:t>
      </w:r>
    </w:p>
    <w:p w14:paraId="4692341F">
      <w:pPr>
        <w:adjustRightInd w:val="0"/>
        <w:snapToGrid w:val="0"/>
        <w:spacing w:line="288" w:lineRule="auto"/>
        <w:rPr>
          <w:rFonts w:hint="eastAsia"/>
          <w:color w:val="auto"/>
          <w:sz w:val="21"/>
          <w:szCs w:val="21"/>
          <w:highlight w:val="none"/>
        </w:rPr>
      </w:pPr>
      <w:r>
        <w:rPr>
          <w:rFonts w:hint="eastAsia"/>
          <w:color w:val="auto"/>
          <w:sz w:val="21"/>
          <w:szCs w:val="21"/>
          <w:highlight w:val="none"/>
        </w:rPr>
        <w:t>1.如供应商是企业（包括合伙企业），提供在工商部门注册的有效“企业法人营业执照”或“营业执照”；</w:t>
      </w:r>
    </w:p>
    <w:p w14:paraId="71E65B01">
      <w:pPr>
        <w:adjustRightInd w:val="0"/>
        <w:snapToGrid w:val="0"/>
        <w:spacing w:line="288" w:lineRule="auto"/>
        <w:rPr>
          <w:rFonts w:hint="eastAsia"/>
          <w:color w:val="auto"/>
          <w:sz w:val="21"/>
          <w:szCs w:val="21"/>
          <w:highlight w:val="none"/>
        </w:rPr>
      </w:pPr>
      <w:r>
        <w:rPr>
          <w:rFonts w:hint="eastAsia"/>
          <w:color w:val="auto"/>
          <w:sz w:val="21"/>
          <w:szCs w:val="21"/>
          <w:highlight w:val="none"/>
        </w:rPr>
        <w:t>2.如供应商是事业单位，提供有效的“事业单位法人证书”；</w:t>
      </w:r>
    </w:p>
    <w:p w14:paraId="2D3E3C16">
      <w:pPr>
        <w:adjustRightInd w:val="0"/>
        <w:snapToGrid w:val="0"/>
        <w:spacing w:line="288" w:lineRule="auto"/>
        <w:rPr>
          <w:rFonts w:hint="eastAsia"/>
          <w:color w:val="auto"/>
          <w:sz w:val="21"/>
          <w:szCs w:val="21"/>
          <w:highlight w:val="none"/>
        </w:rPr>
      </w:pPr>
      <w:r>
        <w:rPr>
          <w:rFonts w:hint="eastAsia"/>
          <w:color w:val="auto"/>
          <w:sz w:val="21"/>
          <w:szCs w:val="21"/>
          <w:highlight w:val="none"/>
        </w:rPr>
        <w:t>3.如供应商是非企业专业服务机构的，提供执业许可证等证明文件；</w:t>
      </w:r>
    </w:p>
    <w:p w14:paraId="4793E23F">
      <w:pPr>
        <w:adjustRightInd w:val="0"/>
        <w:snapToGrid w:val="0"/>
        <w:spacing w:line="288" w:lineRule="auto"/>
        <w:rPr>
          <w:rFonts w:hint="eastAsia"/>
          <w:color w:val="auto"/>
          <w:sz w:val="21"/>
          <w:szCs w:val="21"/>
          <w:highlight w:val="none"/>
        </w:rPr>
      </w:pPr>
      <w:r>
        <w:rPr>
          <w:rFonts w:hint="eastAsia"/>
          <w:color w:val="auto"/>
          <w:sz w:val="21"/>
          <w:szCs w:val="21"/>
          <w:highlight w:val="none"/>
        </w:rPr>
        <w:t>4.如供应商是个体工商户，提供有效的“个体工商户营业执照”；</w:t>
      </w:r>
    </w:p>
    <w:p w14:paraId="0F5B64F4">
      <w:pPr>
        <w:adjustRightInd w:val="0"/>
        <w:snapToGrid w:val="0"/>
        <w:spacing w:line="288" w:lineRule="auto"/>
        <w:rPr>
          <w:rFonts w:hint="eastAsia"/>
          <w:color w:val="auto"/>
          <w:sz w:val="21"/>
          <w:szCs w:val="21"/>
          <w:highlight w:val="none"/>
        </w:rPr>
      </w:pPr>
      <w:r>
        <w:rPr>
          <w:rFonts w:hint="eastAsia"/>
          <w:color w:val="auto"/>
          <w:sz w:val="21"/>
          <w:szCs w:val="21"/>
          <w:highlight w:val="none"/>
        </w:rPr>
        <w:t>5.如供应商是自然人，提供有效的自然人身份证明。</w:t>
      </w:r>
    </w:p>
    <w:p w14:paraId="403CA4DB">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718D3295">
      <w:pPr>
        <w:adjustRightInd w:val="0"/>
        <w:snapToGrid w:val="0"/>
        <w:spacing w:line="288" w:lineRule="auto"/>
        <w:jc w:val="center"/>
        <w:outlineLvl w:val="2"/>
        <w:rPr>
          <w:rFonts w:hint="eastAsia" w:cs="Times New Roman"/>
          <w:b/>
          <w:bCs/>
          <w:color w:val="auto"/>
          <w:sz w:val="21"/>
          <w:szCs w:val="21"/>
          <w:highlight w:val="none"/>
          <w:shd w:val="clear" w:color="auto" w:fill="FFFFFF"/>
        </w:rPr>
      </w:pPr>
      <w:r>
        <w:rPr>
          <w:rFonts w:hint="eastAsia" w:cs="Times New Roman"/>
          <w:b/>
          <w:color w:val="auto"/>
          <w:spacing w:val="-6"/>
          <w:sz w:val="21"/>
          <w:szCs w:val="21"/>
          <w:highlight w:val="none"/>
        </w:rPr>
        <w:t>（2）</w:t>
      </w:r>
      <w:r>
        <w:rPr>
          <w:rFonts w:hint="eastAsia" w:cs="Times New Roman"/>
          <w:b/>
          <w:bCs/>
          <w:color w:val="auto"/>
          <w:sz w:val="21"/>
          <w:szCs w:val="21"/>
          <w:highlight w:val="none"/>
        </w:rPr>
        <w:t>符合参加政府采购活动应当具备的一般条件的承诺函</w:t>
      </w:r>
    </w:p>
    <w:p w14:paraId="50DA73D7">
      <w:pPr>
        <w:adjustRightInd w:val="0"/>
        <w:snapToGrid w:val="0"/>
        <w:spacing w:line="288" w:lineRule="auto"/>
        <w:rPr>
          <w:rFonts w:hint="eastAsia" w:cs="Times New Roman"/>
          <w:color w:val="auto"/>
          <w:sz w:val="21"/>
          <w:szCs w:val="21"/>
          <w:highlight w:val="none"/>
          <w:shd w:val="clear" w:color="auto" w:fill="FFFFFF"/>
        </w:rPr>
      </w:pPr>
    </w:p>
    <w:p w14:paraId="679AE6BB">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致：浙江交通职业技术学院、浙江求是招标代理有限公司</w:t>
      </w:r>
    </w:p>
    <w:p w14:paraId="3C9275CA">
      <w:pPr>
        <w:adjustRightInd w:val="0"/>
        <w:snapToGrid w:val="0"/>
        <w:spacing w:line="288" w:lineRule="auto"/>
        <w:rPr>
          <w:rFonts w:hint="eastAsia" w:cs="Times New Roman"/>
          <w:color w:val="auto"/>
          <w:spacing w:val="-6"/>
          <w:sz w:val="21"/>
          <w:szCs w:val="21"/>
          <w:highlight w:val="none"/>
        </w:rPr>
      </w:pPr>
    </w:p>
    <w:p w14:paraId="59BDA8C3">
      <w:pPr>
        <w:adjustRightInd w:val="0"/>
        <w:snapToGrid w:val="0"/>
        <w:spacing w:line="288" w:lineRule="auto"/>
        <w:ind w:firstLine="396" w:firstLineChars="200"/>
        <w:rPr>
          <w:rFonts w:hint="eastAsia" w:cs="Times New Roman"/>
          <w:color w:val="auto"/>
          <w:spacing w:val="-6"/>
          <w:sz w:val="21"/>
          <w:szCs w:val="21"/>
          <w:highlight w:val="none"/>
        </w:rPr>
      </w:pPr>
      <w:bookmarkStart w:id="65" w:name="_Hlk97040025"/>
      <w:r>
        <w:rPr>
          <w:rFonts w:hint="eastAsia" w:cs="Times New Roman"/>
          <w:color w:val="auto"/>
          <w:spacing w:val="-6"/>
          <w:sz w:val="21"/>
          <w:szCs w:val="21"/>
          <w:highlight w:val="none"/>
        </w:rPr>
        <w:t>我方</w:t>
      </w:r>
      <w:r>
        <w:rPr>
          <w:rFonts w:hint="eastAsia" w:cs="Times New Roman"/>
          <w:color w:val="auto"/>
          <w:spacing w:val="-6"/>
          <w:sz w:val="21"/>
          <w:szCs w:val="21"/>
          <w:highlight w:val="none"/>
          <w:u w:val="single"/>
        </w:rPr>
        <w:t xml:space="preserve">（供应商名称）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参加</w:t>
      </w:r>
      <w:r>
        <w:rPr>
          <w:rFonts w:hint="eastAsia" w:cs="Times New Roman"/>
          <w:color w:val="auto"/>
          <w:spacing w:val="-6"/>
          <w:sz w:val="21"/>
          <w:szCs w:val="21"/>
          <w:highlight w:val="none"/>
          <w:u w:val="single"/>
        </w:rPr>
        <w:t xml:space="preserve">（项目名称）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 xml:space="preserve"> </w:t>
      </w:r>
      <w:r>
        <w:rPr>
          <w:rFonts w:hint="eastAsia" w:cs="Times New Roman"/>
          <w:color w:val="auto"/>
          <w:spacing w:val="-6"/>
          <w:sz w:val="21"/>
          <w:szCs w:val="21"/>
          <w:highlight w:val="none"/>
        </w:rPr>
        <w:t>项目的采购活动并承诺如下：</w:t>
      </w:r>
    </w:p>
    <w:p w14:paraId="5C002DA2">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一、我方满足《中华人民共和国政府采购法》第二十二条规定：</w:t>
      </w:r>
    </w:p>
    <w:p w14:paraId="0DE3962B">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（一）具有独立承担民事责任的能力；</w:t>
      </w:r>
    </w:p>
    <w:p w14:paraId="6F049BD4">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（二）具有良好的商业信誉和健全的财务会计制度；</w:t>
      </w:r>
    </w:p>
    <w:p w14:paraId="1EDAF44D">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（三）具有履行合同所必需的设备和专业技术能力；</w:t>
      </w:r>
    </w:p>
    <w:p w14:paraId="50DAF12F">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（四）有依法缴纳税收和社会保障资金的良好记录；</w:t>
      </w:r>
    </w:p>
    <w:p w14:paraId="7A636F4A">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（五）参加本项目政府采购活动前三年内，在经营活动中</w:t>
      </w:r>
      <w:r>
        <w:rPr>
          <w:rFonts w:hint="eastAsia" w:cs="Times New Roman"/>
          <w:b/>
          <w:color w:val="auto"/>
          <w:spacing w:val="-6"/>
          <w:sz w:val="21"/>
          <w:szCs w:val="21"/>
          <w:highlight w:val="none"/>
          <w:u w:val="single"/>
        </w:rPr>
        <w:t xml:space="preserve">  没有  </w:t>
      </w:r>
      <w:r>
        <w:rPr>
          <w:rFonts w:hint="eastAsia" w:cs="Times New Roman"/>
          <w:color w:val="auto"/>
          <w:spacing w:val="-6"/>
          <w:sz w:val="21"/>
          <w:szCs w:val="21"/>
          <w:highlight w:val="none"/>
        </w:rPr>
        <w:t>重大违法记录。（重大违法记录是指供应商因违法经营受到刑事处罚或者责令停产停业、吊销许可证或者执照、较大数额罚款等行政处罚）</w:t>
      </w:r>
    </w:p>
    <w:p w14:paraId="53B15435">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（六）法律、行政法规规定的其他条件。</w:t>
      </w:r>
    </w:p>
    <w:p w14:paraId="54F84580">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二、未被信用中国（</w:t>
      </w:r>
      <w:r>
        <w:rPr>
          <w:rFonts w:cs="Times New Roman"/>
          <w:color w:val="auto"/>
          <w:spacing w:val="-6"/>
          <w:sz w:val="21"/>
          <w:szCs w:val="21"/>
          <w:highlight w:val="none"/>
        </w:rPr>
        <w:t>www.creditchina.gov.cn)、中国政府采购网（www.ccgp.gov.cn）列入失信被执行人、重大税收违法案件当事人名单、政府采购严重违法失信行为记录名单。</w:t>
      </w:r>
    </w:p>
    <w:p w14:paraId="538F2DF2">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三、不存在以下情况：</w:t>
      </w:r>
    </w:p>
    <w:p w14:paraId="36E26CB7">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1、</w:t>
      </w:r>
      <w:r>
        <w:rPr>
          <w:rFonts w:cs="Times New Roman"/>
          <w:color w:val="auto"/>
          <w:spacing w:val="-6"/>
          <w:sz w:val="21"/>
          <w:szCs w:val="21"/>
          <w:highlight w:val="none"/>
        </w:rPr>
        <w:t>单位负责人为同一人或者存在直接控股、管理关系的不同供应商参加同一合同项下的政府采购活动的；</w:t>
      </w:r>
    </w:p>
    <w:p w14:paraId="27716D1E">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2、</w:t>
      </w:r>
      <w:r>
        <w:rPr>
          <w:rFonts w:cs="Times New Roman"/>
          <w:color w:val="auto"/>
          <w:spacing w:val="-6"/>
          <w:sz w:val="21"/>
          <w:szCs w:val="21"/>
          <w:highlight w:val="none"/>
        </w:rPr>
        <w:t>为采购项目提供整体设计、规范编制或者项目管理、监理、检测等服务后再参加该采购项目的其他采购活动的。</w:t>
      </w:r>
    </w:p>
    <w:p w14:paraId="4573DA0F">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四、</w:t>
      </w:r>
      <w:r>
        <w:rPr>
          <w:rFonts w:cs="Times New Roman"/>
          <w:color w:val="auto"/>
          <w:spacing w:val="-6"/>
          <w:sz w:val="21"/>
          <w:szCs w:val="21"/>
          <w:highlight w:val="none"/>
        </w:rPr>
        <w:t>以上事项如有虚假或隐瞒，我方愿意承担一切后果和责任。</w:t>
      </w:r>
    </w:p>
    <w:p w14:paraId="08815A34">
      <w:pPr>
        <w:adjustRightInd w:val="0"/>
        <w:snapToGrid w:val="0"/>
        <w:spacing w:line="288" w:lineRule="auto"/>
        <w:rPr>
          <w:rFonts w:hint="eastAsia" w:cs="Times New Roman"/>
          <w:color w:val="auto"/>
          <w:sz w:val="21"/>
          <w:szCs w:val="21"/>
          <w:highlight w:val="none"/>
        </w:rPr>
      </w:pPr>
    </w:p>
    <w:p w14:paraId="656E2DD1">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4EE09C37">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5"/>
    <w:p w14:paraId="19D5DC66">
      <w:pPr>
        <w:widowControl/>
        <w:adjustRightInd w:val="0"/>
        <w:snapToGrid w:val="0"/>
        <w:spacing w:line="288" w:lineRule="auto"/>
        <w:jc w:val="left"/>
        <w:rPr>
          <w:rFonts w:hint="eastAsia"/>
          <w:color w:val="auto"/>
          <w:sz w:val="21"/>
          <w:szCs w:val="21"/>
          <w:highlight w:val="none"/>
        </w:rPr>
      </w:pPr>
      <w:r>
        <w:rPr>
          <w:color w:val="auto"/>
          <w:sz w:val="21"/>
          <w:szCs w:val="21"/>
          <w:highlight w:val="none"/>
        </w:rPr>
        <w:br w:type="page"/>
      </w:r>
    </w:p>
    <w:p w14:paraId="3C74F68B">
      <w:pPr>
        <w:numPr>
          <w:ilvl w:val="0"/>
          <w:numId w:val="4"/>
        </w:numPr>
        <w:adjustRightInd w:val="0"/>
        <w:snapToGrid w:val="0"/>
        <w:spacing w:line="288" w:lineRule="auto"/>
        <w:jc w:val="left"/>
        <w:outlineLvl w:val="2"/>
        <w:rPr>
          <w:rFonts w:hint="eastAsia"/>
          <w:b/>
          <w:color w:val="auto"/>
          <w:spacing w:val="-6"/>
          <w:sz w:val="21"/>
          <w:szCs w:val="21"/>
          <w:highlight w:val="none"/>
        </w:rPr>
      </w:pPr>
      <w:r>
        <w:rPr>
          <w:b/>
          <w:color w:val="auto"/>
          <w:spacing w:val="-6"/>
          <w:sz w:val="21"/>
          <w:szCs w:val="21"/>
          <w:highlight w:val="none"/>
        </w:rPr>
        <w:t>落实政府采购政策需满足的资格要求：</w:t>
      </w:r>
    </w:p>
    <w:p w14:paraId="6E2302E4">
      <w:pPr>
        <w:adjustRightInd w:val="0"/>
        <w:snapToGrid w:val="0"/>
        <w:spacing w:line="288" w:lineRule="auto"/>
        <w:ind w:firstLine="498" w:firstLineChars="236"/>
        <w:jc w:val="center"/>
        <w:outlineLvl w:val="2"/>
        <w:rPr>
          <w:rFonts w:hint="eastAsia"/>
          <w:b/>
          <w:bCs/>
          <w:color w:val="auto"/>
          <w:sz w:val="21"/>
          <w:szCs w:val="21"/>
          <w:highlight w:val="none"/>
        </w:rPr>
      </w:pPr>
      <w:r>
        <w:rPr>
          <w:rFonts w:hint="eastAsia"/>
          <w:b/>
          <w:bCs/>
          <w:color w:val="auto"/>
          <w:sz w:val="21"/>
          <w:szCs w:val="21"/>
          <w:highlight w:val="none"/>
        </w:rPr>
        <w:t>1）中小企业声明函（服务）（若属于中小企业）</w:t>
      </w:r>
    </w:p>
    <w:p w14:paraId="5032E135">
      <w:pPr>
        <w:adjustRightInd w:val="0"/>
        <w:snapToGrid w:val="0"/>
        <w:spacing w:line="288" w:lineRule="auto"/>
        <w:ind w:firstLine="498" w:firstLineChars="236"/>
        <w:rPr>
          <w:rFonts w:hint="eastAsia"/>
          <w:b/>
          <w:color w:val="auto"/>
          <w:sz w:val="21"/>
          <w:szCs w:val="21"/>
          <w:highlight w:val="none"/>
        </w:rPr>
      </w:pPr>
    </w:p>
    <w:p w14:paraId="4AF69C2C">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本公司（联合体）郑重声明，根据《政府采购促进中小企业发展管理办法》（财库﹝2020﹞46 号）的规定，本公司（联合体）参加</w:t>
      </w:r>
      <w:r>
        <w:rPr>
          <w:rFonts w:hint="eastAsia"/>
          <w:color w:val="auto"/>
          <w:sz w:val="21"/>
          <w:szCs w:val="21"/>
          <w:highlight w:val="none"/>
          <w:u w:val="single"/>
        </w:rPr>
        <w:t>浙江交通职业技术学院</w:t>
      </w:r>
      <w:r>
        <w:rPr>
          <w:rFonts w:hint="eastAsia"/>
          <w:i/>
          <w:color w:val="auto"/>
          <w:sz w:val="21"/>
          <w:szCs w:val="21"/>
          <w:highlight w:val="none"/>
          <w:u w:val="single"/>
        </w:rPr>
        <w:t>（单位名称）</w:t>
      </w:r>
      <w:r>
        <w:rPr>
          <w:rFonts w:hint="eastAsia"/>
          <w:color w:val="auto"/>
          <w:sz w:val="21"/>
          <w:szCs w:val="21"/>
          <w:highlight w:val="none"/>
        </w:rPr>
        <w:t>的</w:t>
      </w:r>
      <w:r>
        <w:rPr>
          <w:rFonts w:hint="eastAsia"/>
          <w:color w:val="auto"/>
          <w:sz w:val="21"/>
          <w:szCs w:val="21"/>
          <w:highlight w:val="none"/>
          <w:u w:val="single"/>
        </w:rPr>
        <w:t>浙江交通职业技术学院交院钉运维项目</w:t>
      </w:r>
      <w:r>
        <w:rPr>
          <w:rFonts w:hint="eastAsia"/>
          <w:i/>
          <w:color w:val="auto"/>
          <w:sz w:val="21"/>
          <w:szCs w:val="21"/>
          <w:highlight w:val="none"/>
          <w:u w:val="single"/>
        </w:rPr>
        <w:t>（项目名称）</w:t>
      </w:r>
      <w:r>
        <w:rPr>
          <w:rFonts w:hint="eastAsia"/>
          <w:color w:val="auto"/>
          <w:sz w:val="21"/>
          <w:szCs w:val="21"/>
          <w:highlight w:val="none"/>
        </w:rPr>
        <w:t>采购活动，服务全部由符合政策要求的中小企业承接。相关企业（含联合体中的中小企业、签订分包意向协议的中小企业）的具体情况如下：</w:t>
      </w:r>
    </w:p>
    <w:p w14:paraId="71D22FBB">
      <w:pPr>
        <w:adjustRightInd w:val="0"/>
        <w:snapToGrid w:val="0"/>
        <w:spacing w:line="288" w:lineRule="auto"/>
        <w:ind w:firstLine="495" w:firstLineChars="236"/>
        <w:rPr>
          <w:rFonts w:hint="eastAsia"/>
          <w:i/>
          <w:color w:val="auto"/>
          <w:sz w:val="21"/>
          <w:szCs w:val="21"/>
          <w:highlight w:val="none"/>
          <w:u w:val="single"/>
        </w:rPr>
      </w:pPr>
      <w:r>
        <w:rPr>
          <w:rFonts w:hint="eastAsia"/>
          <w:i/>
          <w:color w:val="auto"/>
          <w:sz w:val="21"/>
          <w:szCs w:val="21"/>
          <w:highlight w:val="none"/>
          <w:u w:val="single"/>
        </w:rPr>
        <w:t>1.</w:t>
      </w:r>
      <w:r>
        <w:rPr>
          <w:rFonts w:hint="eastAsia"/>
          <w:color w:val="auto"/>
          <w:sz w:val="21"/>
          <w:szCs w:val="21"/>
          <w:highlight w:val="none"/>
          <w:u w:val="single"/>
        </w:rPr>
        <w:t>浙江交通职业技术学院交院钉运维项目</w:t>
      </w:r>
      <w:r>
        <w:rPr>
          <w:rFonts w:hint="eastAsia"/>
          <w:i/>
          <w:color w:val="auto"/>
          <w:sz w:val="21"/>
          <w:szCs w:val="21"/>
          <w:highlight w:val="none"/>
          <w:u w:val="single"/>
        </w:rPr>
        <w:t>（标的名称），属于软件和信息技术服务业（采购文件中明确的所属行业）；</w:t>
      </w:r>
      <w:r>
        <w:rPr>
          <w:rFonts w:hint="eastAsia"/>
          <w:color w:val="auto"/>
          <w:sz w:val="21"/>
          <w:szCs w:val="21"/>
          <w:highlight w:val="none"/>
        </w:rPr>
        <w:t>承建（承接）企业为</w:t>
      </w:r>
      <w:r>
        <w:rPr>
          <w:rFonts w:hint="eastAsia"/>
          <w:i/>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万元，属于</w:t>
      </w:r>
      <w:r>
        <w:rPr>
          <w:rFonts w:hint="eastAsia"/>
          <w:i/>
          <w:color w:val="auto"/>
          <w:sz w:val="21"/>
          <w:szCs w:val="21"/>
          <w:highlight w:val="none"/>
          <w:u w:val="single"/>
        </w:rPr>
        <w:t>（中型企业、小型企业、微型企业）</w:t>
      </w:r>
      <w:r>
        <w:rPr>
          <w:rFonts w:hint="eastAsia"/>
          <w:color w:val="auto"/>
          <w:sz w:val="21"/>
          <w:szCs w:val="21"/>
          <w:highlight w:val="none"/>
        </w:rPr>
        <w:t>；</w:t>
      </w:r>
    </w:p>
    <w:p w14:paraId="277DFA6B">
      <w:pPr>
        <w:adjustRightInd w:val="0"/>
        <w:snapToGrid w:val="0"/>
        <w:spacing w:line="288" w:lineRule="auto"/>
        <w:ind w:firstLine="495" w:firstLineChars="236"/>
        <w:rPr>
          <w:rFonts w:hint="eastAsia"/>
          <w:color w:val="auto"/>
          <w:sz w:val="21"/>
          <w:szCs w:val="21"/>
          <w:highlight w:val="none"/>
        </w:rPr>
      </w:pPr>
      <w:r>
        <w:rPr>
          <w:rFonts w:hint="eastAsia"/>
          <w:i/>
          <w:color w:val="auto"/>
          <w:sz w:val="21"/>
          <w:szCs w:val="21"/>
          <w:highlight w:val="none"/>
          <w:u w:val="single"/>
        </w:rPr>
        <w:t>2.（标的名称）</w:t>
      </w:r>
      <w:r>
        <w:rPr>
          <w:rFonts w:hint="eastAsia"/>
          <w:color w:val="auto"/>
          <w:sz w:val="21"/>
          <w:szCs w:val="21"/>
          <w:highlight w:val="none"/>
        </w:rPr>
        <w:t>，属于</w:t>
      </w:r>
      <w:r>
        <w:rPr>
          <w:rFonts w:hint="eastAsia"/>
          <w:i/>
          <w:color w:val="auto"/>
          <w:sz w:val="21"/>
          <w:szCs w:val="21"/>
          <w:highlight w:val="none"/>
        </w:rPr>
        <w:t>（</w:t>
      </w:r>
      <w:r>
        <w:rPr>
          <w:rFonts w:hint="eastAsia"/>
          <w:i/>
          <w:color w:val="auto"/>
          <w:sz w:val="21"/>
          <w:szCs w:val="21"/>
          <w:highlight w:val="none"/>
          <w:u w:val="single"/>
        </w:rPr>
        <w:t>采购文件中明确的所属行业）</w:t>
      </w:r>
      <w:r>
        <w:rPr>
          <w:rFonts w:hint="eastAsia"/>
          <w:color w:val="auto"/>
          <w:sz w:val="21"/>
          <w:szCs w:val="21"/>
          <w:highlight w:val="none"/>
        </w:rPr>
        <w:t>；承建（承接）企业为</w:t>
      </w:r>
      <w:r>
        <w:rPr>
          <w:rFonts w:hint="eastAsia"/>
          <w:i/>
          <w:color w:val="auto"/>
          <w:sz w:val="21"/>
          <w:szCs w:val="21"/>
          <w:highlight w:val="none"/>
          <w:u w:val="single"/>
        </w:rPr>
        <w:t>（企业名称）</w:t>
      </w:r>
      <w:r>
        <w:rPr>
          <w:rFonts w:hint="eastAsia"/>
          <w:color w:val="auto"/>
          <w:sz w:val="21"/>
          <w:szCs w:val="21"/>
          <w:highlight w:val="none"/>
        </w:rPr>
        <w:t>，从业人员</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人，营业收入为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万元，资产总额为</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万元，属于</w:t>
      </w:r>
      <w:r>
        <w:rPr>
          <w:rFonts w:hint="eastAsia"/>
          <w:i/>
          <w:color w:val="auto"/>
          <w:sz w:val="21"/>
          <w:szCs w:val="21"/>
          <w:highlight w:val="none"/>
          <w:u w:val="single"/>
        </w:rPr>
        <w:t>（中型企业、小型企业、微型企业）</w:t>
      </w:r>
      <w:r>
        <w:rPr>
          <w:rFonts w:hint="eastAsia"/>
          <w:color w:val="auto"/>
          <w:sz w:val="21"/>
          <w:szCs w:val="21"/>
          <w:highlight w:val="none"/>
        </w:rPr>
        <w:t>；</w:t>
      </w:r>
    </w:p>
    <w:p w14:paraId="26FC9A7D">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w:t>
      </w:r>
    </w:p>
    <w:p w14:paraId="43BF690E">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以上企业，不属于大企业的分支机构，不存在控股股东为大企业的情形，也不存在与大企业的负责人为同一人的情形。</w:t>
      </w:r>
    </w:p>
    <w:p w14:paraId="212E080B">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本企业对上述声明内容的真实性负责。如有虚假，将依法承担相应责任。</w:t>
      </w:r>
    </w:p>
    <w:p w14:paraId="7DF74C2F">
      <w:pPr>
        <w:adjustRightInd w:val="0"/>
        <w:snapToGrid w:val="0"/>
        <w:spacing w:line="288" w:lineRule="auto"/>
        <w:ind w:firstLine="495" w:firstLineChars="236"/>
        <w:rPr>
          <w:rFonts w:hint="eastAsia"/>
          <w:color w:val="auto"/>
          <w:sz w:val="21"/>
          <w:szCs w:val="21"/>
          <w:highlight w:val="none"/>
        </w:rPr>
      </w:pPr>
    </w:p>
    <w:p w14:paraId="13329E23">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企业名称（盖章）：</w:t>
      </w:r>
    </w:p>
    <w:p w14:paraId="17E97052">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日期：</w:t>
      </w:r>
    </w:p>
    <w:p w14:paraId="7186B7D4">
      <w:pPr>
        <w:adjustRightInd w:val="0"/>
        <w:snapToGrid w:val="0"/>
        <w:spacing w:line="288" w:lineRule="auto"/>
        <w:ind w:firstLine="495" w:firstLineChars="236"/>
        <w:rPr>
          <w:rFonts w:hint="eastAsia"/>
          <w:color w:val="auto"/>
          <w:sz w:val="21"/>
          <w:szCs w:val="21"/>
          <w:highlight w:val="none"/>
        </w:rPr>
      </w:pPr>
    </w:p>
    <w:p w14:paraId="58472924">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注：</w:t>
      </w:r>
    </w:p>
    <w:p w14:paraId="3D021DEC">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1.标的名称，按照【磋商文件】中明确的标的填写；</w:t>
      </w:r>
    </w:p>
    <w:p w14:paraId="1542CA64">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2.所属行业，按照【磋商文件】中明确的标的“所属行业”填写；</w:t>
      </w:r>
    </w:p>
    <w:p w14:paraId="3E5B2822">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3.承建（承接）企业，工程由中小企业承建，即工程施工单位为中小企业（服务由中小企业承接，即提供服务的人员为中小企业依照《中华人民共和国劳动合同法》订立劳动合同的从业人员）；</w:t>
      </w:r>
    </w:p>
    <w:p w14:paraId="4A1F76F8">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4.从业人员、营业收入、资产总额填报上一年度数据，无上一年度数据的新成立企业可不填报。</w:t>
      </w:r>
    </w:p>
    <w:p w14:paraId="3423E109">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5.企业类型（包括新成立企业），按照《中小企业划型标准规定》（工信部联企业〔2011〕300号）规定和【磋商文件】中明确的标的“所属行业”，选择“</w:t>
      </w:r>
      <w:r>
        <w:rPr>
          <w:rFonts w:hint="eastAsia"/>
          <w:b/>
          <w:bCs/>
          <w:color w:val="auto"/>
          <w:sz w:val="21"/>
          <w:szCs w:val="21"/>
          <w:highlight w:val="none"/>
        </w:rPr>
        <w:t>中型企业、小型企业、微型企业</w:t>
      </w:r>
      <w:r>
        <w:rPr>
          <w:rFonts w:hint="eastAsia"/>
          <w:color w:val="auto"/>
          <w:sz w:val="21"/>
          <w:szCs w:val="21"/>
          <w:highlight w:val="none"/>
        </w:rPr>
        <w:t>”其中之一；</w:t>
      </w:r>
    </w:p>
    <w:p w14:paraId="5F7CE10C">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t>6.磋商文件中明确的标的是能够独立发挥功能的产品，配件、辅料不作为标的，不需要在《中小企业声明函》里填列。</w:t>
      </w:r>
    </w:p>
    <w:p w14:paraId="54D26DD6">
      <w:pPr>
        <w:adjustRightInd w:val="0"/>
        <w:snapToGrid w:val="0"/>
        <w:spacing w:line="288" w:lineRule="auto"/>
        <w:ind w:firstLine="495" w:firstLineChars="236"/>
        <w:rPr>
          <w:rFonts w:hint="eastAsia"/>
          <w:color w:val="auto"/>
          <w:sz w:val="21"/>
          <w:szCs w:val="21"/>
          <w:highlight w:val="none"/>
        </w:rPr>
      </w:pPr>
      <w:r>
        <w:rPr>
          <w:rFonts w:hint="eastAsia"/>
          <w:color w:val="auto"/>
          <w:sz w:val="21"/>
          <w:szCs w:val="21"/>
          <w:highlight w:val="none"/>
        </w:rPr>
        <w:br w:type="page"/>
      </w:r>
    </w:p>
    <w:p w14:paraId="27CC9AD6">
      <w:pPr>
        <w:adjustRightInd w:val="0"/>
        <w:snapToGrid w:val="0"/>
        <w:spacing w:line="288" w:lineRule="auto"/>
        <w:jc w:val="center"/>
        <w:outlineLvl w:val="2"/>
        <w:rPr>
          <w:rFonts w:hint="eastAsia"/>
          <w:color w:val="auto"/>
          <w:kern w:val="0"/>
          <w:sz w:val="21"/>
          <w:szCs w:val="21"/>
          <w:highlight w:val="none"/>
        </w:rPr>
      </w:pPr>
      <w:r>
        <w:rPr>
          <w:rFonts w:hint="eastAsia"/>
          <w:b/>
          <w:color w:val="auto"/>
          <w:spacing w:val="-6"/>
          <w:sz w:val="21"/>
          <w:szCs w:val="21"/>
          <w:highlight w:val="none"/>
        </w:rPr>
        <w:t>2）属于监狱企业的证明文件（若属于监狱企业）</w:t>
      </w:r>
    </w:p>
    <w:p w14:paraId="6F5CD363">
      <w:pPr>
        <w:adjustRightInd w:val="0"/>
        <w:snapToGrid w:val="0"/>
        <w:spacing w:line="288" w:lineRule="auto"/>
        <w:rPr>
          <w:rFonts w:hint="eastAsia"/>
          <w:color w:val="auto"/>
          <w:kern w:val="0"/>
          <w:sz w:val="21"/>
          <w:szCs w:val="21"/>
          <w:highlight w:val="none"/>
        </w:rPr>
      </w:pPr>
    </w:p>
    <w:p w14:paraId="57268063">
      <w:pPr>
        <w:adjustRightInd w:val="0"/>
        <w:snapToGrid w:val="0"/>
        <w:spacing w:line="288" w:lineRule="auto"/>
        <w:ind w:firstLine="373" w:firstLineChars="177"/>
        <w:rPr>
          <w:rFonts w:hint="eastAsia"/>
          <w:b/>
          <w:bCs/>
          <w:color w:val="auto"/>
          <w:sz w:val="21"/>
          <w:szCs w:val="21"/>
          <w:highlight w:val="none"/>
        </w:rPr>
      </w:pPr>
      <w:r>
        <w:rPr>
          <w:rFonts w:hint="eastAsia"/>
          <w:b/>
          <w:bCs/>
          <w:color w:val="auto"/>
          <w:kern w:val="0"/>
          <w:sz w:val="21"/>
          <w:szCs w:val="21"/>
          <w:highlight w:val="none"/>
        </w:rPr>
        <w:t>监狱企业参加政府采购活动时，应当提供由省级以上监狱管理局、戒毒管理局（含新疆生产建设兵团）出具的属于监狱企业的证明文件。</w:t>
      </w:r>
    </w:p>
    <w:p w14:paraId="7B1846E1">
      <w:pPr>
        <w:adjustRightInd w:val="0"/>
        <w:snapToGrid w:val="0"/>
        <w:spacing w:line="288" w:lineRule="auto"/>
        <w:rPr>
          <w:rFonts w:hint="eastAsia"/>
          <w:color w:val="auto"/>
          <w:sz w:val="21"/>
          <w:szCs w:val="21"/>
          <w:highlight w:val="none"/>
        </w:rPr>
      </w:pPr>
    </w:p>
    <w:p w14:paraId="6D641BAC">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34869217">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9F58E5">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二、在政府采购活动中，监狱企业视同小型、微型企业，享受预留份额、评审中价格扣除等政府采购促进中小企业发展的政府采购政策。</w:t>
      </w:r>
    </w:p>
    <w:p w14:paraId="6122092E">
      <w:pPr>
        <w:widowControl/>
        <w:adjustRightInd w:val="0"/>
        <w:snapToGrid w:val="0"/>
        <w:spacing w:line="288" w:lineRule="auto"/>
        <w:jc w:val="left"/>
        <w:rPr>
          <w:rFonts w:hint="eastAsia"/>
          <w:b/>
          <w:color w:val="auto"/>
          <w:spacing w:val="-6"/>
          <w:sz w:val="21"/>
          <w:szCs w:val="21"/>
          <w:highlight w:val="none"/>
        </w:rPr>
      </w:pPr>
      <w:r>
        <w:rPr>
          <w:rFonts w:hint="eastAsia"/>
          <w:b/>
          <w:color w:val="auto"/>
          <w:spacing w:val="-6"/>
          <w:sz w:val="21"/>
          <w:szCs w:val="21"/>
          <w:highlight w:val="none"/>
        </w:rPr>
        <w:br w:type="page"/>
      </w:r>
    </w:p>
    <w:p w14:paraId="71C70831">
      <w:pPr>
        <w:adjustRightInd w:val="0"/>
        <w:snapToGrid w:val="0"/>
        <w:spacing w:line="288" w:lineRule="auto"/>
        <w:jc w:val="center"/>
        <w:outlineLvl w:val="2"/>
        <w:rPr>
          <w:rFonts w:hint="eastAsia"/>
          <w:b/>
          <w:color w:val="auto"/>
          <w:spacing w:val="-6"/>
          <w:sz w:val="21"/>
          <w:szCs w:val="21"/>
          <w:highlight w:val="none"/>
        </w:rPr>
      </w:pPr>
      <w:r>
        <w:rPr>
          <w:rFonts w:hint="eastAsia"/>
          <w:b/>
          <w:color w:val="auto"/>
          <w:spacing w:val="-6"/>
          <w:sz w:val="21"/>
          <w:szCs w:val="21"/>
          <w:highlight w:val="none"/>
        </w:rPr>
        <w:t>3）残疾人福利性单位声明函（若属于残疾人福利性单位）</w:t>
      </w:r>
    </w:p>
    <w:p w14:paraId="7B9241DF">
      <w:pPr>
        <w:adjustRightInd w:val="0"/>
        <w:snapToGrid w:val="0"/>
        <w:spacing w:line="288" w:lineRule="auto"/>
        <w:rPr>
          <w:rFonts w:hint="eastAsia"/>
          <w:b/>
          <w:color w:val="auto"/>
          <w:spacing w:val="6"/>
          <w:sz w:val="21"/>
          <w:szCs w:val="21"/>
          <w:highlight w:val="none"/>
        </w:rPr>
      </w:pPr>
    </w:p>
    <w:p w14:paraId="34F614CE">
      <w:pPr>
        <w:adjustRightInd w:val="0"/>
        <w:snapToGrid w:val="0"/>
        <w:spacing w:line="288" w:lineRule="auto"/>
        <w:ind w:firstLine="444" w:firstLineChars="200"/>
        <w:rPr>
          <w:rFonts w:hint="eastAsia"/>
          <w:color w:val="auto"/>
          <w:spacing w:val="6"/>
          <w:sz w:val="21"/>
          <w:szCs w:val="21"/>
          <w:highlight w:val="none"/>
        </w:rPr>
      </w:pPr>
      <w:r>
        <w:rPr>
          <w:rFonts w:hint="eastAsia"/>
          <w:color w:val="auto"/>
          <w:spacing w:val="6"/>
          <w:sz w:val="21"/>
          <w:szCs w:val="21"/>
          <w:highlight w:val="none"/>
        </w:rPr>
        <w:t>本单位郑重声明，根据《财政部 民政部 中国残疾人联合会关于促进残疾人就业政府采购政策的通知》（财库</w:t>
      </w:r>
      <w:r>
        <w:rPr>
          <w:rFonts w:hint="eastAsia"/>
          <w:color w:val="auto"/>
          <w:sz w:val="21"/>
          <w:szCs w:val="21"/>
          <w:highlight w:val="none"/>
        </w:rPr>
        <w:t>〔2017〕 141</w:t>
      </w:r>
      <w:r>
        <w:rPr>
          <w:rFonts w:hint="eastAsia"/>
          <w:color w:val="auto"/>
          <w:spacing w:val="6"/>
          <w:sz w:val="21"/>
          <w:szCs w:val="21"/>
          <w:highlight w:val="none"/>
        </w:rPr>
        <w:t>号）的规定，</w:t>
      </w:r>
      <w:r>
        <w:rPr>
          <w:rFonts w:hint="eastAsia"/>
          <w:b/>
          <w:bCs/>
          <w:color w:val="auto"/>
          <w:spacing w:val="6"/>
          <w:sz w:val="21"/>
          <w:szCs w:val="21"/>
          <w:highlight w:val="none"/>
        </w:rPr>
        <w:t>本单位为符合条件的残疾人福利性单位</w:t>
      </w:r>
      <w:r>
        <w:rPr>
          <w:rFonts w:hint="eastAsia"/>
          <w:color w:val="auto"/>
          <w:spacing w:val="6"/>
          <w:sz w:val="21"/>
          <w:szCs w:val="21"/>
          <w:highlight w:val="none"/>
        </w:rPr>
        <w:t>，且本单位参加______（采购人）单位的______（项目名称）项目采购活动由本单位提供服务。</w:t>
      </w:r>
    </w:p>
    <w:p w14:paraId="5F88E200">
      <w:pPr>
        <w:adjustRightInd w:val="0"/>
        <w:snapToGrid w:val="0"/>
        <w:spacing w:line="288" w:lineRule="auto"/>
        <w:ind w:firstLine="444" w:firstLineChars="200"/>
        <w:rPr>
          <w:rFonts w:hint="eastAsia"/>
          <w:color w:val="auto"/>
          <w:spacing w:val="6"/>
          <w:sz w:val="21"/>
          <w:szCs w:val="21"/>
          <w:highlight w:val="none"/>
        </w:rPr>
      </w:pPr>
      <w:r>
        <w:rPr>
          <w:rFonts w:hint="eastAsia"/>
          <w:color w:val="auto"/>
          <w:spacing w:val="6"/>
          <w:sz w:val="21"/>
          <w:szCs w:val="21"/>
          <w:highlight w:val="none"/>
        </w:rPr>
        <w:t>本单位对上述声明的真实性负责。如有虚假，将依法承担相应责任。</w:t>
      </w:r>
    </w:p>
    <w:p w14:paraId="2152F890">
      <w:pPr>
        <w:tabs>
          <w:tab w:val="left" w:pos="4860"/>
        </w:tabs>
        <w:adjustRightInd w:val="0"/>
        <w:snapToGrid w:val="0"/>
        <w:spacing w:line="288" w:lineRule="auto"/>
        <w:ind w:right="1560" w:firstLine="444" w:firstLineChars="200"/>
        <w:rPr>
          <w:rFonts w:hint="eastAsia"/>
          <w:color w:val="auto"/>
          <w:spacing w:val="6"/>
          <w:sz w:val="21"/>
          <w:szCs w:val="21"/>
          <w:highlight w:val="none"/>
        </w:rPr>
      </w:pPr>
      <w:r>
        <w:rPr>
          <w:rFonts w:hint="eastAsia"/>
          <w:color w:val="auto"/>
          <w:spacing w:val="6"/>
          <w:sz w:val="21"/>
          <w:szCs w:val="21"/>
          <w:highlight w:val="none"/>
        </w:rPr>
        <w:t>单位名称（盖章）：</w:t>
      </w:r>
    </w:p>
    <w:p w14:paraId="071668A2">
      <w:pPr>
        <w:tabs>
          <w:tab w:val="left" w:pos="4860"/>
        </w:tabs>
        <w:adjustRightInd w:val="0"/>
        <w:snapToGrid w:val="0"/>
        <w:spacing w:line="288" w:lineRule="auto"/>
        <w:ind w:right="1560" w:firstLine="444" w:firstLineChars="200"/>
        <w:rPr>
          <w:rFonts w:hint="eastAsia"/>
          <w:color w:val="auto"/>
          <w:spacing w:val="6"/>
          <w:sz w:val="21"/>
          <w:szCs w:val="21"/>
          <w:highlight w:val="none"/>
        </w:rPr>
      </w:pPr>
      <w:r>
        <w:rPr>
          <w:rFonts w:hint="eastAsia"/>
          <w:color w:val="auto"/>
          <w:spacing w:val="6"/>
          <w:sz w:val="21"/>
          <w:szCs w:val="21"/>
          <w:highlight w:val="none"/>
        </w:rPr>
        <w:t>日  期：</w:t>
      </w:r>
    </w:p>
    <w:p w14:paraId="01B8CACC">
      <w:pPr>
        <w:adjustRightInd w:val="0"/>
        <w:snapToGrid w:val="0"/>
        <w:spacing w:line="288" w:lineRule="auto"/>
        <w:rPr>
          <w:rFonts w:hint="eastAsia"/>
          <w:color w:val="auto"/>
          <w:sz w:val="21"/>
          <w:szCs w:val="21"/>
          <w:highlight w:val="none"/>
        </w:rPr>
      </w:pPr>
    </w:p>
    <w:p w14:paraId="2948B39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651DE279">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一、享受政府采购支持政策的残疾人福利性单位应当同时满足以下条件：</w:t>
      </w:r>
    </w:p>
    <w:p w14:paraId="46862528">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（一）安置的残疾人占本单位在职职工人数的比例不低于25%（含25%），并且安置的残疾人人数不少于10人（含10人）；</w:t>
      </w:r>
    </w:p>
    <w:p w14:paraId="234C4A46">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（二）依法与安置的每位残疾人签订了一年以上（含一年）的劳动合同或服务协议；</w:t>
      </w:r>
    </w:p>
    <w:p w14:paraId="40CA11A2">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（三）为安置的每位残疾人按月足额缴纳了基本养老保险、基本医疗保险、失业保险、工伤保险和生育保险等社会保险费；</w:t>
      </w:r>
    </w:p>
    <w:p w14:paraId="23134227">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（四）通过银行等金融机构向安置的每位残疾人，按月支付了不低于单位所在区县适用的经省级人民政府批准的月最低工资标准的工资；</w:t>
      </w:r>
    </w:p>
    <w:p w14:paraId="34DDA4E4">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（五）提供本单位制造的货物、承担的工程或者服务（以下简称产品），或者提供其他残疾人福利性单位制造的货物（不包括使用非残疾人福利性单位注册商标的货物）。</w:t>
      </w:r>
    </w:p>
    <w:p w14:paraId="360B86AF">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33AC8D4">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二、符合条件的残疾人福利性单位在参加政府采购活动时，应当提供财库[2017]141号文件规定的《残疾人福利性单位声明函》，并对声明的真实性负责。</w:t>
      </w:r>
    </w:p>
    <w:p w14:paraId="31376461">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三、在政府采购活动中，残疾人福利性单位视同小型、微型企业，享受预留份额、评审中价格扣除等促进中小企业发展的政府采购政策。</w:t>
      </w:r>
    </w:p>
    <w:p w14:paraId="35129E5A">
      <w:pPr>
        <w:widowControl/>
        <w:shd w:val="clear" w:color="auto" w:fill="FFFFFF"/>
        <w:adjustRightInd w:val="0"/>
        <w:snapToGrid w:val="0"/>
        <w:spacing w:line="288" w:lineRule="auto"/>
        <w:ind w:firstLine="371" w:firstLineChars="177"/>
        <w:jc w:val="left"/>
        <w:rPr>
          <w:rFonts w:hint="eastAsia"/>
          <w:color w:val="auto"/>
          <w:kern w:val="0"/>
          <w:sz w:val="21"/>
          <w:szCs w:val="21"/>
          <w:highlight w:val="none"/>
        </w:rPr>
      </w:pPr>
      <w:r>
        <w:rPr>
          <w:rFonts w:hint="eastAsia"/>
          <w:color w:val="auto"/>
          <w:kern w:val="0"/>
          <w:sz w:val="21"/>
          <w:szCs w:val="21"/>
          <w:highlight w:val="none"/>
        </w:rPr>
        <w:t>残疾人福利性单位属于小型、微型企业的，不重复享受政策。</w:t>
      </w:r>
    </w:p>
    <w:p w14:paraId="2651B69E">
      <w:pPr>
        <w:widowControl/>
        <w:adjustRightInd w:val="0"/>
        <w:snapToGrid w:val="0"/>
        <w:spacing w:line="288" w:lineRule="auto"/>
        <w:jc w:val="left"/>
        <w:rPr>
          <w:rFonts w:hint="eastAsia" w:cs="Times New Roman"/>
          <w:b/>
          <w:bCs/>
          <w:color w:val="auto"/>
          <w:spacing w:val="-6"/>
          <w:sz w:val="21"/>
          <w:szCs w:val="21"/>
          <w:highlight w:val="none"/>
        </w:rPr>
      </w:pPr>
      <w:r>
        <w:rPr>
          <w:rFonts w:hint="eastAsia"/>
          <w:b/>
          <w:bCs/>
          <w:color w:val="auto"/>
          <w:spacing w:val="-6"/>
          <w:sz w:val="21"/>
          <w:szCs w:val="21"/>
          <w:highlight w:val="none"/>
        </w:rPr>
        <w:br w:type="page"/>
      </w:r>
    </w:p>
    <w:p w14:paraId="27D78FA9">
      <w:pPr>
        <w:rPr>
          <w:rFonts w:hint="eastAsia"/>
          <w:color w:val="auto"/>
          <w:highlight w:val="none"/>
        </w:rPr>
      </w:pPr>
    </w:p>
    <w:p w14:paraId="13AF0C15">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4</w:t>
      </w:r>
      <w:r>
        <w:rPr>
          <w:rFonts w:hint="eastAsia"/>
          <w:b/>
          <w:color w:val="auto"/>
          <w:spacing w:val="-6"/>
          <w:sz w:val="21"/>
          <w:szCs w:val="21"/>
          <w:highlight w:val="none"/>
        </w:rPr>
        <w:t>）本项目的特定资格要求证明材料：无</w:t>
      </w:r>
    </w:p>
    <w:p w14:paraId="3D6F3242">
      <w:pPr>
        <w:adjustRightInd w:val="0"/>
        <w:snapToGrid w:val="0"/>
        <w:spacing w:line="288" w:lineRule="auto"/>
        <w:rPr>
          <w:rFonts w:hint="eastAsia"/>
          <w:color w:val="auto"/>
          <w:sz w:val="21"/>
          <w:szCs w:val="21"/>
          <w:highlight w:val="none"/>
        </w:rPr>
      </w:pPr>
    </w:p>
    <w:p w14:paraId="6DE7E364">
      <w:pPr>
        <w:adjustRightInd w:val="0"/>
        <w:snapToGrid w:val="0"/>
        <w:spacing w:line="288" w:lineRule="auto"/>
        <w:rPr>
          <w:rFonts w:hint="eastAsia"/>
          <w:color w:val="auto"/>
          <w:sz w:val="21"/>
          <w:szCs w:val="21"/>
          <w:highlight w:val="none"/>
        </w:rPr>
      </w:pPr>
    </w:p>
    <w:p w14:paraId="740B763A">
      <w:pPr>
        <w:adjustRightInd w:val="0"/>
        <w:snapToGrid w:val="0"/>
        <w:spacing w:line="288" w:lineRule="auto"/>
        <w:rPr>
          <w:rFonts w:hint="eastAsia"/>
          <w:color w:val="auto"/>
          <w:sz w:val="21"/>
          <w:szCs w:val="21"/>
          <w:highlight w:val="none"/>
        </w:rPr>
      </w:pPr>
    </w:p>
    <w:p w14:paraId="76C3757F">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（5）联合协议</w:t>
      </w:r>
    </w:p>
    <w:p w14:paraId="437F6EAA">
      <w:pPr>
        <w:adjustRightInd w:val="0"/>
        <w:snapToGrid w:val="0"/>
        <w:spacing w:line="288" w:lineRule="auto"/>
        <w:rPr>
          <w:rFonts w:hint="eastAsia"/>
          <w:color w:val="auto"/>
          <w:sz w:val="21"/>
          <w:szCs w:val="21"/>
          <w:highlight w:val="none"/>
        </w:rPr>
      </w:pPr>
      <w:r>
        <w:rPr>
          <w:rFonts w:hint="eastAsia"/>
          <w:color w:val="auto"/>
          <w:sz w:val="21"/>
          <w:szCs w:val="21"/>
          <w:highlight w:val="none"/>
        </w:rPr>
        <w:t>（以联合体形式响应的，提供联合协议；本项目不接受联合体响应或者供应商不以联合体形式响应的，则不需要提供）</w:t>
      </w:r>
    </w:p>
    <w:p w14:paraId="0AC54E65">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4E5D3BFA">
      <w:pPr>
        <w:adjustRightInd w:val="0"/>
        <w:snapToGrid w:val="0"/>
        <w:spacing w:line="288" w:lineRule="auto"/>
        <w:rPr>
          <w:rFonts w:hint="eastAsia"/>
          <w:color w:val="auto"/>
          <w:highlight w:val="none"/>
        </w:rPr>
      </w:pPr>
    </w:p>
    <w:p w14:paraId="69D2C401">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商务和技术文件</w:t>
      </w:r>
    </w:p>
    <w:p w14:paraId="55B64091">
      <w:pPr>
        <w:adjustRightInd w:val="0"/>
        <w:snapToGrid w:val="0"/>
        <w:spacing w:line="288" w:lineRule="auto"/>
        <w:rPr>
          <w:rFonts w:hint="eastAsia"/>
          <w:color w:val="auto"/>
          <w:highlight w:val="none"/>
        </w:rPr>
      </w:pPr>
      <w:r>
        <w:rPr>
          <w:rFonts w:hint="eastAsia"/>
          <w:color w:val="auto"/>
          <w:highlight w:val="none"/>
        </w:rPr>
        <w:br w:type="page"/>
      </w:r>
    </w:p>
    <w:p w14:paraId="4BD7CB39">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（1）响应函</w:t>
      </w:r>
    </w:p>
    <w:p w14:paraId="309C2DAA">
      <w:pPr>
        <w:adjustRightInd w:val="0"/>
        <w:snapToGrid w:val="0"/>
        <w:spacing w:line="288" w:lineRule="auto"/>
        <w:rPr>
          <w:rFonts w:hint="eastAsia"/>
          <w:color w:val="auto"/>
          <w:sz w:val="21"/>
          <w:szCs w:val="21"/>
          <w:highlight w:val="none"/>
        </w:rPr>
      </w:pPr>
    </w:p>
    <w:p w14:paraId="72909212">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致：浙江交通职业技术学院、浙江求是招标代理有限公司</w:t>
      </w:r>
    </w:p>
    <w:p w14:paraId="2F40A909">
      <w:pPr>
        <w:adjustRightInd w:val="0"/>
        <w:snapToGrid w:val="0"/>
        <w:spacing w:line="288" w:lineRule="auto"/>
        <w:rPr>
          <w:rFonts w:hint="eastAsia" w:cs="Times New Roman"/>
          <w:color w:val="auto"/>
          <w:spacing w:val="-6"/>
          <w:sz w:val="21"/>
          <w:szCs w:val="21"/>
          <w:highlight w:val="none"/>
        </w:rPr>
      </w:pPr>
    </w:p>
    <w:p w14:paraId="5EA198B5">
      <w:pPr>
        <w:adjustRightInd w:val="0"/>
        <w:snapToGrid w:val="0"/>
        <w:spacing w:line="288" w:lineRule="auto"/>
        <w:ind w:firstLine="396" w:firstLineChars="200"/>
        <w:rPr>
          <w:rFonts w:hint="eastAsia"/>
          <w:color w:val="auto"/>
          <w:sz w:val="21"/>
          <w:szCs w:val="21"/>
          <w:highlight w:val="none"/>
        </w:rPr>
      </w:pPr>
      <w:bookmarkStart w:id="66" w:name="_Hlk97040115"/>
      <w:r>
        <w:rPr>
          <w:rFonts w:hint="eastAsia" w:cs="Times New Roman"/>
          <w:color w:val="auto"/>
          <w:spacing w:val="-6"/>
          <w:sz w:val="21"/>
          <w:szCs w:val="21"/>
          <w:highlight w:val="none"/>
        </w:rPr>
        <w:t>我方参加</w:t>
      </w:r>
      <w:r>
        <w:rPr>
          <w:rFonts w:hint="eastAsia" w:cs="Times New Roman"/>
          <w:bCs/>
          <w:color w:val="auto"/>
          <w:spacing w:val="-6"/>
          <w:sz w:val="21"/>
          <w:szCs w:val="21"/>
          <w:highlight w:val="none"/>
          <w:u w:val="single"/>
        </w:rPr>
        <w:t>浙江交通职业技术学院交院钉运维项目</w:t>
      </w:r>
      <w:r>
        <w:rPr>
          <w:rFonts w:hint="eastAsia" w:cs="Times New Roman"/>
          <w:color w:val="auto"/>
          <w:spacing w:val="-6"/>
          <w:sz w:val="21"/>
          <w:szCs w:val="21"/>
          <w:highlight w:val="none"/>
          <w:u w:val="single"/>
        </w:rPr>
        <w:t>（项目编号</w:t>
      </w:r>
      <w:r>
        <w:rPr>
          <w:rFonts w:hint="eastAsia" w:cs="Times New Roman"/>
          <w:bCs/>
          <w:color w:val="auto"/>
          <w:spacing w:val="-6"/>
          <w:sz w:val="21"/>
          <w:szCs w:val="21"/>
          <w:highlight w:val="none"/>
          <w:u w:val="single"/>
        </w:rPr>
        <w:t>：</w:t>
      </w:r>
      <w:r>
        <w:rPr>
          <w:rFonts w:hint="eastAsia" w:cs="Times New Roman"/>
          <w:bCs/>
          <w:color w:val="auto"/>
          <w:spacing w:val="-6"/>
          <w:sz w:val="21"/>
          <w:szCs w:val="21"/>
          <w:highlight w:val="none"/>
          <w:u w:val="single"/>
          <w:lang w:eastAsia="zh-CN"/>
        </w:rPr>
        <w:t>QSZB-Z(F)-C25134(CS)L</w:t>
      </w:r>
      <w:r>
        <w:rPr>
          <w:rFonts w:hint="eastAsia" w:cs="Times New Roman"/>
          <w:bCs/>
          <w:color w:val="auto"/>
          <w:spacing w:val="-6"/>
          <w:sz w:val="21"/>
          <w:szCs w:val="21"/>
          <w:highlight w:val="none"/>
          <w:u w:val="single"/>
        </w:rPr>
        <w:t xml:space="preserve"> </w:t>
      </w:r>
      <w:r>
        <w:rPr>
          <w:rFonts w:hint="eastAsia" w:cs="Times New Roman"/>
          <w:color w:val="auto"/>
          <w:spacing w:val="-6"/>
          <w:sz w:val="21"/>
          <w:szCs w:val="21"/>
          <w:highlight w:val="none"/>
          <w:u w:val="single"/>
        </w:rPr>
        <w:t>）</w:t>
      </w:r>
      <w:r>
        <w:rPr>
          <w:rFonts w:hint="eastAsia" w:cs="Times New Roman"/>
          <w:color w:val="auto"/>
          <w:spacing w:val="-6"/>
          <w:sz w:val="21"/>
          <w:szCs w:val="21"/>
          <w:highlight w:val="none"/>
        </w:rPr>
        <w:t>项目，为此，我方提交电子加密响应文件一份、以介质（U盘）存储的数据电文形式的</w:t>
      </w:r>
      <w:r>
        <w:rPr>
          <w:rFonts w:hint="eastAsia" w:cs="Times New Roman"/>
          <w:color w:val="auto"/>
          <w:spacing w:val="-6"/>
          <w:sz w:val="21"/>
          <w:szCs w:val="21"/>
          <w:highlight w:val="none"/>
          <w:u w:val="single"/>
        </w:rPr>
        <w:t xml:space="preserve">备份响应文件 </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u w:val="single"/>
        </w:rPr>
        <w:t>份</w:t>
      </w:r>
      <w:r>
        <w:rPr>
          <w:rFonts w:hint="eastAsia" w:cs="Times New Roman"/>
          <w:color w:val="auto"/>
          <w:spacing w:val="-6"/>
          <w:sz w:val="21"/>
          <w:szCs w:val="21"/>
          <w:highlight w:val="none"/>
        </w:rPr>
        <w:t>。宣布同意如下：</w:t>
      </w:r>
    </w:p>
    <w:bookmarkEnd w:id="66"/>
    <w:p w14:paraId="786C3ACE">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1.我方已详细审查全部“磋商文件”，包括修改文件（如有）以及全部参考资料和有关附件，已经了解我方对于磋商文件、采购过程、成交结果有依法进行询问、质疑、投诉的权利及相关渠道和要求。</w:t>
      </w:r>
    </w:p>
    <w:p w14:paraId="6B18F5FB">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2.我方在磋商响应之前已经与贵方进行了充分的沟通，完全理解并接受磋商文件的各项规定和要求，对磋商文件的合理性、合法性不再有异议。</w:t>
      </w:r>
    </w:p>
    <w:p w14:paraId="37A195D8">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3.响应有效期自提交响应文件的截止之日起</w:t>
      </w:r>
      <w:r>
        <w:rPr>
          <w:rFonts w:hint="eastAsia"/>
          <w:color w:val="auto"/>
          <w:sz w:val="21"/>
          <w:szCs w:val="21"/>
          <w:highlight w:val="none"/>
          <w:u w:val="single"/>
        </w:rPr>
        <w:t>90</w:t>
      </w:r>
      <w:r>
        <w:rPr>
          <w:rFonts w:hint="eastAsia"/>
          <w:color w:val="auto"/>
          <w:sz w:val="21"/>
          <w:szCs w:val="21"/>
          <w:highlight w:val="none"/>
        </w:rPr>
        <w:t>天。</w:t>
      </w:r>
    </w:p>
    <w:p w14:paraId="4CFE5C74">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4.如成交，本响应文件至本项目合同履行完毕止均保持有效，我方将按“磋商文件”及政府采购法律、法规的规定履行合同责任和义务。关于代理服务费，我方承诺按照磋商文件的规定履行并承担相应的责任。</w:t>
      </w:r>
    </w:p>
    <w:p w14:paraId="552DB7F0">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5.我方同意按照贵方要求提供与磋商有关的一切数据或资料。</w:t>
      </w:r>
    </w:p>
    <w:p w14:paraId="55F65E4F">
      <w:pPr>
        <w:adjustRightInd w:val="0"/>
        <w:snapToGrid w:val="0"/>
        <w:spacing w:line="288" w:lineRule="auto"/>
        <w:ind w:firstLine="420" w:firstLineChars="200"/>
        <w:rPr>
          <w:rFonts w:hint="eastAsia"/>
          <w:color w:val="auto"/>
          <w:sz w:val="21"/>
          <w:szCs w:val="21"/>
          <w:highlight w:val="none"/>
        </w:rPr>
      </w:pPr>
      <w:r>
        <w:rPr>
          <w:rFonts w:hint="eastAsia"/>
          <w:color w:val="auto"/>
          <w:sz w:val="21"/>
          <w:szCs w:val="21"/>
          <w:highlight w:val="none"/>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11E3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14:paraId="678CDAA8">
            <w:pPr>
              <w:adjustRightInd w:val="0"/>
              <w:snapToGrid w:val="0"/>
              <w:spacing w:line="288" w:lineRule="auto"/>
              <w:rPr>
                <w:rFonts w:hint="eastAsia" w:cs="Times New Roman"/>
                <w:color w:val="auto"/>
                <w:spacing w:val="-6"/>
                <w:kern w:val="0"/>
                <w:sz w:val="21"/>
                <w:szCs w:val="21"/>
                <w:highlight w:val="none"/>
              </w:rPr>
            </w:pPr>
            <w:bookmarkStart w:id="67" w:name="_Hlk97040154"/>
            <w:r>
              <w:rPr>
                <w:rFonts w:hint="eastAsia" w:cs="Times New Roman"/>
                <w:color w:val="auto"/>
                <w:spacing w:val="-6"/>
                <w:kern w:val="0"/>
                <w:sz w:val="21"/>
                <w:szCs w:val="21"/>
                <w:highlight w:val="none"/>
              </w:rPr>
              <w:t>联系人：</w:t>
            </w:r>
          </w:p>
        </w:tc>
        <w:tc>
          <w:tcPr>
            <w:tcW w:w="6808" w:type="dxa"/>
          </w:tcPr>
          <w:p w14:paraId="21AD56B2">
            <w:pPr>
              <w:adjustRightInd w:val="0"/>
              <w:snapToGrid w:val="0"/>
              <w:spacing w:line="288" w:lineRule="auto"/>
              <w:rPr>
                <w:rFonts w:hint="eastAsia" w:cs="Times New Roman"/>
                <w:color w:val="auto"/>
                <w:spacing w:val="-6"/>
                <w:kern w:val="0"/>
                <w:sz w:val="21"/>
                <w:szCs w:val="21"/>
                <w:highlight w:val="none"/>
              </w:rPr>
            </w:pPr>
          </w:p>
        </w:tc>
      </w:tr>
      <w:tr w14:paraId="1210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4AC7772">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职务：</w:t>
            </w:r>
          </w:p>
        </w:tc>
        <w:tc>
          <w:tcPr>
            <w:tcW w:w="6808" w:type="dxa"/>
          </w:tcPr>
          <w:p w14:paraId="476F40A8">
            <w:pPr>
              <w:adjustRightInd w:val="0"/>
              <w:snapToGrid w:val="0"/>
              <w:spacing w:line="288" w:lineRule="auto"/>
              <w:rPr>
                <w:rFonts w:hint="eastAsia" w:cs="Times New Roman"/>
                <w:color w:val="auto"/>
                <w:spacing w:val="-6"/>
                <w:kern w:val="0"/>
                <w:sz w:val="21"/>
                <w:szCs w:val="21"/>
                <w:highlight w:val="none"/>
              </w:rPr>
            </w:pPr>
          </w:p>
        </w:tc>
      </w:tr>
      <w:tr w14:paraId="6A91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0B6438">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手机：</w:t>
            </w:r>
          </w:p>
        </w:tc>
        <w:tc>
          <w:tcPr>
            <w:tcW w:w="6808" w:type="dxa"/>
          </w:tcPr>
          <w:p w14:paraId="4E10837F">
            <w:pPr>
              <w:adjustRightInd w:val="0"/>
              <w:snapToGrid w:val="0"/>
              <w:spacing w:line="288" w:lineRule="auto"/>
              <w:rPr>
                <w:rFonts w:hint="eastAsia" w:cs="Times New Roman"/>
                <w:color w:val="auto"/>
                <w:spacing w:val="-6"/>
                <w:kern w:val="0"/>
                <w:sz w:val="21"/>
                <w:szCs w:val="21"/>
                <w:highlight w:val="none"/>
              </w:rPr>
            </w:pPr>
          </w:p>
        </w:tc>
      </w:tr>
      <w:tr w14:paraId="38E7A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AEBF434">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电子邮箱：</w:t>
            </w:r>
          </w:p>
        </w:tc>
        <w:tc>
          <w:tcPr>
            <w:tcW w:w="6808" w:type="dxa"/>
          </w:tcPr>
          <w:p w14:paraId="790466C6">
            <w:pPr>
              <w:adjustRightInd w:val="0"/>
              <w:snapToGrid w:val="0"/>
              <w:spacing w:line="288" w:lineRule="auto"/>
              <w:rPr>
                <w:rFonts w:hint="eastAsia" w:cs="Times New Roman"/>
                <w:color w:val="auto"/>
                <w:spacing w:val="-6"/>
                <w:kern w:val="0"/>
                <w:sz w:val="21"/>
                <w:szCs w:val="21"/>
                <w:highlight w:val="none"/>
              </w:rPr>
            </w:pPr>
          </w:p>
        </w:tc>
      </w:tr>
      <w:tr w14:paraId="732EB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AB494EE">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地址：</w:t>
            </w:r>
          </w:p>
        </w:tc>
        <w:tc>
          <w:tcPr>
            <w:tcW w:w="6808" w:type="dxa"/>
          </w:tcPr>
          <w:p w14:paraId="6CC2406E">
            <w:pPr>
              <w:adjustRightInd w:val="0"/>
              <w:snapToGrid w:val="0"/>
              <w:spacing w:line="288" w:lineRule="auto"/>
              <w:rPr>
                <w:rFonts w:hint="eastAsia" w:cs="Times New Roman"/>
                <w:color w:val="auto"/>
                <w:spacing w:val="-6"/>
                <w:kern w:val="0"/>
                <w:sz w:val="21"/>
                <w:szCs w:val="21"/>
                <w:highlight w:val="none"/>
              </w:rPr>
            </w:pPr>
          </w:p>
        </w:tc>
      </w:tr>
      <w:tr w14:paraId="3479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6151BBE2">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开户银行：</w:t>
            </w:r>
          </w:p>
        </w:tc>
        <w:tc>
          <w:tcPr>
            <w:tcW w:w="6808" w:type="dxa"/>
          </w:tcPr>
          <w:p w14:paraId="17A1C7C3">
            <w:pPr>
              <w:adjustRightInd w:val="0"/>
              <w:snapToGrid w:val="0"/>
              <w:spacing w:line="288" w:lineRule="auto"/>
              <w:rPr>
                <w:rFonts w:hint="eastAsia" w:cs="Times New Roman"/>
                <w:color w:val="auto"/>
                <w:spacing w:val="-6"/>
                <w:kern w:val="0"/>
                <w:sz w:val="21"/>
                <w:szCs w:val="21"/>
                <w:highlight w:val="none"/>
              </w:rPr>
            </w:pPr>
          </w:p>
        </w:tc>
      </w:tr>
      <w:tr w14:paraId="3B49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B48B935">
            <w:pPr>
              <w:adjustRightInd w:val="0"/>
              <w:snapToGrid w:val="0"/>
              <w:spacing w:line="288" w:lineRule="auto"/>
              <w:rPr>
                <w:rFonts w:hint="eastAsia" w:cs="Times New Roman"/>
                <w:color w:val="auto"/>
                <w:spacing w:val="-6"/>
                <w:kern w:val="0"/>
                <w:sz w:val="21"/>
                <w:szCs w:val="21"/>
                <w:highlight w:val="none"/>
              </w:rPr>
            </w:pPr>
            <w:r>
              <w:rPr>
                <w:rFonts w:hint="eastAsia" w:cs="Times New Roman"/>
                <w:color w:val="auto"/>
                <w:spacing w:val="-6"/>
                <w:kern w:val="0"/>
                <w:sz w:val="21"/>
                <w:szCs w:val="21"/>
                <w:highlight w:val="none"/>
              </w:rPr>
              <w:t>银行账号：</w:t>
            </w:r>
          </w:p>
        </w:tc>
        <w:tc>
          <w:tcPr>
            <w:tcW w:w="6808" w:type="dxa"/>
          </w:tcPr>
          <w:p w14:paraId="1FF5FF1F">
            <w:pPr>
              <w:adjustRightInd w:val="0"/>
              <w:snapToGrid w:val="0"/>
              <w:spacing w:line="288" w:lineRule="auto"/>
              <w:rPr>
                <w:rFonts w:hint="eastAsia" w:cs="Times New Roman"/>
                <w:color w:val="auto"/>
                <w:spacing w:val="-6"/>
                <w:kern w:val="0"/>
                <w:sz w:val="21"/>
                <w:szCs w:val="21"/>
                <w:highlight w:val="none"/>
              </w:rPr>
            </w:pPr>
          </w:p>
        </w:tc>
      </w:tr>
      <w:bookmarkEnd w:id="67"/>
    </w:tbl>
    <w:p w14:paraId="7C60F723">
      <w:pPr>
        <w:adjustRightInd w:val="0"/>
        <w:snapToGrid w:val="0"/>
        <w:spacing w:line="288" w:lineRule="auto"/>
        <w:rPr>
          <w:rFonts w:hint="eastAsia"/>
          <w:color w:val="auto"/>
          <w:sz w:val="21"/>
          <w:szCs w:val="21"/>
          <w:highlight w:val="none"/>
        </w:rPr>
      </w:pPr>
    </w:p>
    <w:p w14:paraId="2EF5E96F">
      <w:pPr>
        <w:adjustRightInd w:val="0"/>
        <w:snapToGrid w:val="0"/>
        <w:spacing w:line="288" w:lineRule="auto"/>
        <w:rPr>
          <w:rFonts w:hint="eastAsia"/>
          <w:color w:val="auto"/>
          <w:sz w:val="21"/>
          <w:szCs w:val="21"/>
          <w:highlight w:val="none"/>
        </w:rPr>
      </w:pPr>
    </w:p>
    <w:p w14:paraId="2B091A92">
      <w:pPr>
        <w:adjustRightInd w:val="0"/>
        <w:snapToGrid w:val="0"/>
        <w:spacing w:line="288" w:lineRule="auto"/>
        <w:rPr>
          <w:rFonts w:hint="eastAsia" w:cs="Times New Roman"/>
          <w:b/>
          <w:bCs/>
          <w:color w:val="auto"/>
          <w:spacing w:val="-6"/>
          <w:sz w:val="21"/>
          <w:szCs w:val="21"/>
          <w:highlight w:val="none"/>
        </w:rPr>
      </w:pPr>
      <w:bookmarkStart w:id="68" w:name="_Hlk97040160"/>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174D2550">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68"/>
    <w:p w14:paraId="059D327A">
      <w:pPr>
        <w:widowControl/>
        <w:adjustRightInd w:val="0"/>
        <w:snapToGrid w:val="0"/>
        <w:spacing w:line="288" w:lineRule="auto"/>
        <w:jc w:val="left"/>
        <w:rPr>
          <w:rFonts w:hint="eastAsia"/>
          <w:color w:val="auto"/>
          <w:sz w:val="21"/>
          <w:szCs w:val="21"/>
          <w:highlight w:val="none"/>
        </w:rPr>
      </w:pPr>
      <w:r>
        <w:rPr>
          <w:color w:val="auto"/>
          <w:sz w:val="21"/>
          <w:szCs w:val="21"/>
          <w:highlight w:val="none"/>
        </w:rPr>
        <w:br w:type="page"/>
      </w:r>
    </w:p>
    <w:p w14:paraId="7AA61F93">
      <w:pPr>
        <w:adjustRightInd w:val="0"/>
        <w:snapToGrid w:val="0"/>
        <w:spacing w:line="288" w:lineRule="auto"/>
        <w:ind w:firstLine="498" w:firstLineChars="236"/>
        <w:jc w:val="center"/>
        <w:outlineLvl w:val="2"/>
        <w:rPr>
          <w:rFonts w:hint="eastAsia" w:cs="Times New Roman"/>
          <w:b/>
          <w:bCs/>
          <w:color w:val="auto"/>
          <w:sz w:val="21"/>
          <w:szCs w:val="21"/>
          <w:highlight w:val="none"/>
        </w:rPr>
      </w:pPr>
      <w:r>
        <w:rPr>
          <w:rFonts w:hint="eastAsia" w:cs="Times New Roman"/>
          <w:b/>
          <w:bCs/>
          <w:color w:val="auto"/>
          <w:sz w:val="21"/>
          <w:szCs w:val="21"/>
          <w:highlight w:val="none"/>
        </w:rPr>
        <w:t>（</w:t>
      </w:r>
      <w:r>
        <w:rPr>
          <w:rFonts w:cs="Times New Roman"/>
          <w:b/>
          <w:bCs/>
          <w:color w:val="auto"/>
          <w:sz w:val="21"/>
          <w:szCs w:val="21"/>
          <w:highlight w:val="none"/>
        </w:rPr>
        <w:t>2</w:t>
      </w:r>
      <w:r>
        <w:rPr>
          <w:rFonts w:hint="eastAsia" w:cs="Times New Roman"/>
          <w:b/>
          <w:bCs/>
          <w:color w:val="auto"/>
          <w:sz w:val="21"/>
          <w:szCs w:val="21"/>
          <w:highlight w:val="none"/>
        </w:rPr>
        <w:t>）授权委托书</w:t>
      </w:r>
    </w:p>
    <w:p w14:paraId="52163F84">
      <w:pPr>
        <w:adjustRightInd w:val="0"/>
        <w:snapToGrid w:val="0"/>
        <w:spacing w:line="288" w:lineRule="auto"/>
        <w:rPr>
          <w:rFonts w:hint="eastAsia" w:cs="Times New Roman"/>
          <w:b/>
          <w:bCs/>
          <w:color w:val="auto"/>
          <w:spacing w:val="-6"/>
          <w:sz w:val="21"/>
          <w:szCs w:val="21"/>
          <w:highlight w:val="none"/>
        </w:rPr>
      </w:pPr>
    </w:p>
    <w:p w14:paraId="3A8F8132">
      <w:pPr>
        <w:adjustRightInd w:val="0"/>
        <w:snapToGrid w:val="0"/>
        <w:spacing w:line="288" w:lineRule="auto"/>
        <w:rPr>
          <w:rFonts w:hint="eastAsia" w:cs="Times New Roman"/>
          <w:b/>
          <w:color w:val="auto"/>
          <w:spacing w:val="-6"/>
          <w:sz w:val="21"/>
          <w:szCs w:val="21"/>
          <w:highlight w:val="none"/>
        </w:rPr>
      </w:pPr>
      <w:r>
        <w:rPr>
          <w:rFonts w:hint="eastAsia" w:cs="Times New Roman"/>
          <w:b/>
          <w:color w:val="auto"/>
          <w:spacing w:val="-6"/>
          <w:sz w:val="21"/>
          <w:szCs w:val="21"/>
          <w:highlight w:val="none"/>
        </w:rPr>
        <w:t>致：浙江交通职业技术学院、浙江求是招标代理有限公司</w:t>
      </w:r>
    </w:p>
    <w:p w14:paraId="2E5C37A1">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现授权委托：</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（授权代表姓名）（身份证号码：</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，手机：</w:t>
      </w:r>
      <w:r>
        <w:rPr>
          <w:rFonts w:cs="Times New Roman"/>
          <w:color w:val="auto"/>
          <w:spacing w:val="-6"/>
          <w:sz w:val="21"/>
          <w:szCs w:val="21"/>
          <w:highlight w:val="none"/>
          <w:u w:val="single"/>
        </w:rPr>
        <w:t xml:space="preserve">            </w:t>
      </w:r>
      <w:r>
        <w:rPr>
          <w:rFonts w:hint="eastAsia" w:cs="Times New Roman"/>
          <w:color w:val="auto"/>
          <w:spacing w:val="-6"/>
          <w:sz w:val="21"/>
          <w:szCs w:val="21"/>
          <w:highlight w:val="none"/>
        </w:rPr>
        <w:t>）以我方的名义参加</w:t>
      </w:r>
      <w:r>
        <w:rPr>
          <w:rFonts w:hint="eastAsia" w:cs="Times New Roman"/>
          <w:bCs/>
          <w:color w:val="auto"/>
          <w:spacing w:val="-6"/>
          <w:sz w:val="21"/>
          <w:szCs w:val="21"/>
          <w:highlight w:val="none"/>
        </w:rPr>
        <w:t>浙江交通职业技术学院交院钉运维项目（项目编号：</w:t>
      </w:r>
      <w:r>
        <w:rPr>
          <w:rFonts w:hint="eastAsia" w:cs="Times New Roman"/>
          <w:bCs/>
          <w:color w:val="auto"/>
          <w:spacing w:val="-6"/>
          <w:sz w:val="21"/>
          <w:szCs w:val="21"/>
          <w:highlight w:val="none"/>
          <w:lang w:eastAsia="zh-CN"/>
        </w:rPr>
        <w:t>QSZB-Z(F)-C25134(CS)L</w:t>
      </w:r>
      <w:r>
        <w:rPr>
          <w:rFonts w:hint="eastAsia" w:cs="Times New Roman"/>
          <w:bCs/>
          <w:color w:val="auto"/>
          <w:spacing w:val="-6"/>
          <w:sz w:val="21"/>
          <w:szCs w:val="21"/>
          <w:highlight w:val="none"/>
        </w:rPr>
        <w:t xml:space="preserve"> ）</w:t>
      </w:r>
      <w:r>
        <w:rPr>
          <w:rFonts w:hint="eastAsia" w:cs="Times New Roman"/>
          <w:color w:val="auto"/>
          <w:spacing w:val="-6"/>
          <w:sz w:val="21"/>
          <w:szCs w:val="21"/>
          <w:highlight w:val="none"/>
        </w:rPr>
        <w:t>的采购活动，并代表我方全权办理针对上述项目的响应、评审、签约等具体事务和签署相关文件。</w:t>
      </w:r>
    </w:p>
    <w:p w14:paraId="22CED483">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我方对被授权人的签名负全部责任。</w:t>
      </w:r>
    </w:p>
    <w:p w14:paraId="73BB61D4">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在撤销授权的书面通知以前，本授权书一直有效。被授权人在授权书有效期内签署的所有文件不因授权的撤销而失效。</w:t>
      </w:r>
    </w:p>
    <w:p w14:paraId="76A503B7">
      <w:pPr>
        <w:adjustRightInd w:val="0"/>
        <w:snapToGrid w:val="0"/>
        <w:spacing w:line="288" w:lineRule="auto"/>
        <w:ind w:firstLine="396" w:firstLineChars="200"/>
        <w:rPr>
          <w:rFonts w:hint="eastAsia" w:cs="Times New Roman"/>
          <w:color w:val="auto"/>
          <w:spacing w:val="-6"/>
          <w:sz w:val="21"/>
          <w:szCs w:val="21"/>
          <w:highlight w:val="none"/>
        </w:rPr>
      </w:pPr>
      <w:r>
        <w:rPr>
          <w:rFonts w:hint="eastAsia" w:cs="Times New Roman"/>
          <w:color w:val="auto"/>
          <w:spacing w:val="-6"/>
          <w:sz w:val="21"/>
          <w:szCs w:val="21"/>
          <w:highlight w:val="none"/>
        </w:rPr>
        <w:t>被授权人无转委托权，特此告知。</w:t>
      </w:r>
    </w:p>
    <w:p w14:paraId="338C6D81">
      <w:pPr>
        <w:adjustRightInd w:val="0"/>
        <w:snapToGrid w:val="0"/>
        <w:spacing w:line="288" w:lineRule="auto"/>
        <w:ind w:firstLine="368" w:firstLineChars="186"/>
        <w:rPr>
          <w:rFonts w:hint="eastAsia" w:cs="Times New Roman"/>
          <w:color w:val="auto"/>
          <w:spacing w:val="-6"/>
          <w:sz w:val="21"/>
          <w:szCs w:val="21"/>
          <w:highlight w:val="none"/>
          <w:u w:val="single"/>
        </w:rPr>
      </w:pPr>
      <w:r>
        <w:rPr>
          <w:rFonts w:hint="eastAsia" w:cs="Times New Roman"/>
          <w:color w:val="auto"/>
          <w:spacing w:val="-6"/>
          <w:sz w:val="21"/>
          <w:szCs w:val="21"/>
          <w:highlight w:val="none"/>
          <w:u w:val="single"/>
        </w:rPr>
        <w:t>▲提供授权代表社保缴纳证明（2025年1月（含）以后任意一月）。</w:t>
      </w:r>
    </w:p>
    <w:p w14:paraId="2D51C89A">
      <w:pPr>
        <w:adjustRightInd w:val="0"/>
        <w:snapToGrid w:val="0"/>
        <w:spacing w:line="288" w:lineRule="auto"/>
        <w:rPr>
          <w:rFonts w:hint="eastAsia" w:cs="Times New Roman"/>
          <w:color w:val="auto"/>
          <w:spacing w:val="-6"/>
          <w:sz w:val="21"/>
          <w:szCs w:val="21"/>
          <w:highlight w:val="none"/>
        </w:rPr>
      </w:pPr>
    </w:p>
    <w:p w14:paraId="35899483">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A1333E3">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DBA848C">
      <w:pPr>
        <w:adjustRightInd w:val="0"/>
        <w:snapToGrid w:val="0"/>
        <w:spacing w:line="288" w:lineRule="auto"/>
        <w:rPr>
          <w:rFonts w:hint="eastAsia" w:cs="Times New Roman"/>
          <w:color w:val="auto"/>
          <w:sz w:val="21"/>
          <w:szCs w:val="21"/>
          <w:highlight w:val="none"/>
        </w:rPr>
      </w:pPr>
    </w:p>
    <w:p w14:paraId="077BDD15">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注：</w:t>
      </w:r>
    </w:p>
    <w:p w14:paraId="35DD2986">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1、供应商委派不在本单位缴纳社保的人员作为授权代表的，应当在响应文件中，说明具体原因、授权代表缴纳社保的单位，并附列该授权代表缴纳社保清单。</w:t>
      </w:r>
    </w:p>
    <w:p w14:paraId="008ECAAE">
      <w:pPr>
        <w:adjustRightInd w:val="0"/>
        <w:snapToGrid w:val="0"/>
        <w:spacing w:line="288" w:lineRule="auto"/>
        <w:rPr>
          <w:rFonts w:hint="eastAsia" w:cs="Times New Roman"/>
          <w:color w:val="auto"/>
          <w:sz w:val="21"/>
          <w:szCs w:val="21"/>
          <w:highlight w:val="none"/>
        </w:rPr>
      </w:pPr>
      <w:r>
        <w:rPr>
          <w:rFonts w:hint="eastAsia" w:cs="Times New Roman"/>
          <w:color w:val="auto"/>
          <w:sz w:val="21"/>
          <w:szCs w:val="21"/>
          <w:highlight w:val="none"/>
        </w:rPr>
        <w:t>2、供应商是联合体的，联合体各成员均应在“授权委托书”上盖章（电子签名</w:t>
      </w:r>
      <w:r>
        <w:rPr>
          <w:rFonts w:cs="Times New Roman"/>
          <w:color w:val="auto"/>
          <w:sz w:val="21"/>
          <w:szCs w:val="21"/>
          <w:highlight w:val="none"/>
        </w:rPr>
        <w:t>/公章）</w:t>
      </w:r>
      <w:r>
        <w:rPr>
          <w:rFonts w:hint="eastAsia" w:cs="Times New Roman"/>
          <w:color w:val="auto"/>
          <w:sz w:val="21"/>
          <w:szCs w:val="21"/>
          <w:highlight w:val="none"/>
        </w:rPr>
        <w:t>。</w:t>
      </w:r>
    </w:p>
    <w:p w14:paraId="01023641">
      <w:pPr>
        <w:adjustRightInd w:val="0"/>
        <w:snapToGrid w:val="0"/>
        <w:spacing w:line="288" w:lineRule="auto"/>
        <w:rPr>
          <w:rFonts w:hint="eastAsia" w:cs="Times New Roman"/>
          <w:color w:val="auto"/>
          <w:sz w:val="21"/>
          <w:szCs w:val="21"/>
          <w:highlight w:val="none"/>
        </w:rPr>
      </w:pPr>
    </w:p>
    <w:p w14:paraId="4CE80234">
      <w:pPr>
        <w:adjustRightInd w:val="0"/>
        <w:snapToGrid w:val="0"/>
        <w:spacing w:line="288" w:lineRule="auto"/>
        <w:rPr>
          <w:rFonts w:hint="eastAsia" w:cs="Times New Roman"/>
          <w:color w:val="auto"/>
          <w:sz w:val="21"/>
          <w:szCs w:val="21"/>
          <w:highlight w:val="none"/>
        </w:rPr>
      </w:pPr>
    </w:p>
    <w:p w14:paraId="7BA958C4">
      <w:pPr>
        <w:adjustRightInd w:val="0"/>
        <w:snapToGrid w:val="0"/>
        <w:spacing w:line="288" w:lineRule="auto"/>
        <w:jc w:val="center"/>
        <w:outlineLvl w:val="2"/>
        <w:rPr>
          <w:rFonts w:hint="eastAsia" w:cs="Times New Roman"/>
          <w:b/>
          <w:bCs/>
          <w:color w:val="auto"/>
          <w:spacing w:val="-6"/>
          <w:sz w:val="21"/>
          <w:szCs w:val="21"/>
          <w:highlight w:val="none"/>
        </w:rPr>
      </w:pPr>
      <w:r>
        <w:rPr>
          <w:rFonts w:hint="eastAsia" w:cs="Times New Roman"/>
          <w:b/>
          <w:bCs/>
          <w:color w:val="auto"/>
          <w:sz w:val="21"/>
          <w:szCs w:val="21"/>
          <w:highlight w:val="none"/>
        </w:rPr>
        <w:t>（2）法定代表人（单位负责人、自然人本人）</w:t>
      </w:r>
      <w:r>
        <w:rPr>
          <w:rFonts w:hint="eastAsia" w:cs="Times New Roman"/>
          <w:b/>
          <w:bCs/>
          <w:color w:val="auto"/>
          <w:spacing w:val="-6"/>
          <w:sz w:val="21"/>
          <w:szCs w:val="21"/>
          <w:highlight w:val="none"/>
        </w:rPr>
        <w:t>身份证明</w:t>
      </w:r>
    </w:p>
    <w:p w14:paraId="2ABF60EC">
      <w:pPr>
        <w:adjustRightInd w:val="0"/>
        <w:snapToGrid w:val="0"/>
        <w:spacing w:line="288" w:lineRule="auto"/>
        <w:ind w:firstLine="495" w:firstLineChars="236"/>
        <w:jc w:val="center"/>
        <w:rPr>
          <w:rFonts w:hint="eastAsia" w:cs="Times New Roman"/>
          <w:color w:val="auto"/>
          <w:sz w:val="21"/>
          <w:szCs w:val="21"/>
          <w:highlight w:val="none"/>
        </w:rPr>
      </w:pPr>
      <w:r>
        <w:rPr>
          <w:rFonts w:hint="eastAsia" w:cs="Times New Roman"/>
          <w:color w:val="auto"/>
          <w:sz w:val="21"/>
          <w:szCs w:val="21"/>
          <w:highlight w:val="none"/>
        </w:rPr>
        <w:t>（适用于：法定代表人（单位负责人、自然人本人）</w:t>
      </w:r>
      <w:r>
        <w:rPr>
          <w:rFonts w:hint="eastAsia" w:cs="Times New Roman"/>
          <w:color w:val="auto"/>
          <w:spacing w:val="-6"/>
          <w:sz w:val="21"/>
          <w:szCs w:val="21"/>
          <w:highlight w:val="none"/>
        </w:rPr>
        <w:t>代表供应商参加采购活动</w:t>
      </w:r>
      <w:r>
        <w:rPr>
          <w:rFonts w:hint="eastAsia" w:cs="Times New Roman"/>
          <w:color w:val="auto"/>
          <w:sz w:val="21"/>
          <w:szCs w:val="21"/>
          <w:highlight w:val="none"/>
        </w:rPr>
        <w:t>）</w:t>
      </w:r>
    </w:p>
    <w:p w14:paraId="0AF6122F">
      <w:pPr>
        <w:adjustRightInd w:val="0"/>
        <w:snapToGrid w:val="0"/>
        <w:spacing w:line="288" w:lineRule="auto"/>
        <w:jc w:val="left"/>
        <w:rPr>
          <w:rFonts w:hint="eastAsia" w:cs="Times New Roman"/>
          <w:color w:val="auto"/>
          <w:sz w:val="21"/>
          <w:szCs w:val="21"/>
          <w:highlight w:val="none"/>
        </w:rPr>
      </w:pPr>
      <w:r>
        <w:rPr>
          <w:rFonts w:hint="eastAsia"/>
          <w:bCs/>
          <w:color w:val="auto"/>
          <w:sz w:val="21"/>
          <w:szCs w:val="21"/>
          <w:highlight w:val="none"/>
        </w:rPr>
        <w:t>身份证件复印件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3418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9" w:hRule="atLeast"/>
        </w:trPr>
        <w:tc>
          <w:tcPr>
            <w:tcW w:w="4951" w:type="dxa"/>
          </w:tcPr>
          <w:p w14:paraId="1D243D63">
            <w:pPr>
              <w:adjustRightInd w:val="0"/>
              <w:snapToGrid w:val="0"/>
              <w:spacing w:line="288" w:lineRule="auto"/>
              <w:rPr>
                <w:rFonts w:hint="eastAsia"/>
                <w:bCs/>
                <w:color w:val="auto"/>
                <w:sz w:val="21"/>
                <w:szCs w:val="21"/>
                <w:highlight w:val="none"/>
              </w:rPr>
            </w:pPr>
            <w:r>
              <w:rPr>
                <w:rFonts w:hint="eastAsia"/>
                <w:bCs/>
                <w:color w:val="auto"/>
                <w:sz w:val="21"/>
                <w:szCs w:val="21"/>
                <w:highlight w:val="none"/>
              </w:rPr>
              <w:t>正面：</w:t>
            </w:r>
          </w:p>
        </w:tc>
        <w:tc>
          <w:tcPr>
            <w:tcW w:w="4951" w:type="dxa"/>
          </w:tcPr>
          <w:p w14:paraId="1253CE2B">
            <w:pPr>
              <w:adjustRightInd w:val="0"/>
              <w:snapToGrid w:val="0"/>
              <w:spacing w:line="288" w:lineRule="auto"/>
              <w:rPr>
                <w:rFonts w:hint="eastAsia"/>
                <w:bCs/>
                <w:color w:val="auto"/>
                <w:sz w:val="21"/>
                <w:szCs w:val="21"/>
                <w:highlight w:val="none"/>
              </w:rPr>
            </w:pPr>
            <w:r>
              <w:rPr>
                <w:rFonts w:hint="eastAsia"/>
                <w:bCs/>
                <w:color w:val="auto"/>
                <w:sz w:val="21"/>
                <w:szCs w:val="21"/>
                <w:highlight w:val="none"/>
              </w:rPr>
              <w:t>反面：</w:t>
            </w:r>
          </w:p>
        </w:tc>
      </w:tr>
    </w:tbl>
    <w:p w14:paraId="3D5D2024">
      <w:pPr>
        <w:adjustRightInd w:val="0"/>
        <w:snapToGrid w:val="0"/>
        <w:spacing w:line="288" w:lineRule="auto"/>
        <w:rPr>
          <w:rFonts w:hint="eastAsia" w:cs="Times New Roman"/>
          <w:color w:val="auto"/>
          <w:sz w:val="21"/>
          <w:szCs w:val="21"/>
          <w:highlight w:val="none"/>
        </w:rPr>
      </w:pPr>
    </w:p>
    <w:p w14:paraId="38A6EAD5">
      <w:pPr>
        <w:widowControl/>
        <w:adjustRightInd w:val="0"/>
        <w:snapToGrid w:val="0"/>
        <w:spacing w:line="288" w:lineRule="auto"/>
        <w:jc w:val="left"/>
        <w:rPr>
          <w:rFonts w:hint="eastAsia" w:cs="Times New Roman"/>
          <w:color w:val="auto"/>
          <w:sz w:val="21"/>
          <w:szCs w:val="21"/>
          <w:highlight w:val="none"/>
        </w:rPr>
      </w:pPr>
      <w:r>
        <w:rPr>
          <w:rFonts w:cs="Times New Roman"/>
          <w:color w:val="auto"/>
          <w:sz w:val="21"/>
          <w:szCs w:val="21"/>
          <w:highlight w:val="none"/>
        </w:rPr>
        <w:br w:type="page"/>
      </w:r>
    </w:p>
    <w:p w14:paraId="768BBA7A">
      <w:pPr>
        <w:adjustRightInd w:val="0"/>
        <w:snapToGrid w:val="0"/>
        <w:spacing w:line="288" w:lineRule="auto"/>
        <w:jc w:val="left"/>
        <w:outlineLvl w:val="2"/>
        <w:rPr>
          <w:rFonts w:hint="eastAsia" w:cs="Times New Roman"/>
          <w:b/>
          <w:bCs/>
          <w:color w:val="auto"/>
          <w:sz w:val="21"/>
          <w:szCs w:val="21"/>
          <w:highlight w:val="none"/>
        </w:rPr>
      </w:pPr>
      <w:r>
        <w:rPr>
          <w:rFonts w:hint="eastAsia" w:cs="Times New Roman"/>
          <w:b/>
          <w:bCs/>
          <w:color w:val="auto"/>
          <w:sz w:val="21"/>
          <w:szCs w:val="21"/>
          <w:highlight w:val="none"/>
        </w:rPr>
        <w:t>附：授权代表社保缴纳证明（2025年1月（含）以后任意一月）</w:t>
      </w:r>
    </w:p>
    <w:p w14:paraId="697DD700">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1BADFE6F">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3</w:t>
      </w:r>
      <w:r>
        <w:rPr>
          <w:rFonts w:hint="eastAsia"/>
          <w:b/>
          <w:bCs/>
          <w:color w:val="auto"/>
          <w:sz w:val="21"/>
          <w:szCs w:val="21"/>
          <w:highlight w:val="none"/>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004A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D069D38">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序号</w:t>
            </w:r>
          </w:p>
        </w:tc>
        <w:tc>
          <w:tcPr>
            <w:tcW w:w="1268" w:type="dxa"/>
            <w:vAlign w:val="center"/>
          </w:tcPr>
          <w:p w14:paraId="01CA76B1">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采购人</w:t>
            </w:r>
          </w:p>
        </w:tc>
        <w:tc>
          <w:tcPr>
            <w:tcW w:w="1282" w:type="dxa"/>
            <w:vAlign w:val="center"/>
          </w:tcPr>
          <w:p w14:paraId="4F3815D4">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项目名称</w:t>
            </w:r>
          </w:p>
        </w:tc>
        <w:tc>
          <w:tcPr>
            <w:tcW w:w="1432" w:type="dxa"/>
            <w:vAlign w:val="center"/>
          </w:tcPr>
          <w:p w14:paraId="35AA425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数量</w:t>
            </w:r>
          </w:p>
        </w:tc>
        <w:tc>
          <w:tcPr>
            <w:tcW w:w="1256" w:type="dxa"/>
            <w:vAlign w:val="center"/>
          </w:tcPr>
          <w:p w14:paraId="5FBF78F7">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合同金额</w:t>
            </w:r>
          </w:p>
          <w:p w14:paraId="4F907D83">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（万元）</w:t>
            </w:r>
          </w:p>
        </w:tc>
        <w:tc>
          <w:tcPr>
            <w:tcW w:w="899" w:type="dxa"/>
            <w:vAlign w:val="center"/>
          </w:tcPr>
          <w:p w14:paraId="752BE600">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附件页码</w:t>
            </w:r>
          </w:p>
        </w:tc>
        <w:tc>
          <w:tcPr>
            <w:tcW w:w="995" w:type="dxa"/>
            <w:vAlign w:val="center"/>
          </w:tcPr>
          <w:p w14:paraId="30237EEB">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合同签订时间</w:t>
            </w:r>
          </w:p>
        </w:tc>
        <w:tc>
          <w:tcPr>
            <w:tcW w:w="1718" w:type="dxa"/>
            <w:vAlign w:val="center"/>
          </w:tcPr>
          <w:p w14:paraId="5CC8CD05">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采购人联系人</w:t>
            </w:r>
          </w:p>
          <w:p w14:paraId="1E6E15E1">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联系方式</w:t>
            </w:r>
          </w:p>
        </w:tc>
      </w:tr>
      <w:tr w14:paraId="646E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7330414">
            <w:pPr>
              <w:adjustRightInd w:val="0"/>
              <w:snapToGrid w:val="0"/>
              <w:spacing w:line="288" w:lineRule="auto"/>
              <w:jc w:val="center"/>
              <w:rPr>
                <w:rFonts w:hint="eastAsia"/>
                <w:color w:val="auto"/>
                <w:kern w:val="0"/>
                <w:sz w:val="21"/>
                <w:szCs w:val="21"/>
                <w:highlight w:val="none"/>
              </w:rPr>
            </w:pPr>
          </w:p>
        </w:tc>
        <w:tc>
          <w:tcPr>
            <w:tcW w:w="1268" w:type="dxa"/>
            <w:vAlign w:val="center"/>
          </w:tcPr>
          <w:p w14:paraId="3B30519A">
            <w:pPr>
              <w:adjustRightInd w:val="0"/>
              <w:snapToGrid w:val="0"/>
              <w:spacing w:line="288" w:lineRule="auto"/>
              <w:jc w:val="center"/>
              <w:rPr>
                <w:rFonts w:hint="eastAsia"/>
                <w:color w:val="auto"/>
                <w:kern w:val="0"/>
                <w:sz w:val="21"/>
                <w:szCs w:val="21"/>
                <w:highlight w:val="none"/>
              </w:rPr>
            </w:pPr>
          </w:p>
        </w:tc>
        <w:tc>
          <w:tcPr>
            <w:tcW w:w="1282" w:type="dxa"/>
            <w:vAlign w:val="center"/>
          </w:tcPr>
          <w:p w14:paraId="47B75D1B">
            <w:pPr>
              <w:adjustRightInd w:val="0"/>
              <w:snapToGrid w:val="0"/>
              <w:spacing w:line="288" w:lineRule="auto"/>
              <w:jc w:val="center"/>
              <w:rPr>
                <w:rFonts w:hint="eastAsia"/>
                <w:color w:val="auto"/>
                <w:kern w:val="0"/>
                <w:sz w:val="21"/>
                <w:szCs w:val="21"/>
                <w:highlight w:val="none"/>
              </w:rPr>
            </w:pPr>
          </w:p>
        </w:tc>
        <w:tc>
          <w:tcPr>
            <w:tcW w:w="1432" w:type="dxa"/>
            <w:vAlign w:val="center"/>
          </w:tcPr>
          <w:p w14:paraId="607BBEAE">
            <w:pPr>
              <w:adjustRightInd w:val="0"/>
              <w:snapToGrid w:val="0"/>
              <w:spacing w:line="288" w:lineRule="auto"/>
              <w:jc w:val="center"/>
              <w:rPr>
                <w:rFonts w:hint="eastAsia"/>
                <w:color w:val="auto"/>
                <w:kern w:val="0"/>
                <w:sz w:val="21"/>
                <w:szCs w:val="21"/>
                <w:highlight w:val="none"/>
              </w:rPr>
            </w:pPr>
          </w:p>
        </w:tc>
        <w:tc>
          <w:tcPr>
            <w:tcW w:w="1256" w:type="dxa"/>
            <w:vAlign w:val="center"/>
          </w:tcPr>
          <w:p w14:paraId="064F0C4E">
            <w:pPr>
              <w:adjustRightInd w:val="0"/>
              <w:snapToGrid w:val="0"/>
              <w:spacing w:line="288" w:lineRule="auto"/>
              <w:jc w:val="center"/>
              <w:rPr>
                <w:rFonts w:hint="eastAsia"/>
                <w:color w:val="auto"/>
                <w:kern w:val="0"/>
                <w:sz w:val="21"/>
                <w:szCs w:val="21"/>
                <w:highlight w:val="none"/>
              </w:rPr>
            </w:pPr>
          </w:p>
        </w:tc>
        <w:tc>
          <w:tcPr>
            <w:tcW w:w="899" w:type="dxa"/>
            <w:vAlign w:val="center"/>
          </w:tcPr>
          <w:p w14:paraId="2197BFD0">
            <w:pPr>
              <w:adjustRightInd w:val="0"/>
              <w:snapToGrid w:val="0"/>
              <w:spacing w:line="288" w:lineRule="auto"/>
              <w:jc w:val="center"/>
              <w:rPr>
                <w:rFonts w:hint="eastAsia"/>
                <w:color w:val="auto"/>
                <w:kern w:val="0"/>
                <w:sz w:val="21"/>
                <w:szCs w:val="21"/>
                <w:highlight w:val="none"/>
              </w:rPr>
            </w:pPr>
          </w:p>
        </w:tc>
        <w:tc>
          <w:tcPr>
            <w:tcW w:w="995" w:type="dxa"/>
            <w:vAlign w:val="center"/>
          </w:tcPr>
          <w:p w14:paraId="55A6603C">
            <w:pPr>
              <w:adjustRightInd w:val="0"/>
              <w:snapToGrid w:val="0"/>
              <w:spacing w:line="288" w:lineRule="auto"/>
              <w:jc w:val="center"/>
              <w:rPr>
                <w:rFonts w:hint="eastAsia"/>
                <w:color w:val="auto"/>
                <w:kern w:val="0"/>
                <w:sz w:val="21"/>
                <w:szCs w:val="21"/>
                <w:highlight w:val="none"/>
              </w:rPr>
            </w:pPr>
          </w:p>
        </w:tc>
        <w:tc>
          <w:tcPr>
            <w:tcW w:w="1718" w:type="dxa"/>
            <w:vAlign w:val="center"/>
          </w:tcPr>
          <w:p w14:paraId="6AC6B72F">
            <w:pPr>
              <w:adjustRightInd w:val="0"/>
              <w:snapToGrid w:val="0"/>
              <w:spacing w:line="288" w:lineRule="auto"/>
              <w:jc w:val="center"/>
              <w:rPr>
                <w:rFonts w:hint="eastAsia"/>
                <w:color w:val="auto"/>
                <w:kern w:val="0"/>
                <w:sz w:val="21"/>
                <w:szCs w:val="21"/>
                <w:highlight w:val="none"/>
              </w:rPr>
            </w:pPr>
          </w:p>
        </w:tc>
      </w:tr>
      <w:tr w14:paraId="6131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D649782">
            <w:pPr>
              <w:adjustRightInd w:val="0"/>
              <w:snapToGrid w:val="0"/>
              <w:spacing w:line="288" w:lineRule="auto"/>
              <w:jc w:val="center"/>
              <w:rPr>
                <w:rFonts w:hint="eastAsia"/>
                <w:color w:val="auto"/>
                <w:kern w:val="0"/>
                <w:sz w:val="21"/>
                <w:szCs w:val="21"/>
                <w:highlight w:val="none"/>
              </w:rPr>
            </w:pPr>
          </w:p>
        </w:tc>
        <w:tc>
          <w:tcPr>
            <w:tcW w:w="1268" w:type="dxa"/>
            <w:vAlign w:val="center"/>
          </w:tcPr>
          <w:p w14:paraId="17154892">
            <w:pPr>
              <w:adjustRightInd w:val="0"/>
              <w:snapToGrid w:val="0"/>
              <w:spacing w:line="288" w:lineRule="auto"/>
              <w:jc w:val="center"/>
              <w:rPr>
                <w:rFonts w:hint="eastAsia"/>
                <w:color w:val="auto"/>
                <w:kern w:val="0"/>
                <w:sz w:val="21"/>
                <w:szCs w:val="21"/>
                <w:highlight w:val="none"/>
              </w:rPr>
            </w:pPr>
          </w:p>
        </w:tc>
        <w:tc>
          <w:tcPr>
            <w:tcW w:w="1282" w:type="dxa"/>
            <w:vAlign w:val="center"/>
          </w:tcPr>
          <w:p w14:paraId="268DC3B6">
            <w:pPr>
              <w:adjustRightInd w:val="0"/>
              <w:snapToGrid w:val="0"/>
              <w:spacing w:line="288" w:lineRule="auto"/>
              <w:jc w:val="center"/>
              <w:rPr>
                <w:rFonts w:hint="eastAsia"/>
                <w:color w:val="auto"/>
                <w:kern w:val="0"/>
                <w:sz w:val="21"/>
                <w:szCs w:val="21"/>
                <w:highlight w:val="none"/>
              </w:rPr>
            </w:pPr>
          </w:p>
        </w:tc>
        <w:tc>
          <w:tcPr>
            <w:tcW w:w="1432" w:type="dxa"/>
            <w:vAlign w:val="center"/>
          </w:tcPr>
          <w:p w14:paraId="2799D936">
            <w:pPr>
              <w:adjustRightInd w:val="0"/>
              <w:snapToGrid w:val="0"/>
              <w:spacing w:line="288" w:lineRule="auto"/>
              <w:jc w:val="center"/>
              <w:rPr>
                <w:rFonts w:hint="eastAsia"/>
                <w:color w:val="auto"/>
                <w:kern w:val="0"/>
                <w:sz w:val="21"/>
                <w:szCs w:val="21"/>
                <w:highlight w:val="none"/>
              </w:rPr>
            </w:pPr>
          </w:p>
        </w:tc>
        <w:tc>
          <w:tcPr>
            <w:tcW w:w="1256" w:type="dxa"/>
            <w:vAlign w:val="center"/>
          </w:tcPr>
          <w:p w14:paraId="542EBA04">
            <w:pPr>
              <w:adjustRightInd w:val="0"/>
              <w:snapToGrid w:val="0"/>
              <w:spacing w:line="288" w:lineRule="auto"/>
              <w:jc w:val="center"/>
              <w:rPr>
                <w:rFonts w:hint="eastAsia"/>
                <w:color w:val="auto"/>
                <w:kern w:val="0"/>
                <w:sz w:val="21"/>
                <w:szCs w:val="21"/>
                <w:highlight w:val="none"/>
              </w:rPr>
            </w:pPr>
          </w:p>
        </w:tc>
        <w:tc>
          <w:tcPr>
            <w:tcW w:w="899" w:type="dxa"/>
            <w:vAlign w:val="center"/>
          </w:tcPr>
          <w:p w14:paraId="1FA31DA5">
            <w:pPr>
              <w:adjustRightInd w:val="0"/>
              <w:snapToGrid w:val="0"/>
              <w:spacing w:line="288" w:lineRule="auto"/>
              <w:jc w:val="center"/>
              <w:rPr>
                <w:rFonts w:hint="eastAsia"/>
                <w:color w:val="auto"/>
                <w:kern w:val="0"/>
                <w:sz w:val="21"/>
                <w:szCs w:val="21"/>
                <w:highlight w:val="none"/>
              </w:rPr>
            </w:pPr>
          </w:p>
        </w:tc>
        <w:tc>
          <w:tcPr>
            <w:tcW w:w="995" w:type="dxa"/>
            <w:vAlign w:val="center"/>
          </w:tcPr>
          <w:p w14:paraId="4FB515E3">
            <w:pPr>
              <w:adjustRightInd w:val="0"/>
              <w:snapToGrid w:val="0"/>
              <w:spacing w:line="288" w:lineRule="auto"/>
              <w:jc w:val="center"/>
              <w:rPr>
                <w:rFonts w:hint="eastAsia"/>
                <w:color w:val="auto"/>
                <w:kern w:val="0"/>
                <w:sz w:val="21"/>
                <w:szCs w:val="21"/>
                <w:highlight w:val="none"/>
              </w:rPr>
            </w:pPr>
          </w:p>
        </w:tc>
        <w:tc>
          <w:tcPr>
            <w:tcW w:w="1718" w:type="dxa"/>
            <w:vAlign w:val="center"/>
          </w:tcPr>
          <w:p w14:paraId="71158239">
            <w:pPr>
              <w:adjustRightInd w:val="0"/>
              <w:snapToGrid w:val="0"/>
              <w:spacing w:line="288" w:lineRule="auto"/>
              <w:jc w:val="center"/>
              <w:rPr>
                <w:rFonts w:hint="eastAsia"/>
                <w:color w:val="auto"/>
                <w:kern w:val="0"/>
                <w:sz w:val="21"/>
                <w:szCs w:val="21"/>
                <w:highlight w:val="none"/>
              </w:rPr>
            </w:pPr>
          </w:p>
        </w:tc>
      </w:tr>
      <w:tr w14:paraId="5831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4C9E38ED">
            <w:pPr>
              <w:adjustRightInd w:val="0"/>
              <w:snapToGrid w:val="0"/>
              <w:spacing w:line="288" w:lineRule="auto"/>
              <w:jc w:val="center"/>
              <w:rPr>
                <w:rFonts w:hint="eastAsia"/>
                <w:color w:val="auto"/>
                <w:kern w:val="0"/>
                <w:sz w:val="21"/>
                <w:szCs w:val="21"/>
                <w:highlight w:val="none"/>
              </w:rPr>
            </w:pPr>
          </w:p>
        </w:tc>
        <w:tc>
          <w:tcPr>
            <w:tcW w:w="1268" w:type="dxa"/>
            <w:vAlign w:val="center"/>
          </w:tcPr>
          <w:p w14:paraId="6CFABFE6">
            <w:pPr>
              <w:adjustRightInd w:val="0"/>
              <w:snapToGrid w:val="0"/>
              <w:spacing w:line="288" w:lineRule="auto"/>
              <w:jc w:val="center"/>
              <w:rPr>
                <w:rFonts w:hint="eastAsia"/>
                <w:color w:val="auto"/>
                <w:kern w:val="0"/>
                <w:sz w:val="21"/>
                <w:szCs w:val="21"/>
                <w:highlight w:val="none"/>
              </w:rPr>
            </w:pPr>
          </w:p>
        </w:tc>
        <w:tc>
          <w:tcPr>
            <w:tcW w:w="1282" w:type="dxa"/>
            <w:vAlign w:val="center"/>
          </w:tcPr>
          <w:p w14:paraId="6AA0D8A8">
            <w:pPr>
              <w:adjustRightInd w:val="0"/>
              <w:snapToGrid w:val="0"/>
              <w:spacing w:line="288" w:lineRule="auto"/>
              <w:jc w:val="center"/>
              <w:rPr>
                <w:rFonts w:hint="eastAsia"/>
                <w:color w:val="auto"/>
                <w:kern w:val="0"/>
                <w:sz w:val="21"/>
                <w:szCs w:val="21"/>
                <w:highlight w:val="none"/>
              </w:rPr>
            </w:pPr>
          </w:p>
        </w:tc>
        <w:tc>
          <w:tcPr>
            <w:tcW w:w="1432" w:type="dxa"/>
            <w:vAlign w:val="center"/>
          </w:tcPr>
          <w:p w14:paraId="37A499D8">
            <w:pPr>
              <w:adjustRightInd w:val="0"/>
              <w:snapToGrid w:val="0"/>
              <w:spacing w:line="288" w:lineRule="auto"/>
              <w:jc w:val="center"/>
              <w:rPr>
                <w:rFonts w:hint="eastAsia"/>
                <w:color w:val="auto"/>
                <w:kern w:val="0"/>
                <w:sz w:val="21"/>
                <w:szCs w:val="21"/>
                <w:highlight w:val="none"/>
              </w:rPr>
            </w:pPr>
          </w:p>
        </w:tc>
        <w:tc>
          <w:tcPr>
            <w:tcW w:w="1256" w:type="dxa"/>
            <w:vAlign w:val="center"/>
          </w:tcPr>
          <w:p w14:paraId="40AED420">
            <w:pPr>
              <w:adjustRightInd w:val="0"/>
              <w:snapToGrid w:val="0"/>
              <w:spacing w:line="288" w:lineRule="auto"/>
              <w:jc w:val="center"/>
              <w:rPr>
                <w:rFonts w:hint="eastAsia"/>
                <w:color w:val="auto"/>
                <w:kern w:val="0"/>
                <w:sz w:val="21"/>
                <w:szCs w:val="21"/>
                <w:highlight w:val="none"/>
              </w:rPr>
            </w:pPr>
          </w:p>
        </w:tc>
        <w:tc>
          <w:tcPr>
            <w:tcW w:w="899" w:type="dxa"/>
            <w:vAlign w:val="center"/>
          </w:tcPr>
          <w:p w14:paraId="0E0CB59B">
            <w:pPr>
              <w:adjustRightInd w:val="0"/>
              <w:snapToGrid w:val="0"/>
              <w:spacing w:line="288" w:lineRule="auto"/>
              <w:jc w:val="center"/>
              <w:rPr>
                <w:rFonts w:hint="eastAsia"/>
                <w:color w:val="auto"/>
                <w:kern w:val="0"/>
                <w:sz w:val="21"/>
                <w:szCs w:val="21"/>
                <w:highlight w:val="none"/>
              </w:rPr>
            </w:pPr>
          </w:p>
        </w:tc>
        <w:tc>
          <w:tcPr>
            <w:tcW w:w="995" w:type="dxa"/>
            <w:vAlign w:val="center"/>
          </w:tcPr>
          <w:p w14:paraId="189FB6F4">
            <w:pPr>
              <w:adjustRightInd w:val="0"/>
              <w:snapToGrid w:val="0"/>
              <w:spacing w:line="288" w:lineRule="auto"/>
              <w:jc w:val="center"/>
              <w:rPr>
                <w:rFonts w:hint="eastAsia"/>
                <w:color w:val="auto"/>
                <w:kern w:val="0"/>
                <w:sz w:val="21"/>
                <w:szCs w:val="21"/>
                <w:highlight w:val="none"/>
              </w:rPr>
            </w:pPr>
          </w:p>
        </w:tc>
        <w:tc>
          <w:tcPr>
            <w:tcW w:w="1718" w:type="dxa"/>
            <w:vAlign w:val="center"/>
          </w:tcPr>
          <w:p w14:paraId="423A7898">
            <w:pPr>
              <w:adjustRightInd w:val="0"/>
              <w:snapToGrid w:val="0"/>
              <w:spacing w:line="288" w:lineRule="auto"/>
              <w:jc w:val="center"/>
              <w:rPr>
                <w:rFonts w:hint="eastAsia"/>
                <w:color w:val="auto"/>
                <w:kern w:val="0"/>
                <w:sz w:val="21"/>
                <w:szCs w:val="21"/>
                <w:highlight w:val="none"/>
              </w:rPr>
            </w:pPr>
          </w:p>
        </w:tc>
      </w:tr>
      <w:tr w14:paraId="15B4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7501D3A0">
            <w:pPr>
              <w:adjustRightInd w:val="0"/>
              <w:snapToGrid w:val="0"/>
              <w:spacing w:line="288" w:lineRule="auto"/>
              <w:jc w:val="center"/>
              <w:rPr>
                <w:rFonts w:hint="eastAsia"/>
                <w:color w:val="auto"/>
                <w:kern w:val="0"/>
                <w:sz w:val="21"/>
                <w:szCs w:val="21"/>
                <w:highlight w:val="none"/>
              </w:rPr>
            </w:pPr>
          </w:p>
        </w:tc>
        <w:tc>
          <w:tcPr>
            <w:tcW w:w="1268" w:type="dxa"/>
            <w:vAlign w:val="center"/>
          </w:tcPr>
          <w:p w14:paraId="62209304">
            <w:pPr>
              <w:adjustRightInd w:val="0"/>
              <w:snapToGrid w:val="0"/>
              <w:spacing w:line="288" w:lineRule="auto"/>
              <w:jc w:val="center"/>
              <w:rPr>
                <w:rFonts w:hint="eastAsia"/>
                <w:color w:val="auto"/>
                <w:kern w:val="0"/>
                <w:sz w:val="21"/>
                <w:szCs w:val="21"/>
                <w:highlight w:val="none"/>
              </w:rPr>
            </w:pPr>
          </w:p>
        </w:tc>
        <w:tc>
          <w:tcPr>
            <w:tcW w:w="1282" w:type="dxa"/>
            <w:vAlign w:val="center"/>
          </w:tcPr>
          <w:p w14:paraId="16B4DDE4">
            <w:pPr>
              <w:adjustRightInd w:val="0"/>
              <w:snapToGrid w:val="0"/>
              <w:spacing w:line="288" w:lineRule="auto"/>
              <w:jc w:val="center"/>
              <w:rPr>
                <w:rFonts w:hint="eastAsia"/>
                <w:color w:val="auto"/>
                <w:kern w:val="0"/>
                <w:sz w:val="21"/>
                <w:szCs w:val="21"/>
                <w:highlight w:val="none"/>
              </w:rPr>
            </w:pPr>
          </w:p>
        </w:tc>
        <w:tc>
          <w:tcPr>
            <w:tcW w:w="1432" w:type="dxa"/>
            <w:vAlign w:val="center"/>
          </w:tcPr>
          <w:p w14:paraId="33B13AB6">
            <w:pPr>
              <w:adjustRightInd w:val="0"/>
              <w:snapToGrid w:val="0"/>
              <w:spacing w:line="288" w:lineRule="auto"/>
              <w:jc w:val="center"/>
              <w:rPr>
                <w:rFonts w:hint="eastAsia"/>
                <w:color w:val="auto"/>
                <w:kern w:val="0"/>
                <w:sz w:val="21"/>
                <w:szCs w:val="21"/>
                <w:highlight w:val="none"/>
              </w:rPr>
            </w:pPr>
          </w:p>
        </w:tc>
        <w:tc>
          <w:tcPr>
            <w:tcW w:w="1256" w:type="dxa"/>
            <w:vAlign w:val="center"/>
          </w:tcPr>
          <w:p w14:paraId="31262B83">
            <w:pPr>
              <w:adjustRightInd w:val="0"/>
              <w:snapToGrid w:val="0"/>
              <w:spacing w:line="288" w:lineRule="auto"/>
              <w:jc w:val="center"/>
              <w:rPr>
                <w:rFonts w:hint="eastAsia"/>
                <w:color w:val="auto"/>
                <w:kern w:val="0"/>
                <w:sz w:val="21"/>
                <w:szCs w:val="21"/>
                <w:highlight w:val="none"/>
              </w:rPr>
            </w:pPr>
          </w:p>
        </w:tc>
        <w:tc>
          <w:tcPr>
            <w:tcW w:w="899" w:type="dxa"/>
            <w:vAlign w:val="center"/>
          </w:tcPr>
          <w:p w14:paraId="206020CD">
            <w:pPr>
              <w:adjustRightInd w:val="0"/>
              <w:snapToGrid w:val="0"/>
              <w:spacing w:line="288" w:lineRule="auto"/>
              <w:jc w:val="center"/>
              <w:rPr>
                <w:rFonts w:hint="eastAsia"/>
                <w:color w:val="auto"/>
                <w:kern w:val="0"/>
                <w:sz w:val="21"/>
                <w:szCs w:val="21"/>
                <w:highlight w:val="none"/>
              </w:rPr>
            </w:pPr>
          </w:p>
        </w:tc>
        <w:tc>
          <w:tcPr>
            <w:tcW w:w="995" w:type="dxa"/>
            <w:vAlign w:val="center"/>
          </w:tcPr>
          <w:p w14:paraId="22D714A4">
            <w:pPr>
              <w:adjustRightInd w:val="0"/>
              <w:snapToGrid w:val="0"/>
              <w:spacing w:line="288" w:lineRule="auto"/>
              <w:jc w:val="center"/>
              <w:rPr>
                <w:rFonts w:hint="eastAsia"/>
                <w:color w:val="auto"/>
                <w:kern w:val="0"/>
                <w:sz w:val="21"/>
                <w:szCs w:val="21"/>
                <w:highlight w:val="none"/>
              </w:rPr>
            </w:pPr>
          </w:p>
        </w:tc>
        <w:tc>
          <w:tcPr>
            <w:tcW w:w="1718" w:type="dxa"/>
            <w:vAlign w:val="center"/>
          </w:tcPr>
          <w:p w14:paraId="303FABF3">
            <w:pPr>
              <w:adjustRightInd w:val="0"/>
              <w:snapToGrid w:val="0"/>
              <w:spacing w:line="288" w:lineRule="auto"/>
              <w:jc w:val="center"/>
              <w:rPr>
                <w:rFonts w:hint="eastAsia"/>
                <w:color w:val="auto"/>
                <w:kern w:val="0"/>
                <w:sz w:val="21"/>
                <w:szCs w:val="21"/>
                <w:highlight w:val="none"/>
              </w:rPr>
            </w:pPr>
          </w:p>
        </w:tc>
      </w:tr>
    </w:tbl>
    <w:p w14:paraId="4193A6DE">
      <w:pPr>
        <w:adjustRightInd w:val="0"/>
        <w:snapToGrid w:val="0"/>
        <w:spacing w:line="288" w:lineRule="auto"/>
        <w:rPr>
          <w:rFonts w:hint="eastAsia"/>
          <w:color w:val="auto"/>
          <w:sz w:val="21"/>
          <w:szCs w:val="21"/>
          <w:highlight w:val="none"/>
        </w:rPr>
      </w:pPr>
    </w:p>
    <w:p w14:paraId="58756BE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2BB8CA1E">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1.供应商须提供上述业绩合同扫描件；</w:t>
      </w:r>
    </w:p>
    <w:p w14:paraId="6B2EB4E4">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2.所有合同扫描件应清晰，应能体现合同签订时间、双方签名盖章等内容；</w:t>
      </w:r>
    </w:p>
    <w:p w14:paraId="79DE806B">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3.供应商应在不涉及商业秘密的前提下尽可能提供详细的合同扫描件内容。</w:t>
      </w:r>
    </w:p>
    <w:p w14:paraId="67F170CB">
      <w:pPr>
        <w:adjustRightInd w:val="0"/>
        <w:snapToGrid w:val="0"/>
        <w:spacing w:line="288" w:lineRule="auto"/>
        <w:rPr>
          <w:rFonts w:hint="eastAsia"/>
          <w:color w:val="auto"/>
          <w:sz w:val="21"/>
          <w:szCs w:val="21"/>
          <w:highlight w:val="none"/>
        </w:rPr>
      </w:pPr>
    </w:p>
    <w:p w14:paraId="3481198D">
      <w:pPr>
        <w:adjustRightInd w:val="0"/>
        <w:snapToGrid w:val="0"/>
        <w:spacing w:line="288" w:lineRule="auto"/>
        <w:rPr>
          <w:rFonts w:hint="eastAsia"/>
          <w:color w:val="auto"/>
          <w:sz w:val="21"/>
          <w:szCs w:val="21"/>
          <w:highlight w:val="none"/>
        </w:rPr>
      </w:pPr>
    </w:p>
    <w:p w14:paraId="57BE0F16">
      <w:pPr>
        <w:adjustRightInd w:val="0"/>
        <w:snapToGrid w:val="0"/>
        <w:spacing w:line="288" w:lineRule="auto"/>
        <w:rPr>
          <w:rFonts w:hint="eastAsia"/>
          <w:color w:val="auto"/>
          <w:sz w:val="21"/>
          <w:szCs w:val="21"/>
          <w:highlight w:val="none"/>
        </w:rPr>
      </w:pPr>
    </w:p>
    <w:p w14:paraId="3155A92B">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3E4798DC">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5BBFF946">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6ECAEBF6">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4</w:t>
      </w:r>
      <w:r>
        <w:rPr>
          <w:rFonts w:hint="eastAsia"/>
          <w:b/>
          <w:bCs/>
          <w:color w:val="auto"/>
          <w:sz w:val="21"/>
          <w:szCs w:val="21"/>
          <w:highlight w:val="none"/>
        </w:rPr>
        <w:t>）采购需求偏离表</w:t>
      </w:r>
    </w:p>
    <w:p w14:paraId="79CB2E08">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人：浙江交通职业技术学院</w:t>
      </w:r>
    </w:p>
    <w:p w14:paraId="02B1D7E1">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项目名称：浙江交通职业技术学院交院钉运维项目</w:t>
      </w:r>
    </w:p>
    <w:p w14:paraId="7BB386A9">
      <w:pP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QSZB-Z(F)-C25134(CS)L</w:t>
      </w:r>
      <w:r>
        <w:rPr>
          <w:rFonts w:hint="eastAsia"/>
          <w:color w:val="auto"/>
          <w:sz w:val="21"/>
          <w:szCs w:val="21"/>
          <w:highlight w:val="none"/>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933"/>
        <w:gridCol w:w="2604"/>
        <w:gridCol w:w="2189"/>
      </w:tblGrid>
      <w:tr w14:paraId="13B7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3141FCE1">
            <w:pPr>
              <w:adjustRightInd w:val="0"/>
              <w:snapToGrid w:val="0"/>
              <w:spacing w:line="288" w:lineRule="auto"/>
              <w:jc w:val="center"/>
              <w:rPr>
                <w:rFonts w:hint="eastAsia"/>
                <w:b/>
                <w:bCs/>
                <w:color w:val="auto"/>
                <w:kern w:val="0"/>
                <w:sz w:val="21"/>
                <w:szCs w:val="21"/>
                <w:highlight w:val="none"/>
              </w:rPr>
            </w:pPr>
            <w:bookmarkStart w:id="69" w:name="_Hlk97040421"/>
            <w:r>
              <w:rPr>
                <w:rFonts w:hint="eastAsia"/>
                <w:b/>
                <w:bCs/>
                <w:color w:val="auto"/>
                <w:kern w:val="0"/>
                <w:sz w:val="21"/>
                <w:szCs w:val="21"/>
                <w:highlight w:val="none"/>
              </w:rPr>
              <w:t>序号</w:t>
            </w:r>
          </w:p>
        </w:tc>
        <w:tc>
          <w:tcPr>
            <w:tcW w:w="2933" w:type="dxa"/>
            <w:vAlign w:val="center"/>
          </w:tcPr>
          <w:p w14:paraId="4B8F1B7B">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磋商文件要求</w:t>
            </w:r>
          </w:p>
        </w:tc>
        <w:tc>
          <w:tcPr>
            <w:tcW w:w="2604" w:type="dxa"/>
            <w:vAlign w:val="center"/>
          </w:tcPr>
          <w:p w14:paraId="4C1E0C0F">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响应规格</w:t>
            </w:r>
          </w:p>
        </w:tc>
        <w:tc>
          <w:tcPr>
            <w:tcW w:w="2189" w:type="dxa"/>
            <w:vAlign w:val="center"/>
          </w:tcPr>
          <w:p w14:paraId="37C17524">
            <w:pPr>
              <w:adjustRightInd w:val="0"/>
              <w:snapToGrid w:val="0"/>
              <w:spacing w:line="288" w:lineRule="auto"/>
              <w:jc w:val="center"/>
              <w:rPr>
                <w:rFonts w:hint="eastAsia"/>
                <w:b/>
                <w:bCs/>
                <w:color w:val="auto"/>
                <w:kern w:val="0"/>
                <w:sz w:val="21"/>
                <w:szCs w:val="21"/>
                <w:highlight w:val="none"/>
              </w:rPr>
            </w:pPr>
            <w:r>
              <w:rPr>
                <w:rFonts w:hint="eastAsia"/>
                <w:b/>
                <w:bCs/>
                <w:color w:val="auto"/>
                <w:kern w:val="0"/>
                <w:sz w:val="21"/>
                <w:szCs w:val="21"/>
                <w:highlight w:val="none"/>
              </w:rPr>
              <w:t>是否偏离（提供说明）</w:t>
            </w:r>
          </w:p>
        </w:tc>
      </w:tr>
      <w:tr w14:paraId="2DFB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07FA7233">
            <w:pPr>
              <w:adjustRightInd w:val="0"/>
              <w:snapToGrid w:val="0"/>
              <w:spacing w:line="288" w:lineRule="auto"/>
              <w:rPr>
                <w:rFonts w:hint="eastAsia"/>
                <w:b/>
                <w:bCs/>
                <w:color w:val="auto"/>
                <w:kern w:val="0"/>
                <w:sz w:val="21"/>
                <w:szCs w:val="21"/>
                <w:highlight w:val="none"/>
              </w:rPr>
            </w:pPr>
            <w:r>
              <w:rPr>
                <w:rFonts w:hint="eastAsia"/>
                <w:b/>
                <w:bCs/>
                <w:color w:val="auto"/>
                <w:kern w:val="0"/>
                <w:sz w:val="21"/>
                <w:szCs w:val="21"/>
                <w:highlight w:val="none"/>
              </w:rPr>
              <w:t>采购资金的支付方式、时间、条件</w:t>
            </w:r>
          </w:p>
        </w:tc>
      </w:tr>
      <w:tr w14:paraId="45AF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2C742760">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7F175CB2">
            <w:pPr>
              <w:adjustRightInd w:val="0"/>
              <w:snapToGrid w:val="0"/>
              <w:spacing w:line="288" w:lineRule="auto"/>
              <w:jc w:val="center"/>
              <w:rPr>
                <w:rFonts w:hint="eastAsia"/>
                <w:color w:val="auto"/>
                <w:kern w:val="0"/>
                <w:sz w:val="21"/>
                <w:szCs w:val="21"/>
                <w:highlight w:val="none"/>
              </w:rPr>
            </w:pPr>
          </w:p>
        </w:tc>
        <w:tc>
          <w:tcPr>
            <w:tcW w:w="2604" w:type="dxa"/>
            <w:vAlign w:val="center"/>
          </w:tcPr>
          <w:p w14:paraId="3E4C1C2A">
            <w:pPr>
              <w:adjustRightInd w:val="0"/>
              <w:snapToGrid w:val="0"/>
              <w:spacing w:line="288" w:lineRule="auto"/>
              <w:jc w:val="center"/>
              <w:rPr>
                <w:rFonts w:hint="eastAsia"/>
                <w:color w:val="auto"/>
                <w:kern w:val="0"/>
                <w:sz w:val="21"/>
                <w:szCs w:val="21"/>
                <w:highlight w:val="none"/>
              </w:rPr>
            </w:pPr>
          </w:p>
        </w:tc>
        <w:tc>
          <w:tcPr>
            <w:tcW w:w="2189" w:type="dxa"/>
            <w:vAlign w:val="center"/>
          </w:tcPr>
          <w:p w14:paraId="08E148B5">
            <w:pPr>
              <w:adjustRightInd w:val="0"/>
              <w:snapToGrid w:val="0"/>
              <w:spacing w:line="288" w:lineRule="auto"/>
              <w:jc w:val="center"/>
              <w:rPr>
                <w:rFonts w:hint="eastAsia"/>
                <w:color w:val="auto"/>
                <w:kern w:val="0"/>
                <w:sz w:val="21"/>
                <w:szCs w:val="21"/>
                <w:highlight w:val="none"/>
              </w:rPr>
            </w:pPr>
          </w:p>
        </w:tc>
      </w:tr>
      <w:tr w14:paraId="50A1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67755ABF">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1C274262">
            <w:pPr>
              <w:adjustRightInd w:val="0"/>
              <w:snapToGrid w:val="0"/>
              <w:spacing w:line="288" w:lineRule="auto"/>
              <w:jc w:val="center"/>
              <w:rPr>
                <w:rFonts w:hint="eastAsia"/>
                <w:color w:val="auto"/>
                <w:kern w:val="0"/>
                <w:sz w:val="21"/>
                <w:szCs w:val="21"/>
                <w:highlight w:val="none"/>
              </w:rPr>
            </w:pPr>
          </w:p>
        </w:tc>
        <w:tc>
          <w:tcPr>
            <w:tcW w:w="2604" w:type="dxa"/>
            <w:vAlign w:val="center"/>
          </w:tcPr>
          <w:p w14:paraId="292A59C8">
            <w:pPr>
              <w:adjustRightInd w:val="0"/>
              <w:snapToGrid w:val="0"/>
              <w:spacing w:line="288" w:lineRule="auto"/>
              <w:jc w:val="center"/>
              <w:rPr>
                <w:rFonts w:hint="eastAsia"/>
                <w:color w:val="auto"/>
                <w:kern w:val="0"/>
                <w:sz w:val="21"/>
                <w:szCs w:val="21"/>
                <w:highlight w:val="none"/>
              </w:rPr>
            </w:pPr>
          </w:p>
        </w:tc>
        <w:tc>
          <w:tcPr>
            <w:tcW w:w="2189" w:type="dxa"/>
            <w:vAlign w:val="center"/>
          </w:tcPr>
          <w:p w14:paraId="58C31FA0">
            <w:pPr>
              <w:adjustRightInd w:val="0"/>
              <w:snapToGrid w:val="0"/>
              <w:spacing w:line="288" w:lineRule="auto"/>
              <w:jc w:val="center"/>
              <w:rPr>
                <w:rFonts w:hint="eastAsia"/>
                <w:color w:val="auto"/>
                <w:kern w:val="0"/>
                <w:sz w:val="21"/>
                <w:szCs w:val="21"/>
                <w:highlight w:val="none"/>
              </w:rPr>
            </w:pPr>
          </w:p>
        </w:tc>
      </w:tr>
      <w:tr w14:paraId="2471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5316E411">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303853CB">
            <w:pPr>
              <w:adjustRightInd w:val="0"/>
              <w:snapToGrid w:val="0"/>
              <w:spacing w:line="288" w:lineRule="auto"/>
              <w:jc w:val="center"/>
              <w:rPr>
                <w:rFonts w:hint="eastAsia"/>
                <w:color w:val="auto"/>
                <w:kern w:val="0"/>
                <w:sz w:val="21"/>
                <w:szCs w:val="21"/>
                <w:highlight w:val="none"/>
              </w:rPr>
            </w:pPr>
          </w:p>
        </w:tc>
        <w:tc>
          <w:tcPr>
            <w:tcW w:w="2604" w:type="dxa"/>
            <w:vAlign w:val="center"/>
          </w:tcPr>
          <w:p w14:paraId="7BF350A2">
            <w:pPr>
              <w:adjustRightInd w:val="0"/>
              <w:snapToGrid w:val="0"/>
              <w:spacing w:line="288" w:lineRule="auto"/>
              <w:jc w:val="center"/>
              <w:rPr>
                <w:rFonts w:hint="eastAsia"/>
                <w:color w:val="auto"/>
                <w:kern w:val="0"/>
                <w:sz w:val="21"/>
                <w:szCs w:val="21"/>
                <w:highlight w:val="none"/>
              </w:rPr>
            </w:pPr>
          </w:p>
        </w:tc>
        <w:tc>
          <w:tcPr>
            <w:tcW w:w="2189" w:type="dxa"/>
            <w:vAlign w:val="center"/>
          </w:tcPr>
          <w:p w14:paraId="40695867">
            <w:pPr>
              <w:adjustRightInd w:val="0"/>
              <w:snapToGrid w:val="0"/>
              <w:spacing w:line="288" w:lineRule="auto"/>
              <w:jc w:val="center"/>
              <w:rPr>
                <w:rFonts w:hint="eastAsia"/>
                <w:color w:val="auto"/>
                <w:kern w:val="0"/>
                <w:sz w:val="21"/>
                <w:szCs w:val="21"/>
                <w:highlight w:val="none"/>
              </w:rPr>
            </w:pPr>
          </w:p>
        </w:tc>
      </w:tr>
      <w:tr w14:paraId="766C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8378EC5">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需执行的国家相关标准、行业标准、地方标准或者其他标准、规范</w:t>
            </w:r>
          </w:p>
        </w:tc>
      </w:tr>
      <w:tr w14:paraId="4FCC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4BB677F9">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322560CD">
            <w:pPr>
              <w:adjustRightInd w:val="0"/>
              <w:snapToGrid w:val="0"/>
              <w:spacing w:line="288" w:lineRule="auto"/>
              <w:jc w:val="center"/>
              <w:rPr>
                <w:rFonts w:hint="eastAsia"/>
                <w:color w:val="auto"/>
                <w:kern w:val="0"/>
                <w:sz w:val="21"/>
                <w:szCs w:val="21"/>
                <w:highlight w:val="none"/>
              </w:rPr>
            </w:pPr>
          </w:p>
        </w:tc>
        <w:tc>
          <w:tcPr>
            <w:tcW w:w="2604" w:type="dxa"/>
            <w:vAlign w:val="center"/>
          </w:tcPr>
          <w:p w14:paraId="5EFF6E0A">
            <w:pPr>
              <w:adjustRightInd w:val="0"/>
              <w:snapToGrid w:val="0"/>
              <w:spacing w:line="288" w:lineRule="auto"/>
              <w:jc w:val="center"/>
              <w:rPr>
                <w:rFonts w:hint="eastAsia"/>
                <w:color w:val="auto"/>
                <w:kern w:val="0"/>
                <w:sz w:val="21"/>
                <w:szCs w:val="21"/>
                <w:highlight w:val="none"/>
              </w:rPr>
            </w:pPr>
          </w:p>
        </w:tc>
        <w:tc>
          <w:tcPr>
            <w:tcW w:w="2189" w:type="dxa"/>
            <w:vAlign w:val="center"/>
          </w:tcPr>
          <w:p w14:paraId="082D601C">
            <w:pPr>
              <w:adjustRightInd w:val="0"/>
              <w:snapToGrid w:val="0"/>
              <w:spacing w:line="288" w:lineRule="auto"/>
              <w:jc w:val="center"/>
              <w:rPr>
                <w:rFonts w:hint="eastAsia"/>
                <w:color w:val="auto"/>
                <w:kern w:val="0"/>
                <w:sz w:val="21"/>
                <w:szCs w:val="21"/>
                <w:highlight w:val="none"/>
              </w:rPr>
            </w:pPr>
          </w:p>
        </w:tc>
      </w:tr>
      <w:tr w14:paraId="173D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7E6B1B9A">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6E0EDDFA">
            <w:pPr>
              <w:adjustRightInd w:val="0"/>
              <w:snapToGrid w:val="0"/>
              <w:spacing w:line="288" w:lineRule="auto"/>
              <w:jc w:val="center"/>
              <w:rPr>
                <w:rFonts w:hint="eastAsia"/>
                <w:color w:val="auto"/>
                <w:kern w:val="0"/>
                <w:sz w:val="21"/>
                <w:szCs w:val="21"/>
                <w:highlight w:val="none"/>
              </w:rPr>
            </w:pPr>
          </w:p>
        </w:tc>
        <w:tc>
          <w:tcPr>
            <w:tcW w:w="2604" w:type="dxa"/>
            <w:vAlign w:val="center"/>
          </w:tcPr>
          <w:p w14:paraId="4B66A38D">
            <w:pPr>
              <w:adjustRightInd w:val="0"/>
              <w:snapToGrid w:val="0"/>
              <w:spacing w:line="288" w:lineRule="auto"/>
              <w:jc w:val="center"/>
              <w:rPr>
                <w:rFonts w:hint="eastAsia"/>
                <w:color w:val="auto"/>
                <w:kern w:val="0"/>
                <w:sz w:val="21"/>
                <w:szCs w:val="21"/>
                <w:highlight w:val="none"/>
              </w:rPr>
            </w:pPr>
          </w:p>
        </w:tc>
        <w:tc>
          <w:tcPr>
            <w:tcW w:w="2189" w:type="dxa"/>
            <w:vAlign w:val="center"/>
          </w:tcPr>
          <w:p w14:paraId="3B9D2912">
            <w:pPr>
              <w:adjustRightInd w:val="0"/>
              <w:snapToGrid w:val="0"/>
              <w:spacing w:line="288" w:lineRule="auto"/>
              <w:jc w:val="center"/>
              <w:rPr>
                <w:rFonts w:hint="eastAsia"/>
                <w:color w:val="auto"/>
                <w:kern w:val="0"/>
                <w:sz w:val="21"/>
                <w:szCs w:val="21"/>
                <w:highlight w:val="none"/>
              </w:rPr>
            </w:pPr>
          </w:p>
        </w:tc>
      </w:tr>
      <w:tr w14:paraId="476F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2B25088F">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46C61D95">
            <w:pPr>
              <w:adjustRightInd w:val="0"/>
              <w:snapToGrid w:val="0"/>
              <w:spacing w:line="288" w:lineRule="auto"/>
              <w:jc w:val="center"/>
              <w:rPr>
                <w:rFonts w:hint="eastAsia"/>
                <w:color w:val="auto"/>
                <w:kern w:val="0"/>
                <w:sz w:val="21"/>
                <w:szCs w:val="21"/>
                <w:highlight w:val="none"/>
              </w:rPr>
            </w:pPr>
          </w:p>
        </w:tc>
        <w:tc>
          <w:tcPr>
            <w:tcW w:w="2604" w:type="dxa"/>
            <w:vAlign w:val="center"/>
          </w:tcPr>
          <w:p w14:paraId="3969A97B">
            <w:pPr>
              <w:adjustRightInd w:val="0"/>
              <w:snapToGrid w:val="0"/>
              <w:spacing w:line="288" w:lineRule="auto"/>
              <w:jc w:val="center"/>
              <w:rPr>
                <w:rFonts w:hint="eastAsia"/>
                <w:color w:val="auto"/>
                <w:kern w:val="0"/>
                <w:sz w:val="21"/>
                <w:szCs w:val="21"/>
                <w:highlight w:val="none"/>
              </w:rPr>
            </w:pPr>
          </w:p>
        </w:tc>
        <w:tc>
          <w:tcPr>
            <w:tcW w:w="2189" w:type="dxa"/>
            <w:vAlign w:val="center"/>
          </w:tcPr>
          <w:p w14:paraId="2597B10C">
            <w:pPr>
              <w:adjustRightInd w:val="0"/>
              <w:snapToGrid w:val="0"/>
              <w:spacing w:line="288" w:lineRule="auto"/>
              <w:jc w:val="center"/>
              <w:rPr>
                <w:rFonts w:hint="eastAsia"/>
                <w:color w:val="auto"/>
                <w:kern w:val="0"/>
                <w:sz w:val="21"/>
                <w:szCs w:val="21"/>
                <w:highlight w:val="none"/>
              </w:rPr>
            </w:pPr>
          </w:p>
        </w:tc>
      </w:tr>
      <w:tr w14:paraId="7A29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28EF29F3">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需实现的功能或者目标</w:t>
            </w:r>
          </w:p>
        </w:tc>
      </w:tr>
      <w:tr w14:paraId="1A14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13416D71">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50104AD0">
            <w:pPr>
              <w:adjustRightInd w:val="0"/>
              <w:snapToGrid w:val="0"/>
              <w:spacing w:line="288" w:lineRule="auto"/>
              <w:jc w:val="center"/>
              <w:rPr>
                <w:rFonts w:hint="eastAsia"/>
                <w:color w:val="auto"/>
                <w:kern w:val="0"/>
                <w:sz w:val="21"/>
                <w:szCs w:val="21"/>
                <w:highlight w:val="none"/>
              </w:rPr>
            </w:pPr>
          </w:p>
        </w:tc>
        <w:tc>
          <w:tcPr>
            <w:tcW w:w="2604" w:type="dxa"/>
            <w:vAlign w:val="center"/>
          </w:tcPr>
          <w:p w14:paraId="1C12E156">
            <w:pPr>
              <w:adjustRightInd w:val="0"/>
              <w:snapToGrid w:val="0"/>
              <w:spacing w:line="288" w:lineRule="auto"/>
              <w:jc w:val="center"/>
              <w:rPr>
                <w:rFonts w:hint="eastAsia"/>
                <w:color w:val="auto"/>
                <w:kern w:val="0"/>
                <w:sz w:val="21"/>
                <w:szCs w:val="21"/>
                <w:highlight w:val="none"/>
              </w:rPr>
            </w:pPr>
          </w:p>
        </w:tc>
        <w:tc>
          <w:tcPr>
            <w:tcW w:w="2189" w:type="dxa"/>
            <w:vAlign w:val="center"/>
          </w:tcPr>
          <w:p w14:paraId="1B5B5691">
            <w:pPr>
              <w:adjustRightInd w:val="0"/>
              <w:snapToGrid w:val="0"/>
              <w:spacing w:line="288" w:lineRule="auto"/>
              <w:jc w:val="center"/>
              <w:rPr>
                <w:rFonts w:hint="eastAsia"/>
                <w:color w:val="auto"/>
                <w:kern w:val="0"/>
                <w:sz w:val="21"/>
                <w:szCs w:val="21"/>
                <w:highlight w:val="none"/>
              </w:rPr>
            </w:pPr>
          </w:p>
        </w:tc>
      </w:tr>
      <w:tr w14:paraId="6F70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2A13D830">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565985E6">
            <w:pPr>
              <w:adjustRightInd w:val="0"/>
              <w:snapToGrid w:val="0"/>
              <w:spacing w:line="288" w:lineRule="auto"/>
              <w:jc w:val="center"/>
              <w:rPr>
                <w:rFonts w:hint="eastAsia"/>
                <w:color w:val="auto"/>
                <w:kern w:val="0"/>
                <w:sz w:val="21"/>
                <w:szCs w:val="21"/>
                <w:highlight w:val="none"/>
              </w:rPr>
            </w:pPr>
          </w:p>
        </w:tc>
        <w:tc>
          <w:tcPr>
            <w:tcW w:w="2604" w:type="dxa"/>
            <w:vAlign w:val="center"/>
          </w:tcPr>
          <w:p w14:paraId="4372A7F0">
            <w:pPr>
              <w:adjustRightInd w:val="0"/>
              <w:snapToGrid w:val="0"/>
              <w:spacing w:line="288" w:lineRule="auto"/>
              <w:jc w:val="center"/>
              <w:rPr>
                <w:rFonts w:hint="eastAsia"/>
                <w:color w:val="auto"/>
                <w:kern w:val="0"/>
                <w:sz w:val="21"/>
                <w:szCs w:val="21"/>
                <w:highlight w:val="none"/>
              </w:rPr>
            </w:pPr>
          </w:p>
        </w:tc>
        <w:tc>
          <w:tcPr>
            <w:tcW w:w="2189" w:type="dxa"/>
            <w:vAlign w:val="center"/>
          </w:tcPr>
          <w:p w14:paraId="20A184CC">
            <w:pPr>
              <w:adjustRightInd w:val="0"/>
              <w:snapToGrid w:val="0"/>
              <w:spacing w:line="288" w:lineRule="auto"/>
              <w:jc w:val="center"/>
              <w:rPr>
                <w:rFonts w:hint="eastAsia"/>
                <w:color w:val="auto"/>
                <w:kern w:val="0"/>
                <w:sz w:val="21"/>
                <w:szCs w:val="21"/>
                <w:highlight w:val="none"/>
              </w:rPr>
            </w:pPr>
          </w:p>
        </w:tc>
      </w:tr>
      <w:tr w14:paraId="5B15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3F977E94">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31DFC79D">
            <w:pPr>
              <w:adjustRightInd w:val="0"/>
              <w:snapToGrid w:val="0"/>
              <w:spacing w:line="288" w:lineRule="auto"/>
              <w:jc w:val="center"/>
              <w:rPr>
                <w:rFonts w:hint="eastAsia"/>
                <w:color w:val="auto"/>
                <w:kern w:val="0"/>
                <w:sz w:val="21"/>
                <w:szCs w:val="21"/>
                <w:highlight w:val="none"/>
              </w:rPr>
            </w:pPr>
          </w:p>
        </w:tc>
        <w:tc>
          <w:tcPr>
            <w:tcW w:w="2604" w:type="dxa"/>
            <w:vAlign w:val="center"/>
          </w:tcPr>
          <w:p w14:paraId="70F98F53">
            <w:pPr>
              <w:adjustRightInd w:val="0"/>
              <w:snapToGrid w:val="0"/>
              <w:spacing w:line="288" w:lineRule="auto"/>
              <w:jc w:val="center"/>
              <w:rPr>
                <w:rFonts w:hint="eastAsia"/>
                <w:color w:val="auto"/>
                <w:kern w:val="0"/>
                <w:sz w:val="21"/>
                <w:szCs w:val="21"/>
                <w:highlight w:val="none"/>
              </w:rPr>
            </w:pPr>
          </w:p>
        </w:tc>
        <w:tc>
          <w:tcPr>
            <w:tcW w:w="2189" w:type="dxa"/>
            <w:vAlign w:val="center"/>
          </w:tcPr>
          <w:p w14:paraId="30FC5352">
            <w:pPr>
              <w:adjustRightInd w:val="0"/>
              <w:snapToGrid w:val="0"/>
              <w:spacing w:line="288" w:lineRule="auto"/>
              <w:jc w:val="center"/>
              <w:rPr>
                <w:rFonts w:hint="eastAsia"/>
                <w:color w:val="auto"/>
                <w:kern w:val="0"/>
                <w:sz w:val="21"/>
                <w:szCs w:val="21"/>
                <w:highlight w:val="none"/>
              </w:rPr>
            </w:pPr>
          </w:p>
        </w:tc>
      </w:tr>
      <w:bookmarkEnd w:id="69"/>
      <w:tr w14:paraId="4D36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5A641997">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总体要求</w:t>
            </w:r>
          </w:p>
        </w:tc>
      </w:tr>
      <w:tr w14:paraId="2DA4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4413503B">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33F9ADA4">
            <w:pPr>
              <w:adjustRightInd w:val="0"/>
              <w:snapToGrid w:val="0"/>
              <w:spacing w:line="288" w:lineRule="auto"/>
              <w:jc w:val="center"/>
              <w:rPr>
                <w:rFonts w:hint="eastAsia"/>
                <w:color w:val="auto"/>
                <w:kern w:val="0"/>
                <w:sz w:val="21"/>
                <w:szCs w:val="21"/>
                <w:highlight w:val="none"/>
              </w:rPr>
            </w:pPr>
          </w:p>
        </w:tc>
        <w:tc>
          <w:tcPr>
            <w:tcW w:w="2604" w:type="dxa"/>
            <w:vAlign w:val="center"/>
          </w:tcPr>
          <w:p w14:paraId="0C874DFD">
            <w:pPr>
              <w:adjustRightInd w:val="0"/>
              <w:snapToGrid w:val="0"/>
              <w:spacing w:line="288" w:lineRule="auto"/>
              <w:jc w:val="center"/>
              <w:rPr>
                <w:rFonts w:hint="eastAsia"/>
                <w:color w:val="auto"/>
                <w:kern w:val="0"/>
                <w:sz w:val="21"/>
                <w:szCs w:val="21"/>
                <w:highlight w:val="none"/>
              </w:rPr>
            </w:pPr>
          </w:p>
        </w:tc>
        <w:tc>
          <w:tcPr>
            <w:tcW w:w="2189" w:type="dxa"/>
            <w:vAlign w:val="center"/>
          </w:tcPr>
          <w:p w14:paraId="3DC79B7B">
            <w:pPr>
              <w:adjustRightInd w:val="0"/>
              <w:snapToGrid w:val="0"/>
              <w:spacing w:line="288" w:lineRule="auto"/>
              <w:jc w:val="center"/>
              <w:rPr>
                <w:rFonts w:hint="eastAsia"/>
                <w:color w:val="auto"/>
                <w:kern w:val="0"/>
                <w:sz w:val="21"/>
                <w:szCs w:val="21"/>
                <w:highlight w:val="none"/>
              </w:rPr>
            </w:pPr>
          </w:p>
        </w:tc>
      </w:tr>
      <w:tr w14:paraId="1576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1F21D82C">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706ED152">
            <w:pPr>
              <w:adjustRightInd w:val="0"/>
              <w:snapToGrid w:val="0"/>
              <w:spacing w:line="288" w:lineRule="auto"/>
              <w:jc w:val="center"/>
              <w:rPr>
                <w:rFonts w:hint="eastAsia"/>
                <w:color w:val="auto"/>
                <w:kern w:val="0"/>
                <w:sz w:val="21"/>
                <w:szCs w:val="21"/>
                <w:highlight w:val="none"/>
              </w:rPr>
            </w:pPr>
          </w:p>
        </w:tc>
        <w:tc>
          <w:tcPr>
            <w:tcW w:w="2604" w:type="dxa"/>
            <w:vAlign w:val="center"/>
          </w:tcPr>
          <w:p w14:paraId="66611F9D">
            <w:pPr>
              <w:adjustRightInd w:val="0"/>
              <w:snapToGrid w:val="0"/>
              <w:spacing w:line="288" w:lineRule="auto"/>
              <w:jc w:val="center"/>
              <w:rPr>
                <w:rFonts w:hint="eastAsia"/>
                <w:color w:val="auto"/>
                <w:kern w:val="0"/>
                <w:sz w:val="21"/>
                <w:szCs w:val="21"/>
                <w:highlight w:val="none"/>
              </w:rPr>
            </w:pPr>
          </w:p>
        </w:tc>
        <w:tc>
          <w:tcPr>
            <w:tcW w:w="2189" w:type="dxa"/>
            <w:vAlign w:val="center"/>
          </w:tcPr>
          <w:p w14:paraId="3706A85F">
            <w:pPr>
              <w:adjustRightInd w:val="0"/>
              <w:snapToGrid w:val="0"/>
              <w:spacing w:line="288" w:lineRule="auto"/>
              <w:jc w:val="center"/>
              <w:rPr>
                <w:rFonts w:hint="eastAsia"/>
                <w:color w:val="auto"/>
                <w:kern w:val="0"/>
                <w:sz w:val="21"/>
                <w:szCs w:val="21"/>
                <w:highlight w:val="none"/>
              </w:rPr>
            </w:pPr>
          </w:p>
        </w:tc>
      </w:tr>
      <w:tr w14:paraId="6CDE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6DA86930">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70D83B23">
            <w:pPr>
              <w:adjustRightInd w:val="0"/>
              <w:snapToGrid w:val="0"/>
              <w:spacing w:line="288" w:lineRule="auto"/>
              <w:jc w:val="center"/>
              <w:rPr>
                <w:rFonts w:hint="eastAsia"/>
                <w:color w:val="auto"/>
                <w:kern w:val="0"/>
                <w:sz w:val="21"/>
                <w:szCs w:val="21"/>
                <w:highlight w:val="none"/>
              </w:rPr>
            </w:pPr>
          </w:p>
        </w:tc>
        <w:tc>
          <w:tcPr>
            <w:tcW w:w="2604" w:type="dxa"/>
            <w:vAlign w:val="center"/>
          </w:tcPr>
          <w:p w14:paraId="3261B2B7">
            <w:pPr>
              <w:adjustRightInd w:val="0"/>
              <w:snapToGrid w:val="0"/>
              <w:spacing w:line="288" w:lineRule="auto"/>
              <w:jc w:val="center"/>
              <w:rPr>
                <w:rFonts w:hint="eastAsia"/>
                <w:color w:val="auto"/>
                <w:kern w:val="0"/>
                <w:sz w:val="21"/>
                <w:szCs w:val="21"/>
                <w:highlight w:val="none"/>
              </w:rPr>
            </w:pPr>
          </w:p>
        </w:tc>
        <w:tc>
          <w:tcPr>
            <w:tcW w:w="2189" w:type="dxa"/>
            <w:vAlign w:val="center"/>
          </w:tcPr>
          <w:p w14:paraId="6911D9D7">
            <w:pPr>
              <w:adjustRightInd w:val="0"/>
              <w:snapToGrid w:val="0"/>
              <w:spacing w:line="288" w:lineRule="auto"/>
              <w:jc w:val="center"/>
              <w:rPr>
                <w:rFonts w:hint="eastAsia"/>
                <w:color w:val="auto"/>
                <w:kern w:val="0"/>
                <w:sz w:val="21"/>
                <w:szCs w:val="21"/>
                <w:highlight w:val="none"/>
              </w:rPr>
            </w:pPr>
          </w:p>
        </w:tc>
      </w:tr>
      <w:tr w14:paraId="756F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vAlign w:val="center"/>
          </w:tcPr>
          <w:p w14:paraId="4000B00F">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具体服务要求</w:t>
            </w:r>
          </w:p>
        </w:tc>
      </w:tr>
      <w:tr w14:paraId="5B23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3E70FCD1">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vAlign w:val="center"/>
          </w:tcPr>
          <w:p w14:paraId="0F9FAAE1">
            <w:pPr>
              <w:adjustRightInd w:val="0"/>
              <w:snapToGrid w:val="0"/>
              <w:spacing w:line="288" w:lineRule="auto"/>
              <w:jc w:val="center"/>
              <w:rPr>
                <w:rFonts w:hint="eastAsia"/>
                <w:color w:val="auto"/>
                <w:kern w:val="0"/>
                <w:sz w:val="21"/>
                <w:szCs w:val="21"/>
                <w:highlight w:val="none"/>
              </w:rPr>
            </w:pPr>
          </w:p>
        </w:tc>
        <w:tc>
          <w:tcPr>
            <w:tcW w:w="2604" w:type="dxa"/>
            <w:vAlign w:val="center"/>
          </w:tcPr>
          <w:p w14:paraId="7B6B421E">
            <w:pPr>
              <w:adjustRightInd w:val="0"/>
              <w:snapToGrid w:val="0"/>
              <w:spacing w:line="288" w:lineRule="auto"/>
              <w:jc w:val="center"/>
              <w:rPr>
                <w:rFonts w:hint="eastAsia"/>
                <w:color w:val="auto"/>
                <w:kern w:val="0"/>
                <w:sz w:val="21"/>
                <w:szCs w:val="21"/>
                <w:highlight w:val="none"/>
              </w:rPr>
            </w:pPr>
          </w:p>
        </w:tc>
        <w:tc>
          <w:tcPr>
            <w:tcW w:w="2189" w:type="dxa"/>
            <w:vAlign w:val="center"/>
          </w:tcPr>
          <w:p w14:paraId="5CD46492">
            <w:pPr>
              <w:adjustRightInd w:val="0"/>
              <w:snapToGrid w:val="0"/>
              <w:spacing w:line="288" w:lineRule="auto"/>
              <w:jc w:val="center"/>
              <w:rPr>
                <w:rFonts w:hint="eastAsia"/>
                <w:color w:val="auto"/>
                <w:kern w:val="0"/>
                <w:sz w:val="21"/>
                <w:szCs w:val="21"/>
                <w:highlight w:val="none"/>
              </w:rPr>
            </w:pPr>
          </w:p>
        </w:tc>
      </w:tr>
      <w:tr w14:paraId="7BF0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6B1B5E1D">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vAlign w:val="center"/>
          </w:tcPr>
          <w:p w14:paraId="13F67B72">
            <w:pPr>
              <w:adjustRightInd w:val="0"/>
              <w:snapToGrid w:val="0"/>
              <w:spacing w:line="288" w:lineRule="auto"/>
              <w:jc w:val="center"/>
              <w:rPr>
                <w:rFonts w:hint="eastAsia"/>
                <w:color w:val="auto"/>
                <w:kern w:val="0"/>
                <w:sz w:val="21"/>
                <w:szCs w:val="21"/>
                <w:highlight w:val="none"/>
              </w:rPr>
            </w:pPr>
          </w:p>
        </w:tc>
        <w:tc>
          <w:tcPr>
            <w:tcW w:w="2604" w:type="dxa"/>
            <w:vAlign w:val="center"/>
          </w:tcPr>
          <w:p w14:paraId="71EA7018">
            <w:pPr>
              <w:adjustRightInd w:val="0"/>
              <w:snapToGrid w:val="0"/>
              <w:spacing w:line="288" w:lineRule="auto"/>
              <w:jc w:val="center"/>
              <w:rPr>
                <w:rFonts w:hint="eastAsia"/>
                <w:color w:val="auto"/>
                <w:kern w:val="0"/>
                <w:sz w:val="21"/>
                <w:szCs w:val="21"/>
                <w:highlight w:val="none"/>
              </w:rPr>
            </w:pPr>
          </w:p>
        </w:tc>
        <w:tc>
          <w:tcPr>
            <w:tcW w:w="2189" w:type="dxa"/>
            <w:vAlign w:val="center"/>
          </w:tcPr>
          <w:p w14:paraId="49DB44F3">
            <w:pPr>
              <w:adjustRightInd w:val="0"/>
              <w:snapToGrid w:val="0"/>
              <w:spacing w:line="288" w:lineRule="auto"/>
              <w:jc w:val="center"/>
              <w:rPr>
                <w:rFonts w:hint="eastAsia"/>
                <w:color w:val="auto"/>
                <w:kern w:val="0"/>
                <w:sz w:val="21"/>
                <w:szCs w:val="21"/>
                <w:highlight w:val="none"/>
              </w:rPr>
            </w:pPr>
          </w:p>
        </w:tc>
      </w:tr>
      <w:tr w14:paraId="1C38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vAlign w:val="center"/>
          </w:tcPr>
          <w:p w14:paraId="675CDDB4">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2933" w:type="dxa"/>
            <w:vAlign w:val="center"/>
          </w:tcPr>
          <w:p w14:paraId="70B24164">
            <w:pPr>
              <w:adjustRightInd w:val="0"/>
              <w:snapToGrid w:val="0"/>
              <w:spacing w:line="288" w:lineRule="auto"/>
              <w:jc w:val="center"/>
              <w:rPr>
                <w:rFonts w:hint="eastAsia"/>
                <w:color w:val="auto"/>
                <w:kern w:val="0"/>
                <w:sz w:val="21"/>
                <w:szCs w:val="21"/>
                <w:highlight w:val="none"/>
              </w:rPr>
            </w:pPr>
          </w:p>
        </w:tc>
        <w:tc>
          <w:tcPr>
            <w:tcW w:w="2604" w:type="dxa"/>
            <w:vAlign w:val="center"/>
          </w:tcPr>
          <w:p w14:paraId="018394F7">
            <w:pPr>
              <w:adjustRightInd w:val="0"/>
              <w:snapToGrid w:val="0"/>
              <w:spacing w:line="288" w:lineRule="auto"/>
              <w:jc w:val="center"/>
              <w:rPr>
                <w:rFonts w:hint="eastAsia"/>
                <w:color w:val="auto"/>
                <w:kern w:val="0"/>
                <w:sz w:val="21"/>
                <w:szCs w:val="21"/>
                <w:highlight w:val="none"/>
              </w:rPr>
            </w:pPr>
          </w:p>
        </w:tc>
        <w:tc>
          <w:tcPr>
            <w:tcW w:w="2189" w:type="dxa"/>
            <w:vAlign w:val="center"/>
          </w:tcPr>
          <w:p w14:paraId="2FF6701E">
            <w:pPr>
              <w:adjustRightInd w:val="0"/>
              <w:snapToGrid w:val="0"/>
              <w:spacing w:line="288" w:lineRule="auto"/>
              <w:jc w:val="center"/>
              <w:rPr>
                <w:rFonts w:hint="eastAsia"/>
                <w:color w:val="auto"/>
                <w:kern w:val="0"/>
                <w:sz w:val="21"/>
                <w:szCs w:val="21"/>
                <w:highlight w:val="none"/>
              </w:rPr>
            </w:pPr>
          </w:p>
        </w:tc>
      </w:tr>
      <w:tr w14:paraId="2EFF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shd w:val="clear" w:color="auto" w:fill="auto"/>
            <w:vAlign w:val="center"/>
          </w:tcPr>
          <w:p w14:paraId="2C273E2C">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技术要求</w:t>
            </w:r>
          </w:p>
        </w:tc>
        <w:tc>
          <w:tcPr>
            <w:tcW w:w="2933" w:type="dxa"/>
            <w:vAlign w:val="center"/>
          </w:tcPr>
          <w:p w14:paraId="7888E9C5">
            <w:pPr>
              <w:adjustRightInd w:val="0"/>
              <w:snapToGrid w:val="0"/>
              <w:spacing w:line="288" w:lineRule="auto"/>
              <w:jc w:val="center"/>
              <w:rPr>
                <w:rFonts w:hint="eastAsia"/>
                <w:color w:val="auto"/>
                <w:kern w:val="0"/>
                <w:sz w:val="21"/>
                <w:szCs w:val="21"/>
                <w:highlight w:val="none"/>
              </w:rPr>
            </w:pPr>
          </w:p>
        </w:tc>
        <w:tc>
          <w:tcPr>
            <w:tcW w:w="2604" w:type="dxa"/>
            <w:vAlign w:val="center"/>
          </w:tcPr>
          <w:p w14:paraId="377D3393">
            <w:pPr>
              <w:adjustRightInd w:val="0"/>
              <w:snapToGrid w:val="0"/>
              <w:spacing w:line="288" w:lineRule="auto"/>
              <w:jc w:val="center"/>
              <w:rPr>
                <w:rFonts w:hint="eastAsia"/>
                <w:color w:val="auto"/>
                <w:kern w:val="0"/>
                <w:sz w:val="21"/>
                <w:szCs w:val="21"/>
                <w:highlight w:val="none"/>
              </w:rPr>
            </w:pPr>
          </w:p>
        </w:tc>
        <w:tc>
          <w:tcPr>
            <w:tcW w:w="2189" w:type="dxa"/>
            <w:vAlign w:val="center"/>
          </w:tcPr>
          <w:p w14:paraId="59305A27">
            <w:pPr>
              <w:adjustRightInd w:val="0"/>
              <w:snapToGrid w:val="0"/>
              <w:spacing w:line="288" w:lineRule="auto"/>
              <w:jc w:val="center"/>
              <w:rPr>
                <w:rFonts w:hint="eastAsia"/>
                <w:color w:val="auto"/>
                <w:kern w:val="0"/>
                <w:sz w:val="21"/>
                <w:szCs w:val="21"/>
                <w:highlight w:val="none"/>
              </w:rPr>
            </w:pPr>
          </w:p>
        </w:tc>
      </w:tr>
      <w:tr w14:paraId="6338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shd w:val="clear" w:color="auto" w:fill="auto"/>
            <w:vAlign w:val="center"/>
          </w:tcPr>
          <w:p w14:paraId="1A58681D">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2933" w:type="dxa"/>
            <w:shd w:val="clear" w:color="auto" w:fill="auto"/>
            <w:vAlign w:val="center"/>
          </w:tcPr>
          <w:p w14:paraId="4C9ECEB1">
            <w:pPr>
              <w:adjustRightInd w:val="0"/>
              <w:snapToGrid w:val="0"/>
              <w:spacing w:line="288" w:lineRule="auto"/>
              <w:jc w:val="center"/>
              <w:rPr>
                <w:rFonts w:hint="eastAsia"/>
                <w:color w:val="auto"/>
                <w:kern w:val="0"/>
                <w:sz w:val="21"/>
                <w:szCs w:val="21"/>
                <w:highlight w:val="none"/>
              </w:rPr>
            </w:pPr>
          </w:p>
        </w:tc>
        <w:tc>
          <w:tcPr>
            <w:tcW w:w="2604" w:type="dxa"/>
            <w:shd w:val="clear" w:color="auto" w:fill="auto"/>
            <w:vAlign w:val="center"/>
          </w:tcPr>
          <w:p w14:paraId="036C31F3">
            <w:pPr>
              <w:adjustRightInd w:val="0"/>
              <w:snapToGrid w:val="0"/>
              <w:spacing w:line="288" w:lineRule="auto"/>
              <w:jc w:val="center"/>
              <w:rPr>
                <w:rFonts w:hint="eastAsia"/>
                <w:color w:val="auto"/>
                <w:kern w:val="0"/>
                <w:sz w:val="21"/>
                <w:szCs w:val="21"/>
                <w:highlight w:val="none"/>
              </w:rPr>
            </w:pPr>
          </w:p>
        </w:tc>
        <w:tc>
          <w:tcPr>
            <w:tcW w:w="2189" w:type="dxa"/>
            <w:shd w:val="clear" w:color="auto" w:fill="auto"/>
            <w:vAlign w:val="center"/>
          </w:tcPr>
          <w:p w14:paraId="68C4DBFD">
            <w:pPr>
              <w:adjustRightInd w:val="0"/>
              <w:snapToGrid w:val="0"/>
              <w:spacing w:line="288" w:lineRule="auto"/>
              <w:jc w:val="center"/>
              <w:rPr>
                <w:rFonts w:hint="eastAsia"/>
                <w:color w:val="auto"/>
                <w:kern w:val="0"/>
                <w:sz w:val="21"/>
                <w:szCs w:val="21"/>
                <w:highlight w:val="none"/>
              </w:rPr>
            </w:pPr>
          </w:p>
        </w:tc>
      </w:tr>
      <w:tr w14:paraId="7117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02" w:type="dxa"/>
            <w:shd w:val="clear" w:color="auto" w:fill="auto"/>
            <w:vAlign w:val="center"/>
          </w:tcPr>
          <w:p w14:paraId="0890DEF4">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2933" w:type="dxa"/>
            <w:shd w:val="clear" w:color="auto" w:fill="auto"/>
            <w:vAlign w:val="center"/>
          </w:tcPr>
          <w:p w14:paraId="38C5E16D">
            <w:pPr>
              <w:adjustRightInd w:val="0"/>
              <w:snapToGrid w:val="0"/>
              <w:spacing w:line="288" w:lineRule="auto"/>
              <w:jc w:val="center"/>
              <w:rPr>
                <w:rFonts w:hint="eastAsia"/>
                <w:color w:val="auto"/>
                <w:kern w:val="0"/>
                <w:sz w:val="21"/>
                <w:szCs w:val="21"/>
                <w:highlight w:val="none"/>
              </w:rPr>
            </w:pPr>
          </w:p>
        </w:tc>
        <w:tc>
          <w:tcPr>
            <w:tcW w:w="2604" w:type="dxa"/>
            <w:shd w:val="clear" w:color="auto" w:fill="auto"/>
            <w:vAlign w:val="center"/>
          </w:tcPr>
          <w:p w14:paraId="1A65E193">
            <w:pPr>
              <w:adjustRightInd w:val="0"/>
              <w:snapToGrid w:val="0"/>
              <w:spacing w:line="288" w:lineRule="auto"/>
              <w:jc w:val="center"/>
              <w:rPr>
                <w:rFonts w:hint="eastAsia"/>
                <w:color w:val="auto"/>
                <w:kern w:val="0"/>
                <w:sz w:val="21"/>
                <w:szCs w:val="21"/>
                <w:highlight w:val="none"/>
              </w:rPr>
            </w:pPr>
          </w:p>
        </w:tc>
        <w:tc>
          <w:tcPr>
            <w:tcW w:w="2189" w:type="dxa"/>
            <w:shd w:val="clear" w:color="auto" w:fill="auto"/>
            <w:vAlign w:val="center"/>
          </w:tcPr>
          <w:p w14:paraId="518B891C">
            <w:pPr>
              <w:adjustRightInd w:val="0"/>
              <w:snapToGrid w:val="0"/>
              <w:spacing w:line="288" w:lineRule="auto"/>
              <w:jc w:val="center"/>
              <w:rPr>
                <w:rFonts w:hint="eastAsia"/>
                <w:color w:val="auto"/>
                <w:kern w:val="0"/>
                <w:sz w:val="21"/>
                <w:szCs w:val="21"/>
                <w:highlight w:val="none"/>
              </w:rPr>
            </w:pPr>
          </w:p>
        </w:tc>
      </w:tr>
      <w:tr w14:paraId="1FAE8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3CF8EC63">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0" w:type="auto"/>
            <w:shd w:val="clear" w:color="auto" w:fill="auto"/>
            <w:vAlign w:val="center"/>
          </w:tcPr>
          <w:p w14:paraId="349169B5">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49911321">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5D97B2AD">
            <w:pPr>
              <w:adjustRightInd w:val="0"/>
              <w:snapToGrid w:val="0"/>
              <w:spacing w:line="288" w:lineRule="auto"/>
              <w:jc w:val="center"/>
              <w:rPr>
                <w:rFonts w:hint="eastAsia"/>
                <w:color w:val="auto"/>
                <w:kern w:val="0"/>
                <w:sz w:val="21"/>
                <w:szCs w:val="21"/>
                <w:highlight w:val="none"/>
              </w:rPr>
            </w:pPr>
          </w:p>
        </w:tc>
      </w:tr>
      <w:tr w14:paraId="72ED1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495A58D">
            <w:pPr>
              <w:adjustRightInd w:val="0"/>
              <w:snapToGrid w:val="0"/>
              <w:spacing w:line="288" w:lineRule="auto"/>
              <w:rPr>
                <w:rFonts w:hint="eastAsia"/>
                <w:color w:val="auto"/>
                <w:kern w:val="0"/>
                <w:sz w:val="21"/>
                <w:szCs w:val="21"/>
                <w:highlight w:val="none"/>
              </w:rPr>
            </w:pPr>
            <w:r>
              <w:rPr>
                <w:rFonts w:hint="eastAsia"/>
                <w:b/>
                <w:bCs/>
                <w:color w:val="auto"/>
                <w:kern w:val="0"/>
                <w:sz w:val="21"/>
                <w:szCs w:val="21"/>
                <w:highlight w:val="none"/>
              </w:rPr>
              <w:t>系统安全</w:t>
            </w:r>
          </w:p>
        </w:tc>
        <w:tc>
          <w:tcPr>
            <w:tcW w:w="0" w:type="auto"/>
            <w:shd w:val="clear" w:color="auto" w:fill="auto"/>
            <w:vAlign w:val="center"/>
          </w:tcPr>
          <w:p w14:paraId="7BFCB955">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295EEB0A">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396BAD88">
            <w:pPr>
              <w:adjustRightInd w:val="0"/>
              <w:snapToGrid w:val="0"/>
              <w:spacing w:line="288" w:lineRule="auto"/>
              <w:jc w:val="center"/>
              <w:rPr>
                <w:rFonts w:hint="eastAsia"/>
                <w:color w:val="auto"/>
                <w:kern w:val="0"/>
                <w:sz w:val="21"/>
                <w:szCs w:val="21"/>
                <w:highlight w:val="none"/>
              </w:rPr>
            </w:pPr>
          </w:p>
        </w:tc>
      </w:tr>
      <w:tr w14:paraId="6193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DB854D8">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0" w:type="auto"/>
            <w:shd w:val="clear" w:color="auto" w:fill="auto"/>
            <w:vAlign w:val="center"/>
          </w:tcPr>
          <w:p w14:paraId="739BA06E">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3466A47B">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60C0DAB9">
            <w:pPr>
              <w:adjustRightInd w:val="0"/>
              <w:snapToGrid w:val="0"/>
              <w:spacing w:line="288" w:lineRule="auto"/>
              <w:jc w:val="center"/>
              <w:rPr>
                <w:rFonts w:hint="eastAsia"/>
                <w:color w:val="auto"/>
                <w:kern w:val="0"/>
                <w:sz w:val="21"/>
                <w:szCs w:val="21"/>
                <w:highlight w:val="none"/>
              </w:rPr>
            </w:pPr>
          </w:p>
        </w:tc>
      </w:tr>
      <w:tr w14:paraId="218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F70B2B5">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0" w:type="auto"/>
            <w:shd w:val="clear" w:color="auto" w:fill="auto"/>
            <w:vAlign w:val="center"/>
          </w:tcPr>
          <w:p w14:paraId="2184B55A">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7B2E113D">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31583F4E">
            <w:pPr>
              <w:adjustRightInd w:val="0"/>
              <w:snapToGrid w:val="0"/>
              <w:spacing w:line="288" w:lineRule="auto"/>
              <w:jc w:val="center"/>
              <w:rPr>
                <w:rFonts w:hint="eastAsia"/>
                <w:color w:val="auto"/>
                <w:kern w:val="0"/>
                <w:sz w:val="21"/>
                <w:szCs w:val="21"/>
                <w:highlight w:val="none"/>
              </w:rPr>
            </w:pPr>
          </w:p>
        </w:tc>
      </w:tr>
      <w:tr w14:paraId="416C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D5D27FB">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0" w:type="auto"/>
            <w:shd w:val="clear" w:color="auto" w:fill="auto"/>
            <w:vAlign w:val="center"/>
          </w:tcPr>
          <w:p w14:paraId="79D3CD54">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4D79072D">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37152656">
            <w:pPr>
              <w:adjustRightInd w:val="0"/>
              <w:snapToGrid w:val="0"/>
              <w:spacing w:line="288" w:lineRule="auto"/>
              <w:jc w:val="center"/>
              <w:rPr>
                <w:rFonts w:hint="eastAsia"/>
                <w:color w:val="auto"/>
                <w:kern w:val="0"/>
                <w:sz w:val="21"/>
                <w:szCs w:val="21"/>
                <w:highlight w:val="none"/>
              </w:rPr>
            </w:pPr>
          </w:p>
        </w:tc>
      </w:tr>
      <w:tr w14:paraId="3829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shd w:val="clear" w:color="auto" w:fill="auto"/>
            <w:vAlign w:val="center"/>
          </w:tcPr>
          <w:p w14:paraId="78C4FCF7">
            <w:pPr>
              <w:adjustRightInd w:val="0"/>
              <w:snapToGrid w:val="0"/>
              <w:spacing w:line="288" w:lineRule="auto"/>
              <w:jc w:val="left"/>
              <w:rPr>
                <w:rFonts w:hint="eastAsia"/>
                <w:color w:val="auto"/>
                <w:kern w:val="0"/>
                <w:sz w:val="21"/>
                <w:szCs w:val="21"/>
                <w:highlight w:val="none"/>
              </w:rPr>
            </w:pPr>
            <w:r>
              <w:rPr>
                <w:rFonts w:hint="eastAsia"/>
                <w:b/>
                <w:bCs/>
                <w:color w:val="auto"/>
                <w:kern w:val="0"/>
                <w:sz w:val="21"/>
                <w:szCs w:val="21"/>
                <w:highlight w:val="none"/>
              </w:rPr>
              <w:t>工程实施服务要求</w:t>
            </w:r>
          </w:p>
        </w:tc>
      </w:tr>
      <w:tr w14:paraId="0035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E21AE89">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0" w:type="auto"/>
            <w:shd w:val="clear" w:color="auto" w:fill="auto"/>
            <w:vAlign w:val="center"/>
          </w:tcPr>
          <w:p w14:paraId="5D318241">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4F5ED233">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03B2DF86">
            <w:pPr>
              <w:adjustRightInd w:val="0"/>
              <w:snapToGrid w:val="0"/>
              <w:spacing w:line="288" w:lineRule="auto"/>
              <w:jc w:val="center"/>
              <w:rPr>
                <w:rFonts w:hint="eastAsia"/>
                <w:color w:val="auto"/>
                <w:kern w:val="0"/>
                <w:sz w:val="21"/>
                <w:szCs w:val="21"/>
                <w:highlight w:val="none"/>
              </w:rPr>
            </w:pPr>
          </w:p>
        </w:tc>
      </w:tr>
      <w:tr w14:paraId="10C6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A4114E5">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0" w:type="auto"/>
            <w:shd w:val="clear" w:color="auto" w:fill="auto"/>
            <w:vAlign w:val="center"/>
          </w:tcPr>
          <w:p w14:paraId="1DCB6418">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1ECBB8D9">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087F254B">
            <w:pPr>
              <w:adjustRightInd w:val="0"/>
              <w:snapToGrid w:val="0"/>
              <w:spacing w:line="288" w:lineRule="auto"/>
              <w:jc w:val="center"/>
              <w:rPr>
                <w:rFonts w:hint="eastAsia"/>
                <w:color w:val="auto"/>
                <w:kern w:val="0"/>
                <w:sz w:val="21"/>
                <w:szCs w:val="21"/>
                <w:highlight w:val="none"/>
              </w:rPr>
            </w:pPr>
          </w:p>
        </w:tc>
      </w:tr>
      <w:tr w14:paraId="493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3977F4A">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0" w:type="auto"/>
            <w:shd w:val="clear" w:color="auto" w:fill="auto"/>
            <w:vAlign w:val="center"/>
          </w:tcPr>
          <w:p w14:paraId="05FAFDEC">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08EBF784">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5F833FF1">
            <w:pPr>
              <w:adjustRightInd w:val="0"/>
              <w:snapToGrid w:val="0"/>
              <w:spacing w:line="288" w:lineRule="auto"/>
              <w:jc w:val="center"/>
              <w:rPr>
                <w:rFonts w:hint="eastAsia"/>
                <w:color w:val="auto"/>
                <w:kern w:val="0"/>
                <w:sz w:val="21"/>
                <w:szCs w:val="21"/>
                <w:highlight w:val="none"/>
              </w:rPr>
            </w:pPr>
          </w:p>
        </w:tc>
      </w:tr>
      <w:tr w14:paraId="5DC9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shd w:val="clear" w:color="auto" w:fill="auto"/>
            <w:vAlign w:val="center"/>
          </w:tcPr>
          <w:p w14:paraId="2A0A075B">
            <w:pPr>
              <w:adjustRightInd w:val="0"/>
              <w:snapToGrid w:val="0"/>
              <w:spacing w:line="288" w:lineRule="auto"/>
              <w:jc w:val="left"/>
              <w:rPr>
                <w:rFonts w:hint="eastAsia"/>
                <w:color w:val="auto"/>
                <w:kern w:val="0"/>
                <w:sz w:val="21"/>
                <w:szCs w:val="21"/>
                <w:highlight w:val="none"/>
              </w:rPr>
            </w:pPr>
            <w:r>
              <w:rPr>
                <w:rFonts w:hint="eastAsia"/>
                <w:b/>
                <w:bCs/>
                <w:color w:val="auto"/>
                <w:kern w:val="0"/>
                <w:sz w:val="21"/>
                <w:szCs w:val="21"/>
                <w:highlight w:val="none"/>
              </w:rPr>
              <w:t>项目验收</w:t>
            </w:r>
          </w:p>
        </w:tc>
      </w:tr>
      <w:tr w14:paraId="09D0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3E4D85E">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0" w:type="auto"/>
            <w:shd w:val="clear" w:color="auto" w:fill="auto"/>
            <w:vAlign w:val="center"/>
          </w:tcPr>
          <w:p w14:paraId="7D4D51F5">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1A4E0C9B">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3F465FAA">
            <w:pPr>
              <w:adjustRightInd w:val="0"/>
              <w:snapToGrid w:val="0"/>
              <w:spacing w:line="288" w:lineRule="auto"/>
              <w:jc w:val="center"/>
              <w:rPr>
                <w:rFonts w:hint="eastAsia"/>
                <w:color w:val="auto"/>
                <w:kern w:val="0"/>
                <w:sz w:val="21"/>
                <w:szCs w:val="21"/>
                <w:highlight w:val="none"/>
              </w:rPr>
            </w:pPr>
          </w:p>
        </w:tc>
      </w:tr>
      <w:tr w14:paraId="5ABE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AC5A8C4">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0" w:type="auto"/>
            <w:shd w:val="clear" w:color="auto" w:fill="auto"/>
            <w:vAlign w:val="center"/>
          </w:tcPr>
          <w:p w14:paraId="7BE82FBB">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157C128C">
            <w:pPr>
              <w:adjustRightInd w:val="0"/>
              <w:snapToGrid w:val="0"/>
              <w:spacing w:line="288" w:lineRule="auto"/>
              <w:jc w:val="center"/>
              <w:rPr>
                <w:rFonts w:hint="eastAsia"/>
                <w:color w:val="auto"/>
                <w:kern w:val="0"/>
                <w:sz w:val="21"/>
                <w:szCs w:val="21"/>
                <w:highlight w:val="none"/>
              </w:rPr>
            </w:pPr>
          </w:p>
        </w:tc>
        <w:tc>
          <w:tcPr>
            <w:tcW w:w="0" w:type="auto"/>
            <w:shd w:val="clear" w:color="auto" w:fill="auto"/>
            <w:vAlign w:val="center"/>
          </w:tcPr>
          <w:p w14:paraId="53E030D7">
            <w:pPr>
              <w:adjustRightInd w:val="0"/>
              <w:snapToGrid w:val="0"/>
              <w:spacing w:line="288" w:lineRule="auto"/>
              <w:jc w:val="center"/>
              <w:rPr>
                <w:rFonts w:hint="eastAsia"/>
                <w:color w:val="auto"/>
                <w:kern w:val="0"/>
                <w:sz w:val="21"/>
                <w:szCs w:val="21"/>
                <w:highlight w:val="none"/>
              </w:rPr>
            </w:pPr>
          </w:p>
        </w:tc>
      </w:tr>
      <w:tr w14:paraId="4311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5D20E954">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0" w:type="auto"/>
          </w:tcPr>
          <w:p w14:paraId="52A43101">
            <w:pPr>
              <w:adjustRightInd w:val="0"/>
              <w:snapToGrid w:val="0"/>
              <w:spacing w:line="288" w:lineRule="auto"/>
              <w:jc w:val="center"/>
              <w:rPr>
                <w:rFonts w:hint="eastAsia"/>
                <w:color w:val="auto"/>
                <w:kern w:val="0"/>
                <w:sz w:val="21"/>
                <w:szCs w:val="21"/>
                <w:highlight w:val="none"/>
              </w:rPr>
            </w:pPr>
          </w:p>
        </w:tc>
        <w:tc>
          <w:tcPr>
            <w:tcW w:w="0" w:type="auto"/>
          </w:tcPr>
          <w:p w14:paraId="7FF8C601">
            <w:pPr>
              <w:adjustRightInd w:val="0"/>
              <w:snapToGrid w:val="0"/>
              <w:spacing w:line="288" w:lineRule="auto"/>
              <w:jc w:val="center"/>
              <w:rPr>
                <w:rFonts w:hint="eastAsia"/>
                <w:color w:val="auto"/>
                <w:kern w:val="0"/>
                <w:sz w:val="21"/>
                <w:szCs w:val="21"/>
                <w:highlight w:val="none"/>
              </w:rPr>
            </w:pPr>
          </w:p>
        </w:tc>
        <w:tc>
          <w:tcPr>
            <w:tcW w:w="0" w:type="auto"/>
          </w:tcPr>
          <w:p w14:paraId="05D121FB">
            <w:pPr>
              <w:adjustRightInd w:val="0"/>
              <w:snapToGrid w:val="0"/>
              <w:spacing w:line="288" w:lineRule="auto"/>
              <w:jc w:val="center"/>
              <w:rPr>
                <w:rFonts w:hint="eastAsia"/>
                <w:color w:val="auto"/>
                <w:kern w:val="0"/>
                <w:sz w:val="21"/>
                <w:szCs w:val="21"/>
                <w:highlight w:val="none"/>
              </w:rPr>
            </w:pPr>
          </w:p>
        </w:tc>
      </w:tr>
      <w:tr w14:paraId="35BF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shd w:val="clear" w:color="auto" w:fill="auto"/>
            <w:vAlign w:val="center"/>
          </w:tcPr>
          <w:p w14:paraId="0B9D89E5">
            <w:pPr>
              <w:adjustRightInd w:val="0"/>
              <w:snapToGrid w:val="0"/>
              <w:spacing w:line="288" w:lineRule="auto"/>
              <w:jc w:val="left"/>
              <w:rPr>
                <w:rFonts w:hint="eastAsia"/>
                <w:color w:val="auto"/>
                <w:kern w:val="0"/>
                <w:sz w:val="21"/>
                <w:szCs w:val="21"/>
                <w:highlight w:val="none"/>
              </w:rPr>
            </w:pPr>
            <w:r>
              <w:rPr>
                <w:rFonts w:hint="eastAsia"/>
                <w:b/>
                <w:bCs/>
                <w:color w:val="auto"/>
                <w:kern w:val="0"/>
                <w:sz w:val="21"/>
                <w:szCs w:val="21"/>
                <w:highlight w:val="none"/>
              </w:rPr>
              <w:t>成果移交</w:t>
            </w:r>
          </w:p>
        </w:tc>
      </w:tr>
      <w:tr w14:paraId="5460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1AFBA789">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0" w:type="auto"/>
          </w:tcPr>
          <w:p w14:paraId="4356F23C">
            <w:pPr>
              <w:adjustRightInd w:val="0"/>
              <w:snapToGrid w:val="0"/>
              <w:spacing w:line="288" w:lineRule="auto"/>
              <w:jc w:val="center"/>
              <w:rPr>
                <w:rFonts w:hint="eastAsia"/>
                <w:color w:val="auto"/>
                <w:kern w:val="0"/>
                <w:sz w:val="21"/>
                <w:szCs w:val="21"/>
                <w:highlight w:val="none"/>
              </w:rPr>
            </w:pPr>
          </w:p>
        </w:tc>
        <w:tc>
          <w:tcPr>
            <w:tcW w:w="0" w:type="auto"/>
          </w:tcPr>
          <w:p w14:paraId="7997BBDD">
            <w:pPr>
              <w:adjustRightInd w:val="0"/>
              <w:snapToGrid w:val="0"/>
              <w:spacing w:line="288" w:lineRule="auto"/>
              <w:jc w:val="center"/>
              <w:rPr>
                <w:rFonts w:hint="eastAsia"/>
                <w:color w:val="auto"/>
                <w:kern w:val="0"/>
                <w:sz w:val="21"/>
                <w:szCs w:val="21"/>
                <w:highlight w:val="none"/>
              </w:rPr>
            </w:pPr>
          </w:p>
        </w:tc>
        <w:tc>
          <w:tcPr>
            <w:tcW w:w="0" w:type="auto"/>
          </w:tcPr>
          <w:p w14:paraId="4D0F05D8">
            <w:pPr>
              <w:adjustRightInd w:val="0"/>
              <w:snapToGrid w:val="0"/>
              <w:spacing w:line="288" w:lineRule="auto"/>
              <w:jc w:val="center"/>
              <w:rPr>
                <w:rFonts w:hint="eastAsia"/>
                <w:color w:val="auto"/>
                <w:kern w:val="0"/>
                <w:sz w:val="21"/>
                <w:szCs w:val="21"/>
                <w:highlight w:val="none"/>
              </w:rPr>
            </w:pPr>
          </w:p>
        </w:tc>
      </w:tr>
      <w:tr w14:paraId="4953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04D31C0C">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0" w:type="auto"/>
          </w:tcPr>
          <w:p w14:paraId="31E79C40">
            <w:pPr>
              <w:adjustRightInd w:val="0"/>
              <w:snapToGrid w:val="0"/>
              <w:spacing w:line="288" w:lineRule="auto"/>
              <w:jc w:val="center"/>
              <w:rPr>
                <w:rFonts w:hint="eastAsia"/>
                <w:color w:val="auto"/>
                <w:kern w:val="0"/>
                <w:sz w:val="21"/>
                <w:szCs w:val="21"/>
                <w:highlight w:val="none"/>
              </w:rPr>
            </w:pPr>
          </w:p>
        </w:tc>
        <w:tc>
          <w:tcPr>
            <w:tcW w:w="0" w:type="auto"/>
          </w:tcPr>
          <w:p w14:paraId="1D621D51">
            <w:pPr>
              <w:adjustRightInd w:val="0"/>
              <w:snapToGrid w:val="0"/>
              <w:spacing w:line="288" w:lineRule="auto"/>
              <w:jc w:val="center"/>
              <w:rPr>
                <w:rFonts w:hint="eastAsia"/>
                <w:color w:val="auto"/>
                <w:kern w:val="0"/>
                <w:sz w:val="21"/>
                <w:szCs w:val="21"/>
                <w:highlight w:val="none"/>
              </w:rPr>
            </w:pPr>
          </w:p>
        </w:tc>
        <w:tc>
          <w:tcPr>
            <w:tcW w:w="0" w:type="auto"/>
          </w:tcPr>
          <w:p w14:paraId="580B6CA3">
            <w:pPr>
              <w:adjustRightInd w:val="0"/>
              <w:snapToGrid w:val="0"/>
              <w:spacing w:line="288" w:lineRule="auto"/>
              <w:jc w:val="center"/>
              <w:rPr>
                <w:rFonts w:hint="eastAsia"/>
                <w:color w:val="auto"/>
                <w:kern w:val="0"/>
                <w:sz w:val="21"/>
                <w:szCs w:val="21"/>
                <w:highlight w:val="none"/>
              </w:rPr>
            </w:pPr>
          </w:p>
        </w:tc>
      </w:tr>
      <w:tr w14:paraId="25A5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27ABB5A9">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0" w:type="auto"/>
          </w:tcPr>
          <w:p w14:paraId="0164D596">
            <w:pPr>
              <w:adjustRightInd w:val="0"/>
              <w:snapToGrid w:val="0"/>
              <w:spacing w:line="288" w:lineRule="auto"/>
              <w:jc w:val="center"/>
              <w:rPr>
                <w:rFonts w:hint="eastAsia"/>
                <w:color w:val="auto"/>
                <w:kern w:val="0"/>
                <w:sz w:val="21"/>
                <w:szCs w:val="21"/>
                <w:highlight w:val="none"/>
              </w:rPr>
            </w:pPr>
          </w:p>
        </w:tc>
        <w:tc>
          <w:tcPr>
            <w:tcW w:w="0" w:type="auto"/>
          </w:tcPr>
          <w:p w14:paraId="14629005">
            <w:pPr>
              <w:adjustRightInd w:val="0"/>
              <w:snapToGrid w:val="0"/>
              <w:spacing w:line="288" w:lineRule="auto"/>
              <w:jc w:val="center"/>
              <w:rPr>
                <w:rFonts w:hint="eastAsia"/>
                <w:color w:val="auto"/>
                <w:kern w:val="0"/>
                <w:sz w:val="21"/>
                <w:szCs w:val="21"/>
                <w:highlight w:val="none"/>
              </w:rPr>
            </w:pPr>
          </w:p>
        </w:tc>
        <w:tc>
          <w:tcPr>
            <w:tcW w:w="0" w:type="auto"/>
          </w:tcPr>
          <w:p w14:paraId="243BCFF5">
            <w:pPr>
              <w:adjustRightInd w:val="0"/>
              <w:snapToGrid w:val="0"/>
              <w:spacing w:line="288" w:lineRule="auto"/>
              <w:jc w:val="center"/>
              <w:rPr>
                <w:rFonts w:hint="eastAsia"/>
                <w:color w:val="auto"/>
                <w:kern w:val="0"/>
                <w:sz w:val="21"/>
                <w:szCs w:val="21"/>
                <w:highlight w:val="none"/>
              </w:rPr>
            </w:pPr>
          </w:p>
        </w:tc>
      </w:tr>
      <w:tr w14:paraId="0355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shd w:val="clear" w:color="auto" w:fill="auto"/>
            <w:vAlign w:val="center"/>
          </w:tcPr>
          <w:p w14:paraId="6219656E">
            <w:pPr>
              <w:adjustRightInd w:val="0"/>
              <w:snapToGrid w:val="0"/>
              <w:spacing w:line="288" w:lineRule="auto"/>
              <w:jc w:val="left"/>
              <w:rPr>
                <w:rFonts w:hint="eastAsia"/>
                <w:color w:val="auto"/>
                <w:kern w:val="0"/>
                <w:sz w:val="21"/>
                <w:szCs w:val="21"/>
                <w:highlight w:val="none"/>
              </w:rPr>
            </w:pPr>
            <w:r>
              <w:rPr>
                <w:rFonts w:hint="eastAsia"/>
                <w:b/>
                <w:bCs/>
                <w:color w:val="auto"/>
                <w:kern w:val="0"/>
                <w:sz w:val="21"/>
                <w:szCs w:val="21"/>
                <w:highlight w:val="none"/>
              </w:rPr>
              <w:t>服务保障与承诺</w:t>
            </w:r>
          </w:p>
        </w:tc>
      </w:tr>
      <w:tr w14:paraId="3776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2023073">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1</w:t>
            </w:r>
          </w:p>
        </w:tc>
        <w:tc>
          <w:tcPr>
            <w:tcW w:w="0" w:type="auto"/>
          </w:tcPr>
          <w:p w14:paraId="590993B4">
            <w:pPr>
              <w:adjustRightInd w:val="0"/>
              <w:snapToGrid w:val="0"/>
              <w:spacing w:line="288" w:lineRule="auto"/>
              <w:jc w:val="center"/>
              <w:rPr>
                <w:rFonts w:hint="eastAsia"/>
                <w:color w:val="auto"/>
                <w:kern w:val="0"/>
                <w:sz w:val="21"/>
                <w:szCs w:val="21"/>
                <w:highlight w:val="none"/>
              </w:rPr>
            </w:pPr>
          </w:p>
        </w:tc>
        <w:tc>
          <w:tcPr>
            <w:tcW w:w="0" w:type="auto"/>
          </w:tcPr>
          <w:p w14:paraId="5F744EC2">
            <w:pPr>
              <w:adjustRightInd w:val="0"/>
              <w:snapToGrid w:val="0"/>
              <w:spacing w:line="288" w:lineRule="auto"/>
              <w:jc w:val="center"/>
              <w:rPr>
                <w:rFonts w:hint="eastAsia"/>
                <w:color w:val="auto"/>
                <w:kern w:val="0"/>
                <w:sz w:val="21"/>
                <w:szCs w:val="21"/>
                <w:highlight w:val="none"/>
              </w:rPr>
            </w:pPr>
          </w:p>
        </w:tc>
        <w:tc>
          <w:tcPr>
            <w:tcW w:w="0" w:type="auto"/>
          </w:tcPr>
          <w:p w14:paraId="0BFE57AC">
            <w:pPr>
              <w:adjustRightInd w:val="0"/>
              <w:snapToGrid w:val="0"/>
              <w:spacing w:line="288" w:lineRule="auto"/>
              <w:jc w:val="center"/>
              <w:rPr>
                <w:rFonts w:hint="eastAsia"/>
                <w:color w:val="auto"/>
                <w:kern w:val="0"/>
                <w:sz w:val="21"/>
                <w:szCs w:val="21"/>
                <w:highlight w:val="none"/>
              </w:rPr>
            </w:pPr>
          </w:p>
        </w:tc>
      </w:tr>
      <w:tr w14:paraId="73B8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4B3F4E4F">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2</w:t>
            </w:r>
          </w:p>
        </w:tc>
        <w:tc>
          <w:tcPr>
            <w:tcW w:w="0" w:type="auto"/>
          </w:tcPr>
          <w:p w14:paraId="56AC18F8">
            <w:pPr>
              <w:adjustRightInd w:val="0"/>
              <w:snapToGrid w:val="0"/>
              <w:spacing w:line="288" w:lineRule="auto"/>
              <w:jc w:val="center"/>
              <w:rPr>
                <w:rFonts w:hint="eastAsia"/>
                <w:color w:val="auto"/>
                <w:kern w:val="0"/>
                <w:sz w:val="21"/>
                <w:szCs w:val="21"/>
                <w:highlight w:val="none"/>
              </w:rPr>
            </w:pPr>
          </w:p>
        </w:tc>
        <w:tc>
          <w:tcPr>
            <w:tcW w:w="0" w:type="auto"/>
          </w:tcPr>
          <w:p w14:paraId="2346CDFE">
            <w:pPr>
              <w:adjustRightInd w:val="0"/>
              <w:snapToGrid w:val="0"/>
              <w:spacing w:line="288" w:lineRule="auto"/>
              <w:jc w:val="center"/>
              <w:rPr>
                <w:rFonts w:hint="eastAsia"/>
                <w:color w:val="auto"/>
                <w:kern w:val="0"/>
                <w:sz w:val="21"/>
                <w:szCs w:val="21"/>
                <w:highlight w:val="none"/>
              </w:rPr>
            </w:pPr>
          </w:p>
        </w:tc>
        <w:tc>
          <w:tcPr>
            <w:tcW w:w="0" w:type="auto"/>
          </w:tcPr>
          <w:p w14:paraId="6E595253">
            <w:pPr>
              <w:adjustRightInd w:val="0"/>
              <w:snapToGrid w:val="0"/>
              <w:spacing w:line="288" w:lineRule="auto"/>
              <w:jc w:val="center"/>
              <w:rPr>
                <w:rFonts w:hint="eastAsia"/>
                <w:color w:val="auto"/>
                <w:kern w:val="0"/>
                <w:sz w:val="21"/>
                <w:szCs w:val="21"/>
                <w:highlight w:val="none"/>
              </w:rPr>
            </w:pPr>
          </w:p>
        </w:tc>
      </w:tr>
      <w:tr w14:paraId="79D5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shd w:val="clear" w:color="auto" w:fill="auto"/>
            <w:vAlign w:val="center"/>
          </w:tcPr>
          <w:p w14:paraId="7E362048">
            <w:pPr>
              <w:adjustRightInd w:val="0"/>
              <w:snapToGrid w:val="0"/>
              <w:spacing w:line="288" w:lineRule="auto"/>
              <w:jc w:val="center"/>
              <w:rPr>
                <w:rFonts w:hint="eastAsia"/>
                <w:color w:val="auto"/>
                <w:kern w:val="0"/>
                <w:sz w:val="21"/>
                <w:szCs w:val="21"/>
                <w:highlight w:val="none"/>
              </w:rPr>
            </w:pPr>
            <w:r>
              <w:rPr>
                <w:rFonts w:hint="eastAsia"/>
                <w:color w:val="auto"/>
                <w:kern w:val="0"/>
                <w:sz w:val="21"/>
                <w:szCs w:val="21"/>
                <w:highlight w:val="none"/>
              </w:rPr>
              <w:t>……</w:t>
            </w:r>
          </w:p>
        </w:tc>
        <w:tc>
          <w:tcPr>
            <w:tcW w:w="0" w:type="auto"/>
          </w:tcPr>
          <w:p w14:paraId="7D81658F">
            <w:pPr>
              <w:adjustRightInd w:val="0"/>
              <w:snapToGrid w:val="0"/>
              <w:spacing w:line="288" w:lineRule="auto"/>
              <w:jc w:val="center"/>
              <w:rPr>
                <w:rFonts w:hint="eastAsia"/>
                <w:color w:val="auto"/>
                <w:kern w:val="0"/>
                <w:sz w:val="21"/>
                <w:szCs w:val="21"/>
                <w:highlight w:val="none"/>
              </w:rPr>
            </w:pPr>
          </w:p>
        </w:tc>
        <w:tc>
          <w:tcPr>
            <w:tcW w:w="0" w:type="auto"/>
          </w:tcPr>
          <w:p w14:paraId="68222572">
            <w:pPr>
              <w:adjustRightInd w:val="0"/>
              <w:snapToGrid w:val="0"/>
              <w:spacing w:line="288" w:lineRule="auto"/>
              <w:jc w:val="center"/>
              <w:rPr>
                <w:rFonts w:hint="eastAsia"/>
                <w:color w:val="auto"/>
                <w:kern w:val="0"/>
                <w:sz w:val="21"/>
                <w:szCs w:val="21"/>
                <w:highlight w:val="none"/>
              </w:rPr>
            </w:pPr>
          </w:p>
        </w:tc>
        <w:tc>
          <w:tcPr>
            <w:tcW w:w="0" w:type="auto"/>
          </w:tcPr>
          <w:p w14:paraId="0103620E">
            <w:pPr>
              <w:adjustRightInd w:val="0"/>
              <w:snapToGrid w:val="0"/>
              <w:spacing w:line="288" w:lineRule="auto"/>
              <w:jc w:val="center"/>
              <w:rPr>
                <w:rFonts w:hint="eastAsia"/>
                <w:color w:val="auto"/>
                <w:kern w:val="0"/>
                <w:sz w:val="21"/>
                <w:szCs w:val="21"/>
                <w:highlight w:val="none"/>
              </w:rPr>
            </w:pPr>
          </w:p>
        </w:tc>
      </w:tr>
    </w:tbl>
    <w:p w14:paraId="0BA40A4A">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说明：</w:t>
      </w:r>
    </w:p>
    <w:p w14:paraId="2F2B755A">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1.逐项按照磋商文件要求填写响应规格；</w:t>
      </w:r>
    </w:p>
    <w:p w14:paraId="3141C793">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2.偏离说明是指对磋商文件要求存在不同之处的解释说明。偏离系指：正偏离（高于采购需求）、负偏离（低于采购需求）、无偏离（满足采购需求）；</w:t>
      </w:r>
    </w:p>
    <w:p w14:paraId="43922FFD">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3.如不填写或未如实填写，自行承担磋商响应风险。</w:t>
      </w:r>
    </w:p>
    <w:p w14:paraId="5A47D1BA">
      <w:pPr>
        <w:adjustRightInd w:val="0"/>
        <w:snapToGrid w:val="0"/>
        <w:spacing w:line="288" w:lineRule="auto"/>
        <w:rPr>
          <w:rFonts w:hint="eastAsia"/>
          <w:color w:val="auto"/>
          <w:sz w:val="21"/>
          <w:szCs w:val="21"/>
          <w:highlight w:val="none"/>
        </w:rPr>
      </w:pPr>
    </w:p>
    <w:p w14:paraId="1045BE17">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5E9A32F3">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5CA16FC3">
      <w:pPr>
        <w:adjustRightInd w:val="0"/>
        <w:snapToGrid w:val="0"/>
        <w:spacing w:line="288" w:lineRule="auto"/>
        <w:rPr>
          <w:rFonts w:hint="eastAsia"/>
          <w:color w:val="auto"/>
          <w:sz w:val="21"/>
          <w:szCs w:val="21"/>
          <w:highlight w:val="none"/>
        </w:rPr>
      </w:pPr>
    </w:p>
    <w:p w14:paraId="384983BA">
      <w:pPr>
        <w:adjustRightInd w:val="0"/>
        <w:snapToGrid w:val="0"/>
        <w:spacing w:line="288" w:lineRule="auto"/>
        <w:rPr>
          <w:rFonts w:hint="eastAsia"/>
          <w:color w:val="auto"/>
          <w:sz w:val="21"/>
          <w:szCs w:val="21"/>
          <w:highlight w:val="none"/>
        </w:rPr>
      </w:pPr>
    </w:p>
    <w:p w14:paraId="774F4205">
      <w:pPr>
        <w:adjustRightInd w:val="0"/>
        <w:snapToGrid w:val="0"/>
        <w:spacing w:line="288" w:lineRule="auto"/>
        <w:rPr>
          <w:rFonts w:hint="eastAsia"/>
          <w:color w:val="auto"/>
          <w:sz w:val="21"/>
          <w:szCs w:val="21"/>
          <w:highlight w:val="none"/>
        </w:rPr>
      </w:pPr>
    </w:p>
    <w:p w14:paraId="36A4B6A6">
      <w:pPr>
        <w:adjustRightInd w:val="0"/>
        <w:snapToGrid w:val="0"/>
        <w:spacing w:line="288" w:lineRule="auto"/>
        <w:rPr>
          <w:rFonts w:hint="eastAsia"/>
          <w:color w:val="auto"/>
          <w:sz w:val="21"/>
          <w:szCs w:val="21"/>
          <w:highlight w:val="none"/>
        </w:rPr>
      </w:pPr>
    </w:p>
    <w:p w14:paraId="67FFC975">
      <w:pPr>
        <w:adjustRightInd w:val="0"/>
        <w:snapToGrid w:val="0"/>
        <w:spacing w:line="288" w:lineRule="auto"/>
        <w:rPr>
          <w:rFonts w:hint="eastAsia"/>
          <w:color w:val="auto"/>
          <w:sz w:val="21"/>
          <w:szCs w:val="21"/>
          <w:highlight w:val="none"/>
        </w:rPr>
      </w:pPr>
    </w:p>
    <w:p w14:paraId="5AE06E76">
      <w:pPr>
        <w:adjustRightInd w:val="0"/>
        <w:snapToGrid w:val="0"/>
        <w:spacing w:line="288" w:lineRule="auto"/>
        <w:rPr>
          <w:rFonts w:hint="eastAsia"/>
          <w:b/>
          <w:bCs/>
          <w:color w:val="auto"/>
          <w:sz w:val="28"/>
          <w:szCs w:val="28"/>
          <w:highlight w:val="none"/>
        </w:rPr>
      </w:pPr>
      <w:r>
        <w:rPr>
          <w:rFonts w:hint="eastAsia"/>
          <w:b/>
          <w:bCs/>
          <w:color w:val="auto"/>
          <w:sz w:val="28"/>
          <w:szCs w:val="28"/>
          <w:highlight w:val="none"/>
        </w:rPr>
        <w:t>附：</w:t>
      </w:r>
    </w:p>
    <w:p w14:paraId="6EFA805A">
      <w:pPr>
        <w:adjustRightInd w:val="0"/>
        <w:snapToGrid w:val="0"/>
        <w:spacing w:line="288" w:lineRule="auto"/>
        <w:rPr>
          <w:rFonts w:hint="eastAsia"/>
          <w:b/>
          <w:bCs/>
          <w:color w:val="auto"/>
          <w:sz w:val="28"/>
          <w:szCs w:val="28"/>
          <w:highlight w:val="none"/>
        </w:rPr>
      </w:pPr>
      <w:r>
        <w:rPr>
          <w:rFonts w:hint="eastAsia"/>
          <w:b/>
          <w:bCs/>
          <w:color w:val="auto"/>
          <w:sz w:val="28"/>
          <w:szCs w:val="28"/>
          <w:highlight w:val="none"/>
        </w:rPr>
        <w:t>年检认证：进行组织资质年检审核服务（需提供承诺函）</w:t>
      </w:r>
    </w:p>
    <w:p w14:paraId="1B1AF495">
      <w:pPr>
        <w:adjustRightInd w:val="0"/>
        <w:snapToGrid w:val="0"/>
        <w:spacing w:line="288" w:lineRule="auto"/>
        <w:rPr>
          <w:rFonts w:hint="eastAsia"/>
          <w:b/>
          <w:bCs/>
          <w:color w:val="auto"/>
          <w:sz w:val="28"/>
          <w:szCs w:val="28"/>
          <w:highlight w:val="none"/>
        </w:rPr>
      </w:pPr>
    </w:p>
    <w:p w14:paraId="7425C394">
      <w:pPr>
        <w:adjustRightInd w:val="0"/>
        <w:snapToGrid w:val="0"/>
        <w:spacing w:line="288" w:lineRule="auto"/>
        <w:rPr>
          <w:rFonts w:hint="eastAsia"/>
          <w:b/>
          <w:bCs/>
          <w:color w:val="auto"/>
          <w:sz w:val="28"/>
          <w:szCs w:val="28"/>
          <w:highlight w:val="none"/>
        </w:rPr>
      </w:pPr>
      <w:r>
        <w:rPr>
          <w:rFonts w:hint="eastAsia"/>
          <w:b/>
          <w:bCs/>
          <w:color w:val="auto"/>
          <w:sz w:val="28"/>
          <w:szCs w:val="28"/>
          <w:highlight w:val="none"/>
        </w:rPr>
        <w:t>注：格式自拟。</w:t>
      </w:r>
    </w:p>
    <w:p w14:paraId="67CD0198">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3EC315BC">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w:t>
      </w:r>
      <w:r>
        <w:rPr>
          <w:b/>
          <w:bCs/>
          <w:color w:val="auto"/>
          <w:sz w:val="21"/>
          <w:szCs w:val="21"/>
          <w:highlight w:val="none"/>
        </w:rPr>
        <w:t>5</w:t>
      </w:r>
      <w:r>
        <w:rPr>
          <w:rFonts w:hint="eastAsia"/>
          <w:b/>
          <w:bCs/>
          <w:color w:val="auto"/>
          <w:sz w:val="21"/>
          <w:szCs w:val="21"/>
          <w:highlight w:val="none"/>
        </w:rPr>
        <w:t>）标的配置清单</w:t>
      </w:r>
      <w:r>
        <w:rPr>
          <w:rFonts w:hint="eastAsia"/>
          <w:color w:val="auto"/>
          <w:sz w:val="21"/>
          <w:szCs w:val="21"/>
          <w:highlight w:val="none"/>
        </w:rPr>
        <w:t>（不含报价）</w:t>
      </w:r>
    </w:p>
    <w:tbl>
      <w:tblPr>
        <w:tblStyle w:val="17"/>
        <w:tblW w:w="992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742"/>
        <w:gridCol w:w="2930"/>
        <w:gridCol w:w="2700"/>
      </w:tblGrid>
      <w:tr w14:paraId="422F1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D25AE41">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99ACF1B">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标的名称</w:t>
            </w: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307E9F8">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具体服务</w:t>
            </w: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31A79A8C">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数量</w:t>
            </w: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05E0C355">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备注</w:t>
            </w:r>
          </w:p>
          <w:p w14:paraId="1AB23885">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（可另附页）</w:t>
            </w:r>
          </w:p>
        </w:tc>
      </w:tr>
      <w:tr w14:paraId="40F55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3EBDBF9">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A62B03B">
            <w:pPr>
              <w:adjustRightInd w:val="0"/>
              <w:snapToGrid w:val="0"/>
              <w:spacing w:line="360" w:lineRule="auto"/>
              <w:jc w:val="center"/>
              <w:rPr>
                <w:rFonts w:hint="eastAsia"/>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70F99EE">
            <w:pPr>
              <w:adjustRightInd w:val="0"/>
              <w:snapToGrid w:val="0"/>
              <w:spacing w:line="360" w:lineRule="auto"/>
              <w:jc w:val="center"/>
              <w:rPr>
                <w:rFonts w:hint="eastAsia"/>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1C9118C7">
            <w:pPr>
              <w:adjustRightInd w:val="0"/>
              <w:snapToGrid w:val="0"/>
              <w:spacing w:line="360" w:lineRule="auto"/>
              <w:jc w:val="center"/>
              <w:rPr>
                <w:rFonts w:hint="eastAsia"/>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0570518E">
            <w:pPr>
              <w:adjustRightInd w:val="0"/>
              <w:snapToGrid w:val="0"/>
              <w:spacing w:line="360" w:lineRule="auto"/>
              <w:jc w:val="center"/>
              <w:rPr>
                <w:rFonts w:hint="eastAsia"/>
                <w:b/>
                <w:bCs/>
                <w:color w:val="auto"/>
                <w:sz w:val="21"/>
                <w:szCs w:val="21"/>
                <w:highlight w:val="none"/>
              </w:rPr>
            </w:pPr>
          </w:p>
        </w:tc>
      </w:tr>
      <w:tr w14:paraId="46DF5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2027B0B0">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DB20DFB">
            <w:pPr>
              <w:adjustRightInd w:val="0"/>
              <w:snapToGrid w:val="0"/>
              <w:spacing w:line="360" w:lineRule="auto"/>
              <w:jc w:val="center"/>
              <w:rPr>
                <w:rFonts w:hint="eastAsia"/>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22CF18F2">
            <w:pPr>
              <w:adjustRightInd w:val="0"/>
              <w:snapToGrid w:val="0"/>
              <w:spacing w:line="360" w:lineRule="auto"/>
              <w:jc w:val="center"/>
              <w:rPr>
                <w:rFonts w:hint="eastAsia"/>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7DFCCFAE">
            <w:pPr>
              <w:adjustRightInd w:val="0"/>
              <w:snapToGrid w:val="0"/>
              <w:spacing w:line="360" w:lineRule="auto"/>
              <w:jc w:val="center"/>
              <w:rPr>
                <w:rFonts w:hint="eastAsia"/>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66B84942">
            <w:pPr>
              <w:adjustRightInd w:val="0"/>
              <w:snapToGrid w:val="0"/>
              <w:spacing w:line="360" w:lineRule="auto"/>
              <w:jc w:val="center"/>
              <w:rPr>
                <w:rFonts w:hint="eastAsia"/>
                <w:b/>
                <w:bCs/>
                <w:color w:val="auto"/>
                <w:sz w:val="21"/>
                <w:szCs w:val="21"/>
                <w:highlight w:val="none"/>
              </w:rPr>
            </w:pPr>
          </w:p>
        </w:tc>
      </w:tr>
      <w:tr w14:paraId="31A21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20CAFD2">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BC1BD44">
            <w:pPr>
              <w:adjustRightInd w:val="0"/>
              <w:snapToGrid w:val="0"/>
              <w:spacing w:line="360" w:lineRule="auto"/>
              <w:jc w:val="center"/>
              <w:rPr>
                <w:rFonts w:hint="eastAsia"/>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1286B978">
            <w:pPr>
              <w:adjustRightInd w:val="0"/>
              <w:snapToGrid w:val="0"/>
              <w:spacing w:line="360" w:lineRule="auto"/>
              <w:jc w:val="center"/>
              <w:rPr>
                <w:rFonts w:hint="eastAsia"/>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5585D9F4">
            <w:pPr>
              <w:adjustRightInd w:val="0"/>
              <w:snapToGrid w:val="0"/>
              <w:spacing w:line="360" w:lineRule="auto"/>
              <w:jc w:val="center"/>
              <w:rPr>
                <w:rFonts w:hint="eastAsia"/>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0B0749AC">
            <w:pPr>
              <w:adjustRightInd w:val="0"/>
              <w:snapToGrid w:val="0"/>
              <w:spacing w:line="360" w:lineRule="auto"/>
              <w:jc w:val="center"/>
              <w:rPr>
                <w:rFonts w:hint="eastAsia"/>
                <w:b/>
                <w:bCs/>
                <w:color w:val="auto"/>
                <w:sz w:val="21"/>
                <w:szCs w:val="21"/>
                <w:highlight w:val="none"/>
              </w:rPr>
            </w:pPr>
          </w:p>
        </w:tc>
      </w:tr>
      <w:tr w14:paraId="0DD52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907494">
            <w:pPr>
              <w:adjustRightInd w:val="0"/>
              <w:snapToGrid w:val="0"/>
              <w:spacing w:line="360" w:lineRule="auto"/>
              <w:jc w:val="left"/>
              <w:rPr>
                <w:rFonts w:hint="eastAsia"/>
                <w:b/>
                <w:bCs/>
                <w:color w:val="auto"/>
                <w:sz w:val="21"/>
                <w:szCs w:val="21"/>
                <w:highlight w:val="none"/>
              </w:rPr>
            </w:pPr>
            <w:r>
              <w:rPr>
                <w:rFonts w:hint="eastAsia"/>
                <w:b/>
                <w:bCs/>
                <w:color w:val="auto"/>
                <w:sz w:val="21"/>
                <w:szCs w:val="21"/>
                <w:highlight w:val="none"/>
              </w:rPr>
              <w:t>★以下（联合体其他成员）承担的部分：</w:t>
            </w:r>
          </w:p>
        </w:tc>
      </w:tr>
      <w:tr w14:paraId="24A6F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61C094D">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3C9D9927">
            <w:pPr>
              <w:adjustRightInd w:val="0"/>
              <w:snapToGrid w:val="0"/>
              <w:spacing w:line="360" w:lineRule="auto"/>
              <w:jc w:val="center"/>
              <w:rPr>
                <w:rFonts w:hint="eastAsia"/>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05094044">
            <w:pPr>
              <w:adjustRightInd w:val="0"/>
              <w:snapToGrid w:val="0"/>
              <w:spacing w:line="360" w:lineRule="auto"/>
              <w:jc w:val="center"/>
              <w:rPr>
                <w:rFonts w:hint="eastAsia"/>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4EF3350A">
            <w:pPr>
              <w:adjustRightInd w:val="0"/>
              <w:snapToGrid w:val="0"/>
              <w:spacing w:line="360" w:lineRule="auto"/>
              <w:jc w:val="center"/>
              <w:rPr>
                <w:rFonts w:hint="eastAsia"/>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63468D48">
            <w:pPr>
              <w:adjustRightInd w:val="0"/>
              <w:snapToGrid w:val="0"/>
              <w:spacing w:line="360" w:lineRule="auto"/>
              <w:jc w:val="center"/>
              <w:rPr>
                <w:rFonts w:hint="eastAsia"/>
                <w:b/>
                <w:bCs/>
                <w:color w:val="auto"/>
                <w:sz w:val="21"/>
                <w:szCs w:val="21"/>
                <w:highlight w:val="none"/>
              </w:rPr>
            </w:pPr>
          </w:p>
        </w:tc>
      </w:tr>
      <w:tr w14:paraId="2880A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2D5E1F">
            <w:pPr>
              <w:adjustRightInd w:val="0"/>
              <w:snapToGrid w:val="0"/>
              <w:spacing w:line="360" w:lineRule="auto"/>
              <w:jc w:val="left"/>
              <w:rPr>
                <w:rFonts w:hint="eastAsia"/>
                <w:b/>
                <w:bCs/>
                <w:color w:val="auto"/>
                <w:sz w:val="21"/>
                <w:szCs w:val="21"/>
                <w:highlight w:val="none"/>
              </w:rPr>
            </w:pPr>
            <w:r>
              <w:rPr>
                <w:rFonts w:hint="eastAsia"/>
                <w:b/>
                <w:bCs/>
                <w:color w:val="auto"/>
                <w:sz w:val="21"/>
                <w:szCs w:val="21"/>
                <w:highlight w:val="none"/>
              </w:rPr>
              <w:t>★以下（分包单位）承担的部分：</w:t>
            </w:r>
          </w:p>
        </w:tc>
      </w:tr>
      <w:tr w14:paraId="5B260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2B098A">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019D37E">
            <w:pPr>
              <w:adjustRightInd w:val="0"/>
              <w:snapToGrid w:val="0"/>
              <w:spacing w:line="360" w:lineRule="auto"/>
              <w:jc w:val="center"/>
              <w:rPr>
                <w:rFonts w:hint="eastAsia"/>
                <w:b/>
                <w:bCs/>
                <w:color w:val="auto"/>
                <w:sz w:val="21"/>
                <w:szCs w:val="21"/>
                <w:highlight w:val="none"/>
              </w:rPr>
            </w:pPr>
          </w:p>
        </w:tc>
        <w:tc>
          <w:tcPr>
            <w:tcW w:w="1742" w:type="dxa"/>
            <w:tcBorders>
              <w:top w:val="single" w:color="auto" w:sz="4" w:space="0"/>
              <w:left w:val="single" w:color="auto" w:sz="4" w:space="0"/>
              <w:bottom w:val="single" w:color="auto" w:sz="4" w:space="0"/>
              <w:right w:val="single" w:color="auto" w:sz="4" w:space="0"/>
            </w:tcBorders>
            <w:shd w:val="clear" w:color="auto" w:fill="FFFFFF"/>
            <w:vAlign w:val="center"/>
          </w:tcPr>
          <w:p w14:paraId="49D352E1">
            <w:pPr>
              <w:adjustRightInd w:val="0"/>
              <w:snapToGrid w:val="0"/>
              <w:spacing w:line="360" w:lineRule="auto"/>
              <w:jc w:val="center"/>
              <w:rPr>
                <w:rFonts w:hint="eastAsia"/>
                <w:b/>
                <w:bCs/>
                <w:color w:val="auto"/>
                <w:sz w:val="21"/>
                <w:szCs w:val="21"/>
                <w:highlight w:val="none"/>
              </w:rPr>
            </w:pPr>
          </w:p>
        </w:tc>
        <w:tc>
          <w:tcPr>
            <w:tcW w:w="2930" w:type="dxa"/>
            <w:tcBorders>
              <w:top w:val="single" w:color="auto" w:sz="4" w:space="0"/>
              <w:left w:val="single" w:color="auto" w:sz="4" w:space="0"/>
              <w:bottom w:val="single" w:color="auto" w:sz="4" w:space="0"/>
              <w:right w:val="single" w:color="auto" w:sz="4" w:space="0"/>
            </w:tcBorders>
            <w:shd w:val="clear" w:color="auto" w:fill="FFFFFF"/>
            <w:vAlign w:val="center"/>
          </w:tcPr>
          <w:p w14:paraId="4B1F4DDD">
            <w:pPr>
              <w:adjustRightInd w:val="0"/>
              <w:snapToGrid w:val="0"/>
              <w:spacing w:line="360" w:lineRule="auto"/>
              <w:jc w:val="center"/>
              <w:rPr>
                <w:rFonts w:hint="eastAsia"/>
                <w:b/>
                <w:bCs/>
                <w:color w:val="auto"/>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shd w:val="clear" w:color="auto" w:fill="FFFFFF"/>
            <w:vAlign w:val="center"/>
          </w:tcPr>
          <w:p w14:paraId="0AFB061C">
            <w:pPr>
              <w:adjustRightInd w:val="0"/>
              <w:snapToGrid w:val="0"/>
              <w:spacing w:line="360" w:lineRule="auto"/>
              <w:jc w:val="center"/>
              <w:rPr>
                <w:rFonts w:hint="eastAsia"/>
                <w:b/>
                <w:bCs/>
                <w:color w:val="auto"/>
                <w:sz w:val="21"/>
                <w:szCs w:val="21"/>
                <w:highlight w:val="none"/>
              </w:rPr>
            </w:pPr>
          </w:p>
        </w:tc>
      </w:tr>
    </w:tbl>
    <w:p w14:paraId="5CC45062">
      <w:pPr>
        <w:adjustRightInd w:val="0"/>
        <w:snapToGrid w:val="0"/>
        <w:spacing w:line="288" w:lineRule="auto"/>
        <w:rPr>
          <w:rFonts w:hint="eastAsia"/>
          <w:color w:val="auto"/>
          <w:spacing w:val="-6"/>
          <w:sz w:val="21"/>
          <w:szCs w:val="21"/>
          <w:highlight w:val="none"/>
        </w:rPr>
      </w:pPr>
    </w:p>
    <w:p w14:paraId="724CA9FF">
      <w:pPr>
        <w:adjustRightInd w:val="0"/>
        <w:snapToGrid w:val="0"/>
        <w:spacing w:line="360" w:lineRule="auto"/>
        <w:rPr>
          <w:rFonts w:hint="eastAsia"/>
          <w:bCs/>
          <w:color w:val="auto"/>
          <w:spacing w:val="-6"/>
          <w:sz w:val="21"/>
          <w:szCs w:val="21"/>
          <w:highlight w:val="none"/>
        </w:rPr>
      </w:pPr>
      <w:r>
        <w:rPr>
          <w:rFonts w:hint="eastAsia"/>
          <w:bCs/>
          <w:color w:val="auto"/>
          <w:spacing w:val="-6"/>
          <w:sz w:val="21"/>
          <w:szCs w:val="21"/>
          <w:highlight w:val="none"/>
        </w:rPr>
        <w:t>注：</w:t>
      </w:r>
    </w:p>
    <w:p w14:paraId="02229925">
      <w:pPr>
        <w:adjustRightInd w:val="0"/>
        <w:snapToGrid w:val="0"/>
        <w:spacing w:line="288" w:lineRule="auto"/>
        <w:rPr>
          <w:rFonts w:hint="eastAsia"/>
          <w:bCs/>
          <w:color w:val="auto"/>
          <w:spacing w:val="-6"/>
          <w:sz w:val="21"/>
          <w:szCs w:val="21"/>
          <w:highlight w:val="none"/>
        </w:rPr>
      </w:pPr>
      <w:r>
        <w:rPr>
          <w:rFonts w:hint="eastAsia"/>
          <w:bCs/>
          <w:color w:val="auto"/>
          <w:spacing w:val="-6"/>
          <w:sz w:val="21"/>
          <w:szCs w:val="21"/>
          <w:highlight w:val="none"/>
        </w:rPr>
        <w:t>1.供应商应按照磋商文件明确的标的清单填写此表；</w:t>
      </w:r>
    </w:p>
    <w:p w14:paraId="0459DD83">
      <w:pPr>
        <w:adjustRightInd w:val="0"/>
        <w:snapToGrid w:val="0"/>
        <w:spacing w:line="288" w:lineRule="auto"/>
        <w:rPr>
          <w:rFonts w:hint="eastAsia"/>
          <w:color w:val="auto"/>
          <w:spacing w:val="-6"/>
          <w:sz w:val="21"/>
          <w:szCs w:val="21"/>
          <w:highlight w:val="none"/>
        </w:rPr>
      </w:pPr>
      <w:r>
        <w:rPr>
          <w:rFonts w:hint="eastAsia"/>
          <w:bCs/>
          <w:color w:val="auto"/>
          <w:spacing w:val="-6"/>
          <w:sz w:val="21"/>
          <w:szCs w:val="21"/>
          <w:highlight w:val="none"/>
        </w:rPr>
        <w:t>★2.联合体其他成员承担的部分、分包单位承担的部分，应在表中列明。</w:t>
      </w:r>
    </w:p>
    <w:p w14:paraId="06939F7F">
      <w:pPr>
        <w:adjustRightInd w:val="0"/>
        <w:snapToGrid w:val="0"/>
        <w:spacing w:line="288" w:lineRule="auto"/>
        <w:rPr>
          <w:rFonts w:hint="eastAsia"/>
          <w:color w:val="auto"/>
          <w:sz w:val="21"/>
          <w:szCs w:val="21"/>
          <w:highlight w:val="none"/>
        </w:rPr>
      </w:pPr>
    </w:p>
    <w:p w14:paraId="685A7862">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1C92D74">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p w14:paraId="4DE1BCFE">
      <w:pPr>
        <w:adjustRightInd w:val="0"/>
        <w:snapToGrid w:val="0"/>
        <w:spacing w:line="288" w:lineRule="auto"/>
        <w:rPr>
          <w:rFonts w:hint="eastAsia"/>
          <w:color w:val="auto"/>
          <w:sz w:val="21"/>
          <w:szCs w:val="21"/>
          <w:highlight w:val="none"/>
        </w:rPr>
      </w:pPr>
    </w:p>
    <w:p w14:paraId="681C2DDE">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1C18966F">
      <w:pPr>
        <w:adjustRightInd w:val="0"/>
        <w:snapToGrid w:val="0"/>
        <w:spacing w:line="288" w:lineRule="auto"/>
        <w:ind w:firstLine="458" w:firstLineChars="200"/>
        <w:jc w:val="left"/>
        <w:rPr>
          <w:rFonts w:hint="eastAsia" w:cs="Times New Roman"/>
          <w:b/>
          <w:color w:val="auto"/>
          <w:spacing w:val="-6"/>
          <w:szCs w:val="21"/>
          <w:highlight w:val="none"/>
        </w:rPr>
      </w:pPr>
      <w:bookmarkStart w:id="70" w:name="_Hlk71885757"/>
      <w:r>
        <w:rPr>
          <w:rFonts w:hint="eastAsia" w:cs="Times New Roman"/>
          <w:b/>
          <w:color w:val="auto"/>
          <w:spacing w:val="-6"/>
          <w:szCs w:val="21"/>
          <w:highlight w:val="none"/>
        </w:rPr>
        <w:t>说明：供应商应遵循诚实信用原则在投标（响应）文件中提供真实材料。供应商可事先在公开官网查询、核对相关证书和报告内容，确保投标（响应）文件资料准确无误。</w:t>
      </w:r>
    </w:p>
    <w:p w14:paraId="764FF2AB">
      <w:pPr>
        <w:rPr>
          <w:rFonts w:hint="eastAsia"/>
          <w:color w:val="auto"/>
          <w:highlight w:val="none"/>
        </w:rPr>
      </w:pPr>
    </w:p>
    <w:p w14:paraId="741D7BDC">
      <w:pPr>
        <w:rPr>
          <w:rFonts w:hint="eastAsia"/>
          <w:color w:val="auto"/>
          <w:highlight w:val="none"/>
        </w:rPr>
      </w:pPr>
    </w:p>
    <w:p w14:paraId="2A259CF0">
      <w:pPr>
        <w:adjustRightInd w:val="0"/>
        <w:snapToGrid w:val="0"/>
        <w:spacing w:line="288" w:lineRule="auto"/>
        <w:jc w:val="left"/>
        <w:outlineLvl w:val="2"/>
        <w:rPr>
          <w:rFonts w:hint="eastAsia"/>
          <w:b/>
          <w:color w:val="auto"/>
          <w:spacing w:val="-6"/>
          <w:sz w:val="21"/>
          <w:szCs w:val="21"/>
          <w:highlight w:val="none"/>
        </w:rPr>
      </w:pPr>
      <w:r>
        <w:rPr>
          <w:rFonts w:hint="eastAsia"/>
          <w:b/>
          <w:color w:val="auto"/>
          <w:spacing w:val="-6"/>
          <w:sz w:val="21"/>
          <w:szCs w:val="21"/>
          <w:highlight w:val="none"/>
        </w:rPr>
        <w:t>（</w:t>
      </w:r>
      <w:r>
        <w:rPr>
          <w:b/>
          <w:color w:val="auto"/>
          <w:spacing w:val="-6"/>
          <w:sz w:val="21"/>
          <w:szCs w:val="21"/>
          <w:highlight w:val="none"/>
        </w:rPr>
        <w:t>6</w:t>
      </w:r>
      <w:r>
        <w:rPr>
          <w:rFonts w:hint="eastAsia"/>
          <w:b/>
          <w:color w:val="auto"/>
          <w:spacing w:val="-6"/>
          <w:sz w:val="21"/>
          <w:szCs w:val="21"/>
          <w:highlight w:val="none"/>
        </w:rPr>
        <w:t>）技术方案</w:t>
      </w:r>
      <w:r>
        <w:rPr>
          <w:rFonts w:hint="eastAsia"/>
          <w:color w:val="auto"/>
          <w:sz w:val="21"/>
          <w:szCs w:val="21"/>
          <w:highlight w:val="none"/>
        </w:rPr>
        <w:t>【格式自拟，可根据自身情况结合评审细则提供】</w:t>
      </w:r>
    </w:p>
    <w:p w14:paraId="000259F7">
      <w:pPr>
        <w:adjustRightInd w:val="0"/>
        <w:snapToGrid w:val="0"/>
        <w:spacing w:line="288" w:lineRule="auto"/>
        <w:ind w:left="480" w:leftChars="200"/>
        <w:rPr>
          <w:rFonts w:hint="eastAsia"/>
          <w:b/>
          <w:color w:val="auto"/>
          <w:spacing w:val="-6"/>
          <w:sz w:val="21"/>
          <w:szCs w:val="21"/>
          <w:highlight w:val="none"/>
        </w:rPr>
      </w:pPr>
      <w:r>
        <w:rPr>
          <w:rFonts w:hint="eastAsia"/>
          <w:b/>
          <w:color w:val="auto"/>
          <w:spacing w:val="-6"/>
          <w:sz w:val="21"/>
          <w:szCs w:val="21"/>
          <w:highlight w:val="none"/>
        </w:rPr>
        <w:t>项目技术方案</w:t>
      </w:r>
    </w:p>
    <w:p w14:paraId="754203BD">
      <w:pPr>
        <w:adjustRightInd w:val="0"/>
        <w:snapToGrid w:val="0"/>
        <w:spacing w:line="288" w:lineRule="auto"/>
        <w:ind w:left="480" w:leftChars="200"/>
        <w:rPr>
          <w:rFonts w:hint="eastAsia"/>
          <w:b/>
          <w:color w:val="auto"/>
          <w:spacing w:val="-6"/>
          <w:sz w:val="21"/>
          <w:szCs w:val="21"/>
          <w:highlight w:val="none"/>
        </w:rPr>
      </w:pPr>
      <w:r>
        <w:rPr>
          <w:rFonts w:hint="eastAsia"/>
          <w:b/>
          <w:color w:val="auto"/>
          <w:spacing w:val="-6"/>
          <w:sz w:val="21"/>
          <w:szCs w:val="21"/>
          <w:highlight w:val="none"/>
        </w:rPr>
        <w:t>实施方案</w:t>
      </w:r>
    </w:p>
    <w:p w14:paraId="00964D8C">
      <w:pPr>
        <w:adjustRightInd w:val="0"/>
        <w:snapToGrid w:val="0"/>
        <w:spacing w:line="288" w:lineRule="auto"/>
        <w:ind w:left="480" w:leftChars="200"/>
        <w:rPr>
          <w:rFonts w:hint="eastAsia"/>
          <w:b/>
          <w:color w:val="auto"/>
          <w:spacing w:val="-6"/>
          <w:sz w:val="21"/>
          <w:szCs w:val="21"/>
          <w:highlight w:val="none"/>
        </w:rPr>
      </w:pPr>
      <w:r>
        <w:rPr>
          <w:rFonts w:hint="eastAsia"/>
          <w:b/>
          <w:color w:val="auto"/>
          <w:spacing w:val="-6"/>
          <w:sz w:val="21"/>
          <w:szCs w:val="21"/>
          <w:highlight w:val="none"/>
        </w:rPr>
        <w:t>拟派团队人员</w:t>
      </w:r>
    </w:p>
    <w:p w14:paraId="212993B5">
      <w:pPr>
        <w:adjustRightInd w:val="0"/>
        <w:snapToGrid w:val="0"/>
        <w:spacing w:line="288" w:lineRule="auto"/>
        <w:ind w:left="480" w:leftChars="200"/>
        <w:rPr>
          <w:rFonts w:hint="eastAsia"/>
          <w:b/>
          <w:color w:val="auto"/>
          <w:spacing w:val="-6"/>
          <w:sz w:val="21"/>
          <w:szCs w:val="21"/>
          <w:highlight w:val="none"/>
        </w:rPr>
      </w:pPr>
      <w:r>
        <w:rPr>
          <w:rFonts w:hint="eastAsia"/>
          <w:b/>
          <w:color w:val="auto"/>
          <w:spacing w:val="-6"/>
          <w:sz w:val="21"/>
          <w:szCs w:val="21"/>
          <w:highlight w:val="none"/>
        </w:rPr>
        <w:t>售后服务</w:t>
      </w:r>
    </w:p>
    <w:p w14:paraId="531441CC">
      <w:pPr>
        <w:adjustRightInd w:val="0"/>
        <w:snapToGrid w:val="0"/>
        <w:spacing w:line="288" w:lineRule="auto"/>
        <w:ind w:left="480" w:leftChars="200"/>
        <w:rPr>
          <w:rFonts w:hint="eastAsia"/>
          <w:b/>
          <w:color w:val="auto"/>
          <w:spacing w:val="-6"/>
          <w:sz w:val="21"/>
          <w:szCs w:val="21"/>
          <w:highlight w:val="none"/>
        </w:rPr>
      </w:pPr>
      <w:r>
        <w:rPr>
          <w:rFonts w:hint="eastAsia"/>
          <w:b/>
          <w:color w:val="auto"/>
          <w:spacing w:val="-6"/>
          <w:sz w:val="21"/>
          <w:szCs w:val="21"/>
          <w:highlight w:val="none"/>
        </w:rPr>
        <w:t>服务保障应急预案</w:t>
      </w:r>
    </w:p>
    <w:p w14:paraId="4B2D198B">
      <w:pPr>
        <w:rPr>
          <w:rFonts w:hint="eastAsia"/>
          <w:color w:val="auto"/>
          <w:highlight w:val="none"/>
        </w:rPr>
      </w:pPr>
    </w:p>
    <w:p w14:paraId="1C39D758">
      <w:pPr>
        <w:adjustRightInd w:val="0"/>
        <w:snapToGrid w:val="0"/>
        <w:spacing w:line="288" w:lineRule="auto"/>
        <w:rPr>
          <w:rFonts w:hint="eastAsia"/>
          <w:b/>
          <w:color w:val="auto"/>
          <w:spacing w:val="-6"/>
          <w:sz w:val="21"/>
          <w:szCs w:val="21"/>
          <w:highlight w:val="none"/>
        </w:rPr>
      </w:pPr>
    </w:p>
    <w:p w14:paraId="72070962">
      <w:pPr>
        <w:adjustRightInd w:val="0"/>
        <w:snapToGrid w:val="0"/>
        <w:spacing w:line="288" w:lineRule="auto"/>
        <w:rPr>
          <w:rFonts w:hint="eastAsia"/>
          <w:b/>
          <w:color w:val="auto"/>
          <w:spacing w:val="-6"/>
          <w:sz w:val="21"/>
          <w:szCs w:val="21"/>
          <w:highlight w:val="none"/>
        </w:rPr>
      </w:pPr>
    </w:p>
    <w:p w14:paraId="12FFDA35">
      <w:pPr>
        <w:adjustRightInd w:val="0"/>
        <w:snapToGrid w:val="0"/>
        <w:spacing w:line="288" w:lineRule="auto"/>
        <w:outlineLvl w:val="2"/>
        <w:rPr>
          <w:rFonts w:hint="eastAsia"/>
          <w:b/>
          <w:color w:val="auto"/>
          <w:spacing w:val="-6"/>
          <w:sz w:val="21"/>
          <w:szCs w:val="21"/>
          <w:highlight w:val="none"/>
        </w:rPr>
      </w:pPr>
      <w:r>
        <w:rPr>
          <w:rFonts w:hint="eastAsia"/>
          <w:b/>
          <w:color w:val="auto"/>
          <w:spacing w:val="-6"/>
          <w:sz w:val="21"/>
          <w:szCs w:val="21"/>
          <w:highlight w:val="none"/>
        </w:rPr>
        <w:t>（……）供应商需要说明的其他文件和材料。</w:t>
      </w:r>
      <w:bookmarkEnd w:id="70"/>
    </w:p>
    <w:p w14:paraId="7C62E26A">
      <w:pPr>
        <w:widowControl/>
        <w:jc w:val="left"/>
        <w:rPr>
          <w:rFonts w:hint="eastAsia"/>
          <w:b/>
          <w:color w:val="auto"/>
          <w:spacing w:val="-6"/>
          <w:sz w:val="21"/>
          <w:szCs w:val="21"/>
          <w:highlight w:val="none"/>
        </w:rPr>
      </w:pPr>
      <w:r>
        <w:rPr>
          <w:b/>
          <w:color w:val="auto"/>
          <w:spacing w:val="-6"/>
          <w:sz w:val="21"/>
          <w:szCs w:val="21"/>
          <w:highlight w:val="none"/>
        </w:rPr>
        <w:br w:type="page"/>
      </w:r>
    </w:p>
    <w:p w14:paraId="7895016D">
      <w:pPr>
        <w:adjustRightInd w:val="0"/>
        <w:snapToGrid w:val="0"/>
        <w:spacing w:line="288" w:lineRule="auto"/>
        <w:rPr>
          <w:rFonts w:hint="eastAsia"/>
          <w:color w:val="auto"/>
          <w:highlight w:val="none"/>
        </w:rPr>
      </w:pPr>
    </w:p>
    <w:p w14:paraId="0764BBCC">
      <w:pPr>
        <w:adjustRightInd w:val="0"/>
        <w:snapToGrid w:val="0"/>
        <w:spacing w:line="288" w:lineRule="auto"/>
        <w:jc w:val="center"/>
        <w:outlineLvl w:val="1"/>
        <w:rPr>
          <w:rFonts w:hint="eastAsia"/>
          <w:b/>
          <w:bCs/>
          <w:color w:val="auto"/>
          <w:sz w:val="84"/>
          <w:szCs w:val="84"/>
          <w:highlight w:val="none"/>
        </w:rPr>
      </w:pPr>
      <w:r>
        <w:rPr>
          <w:rFonts w:hint="eastAsia"/>
          <w:b/>
          <w:bCs/>
          <w:color w:val="auto"/>
          <w:sz w:val="84"/>
          <w:szCs w:val="84"/>
          <w:highlight w:val="none"/>
        </w:rPr>
        <w:t>报价文件</w:t>
      </w:r>
    </w:p>
    <w:p w14:paraId="3E8524B3">
      <w:pPr>
        <w:adjustRightInd w:val="0"/>
        <w:snapToGrid w:val="0"/>
        <w:spacing w:line="288" w:lineRule="auto"/>
        <w:rPr>
          <w:rFonts w:hint="eastAsia"/>
          <w:color w:val="auto"/>
          <w:highlight w:val="none"/>
        </w:rPr>
      </w:pPr>
      <w:r>
        <w:rPr>
          <w:rFonts w:hint="eastAsia"/>
          <w:color w:val="auto"/>
          <w:highlight w:val="none"/>
        </w:rPr>
        <w:br w:type="page"/>
      </w:r>
    </w:p>
    <w:p w14:paraId="14DDCB96">
      <w:pPr>
        <w:adjustRightInd w:val="0"/>
        <w:snapToGrid w:val="0"/>
        <w:spacing w:line="288" w:lineRule="auto"/>
        <w:jc w:val="center"/>
        <w:outlineLvl w:val="2"/>
        <w:rPr>
          <w:rFonts w:hint="eastAsia"/>
          <w:b/>
          <w:bCs/>
          <w:color w:val="auto"/>
          <w:sz w:val="21"/>
          <w:szCs w:val="21"/>
          <w:highlight w:val="none"/>
        </w:rPr>
      </w:pPr>
      <w:r>
        <w:rPr>
          <w:rFonts w:hint="eastAsia"/>
          <w:b/>
          <w:bCs/>
          <w:color w:val="auto"/>
          <w:sz w:val="21"/>
          <w:szCs w:val="21"/>
          <w:highlight w:val="none"/>
        </w:rPr>
        <w:t xml:space="preserve"> （1）初次报价一览表</w:t>
      </w:r>
    </w:p>
    <w:p w14:paraId="1BD7E3D4">
      <w:pPr>
        <w:adjustRightInd w:val="0"/>
        <w:snapToGrid w:val="0"/>
        <w:spacing w:line="288" w:lineRule="auto"/>
        <w:rPr>
          <w:rFonts w:hint="eastAsia"/>
          <w:color w:val="auto"/>
          <w:sz w:val="21"/>
          <w:szCs w:val="21"/>
          <w:highlight w:val="none"/>
        </w:rPr>
      </w:pPr>
      <w:r>
        <w:rPr>
          <w:rFonts w:hint="eastAsia"/>
          <w:color w:val="auto"/>
          <w:sz w:val="21"/>
          <w:szCs w:val="21"/>
          <w:highlight w:val="none"/>
        </w:rPr>
        <w:t>采 购 人：浙江交通职业技术学院</w:t>
      </w:r>
    </w:p>
    <w:p w14:paraId="444C078B">
      <w:pPr>
        <w:adjustRightInd w:val="0"/>
        <w:snapToGrid w:val="0"/>
        <w:spacing w:line="288" w:lineRule="auto"/>
        <w:rPr>
          <w:rFonts w:hint="eastAsia"/>
          <w:color w:val="auto"/>
          <w:sz w:val="21"/>
          <w:szCs w:val="21"/>
          <w:highlight w:val="none"/>
        </w:rPr>
      </w:pPr>
      <w:r>
        <w:rPr>
          <w:rFonts w:hint="eastAsia"/>
          <w:color w:val="auto"/>
          <w:sz w:val="21"/>
          <w:szCs w:val="21"/>
          <w:highlight w:val="none"/>
        </w:rPr>
        <w:t>项目名称：浙江交通职业技术学院交院钉运维项目</w:t>
      </w:r>
    </w:p>
    <w:p w14:paraId="33CA3CEF">
      <w:pPr>
        <w:adjustRightInd w:val="0"/>
        <w:snapToGrid w:val="0"/>
        <w:spacing w:line="288" w:lineRule="auto"/>
        <w:rPr>
          <w:rFonts w:hint="eastAsia"/>
          <w:color w:val="auto"/>
          <w:sz w:val="21"/>
          <w:szCs w:val="21"/>
          <w:highlight w:val="none"/>
        </w:rPr>
      </w:pPr>
      <w:r>
        <w:rPr>
          <w:rFonts w:hint="eastAsia"/>
          <w:color w:val="auto"/>
          <w:sz w:val="21"/>
          <w:szCs w:val="21"/>
          <w:highlight w:val="none"/>
        </w:rPr>
        <w:t>项目编号：</w:t>
      </w:r>
      <w:r>
        <w:rPr>
          <w:rFonts w:hint="eastAsia"/>
          <w:color w:val="auto"/>
          <w:sz w:val="21"/>
          <w:szCs w:val="21"/>
          <w:highlight w:val="none"/>
          <w:lang w:eastAsia="zh-CN"/>
        </w:rPr>
        <w:t>QSZB-Z(F)-C25134(CS)L</w:t>
      </w:r>
      <w:r>
        <w:rPr>
          <w:rFonts w:hint="eastAsia"/>
          <w:color w:val="auto"/>
          <w:sz w:val="21"/>
          <w:szCs w:val="21"/>
          <w:highlight w:val="none"/>
        </w:rPr>
        <w:t xml:space="preserve"> </w:t>
      </w:r>
    </w:p>
    <w:tbl>
      <w:tblPr>
        <w:tblStyle w:val="17"/>
        <w:tblW w:w="10571" w:type="dxa"/>
        <w:tblInd w:w="-26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940"/>
        <w:gridCol w:w="1100"/>
        <w:gridCol w:w="1150"/>
        <w:gridCol w:w="2237"/>
        <w:gridCol w:w="509"/>
        <w:gridCol w:w="1045"/>
        <w:gridCol w:w="41"/>
      </w:tblGrid>
      <w:tr w14:paraId="33D68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709063B4">
            <w:pPr>
              <w:adjustRightInd w:val="0"/>
              <w:snapToGrid w:val="0"/>
              <w:spacing w:line="360" w:lineRule="auto"/>
              <w:jc w:val="center"/>
              <w:rPr>
                <w:rFonts w:hint="eastAsia"/>
                <w:b/>
                <w:bCs/>
                <w:color w:val="auto"/>
                <w:sz w:val="21"/>
                <w:szCs w:val="21"/>
                <w:highlight w:val="none"/>
              </w:rPr>
            </w:pPr>
            <w:bookmarkStart w:id="71" w:name="_Hlk97040072"/>
            <w:r>
              <w:rPr>
                <w:rFonts w:hint="eastAsia"/>
                <w:b/>
                <w:bCs/>
                <w:color w:val="auto"/>
                <w:sz w:val="21"/>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6E4DEA26">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标的名称</w:t>
            </w: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3E1C9417">
            <w:pPr>
              <w:adjustRightInd w:val="0"/>
              <w:snapToGrid w:val="0"/>
              <w:spacing w:line="360" w:lineRule="auto"/>
              <w:jc w:val="center"/>
              <w:rPr>
                <w:rFonts w:hint="eastAsia"/>
                <w:b/>
                <w:bCs/>
                <w:color w:val="auto"/>
                <w:sz w:val="21"/>
                <w:szCs w:val="21"/>
                <w:highlight w:val="none"/>
              </w:rPr>
            </w:pPr>
            <w:bookmarkStart w:id="72" w:name="_Hlk177717733"/>
            <w:r>
              <w:rPr>
                <w:rFonts w:hint="eastAsia"/>
                <w:b/>
                <w:bCs/>
                <w:color w:val="auto"/>
                <w:sz w:val="21"/>
                <w:szCs w:val="21"/>
                <w:highlight w:val="none"/>
              </w:rPr>
              <w:t>具体服务</w:t>
            </w:r>
            <w:bookmarkEnd w:id="72"/>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6969F990">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数量</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19806E5">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数量</w:t>
            </w: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604D4326">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单价</w:t>
            </w:r>
          </w:p>
          <w:p w14:paraId="0F15FF58">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（元）</w:t>
            </w: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F19415">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合计</w:t>
            </w:r>
          </w:p>
          <w:p w14:paraId="23CABD8D">
            <w:pPr>
              <w:adjustRightInd w:val="0"/>
              <w:snapToGrid w:val="0"/>
              <w:spacing w:line="360" w:lineRule="auto"/>
              <w:jc w:val="center"/>
              <w:rPr>
                <w:rFonts w:hint="eastAsia"/>
                <w:b/>
                <w:bCs/>
                <w:color w:val="auto"/>
                <w:sz w:val="21"/>
                <w:szCs w:val="21"/>
                <w:highlight w:val="none"/>
              </w:rPr>
            </w:pPr>
            <w:r>
              <w:rPr>
                <w:rFonts w:hint="eastAsia"/>
                <w:b/>
                <w:bCs/>
                <w:color w:val="auto"/>
                <w:sz w:val="21"/>
                <w:szCs w:val="21"/>
                <w:highlight w:val="none"/>
              </w:rPr>
              <w:t>（元）</w:t>
            </w:r>
          </w:p>
        </w:tc>
      </w:tr>
      <w:tr w14:paraId="3382EC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924F0BB">
            <w:pPr>
              <w:numPr>
                <w:ilvl w:val="0"/>
                <w:numId w:val="5"/>
              </w:num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29340CED">
            <w:pPr>
              <w:widowControl/>
              <w:spacing w:line="288" w:lineRule="auto"/>
              <w:textAlignment w:val="center"/>
              <w:rPr>
                <w:rFonts w:hint="eastAsia"/>
                <w:color w:val="auto"/>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4CE0B584">
            <w:pPr>
              <w:adjustRightInd w:val="0"/>
              <w:snapToGrid w:val="0"/>
              <w:spacing w:line="360" w:lineRule="auto"/>
              <w:jc w:val="center"/>
              <w:rPr>
                <w:rFonts w:hint="eastAsia"/>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63A0657D">
            <w:pPr>
              <w:widowControl/>
              <w:spacing w:line="288" w:lineRule="auto"/>
              <w:jc w:val="right"/>
              <w:textAlignment w:val="center"/>
              <w:rPr>
                <w:rFonts w:hint="eastAsia"/>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1B6252C4">
            <w:pPr>
              <w:widowControl/>
              <w:spacing w:line="288" w:lineRule="auto"/>
              <w:jc w:val="center"/>
              <w:textAlignment w:val="center"/>
              <w:rPr>
                <w:rFonts w:hint="eastAsia"/>
                <w:color w:val="auto"/>
                <w:sz w:val="21"/>
                <w:szCs w:val="21"/>
                <w:highlight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260DE154">
            <w:pPr>
              <w:widowControl/>
              <w:spacing w:line="288" w:lineRule="auto"/>
              <w:jc w:val="center"/>
              <w:textAlignment w:val="center"/>
              <w:rPr>
                <w:rFonts w:hint="eastAsia"/>
                <w:color w:val="auto"/>
                <w:sz w:val="21"/>
                <w:szCs w:val="21"/>
                <w:highlight w:val="none"/>
              </w:rPr>
            </w:pP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8A08DC">
            <w:pPr>
              <w:adjustRightInd w:val="0"/>
              <w:snapToGrid w:val="0"/>
              <w:spacing w:line="360" w:lineRule="auto"/>
              <w:jc w:val="center"/>
              <w:rPr>
                <w:rFonts w:hint="eastAsia"/>
                <w:b/>
                <w:bCs/>
                <w:color w:val="auto"/>
                <w:sz w:val="21"/>
                <w:szCs w:val="21"/>
                <w:highlight w:val="none"/>
              </w:rPr>
            </w:pPr>
          </w:p>
        </w:tc>
      </w:tr>
      <w:tr w14:paraId="539B3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40BFE7A5">
            <w:pPr>
              <w:numPr>
                <w:ilvl w:val="0"/>
                <w:numId w:val="5"/>
              </w:num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D268381">
            <w:pPr>
              <w:widowControl/>
              <w:spacing w:line="288" w:lineRule="auto"/>
              <w:textAlignment w:val="center"/>
              <w:rPr>
                <w:rFonts w:hint="eastAsia"/>
                <w:color w:val="auto"/>
                <w:kern w:val="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698FA82E">
            <w:pPr>
              <w:adjustRightInd w:val="0"/>
              <w:snapToGrid w:val="0"/>
              <w:spacing w:line="360" w:lineRule="auto"/>
              <w:jc w:val="center"/>
              <w:rPr>
                <w:rFonts w:hint="eastAsia"/>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733CF04">
            <w:pPr>
              <w:widowControl/>
              <w:spacing w:line="288" w:lineRule="auto"/>
              <w:jc w:val="right"/>
              <w:textAlignment w:val="center"/>
              <w:rPr>
                <w:rFonts w:hint="eastAsia"/>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999B248">
            <w:pPr>
              <w:widowControl/>
              <w:spacing w:line="288" w:lineRule="auto"/>
              <w:jc w:val="center"/>
              <w:textAlignment w:val="center"/>
              <w:rPr>
                <w:rFonts w:hint="eastAsia"/>
                <w:color w:val="auto"/>
                <w:sz w:val="21"/>
                <w:szCs w:val="21"/>
                <w:highlight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0859483B">
            <w:pPr>
              <w:widowControl/>
              <w:spacing w:line="288" w:lineRule="auto"/>
              <w:jc w:val="center"/>
              <w:textAlignment w:val="center"/>
              <w:rPr>
                <w:rFonts w:hint="eastAsia"/>
                <w:color w:val="auto"/>
                <w:sz w:val="21"/>
                <w:szCs w:val="21"/>
                <w:highlight w:val="none"/>
              </w:rPr>
            </w:pP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34AB44">
            <w:pPr>
              <w:adjustRightInd w:val="0"/>
              <w:snapToGrid w:val="0"/>
              <w:spacing w:line="360" w:lineRule="auto"/>
              <w:jc w:val="center"/>
              <w:rPr>
                <w:rFonts w:hint="eastAsia"/>
                <w:b/>
                <w:bCs/>
                <w:color w:val="auto"/>
                <w:sz w:val="21"/>
                <w:szCs w:val="21"/>
                <w:highlight w:val="none"/>
              </w:rPr>
            </w:pPr>
          </w:p>
        </w:tc>
      </w:tr>
      <w:tr w14:paraId="5C438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0413D9F9">
            <w:pPr>
              <w:adjustRightInd w:val="0"/>
              <w:snapToGrid w:val="0"/>
              <w:spacing w:line="360" w:lineRule="auto"/>
              <w:rPr>
                <w:rFonts w:hint="eastAsia"/>
                <w:b/>
                <w:bCs/>
                <w:color w:val="auto"/>
                <w:sz w:val="21"/>
                <w:szCs w:val="21"/>
                <w:highlight w:val="none"/>
              </w:rPr>
            </w:pPr>
            <w:r>
              <w:rPr>
                <w:rFonts w:hint="eastAsia"/>
                <w:b/>
                <w:bCs/>
                <w:color w:val="auto"/>
                <w:sz w:val="21"/>
                <w:szCs w:val="21"/>
                <w:highlight w:val="none"/>
              </w:rPr>
              <w:t>....</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089DCD79">
            <w:pPr>
              <w:widowControl/>
              <w:spacing w:line="288" w:lineRule="auto"/>
              <w:textAlignment w:val="center"/>
              <w:rPr>
                <w:rFonts w:hint="eastAsia"/>
                <w:color w:val="auto"/>
                <w:kern w:val="0"/>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28E04E49">
            <w:pPr>
              <w:adjustRightInd w:val="0"/>
              <w:snapToGrid w:val="0"/>
              <w:spacing w:line="360" w:lineRule="auto"/>
              <w:jc w:val="center"/>
              <w:rPr>
                <w:rFonts w:hint="eastAsia"/>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40280A41">
            <w:pPr>
              <w:widowControl/>
              <w:spacing w:line="288" w:lineRule="auto"/>
              <w:jc w:val="right"/>
              <w:textAlignment w:val="center"/>
              <w:rPr>
                <w:rFonts w:hint="eastAsia"/>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B1E413E">
            <w:pPr>
              <w:widowControl/>
              <w:spacing w:line="288" w:lineRule="auto"/>
              <w:jc w:val="center"/>
              <w:textAlignment w:val="center"/>
              <w:rPr>
                <w:rFonts w:hint="eastAsia"/>
                <w:color w:val="auto"/>
                <w:sz w:val="21"/>
                <w:szCs w:val="21"/>
                <w:highlight w:val="none"/>
              </w:rPr>
            </w:pPr>
          </w:p>
        </w:tc>
        <w:tc>
          <w:tcPr>
            <w:tcW w:w="2237" w:type="dxa"/>
            <w:tcBorders>
              <w:top w:val="single" w:color="auto" w:sz="4" w:space="0"/>
              <w:left w:val="single" w:color="auto" w:sz="4" w:space="0"/>
              <w:bottom w:val="single" w:color="auto" w:sz="4" w:space="0"/>
              <w:right w:val="single" w:color="auto" w:sz="4" w:space="0"/>
            </w:tcBorders>
            <w:shd w:val="clear" w:color="auto" w:fill="auto"/>
            <w:vAlign w:val="center"/>
          </w:tcPr>
          <w:p w14:paraId="32B9DB5D">
            <w:pPr>
              <w:widowControl/>
              <w:spacing w:line="288" w:lineRule="auto"/>
              <w:jc w:val="center"/>
              <w:textAlignment w:val="center"/>
              <w:rPr>
                <w:rFonts w:hint="eastAsia"/>
                <w:color w:val="auto"/>
                <w:sz w:val="21"/>
                <w:szCs w:val="21"/>
                <w:highlight w:val="none"/>
              </w:rPr>
            </w:pPr>
          </w:p>
        </w:tc>
        <w:tc>
          <w:tcPr>
            <w:tcW w:w="15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215195">
            <w:pPr>
              <w:adjustRightInd w:val="0"/>
              <w:snapToGrid w:val="0"/>
              <w:spacing w:line="360" w:lineRule="auto"/>
              <w:jc w:val="center"/>
              <w:rPr>
                <w:rFonts w:hint="eastAsia"/>
                <w:b/>
                <w:bCs/>
                <w:color w:val="auto"/>
                <w:sz w:val="21"/>
                <w:szCs w:val="21"/>
                <w:highlight w:val="none"/>
              </w:rPr>
            </w:pPr>
          </w:p>
        </w:tc>
      </w:tr>
      <w:tr w14:paraId="54EB8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1053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6F660C7">
            <w:pPr>
              <w:adjustRightInd w:val="0"/>
              <w:snapToGrid w:val="0"/>
              <w:spacing w:line="360" w:lineRule="auto"/>
              <w:jc w:val="left"/>
              <w:rPr>
                <w:rFonts w:hint="eastAsia"/>
                <w:b/>
                <w:bCs/>
                <w:color w:val="auto"/>
                <w:sz w:val="21"/>
                <w:szCs w:val="21"/>
                <w:highlight w:val="none"/>
              </w:rPr>
            </w:pPr>
            <w:r>
              <w:rPr>
                <w:rFonts w:hint="eastAsia"/>
                <w:b/>
                <w:bCs/>
                <w:color w:val="auto"/>
                <w:sz w:val="21"/>
                <w:szCs w:val="21"/>
                <w:highlight w:val="none"/>
              </w:rPr>
              <w:t>★以下（联合体其他成员）承担的部分：</w:t>
            </w:r>
          </w:p>
        </w:tc>
      </w:tr>
      <w:tr w14:paraId="2FDBF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6A26F4A3">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7383EFEC">
            <w:pPr>
              <w:adjustRightInd w:val="0"/>
              <w:snapToGrid w:val="0"/>
              <w:spacing w:line="360" w:lineRule="auto"/>
              <w:jc w:val="center"/>
              <w:rPr>
                <w:rFonts w:hint="eastAsia"/>
                <w:b/>
                <w:bCs/>
                <w:color w:val="auto"/>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2798215A">
            <w:pPr>
              <w:adjustRightInd w:val="0"/>
              <w:snapToGrid w:val="0"/>
              <w:spacing w:line="360" w:lineRule="auto"/>
              <w:jc w:val="center"/>
              <w:rPr>
                <w:rFonts w:hint="eastAsia"/>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124453D6">
            <w:pPr>
              <w:adjustRightInd w:val="0"/>
              <w:snapToGrid w:val="0"/>
              <w:spacing w:line="360" w:lineRule="auto"/>
              <w:jc w:val="center"/>
              <w:rPr>
                <w:rFonts w:hint="eastAsia"/>
                <w:b/>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14:paraId="6250FFEC">
            <w:pPr>
              <w:adjustRightInd w:val="0"/>
              <w:snapToGrid w:val="0"/>
              <w:spacing w:line="360" w:lineRule="auto"/>
              <w:jc w:val="center"/>
              <w:rPr>
                <w:rFonts w:hint="eastAsia"/>
                <w:b/>
                <w:bCs/>
                <w:color w:val="auto"/>
                <w:sz w:val="21"/>
                <w:szCs w:val="21"/>
                <w:highlight w:val="none"/>
              </w:rPr>
            </w:pPr>
          </w:p>
        </w:tc>
        <w:tc>
          <w:tcPr>
            <w:tcW w:w="2237" w:type="dxa"/>
            <w:tcBorders>
              <w:top w:val="single" w:color="auto" w:sz="4" w:space="0"/>
              <w:left w:val="single" w:color="auto" w:sz="4" w:space="0"/>
              <w:bottom w:val="single" w:color="auto" w:sz="4" w:space="0"/>
              <w:right w:val="single" w:color="auto" w:sz="4" w:space="0"/>
            </w:tcBorders>
            <w:shd w:val="clear" w:color="auto" w:fill="FFFFFF"/>
            <w:vAlign w:val="center"/>
          </w:tcPr>
          <w:p w14:paraId="5876F000">
            <w:pPr>
              <w:adjustRightInd w:val="0"/>
              <w:snapToGrid w:val="0"/>
              <w:spacing w:line="360" w:lineRule="auto"/>
              <w:jc w:val="center"/>
              <w:rPr>
                <w:rFonts w:hint="eastAsia"/>
                <w:b/>
                <w:bCs/>
                <w:color w:val="auto"/>
                <w:sz w:val="21"/>
                <w:szCs w:val="21"/>
                <w:highlight w:val="none"/>
              </w:rPr>
            </w:pPr>
          </w:p>
        </w:tc>
        <w:tc>
          <w:tcPr>
            <w:tcW w:w="1554" w:type="dxa"/>
            <w:gridSpan w:val="2"/>
            <w:tcBorders>
              <w:top w:val="single" w:color="auto" w:sz="4" w:space="0"/>
              <w:left w:val="single" w:color="auto" w:sz="4" w:space="0"/>
              <w:bottom w:val="single" w:color="auto" w:sz="4" w:space="0"/>
              <w:right w:val="single" w:color="auto" w:sz="4" w:space="0"/>
            </w:tcBorders>
            <w:vAlign w:val="center"/>
          </w:tcPr>
          <w:p w14:paraId="65E22616">
            <w:pPr>
              <w:adjustRightInd w:val="0"/>
              <w:snapToGrid w:val="0"/>
              <w:spacing w:line="360" w:lineRule="auto"/>
              <w:jc w:val="center"/>
              <w:rPr>
                <w:rFonts w:hint="eastAsia"/>
                <w:b/>
                <w:bCs/>
                <w:color w:val="auto"/>
                <w:sz w:val="21"/>
                <w:szCs w:val="21"/>
                <w:highlight w:val="none"/>
              </w:rPr>
            </w:pPr>
          </w:p>
        </w:tc>
      </w:tr>
      <w:tr w14:paraId="76DE8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1053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5ACF277">
            <w:pPr>
              <w:adjustRightInd w:val="0"/>
              <w:snapToGrid w:val="0"/>
              <w:spacing w:line="360" w:lineRule="auto"/>
              <w:jc w:val="left"/>
              <w:rPr>
                <w:rFonts w:hint="eastAsia"/>
                <w:b/>
                <w:bCs/>
                <w:color w:val="auto"/>
                <w:sz w:val="21"/>
                <w:szCs w:val="21"/>
                <w:highlight w:val="none"/>
              </w:rPr>
            </w:pPr>
            <w:r>
              <w:rPr>
                <w:rFonts w:hint="eastAsia"/>
                <w:b/>
                <w:bCs/>
                <w:color w:val="auto"/>
                <w:sz w:val="21"/>
                <w:szCs w:val="21"/>
                <w:highlight w:val="none"/>
              </w:rPr>
              <w:t>★以下（分包单位）承担的部分：</w:t>
            </w:r>
          </w:p>
        </w:tc>
      </w:tr>
      <w:tr w14:paraId="26591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14:paraId="51110256">
            <w:pPr>
              <w:adjustRightInd w:val="0"/>
              <w:snapToGrid w:val="0"/>
              <w:spacing w:line="360" w:lineRule="auto"/>
              <w:jc w:val="center"/>
              <w:rPr>
                <w:rFonts w:hint="eastAsia"/>
                <w:b/>
                <w:bCs/>
                <w:color w:val="auto"/>
                <w:sz w:val="21"/>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14:paraId="14937CC7">
            <w:pPr>
              <w:adjustRightInd w:val="0"/>
              <w:snapToGrid w:val="0"/>
              <w:spacing w:line="360" w:lineRule="auto"/>
              <w:jc w:val="center"/>
              <w:rPr>
                <w:rFonts w:hint="eastAsia"/>
                <w:b/>
                <w:bCs/>
                <w:color w:val="auto"/>
                <w:sz w:val="21"/>
                <w:szCs w:val="21"/>
                <w:highlight w:val="none"/>
              </w:rPr>
            </w:pPr>
          </w:p>
        </w:tc>
        <w:tc>
          <w:tcPr>
            <w:tcW w:w="1940" w:type="dxa"/>
            <w:tcBorders>
              <w:top w:val="single" w:color="auto" w:sz="4" w:space="0"/>
              <w:left w:val="single" w:color="auto" w:sz="4" w:space="0"/>
              <w:bottom w:val="single" w:color="auto" w:sz="4" w:space="0"/>
              <w:right w:val="single" w:color="auto" w:sz="4" w:space="0"/>
            </w:tcBorders>
            <w:shd w:val="clear" w:color="auto" w:fill="FFFFFF"/>
            <w:vAlign w:val="center"/>
          </w:tcPr>
          <w:p w14:paraId="7926A878">
            <w:pPr>
              <w:adjustRightInd w:val="0"/>
              <w:snapToGrid w:val="0"/>
              <w:spacing w:line="360" w:lineRule="auto"/>
              <w:jc w:val="center"/>
              <w:rPr>
                <w:rFonts w:hint="eastAsia"/>
                <w:b/>
                <w:bCs/>
                <w:color w:val="auto"/>
                <w:sz w:val="21"/>
                <w:szCs w:val="21"/>
                <w:highlight w:val="none"/>
              </w:rPr>
            </w:pPr>
          </w:p>
        </w:tc>
        <w:tc>
          <w:tcPr>
            <w:tcW w:w="1100" w:type="dxa"/>
            <w:tcBorders>
              <w:top w:val="single" w:color="auto" w:sz="4" w:space="0"/>
              <w:left w:val="single" w:color="auto" w:sz="4" w:space="0"/>
              <w:bottom w:val="single" w:color="auto" w:sz="4" w:space="0"/>
              <w:right w:val="single" w:color="auto" w:sz="4" w:space="0"/>
            </w:tcBorders>
            <w:shd w:val="clear" w:color="auto" w:fill="FFFFFF"/>
            <w:vAlign w:val="center"/>
          </w:tcPr>
          <w:p w14:paraId="5B19FD0D">
            <w:pPr>
              <w:adjustRightInd w:val="0"/>
              <w:snapToGrid w:val="0"/>
              <w:spacing w:line="360" w:lineRule="auto"/>
              <w:jc w:val="center"/>
              <w:rPr>
                <w:rFonts w:hint="eastAsia"/>
                <w:b/>
                <w:bCs/>
                <w:color w:val="auto"/>
                <w:sz w:val="21"/>
                <w:szCs w:val="21"/>
                <w:highlight w:val="none"/>
              </w:rPr>
            </w:pP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14:paraId="0F0DC680">
            <w:pPr>
              <w:adjustRightInd w:val="0"/>
              <w:snapToGrid w:val="0"/>
              <w:spacing w:line="360" w:lineRule="auto"/>
              <w:jc w:val="center"/>
              <w:rPr>
                <w:rFonts w:hint="eastAsia"/>
                <w:b/>
                <w:bCs/>
                <w:color w:val="auto"/>
                <w:sz w:val="21"/>
                <w:szCs w:val="21"/>
                <w:highlight w:val="none"/>
              </w:rPr>
            </w:pPr>
          </w:p>
        </w:tc>
        <w:tc>
          <w:tcPr>
            <w:tcW w:w="27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E84C9C2">
            <w:pPr>
              <w:adjustRightInd w:val="0"/>
              <w:snapToGrid w:val="0"/>
              <w:spacing w:line="360" w:lineRule="auto"/>
              <w:jc w:val="center"/>
              <w:rPr>
                <w:rFonts w:hint="eastAsia"/>
                <w:b/>
                <w:bCs/>
                <w:color w:val="auto"/>
                <w:sz w:val="21"/>
                <w:szCs w:val="21"/>
                <w:highlight w:val="none"/>
              </w:rPr>
            </w:pPr>
          </w:p>
        </w:tc>
        <w:tc>
          <w:tcPr>
            <w:tcW w:w="1086" w:type="dxa"/>
            <w:gridSpan w:val="2"/>
            <w:tcBorders>
              <w:top w:val="single" w:color="auto" w:sz="4" w:space="0"/>
              <w:left w:val="single" w:color="auto" w:sz="4" w:space="0"/>
              <w:bottom w:val="single" w:color="auto" w:sz="4" w:space="0"/>
              <w:right w:val="single" w:color="auto" w:sz="4" w:space="0"/>
            </w:tcBorders>
            <w:vAlign w:val="center"/>
          </w:tcPr>
          <w:p w14:paraId="673CE639">
            <w:pPr>
              <w:adjustRightInd w:val="0"/>
              <w:snapToGrid w:val="0"/>
              <w:spacing w:line="360" w:lineRule="auto"/>
              <w:jc w:val="center"/>
              <w:rPr>
                <w:rFonts w:hint="eastAsia"/>
                <w:b/>
                <w:bCs/>
                <w:color w:val="auto"/>
                <w:sz w:val="21"/>
                <w:szCs w:val="21"/>
                <w:highlight w:val="none"/>
              </w:rPr>
            </w:pPr>
          </w:p>
        </w:tc>
      </w:tr>
      <w:tr w14:paraId="6571E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41" w:type="dxa"/>
          <w:trHeight w:val="340" w:hRule="atLeast"/>
        </w:trPr>
        <w:tc>
          <w:tcPr>
            <w:tcW w:w="10530" w:type="dxa"/>
            <w:gridSpan w:val="8"/>
            <w:tcBorders>
              <w:top w:val="single" w:color="auto" w:sz="4" w:space="0"/>
              <w:left w:val="single" w:color="auto" w:sz="4" w:space="0"/>
              <w:bottom w:val="single" w:color="auto" w:sz="4" w:space="0"/>
              <w:right w:val="single" w:color="auto" w:sz="4" w:space="0"/>
            </w:tcBorders>
            <w:vAlign w:val="center"/>
          </w:tcPr>
          <w:p w14:paraId="42909AA7">
            <w:pPr>
              <w:adjustRightInd w:val="0"/>
              <w:snapToGrid w:val="0"/>
              <w:spacing w:line="288" w:lineRule="auto"/>
              <w:jc w:val="center"/>
              <w:rPr>
                <w:rFonts w:hint="eastAsia"/>
                <w:b/>
                <w:bCs/>
                <w:color w:val="auto"/>
                <w:sz w:val="21"/>
                <w:szCs w:val="21"/>
                <w:highlight w:val="none"/>
              </w:rPr>
            </w:pPr>
            <w:r>
              <w:rPr>
                <w:rFonts w:hint="eastAsia"/>
                <w:b/>
                <w:bCs/>
                <w:color w:val="auto"/>
                <w:sz w:val="21"/>
                <w:szCs w:val="21"/>
                <w:highlight w:val="none"/>
              </w:rPr>
              <w:t>总价（人民币元）</w:t>
            </w:r>
          </w:p>
          <w:p w14:paraId="4089DC2C">
            <w:pPr>
              <w:adjustRightInd w:val="0"/>
              <w:snapToGrid w:val="0"/>
              <w:spacing w:line="288" w:lineRule="auto"/>
              <w:rPr>
                <w:rFonts w:hint="eastAsia"/>
                <w:b/>
                <w:bCs/>
                <w:color w:val="auto"/>
                <w:sz w:val="21"/>
                <w:szCs w:val="21"/>
                <w:highlight w:val="none"/>
              </w:rPr>
            </w:pPr>
          </w:p>
          <w:p w14:paraId="03D06638">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小写：_________________________</w:t>
            </w:r>
          </w:p>
          <w:p w14:paraId="6CEE2AD6">
            <w:pPr>
              <w:adjustRightInd w:val="0"/>
              <w:snapToGrid w:val="0"/>
              <w:spacing w:line="288" w:lineRule="auto"/>
              <w:rPr>
                <w:rFonts w:hint="eastAsia"/>
                <w:b/>
                <w:bCs/>
                <w:color w:val="auto"/>
                <w:sz w:val="21"/>
                <w:szCs w:val="21"/>
                <w:highlight w:val="none"/>
              </w:rPr>
            </w:pPr>
          </w:p>
          <w:p w14:paraId="07EE524D">
            <w:pPr>
              <w:adjustRightInd w:val="0"/>
              <w:snapToGrid w:val="0"/>
              <w:spacing w:line="288" w:lineRule="auto"/>
              <w:rPr>
                <w:rFonts w:hint="eastAsia"/>
                <w:b/>
                <w:bCs/>
                <w:color w:val="auto"/>
                <w:sz w:val="21"/>
                <w:szCs w:val="21"/>
                <w:highlight w:val="none"/>
              </w:rPr>
            </w:pPr>
            <w:r>
              <w:rPr>
                <w:rFonts w:hint="eastAsia"/>
                <w:b/>
                <w:bCs/>
                <w:color w:val="auto"/>
                <w:sz w:val="21"/>
                <w:szCs w:val="21"/>
                <w:highlight w:val="none"/>
              </w:rPr>
              <w:t>大写：_________________________</w:t>
            </w:r>
          </w:p>
          <w:p w14:paraId="5CD7FF81">
            <w:pPr>
              <w:adjustRightInd w:val="0"/>
              <w:snapToGrid w:val="0"/>
              <w:spacing w:line="288" w:lineRule="auto"/>
              <w:rPr>
                <w:rFonts w:hint="eastAsia"/>
                <w:b/>
                <w:bCs/>
                <w:color w:val="auto"/>
                <w:sz w:val="21"/>
                <w:szCs w:val="21"/>
                <w:highlight w:val="none"/>
              </w:rPr>
            </w:pPr>
          </w:p>
        </w:tc>
      </w:tr>
    </w:tbl>
    <w:p w14:paraId="5D9774C1">
      <w:pPr>
        <w:adjustRightInd w:val="0"/>
        <w:snapToGrid w:val="0"/>
        <w:spacing w:line="288" w:lineRule="auto"/>
        <w:rPr>
          <w:rFonts w:hint="eastAsia"/>
          <w:color w:val="auto"/>
          <w:spacing w:val="-6"/>
          <w:sz w:val="21"/>
          <w:szCs w:val="21"/>
          <w:highlight w:val="none"/>
        </w:rPr>
      </w:pPr>
    </w:p>
    <w:p w14:paraId="1667035B">
      <w:pPr>
        <w:adjustRightInd w:val="0"/>
        <w:snapToGrid w:val="0"/>
        <w:spacing w:line="288" w:lineRule="auto"/>
        <w:rPr>
          <w:rFonts w:hint="eastAsia"/>
          <w:b/>
          <w:bCs/>
          <w:color w:val="auto"/>
          <w:spacing w:val="-6"/>
          <w:sz w:val="21"/>
          <w:szCs w:val="21"/>
          <w:highlight w:val="none"/>
        </w:rPr>
      </w:pPr>
      <w:r>
        <w:rPr>
          <w:rFonts w:hint="eastAsia"/>
          <w:b/>
          <w:bCs/>
          <w:color w:val="auto"/>
          <w:spacing w:val="-6"/>
          <w:sz w:val="21"/>
          <w:szCs w:val="21"/>
          <w:highlight w:val="none"/>
        </w:rPr>
        <w:t>说明：</w:t>
      </w:r>
    </w:p>
    <w:p w14:paraId="08F87B7A">
      <w:pPr>
        <w:adjustRightInd w:val="0"/>
        <w:snapToGrid w:val="0"/>
        <w:spacing w:line="288" w:lineRule="auto"/>
        <w:rPr>
          <w:rFonts w:hint="eastAsia"/>
          <w:color w:val="auto"/>
          <w:sz w:val="21"/>
          <w:szCs w:val="21"/>
          <w:highlight w:val="none"/>
        </w:rPr>
      </w:pPr>
      <w:r>
        <w:rPr>
          <w:rFonts w:hint="eastAsia"/>
          <w:color w:val="auto"/>
          <w:sz w:val="21"/>
          <w:szCs w:val="21"/>
          <w:highlight w:val="none"/>
        </w:rPr>
        <w:t>1.初次报价一览表应按照本磋商文件“第三章 供应商须知”关于“磋商报价”的规定填写；</w:t>
      </w:r>
    </w:p>
    <w:p w14:paraId="3FA59A63">
      <w:pPr>
        <w:adjustRightInd w:val="0"/>
        <w:snapToGrid w:val="0"/>
        <w:spacing w:line="288" w:lineRule="auto"/>
        <w:rPr>
          <w:rFonts w:hint="eastAsia"/>
          <w:color w:val="auto"/>
          <w:sz w:val="21"/>
          <w:szCs w:val="21"/>
          <w:highlight w:val="none"/>
        </w:rPr>
      </w:pPr>
      <w:r>
        <w:rPr>
          <w:rFonts w:hint="eastAsia"/>
          <w:color w:val="auto"/>
          <w:sz w:val="21"/>
          <w:szCs w:val="21"/>
          <w:highlight w:val="none"/>
        </w:rPr>
        <w:t>★2.联合体其他成员承担的部分、分包单位承担的部分，应在表中列明。</w:t>
      </w:r>
    </w:p>
    <w:p w14:paraId="4F20A21A">
      <w:pPr>
        <w:adjustRightInd w:val="0"/>
        <w:snapToGrid w:val="0"/>
        <w:spacing w:line="288" w:lineRule="auto"/>
        <w:rPr>
          <w:rFonts w:hint="eastAsia"/>
          <w:color w:val="auto"/>
          <w:sz w:val="21"/>
          <w:szCs w:val="21"/>
          <w:highlight w:val="none"/>
        </w:rPr>
      </w:pPr>
    </w:p>
    <w:p w14:paraId="31F7ACFE">
      <w:pPr>
        <w:adjustRightInd w:val="0"/>
        <w:snapToGrid w:val="0"/>
        <w:spacing w:line="288" w:lineRule="auto"/>
        <w:rPr>
          <w:rFonts w:hint="eastAsia"/>
          <w:color w:val="auto"/>
          <w:sz w:val="21"/>
          <w:szCs w:val="21"/>
          <w:highlight w:val="none"/>
        </w:rPr>
      </w:pPr>
    </w:p>
    <w:p w14:paraId="05B4552F">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供应商名称（</w:t>
      </w:r>
      <w:r>
        <w:rPr>
          <w:rFonts w:cs="Times New Roman"/>
          <w:b/>
          <w:bCs/>
          <w:color w:val="auto"/>
          <w:spacing w:val="-6"/>
          <w:sz w:val="21"/>
          <w:szCs w:val="21"/>
          <w:highlight w:val="none"/>
        </w:rPr>
        <w:t>电子签名/公章</w:t>
      </w:r>
      <w:r>
        <w:rPr>
          <w:rFonts w:hint="eastAsia" w:cs="Times New Roman"/>
          <w:b/>
          <w:bCs/>
          <w:color w:val="auto"/>
          <w:spacing w:val="-6"/>
          <w:sz w:val="21"/>
          <w:szCs w:val="21"/>
          <w:highlight w:val="none"/>
        </w:rPr>
        <w:t>）：</w:t>
      </w:r>
    </w:p>
    <w:p w14:paraId="7234956F">
      <w:pPr>
        <w:adjustRightInd w:val="0"/>
        <w:snapToGrid w:val="0"/>
        <w:spacing w:line="288" w:lineRule="auto"/>
        <w:rPr>
          <w:rFonts w:hint="eastAsia" w:cs="Times New Roman"/>
          <w:b/>
          <w:bCs/>
          <w:color w:val="auto"/>
          <w:spacing w:val="-6"/>
          <w:sz w:val="21"/>
          <w:szCs w:val="21"/>
          <w:highlight w:val="none"/>
        </w:rPr>
      </w:pPr>
      <w:r>
        <w:rPr>
          <w:rFonts w:hint="eastAsia" w:cs="Times New Roman"/>
          <w:b/>
          <w:bCs/>
          <w:color w:val="auto"/>
          <w:spacing w:val="-6"/>
          <w:sz w:val="21"/>
          <w:szCs w:val="21"/>
          <w:highlight w:val="none"/>
        </w:rPr>
        <w:t>日期：     年   月   日</w:t>
      </w:r>
    </w:p>
    <w:bookmarkEnd w:id="71"/>
    <w:p w14:paraId="6655A75A">
      <w:pPr>
        <w:adjustRightInd w:val="0"/>
        <w:snapToGrid w:val="0"/>
        <w:spacing w:line="288" w:lineRule="auto"/>
        <w:rPr>
          <w:rFonts w:hint="eastAsia"/>
          <w:color w:val="auto"/>
          <w:sz w:val="21"/>
          <w:szCs w:val="21"/>
          <w:highlight w:val="none"/>
        </w:rPr>
      </w:pPr>
      <w:r>
        <w:rPr>
          <w:rFonts w:hint="eastAsia"/>
          <w:color w:val="auto"/>
          <w:sz w:val="21"/>
          <w:szCs w:val="21"/>
          <w:highlight w:val="none"/>
        </w:rPr>
        <w:br w:type="page"/>
      </w:r>
    </w:p>
    <w:p w14:paraId="7F02146A">
      <w:pPr>
        <w:adjustRightInd w:val="0"/>
        <w:snapToGrid w:val="0"/>
        <w:spacing w:line="288" w:lineRule="auto"/>
        <w:outlineLvl w:val="2"/>
        <w:rPr>
          <w:rFonts w:hint="eastAsia" w:cs="Times New Roman"/>
          <w:b/>
          <w:bCs/>
          <w:color w:val="auto"/>
          <w:sz w:val="21"/>
          <w:szCs w:val="21"/>
          <w:highlight w:val="none"/>
        </w:rPr>
      </w:pPr>
      <w:r>
        <w:rPr>
          <w:rFonts w:cs="Times New Roman"/>
          <w:b/>
          <w:color w:val="auto"/>
          <w:spacing w:val="-6"/>
          <w:sz w:val="21"/>
          <w:szCs w:val="21"/>
          <w:highlight w:val="none"/>
        </w:rPr>
        <w:t>附件</w:t>
      </w:r>
      <w:r>
        <w:rPr>
          <w:rFonts w:hint="eastAsia" w:cs="Times New Roman"/>
          <w:b/>
          <w:color w:val="auto"/>
          <w:spacing w:val="-6"/>
          <w:sz w:val="21"/>
          <w:szCs w:val="21"/>
          <w:highlight w:val="none"/>
        </w:rPr>
        <w:t>1：</w:t>
      </w:r>
      <w:r>
        <w:rPr>
          <w:rFonts w:hint="eastAsia" w:cs="Times New Roman"/>
          <w:b/>
          <w:bCs/>
          <w:color w:val="auto"/>
          <w:sz w:val="21"/>
          <w:szCs w:val="21"/>
          <w:highlight w:val="none"/>
        </w:rPr>
        <w:t>业务专用章使用说明函</w:t>
      </w:r>
    </w:p>
    <w:p w14:paraId="0DD615DB">
      <w:pPr>
        <w:snapToGrid w:val="0"/>
        <w:spacing w:line="288" w:lineRule="auto"/>
        <w:rPr>
          <w:rFonts w:hint="eastAsia" w:cs="仿宋_GB2312"/>
          <w:color w:val="auto"/>
          <w:sz w:val="21"/>
          <w:szCs w:val="21"/>
          <w:highlight w:val="none"/>
          <w:u w:val="single"/>
        </w:rPr>
      </w:pPr>
    </w:p>
    <w:p w14:paraId="69112309">
      <w:pPr>
        <w:snapToGrid w:val="0"/>
        <w:spacing w:line="288" w:lineRule="auto"/>
        <w:rPr>
          <w:rFonts w:hint="eastAsia" w:cs="Times New Roman"/>
          <w:color w:val="auto"/>
          <w:sz w:val="21"/>
          <w:szCs w:val="21"/>
          <w:highlight w:val="none"/>
        </w:rPr>
      </w:pPr>
      <w:r>
        <w:rPr>
          <w:rFonts w:hint="eastAsia" w:cs="仿宋_GB2312"/>
          <w:color w:val="auto"/>
          <w:sz w:val="21"/>
          <w:szCs w:val="21"/>
          <w:highlight w:val="none"/>
          <w:u w:val="single"/>
        </w:rPr>
        <w:t>（采购人）、（采购代理机构）</w:t>
      </w:r>
    </w:p>
    <w:p w14:paraId="5179FE1D">
      <w:pPr>
        <w:snapToGrid w:val="0"/>
        <w:spacing w:line="288" w:lineRule="auto"/>
        <w:ind w:firstLine="424" w:firstLineChars="202"/>
        <w:rPr>
          <w:rFonts w:hint="eastAsia"/>
          <w:color w:val="auto"/>
          <w:sz w:val="21"/>
          <w:szCs w:val="21"/>
          <w:highlight w:val="none"/>
        </w:rPr>
      </w:pPr>
      <w:r>
        <w:rPr>
          <w:rFonts w:hint="eastAsia" w:cs="仿宋_GB2312"/>
          <w:color w:val="auto"/>
          <w:kern w:val="0"/>
          <w:sz w:val="21"/>
          <w:szCs w:val="21"/>
          <w:highlight w:val="none"/>
          <w:lang w:val="zh-CN"/>
        </w:rPr>
        <w:t>我方</w:t>
      </w:r>
      <w:r>
        <w:rPr>
          <w:rFonts w:cs="仿宋_GB2312"/>
          <w:color w:val="auto"/>
          <w:kern w:val="0"/>
          <w:sz w:val="21"/>
          <w:szCs w:val="21"/>
          <w:highlight w:val="none"/>
          <w:u w:val="single"/>
          <w:lang w:val="zh-CN"/>
        </w:rPr>
        <w:t xml:space="preserve">                         </w:t>
      </w:r>
      <w:r>
        <w:rPr>
          <w:rFonts w:cs="仿宋_GB2312"/>
          <w:color w:val="auto"/>
          <w:sz w:val="21"/>
          <w:szCs w:val="21"/>
          <w:highlight w:val="none"/>
        </w:rPr>
        <w:t>(供应商全称)</w:t>
      </w:r>
      <w:r>
        <w:rPr>
          <w:rFonts w:hint="eastAsia" w:cs="Times New Roman"/>
          <w:color w:val="auto"/>
          <w:sz w:val="21"/>
          <w:szCs w:val="21"/>
          <w:highlight w:val="none"/>
        </w:rPr>
        <w:t>是中华人民共和国依法登记注册的合法企业，</w:t>
      </w:r>
      <w:r>
        <w:rPr>
          <w:rFonts w:hint="eastAsia"/>
          <w:bCs/>
          <w:color w:val="auto"/>
          <w:sz w:val="21"/>
          <w:szCs w:val="21"/>
          <w:highlight w:val="none"/>
        </w:rPr>
        <w:t>在参加</w:t>
      </w:r>
      <w:r>
        <w:rPr>
          <w:rFonts w:hint="eastAsia" w:cs="仿宋_GB2312"/>
          <w:color w:val="auto"/>
          <w:sz w:val="21"/>
          <w:szCs w:val="21"/>
          <w:highlight w:val="none"/>
        </w:rPr>
        <w:t>你方组织的</w:t>
      </w:r>
      <w:r>
        <w:rPr>
          <w:rFonts w:hint="eastAsia" w:cs="仿宋_GB2312"/>
          <w:color w:val="auto"/>
          <w:sz w:val="21"/>
          <w:szCs w:val="21"/>
          <w:highlight w:val="none"/>
          <w:u w:val="single"/>
        </w:rPr>
        <w:t>（项目名称）</w:t>
      </w:r>
      <w:r>
        <w:rPr>
          <w:rFonts w:hint="eastAsia" w:cs="仿宋_GB2312"/>
          <w:color w:val="auto"/>
          <w:sz w:val="21"/>
          <w:szCs w:val="21"/>
          <w:highlight w:val="none"/>
        </w:rPr>
        <w:t>项目</w:t>
      </w:r>
      <w:r>
        <w:rPr>
          <w:rFonts w:hint="eastAsia" w:cs="仿宋_GB2312"/>
          <w:color w:val="auto"/>
          <w:sz w:val="21"/>
          <w:szCs w:val="21"/>
          <w:highlight w:val="none"/>
          <w:u w:val="single"/>
        </w:rPr>
        <w:t>（项目编号）</w:t>
      </w:r>
      <w:r>
        <w:rPr>
          <w:rFonts w:hint="eastAsia"/>
          <w:bCs/>
          <w:color w:val="auto"/>
          <w:sz w:val="21"/>
          <w:szCs w:val="21"/>
          <w:highlight w:val="none"/>
        </w:rPr>
        <w:t>响应（响应）活动中作如下说明：</w:t>
      </w:r>
      <w:r>
        <w:rPr>
          <w:rFonts w:hint="eastAsia"/>
          <w:color w:val="auto"/>
          <w:sz w:val="21"/>
          <w:szCs w:val="21"/>
          <w:highlight w:val="none"/>
        </w:rPr>
        <w:t>我方所使用的</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与法定名称章具有同等的法律效力，对使用</w:t>
      </w:r>
      <w:r>
        <w:rPr>
          <w:rFonts w:hint="eastAsia"/>
          <w:color w:val="auto"/>
          <w:sz w:val="21"/>
          <w:szCs w:val="21"/>
          <w:highlight w:val="none"/>
          <w:u w:val="single"/>
        </w:rPr>
        <w:t>“</w:t>
      </w:r>
      <w:r>
        <w:rPr>
          <w:rFonts w:cs="仿宋_GB2312"/>
          <w:color w:val="auto"/>
          <w:sz w:val="21"/>
          <w:szCs w:val="21"/>
          <w:highlight w:val="none"/>
          <w:u w:val="single"/>
        </w:rPr>
        <w:t>XX</w:t>
      </w:r>
      <w:r>
        <w:rPr>
          <w:rFonts w:hint="eastAsia"/>
          <w:color w:val="auto"/>
          <w:sz w:val="21"/>
          <w:szCs w:val="21"/>
          <w:highlight w:val="none"/>
          <w:u w:val="single"/>
        </w:rPr>
        <w:t>专用章”</w:t>
      </w:r>
      <w:r>
        <w:rPr>
          <w:rFonts w:hint="eastAsia"/>
          <w:color w:val="auto"/>
          <w:sz w:val="21"/>
          <w:szCs w:val="21"/>
          <w:highlight w:val="none"/>
        </w:rPr>
        <w:t>的行为予以完全承认，并愿意承担相应责任。</w:t>
      </w:r>
    </w:p>
    <w:p w14:paraId="50168350">
      <w:pPr>
        <w:snapToGrid w:val="0"/>
        <w:spacing w:line="288" w:lineRule="auto"/>
        <w:ind w:firstLine="424" w:firstLineChars="202"/>
        <w:rPr>
          <w:rFonts w:hint="eastAsia"/>
          <w:color w:val="auto"/>
          <w:sz w:val="21"/>
          <w:szCs w:val="21"/>
          <w:highlight w:val="none"/>
        </w:rPr>
      </w:pPr>
      <w:r>
        <w:rPr>
          <w:rFonts w:hint="eastAsia"/>
          <w:color w:val="auto"/>
          <w:sz w:val="21"/>
          <w:szCs w:val="21"/>
          <w:highlight w:val="none"/>
        </w:rPr>
        <w:t>特此说明。</w:t>
      </w:r>
    </w:p>
    <w:p w14:paraId="0AB879AB">
      <w:pPr>
        <w:snapToGrid w:val="0"/>
        <w:spacing w:line="288" w:lineRule="auto"/>
        <w:ind w:right="480" w:firstLine="424" w:firstLineChars="202"/>
        <w:rPr>
          <w:rFonts w:hint="eastAsia"/>
          <w:color w:val="auto"/>
          <w:sz w:val="21"/>
          <w:szCs w:val="21"/>
          <w:highlight w:val="none"/>
        </w:rPr>
      </w:pPr>
      <w:r>
        <w:rPr>
          <w:rFonts w:hint="eastAsia"/>
          <w:color w:val="auto"/>
          <w:sz w:val="21"/>
          <w:szCs w:val="21"/>
          <w:highlight w:val="none"/>
        </w:rPr>
        <w:t>供应商（法定名称章）：</w:t>
      </w:r>
    </w:p>
    <w:p w14:paraId="62205449">
      <w:pPr>
        <w:snapToGrid w:val="0"/>
        <w:spacing w:line="288" w:lineRule="auto"/>
        <w:ind w:right="1440" w:firstLine="424" w:firstLineChars="202"/>
        <w:rPr>
          <w:rFonts w:hint="eastAsia"/>
          <w:color w:val="auto"/>
          <w:sz w:val="21"/>
          <w:szCs w:val="21"/>
          <w:highlight w:val="none"/>
        </w:rPr>
      </w:pPr>
      <w:r>
        <w:rPr>
          <w:color w:val="auto"/>
          <w:sz w:val="21"/>
          <w:szCs w:val="21"/>
          <w:highlight w:val="none"/>
        </w:rPr>
        <w:t>日期：       年     月     日</w:t>
      </w:r>
    </w:p>
    <w:p w14:paraId="0D4E5315">
      <w:pPr>
        <w:snapToGrid w:val="0"/>
        <w:spacing w:line="288" w:lineRule="auto"/>
        <w:rPr>
          <w:rFonts w:hint="eastAsia"/>
          <w:b/>
          <w:bCs/>
          <w:color w:val="auto"/>
          <w:sz w:val="21"/>
          <w:szCs w:val="21"/>
          <w:highlight w:val="none"/>
        </w:rPr>
      </w:pPr>
    </w:p>
    <w:p w14:paraId="10D608F3">
      <w:pPr>
        <w:snapToGrid w:val="0"/>
        <w:spacing w:line="288" w:lineRule="auto"/>
        <w:rPr>
          <w:rFonts w:hint="eastAsia"/>
          <w:color w:val="auto"/>
          <w:sz w:val="21"/>
          <w:szCs w:val="21"/>
          <w:highlight w:val="none"/>
        </w:rPr>
      </w:pPr>
      <w:r>
        <w:rPr>
          <w:rFonts w:hint="eastAsia"/>
          <w:b/>
          <w:bCs/>
          <w:color w:val="auto"/>
          <w:sz w:val="21"/>
          <w:szCs w:val="21"/>
          <w:highlight w:val="none"/>
        </w:rPr>
        <w:t>附：</w:t>
      </w:r>
      <w:r>
        <w:rPr>
          <w:rFonts w:hint="eastAsia"/>
          <w:color w:val="auto"/>
          <w:sz w:val="21"/>
          <w:szCs w:val="21"/>
          <w:highlight w:val="none"/>
        </w:rPr>
        <w:t>供应商法定名称章（印模）</w:t>
      </w:r>
      <w:r>
        <w:rPr>
          <w:color w:val="auto"/>
          <w:sz w:val="21"/>
          <w:szCs w:val="21"/>
          <w:highlight w:val="none"/>
        </w:rPr>
        <w:t xml:space="preserve">                </w:t>
      </w:r>
      <w:r>
        <w:rPr>
          <w:rFonts w:hint="eastAsia"/>
          <w:color w:val="auto"/>
          <w:sz w:val="21"/>
          <w:szCs w:val="21"/>
          <w:highlight w:val="none"/>
        </w:rPr>
        <w:t>供应商“</w:t>
      </w:r>
      <w:r>
        <w:rPr>
          <w:rFonts w:cs="仿宋_GB2312"/>
          <w:color w:val="auto"/>
          <w:sz w:val="21"/>
          <w:szCs w:val="21"/>
          <w:highlight w:val="none"/>
        </w:rPr>
        <w:t>XX</w:t>
      </w:r>
      <w:r>
        <w:rPr>
          <w:rFonts w:hint="eastAsia"/>
          <w:color w:val="auto"/>
          <w:sz w:val="21"/>
          <w:szCs w:val="21"/>
          <w:highlight w:val="none"/>
        </w:rPr>
        <w:t>专用章”（印模）</w:t>
      </w:r>
    </w:p>
    <w:p w14:paraId="7E220E37">
      <w:pPr>
        <w:snapToGrid w:val="0"/>
        <w:spacing w:line="288" w:lineRule="auto"/>
        <w:rPr>
          <w:rFonts w:hint="eastAsia"/>
          <w:color w:val="auto"/>
          <w:sz w:val="21"/>
          <w:szCs w:val="21"/>
          <w:highlight w:val="none"/>
        </w:rPr>
      </w:pPr>
      <w:r>
        <w:rPr>
          <w:rFonts w:cs="Times New Roman"/>
          <w:b/>
          <w:bCs/>
          <w:color w:val="auto"/>
          <w:sz w:val="21"/>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color w:val="auto"/>
          <w:sz w:val="21"/>
          <w:szCs w:val="21"/>
          <w:highlight w:val="none"/>
        </w:rPr>
        <w:t xml:space="preserve"> </w:t>
      </w:r>
      <w:r>
        <w:rPr>
          <w:rFonts w:cs="Times New Roman"/>
          <w:b/>
          <w:bCs/>
          <w:color w:val="auto"/>
          <w:sz w:val="21"/>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7B88602B">
      <w:pPr>
        <w:widowControl/>
        <w:jc w:val="left"/>
        <w:rPr>
          <w:rFonts w:hint="eastAsia"/>
          <w:b/>
          <w:color w:val="auto"/>
          <w:spacing w:val="-6"/>
          <w:sz w:val="21"/>
          <w:szCs w:val="21"/>
          <w:highlight w:val="none"/>
        </w:rPr>
      </w:pPr>
      <w:r>
        <w:rPr>
          <w:b/>
          <w:color w:val="auto"/>
          <w:spacing w:val="-6"/>
          <w:sz w:val="21"/>
          <w:szCs w:val="21"/>
          <w:highlight w:val="none"/>
        </w:rPr>
        <w:br w:type="page"/>
      </w:r>
    </w:p>
    <w:p w14:paraId="39DE4C21">
      <w:pPr>
        <w:snapToGrid w:val="0"/>
        <w:spacing w:line="288" w:lineRule="auto"/>
        <w:jc w:val="center"/>
        <w:outlineLvl w:val="2"/>
        <w:rPr>
          <w:rFonts w:hint="eastAsia" w:cs="仿宋_GB2312"/>
          <w:b/>
          <w:color w:val="auto"/>
          <w:kern w:val="0"/>
          <w:sz w:val="21"/>
          <w:szCs w:val="21"/>
          <w:highlight w:val="none"/>
          <w:lang w:val="zh-CN"/>
        </w:rPr>
      </w:pPr>
      <w:r>
        <w:rPr>
          <w:rFonts w:hint="eastAsia" w:cs="仿宋_GB2312"/>
          <w:b/>
          <w:color w:val="auto"/>
          <w:kern w:val="0"/>
          <w:sz w:val="21"/>
          <w:szCs w:val="21"/>
          <w:highlight w:val="none"/>
          <w:lang w:val="zh-CN"/>
        </w:rPr>
        <w:t>附件2</w:t>
      </w:r>
      <w:r>
        <w:rPr>
          <w:rFonts w:cs="仿宋_GB2312"/>
          <w:b/>
          <w:color w:val="auto"/>
          <w:kern w:val="0"/>
          <w:sz w:val="21"/>
          <w:szCs w:val="21"/>
          <w:highlight w:val="none"/>
          <w:lang w:val="zh-CN"/>
        </w:rPr>
        <w:t>：</w:t>
      </w:r>
      <w:r>
        <w:rPr>
          <w:rFonts w:hint="eastAsia" w:cs="仿宋_GB2312"/>
          <w:b/>
          <w:color w:val="auto"/>
          <w:kern w:val="0"/>
          <w:sz w:val="21"/>
          <w:szCs w:val="21"/>
          <w:highlight w:val="none"/>
          <w:lang w:val="zh-CN"/>
        </w:rPr>
        <w:t>联合协议</w:t>
      </w:r>
    </w:p>
    <w:p w14:paraId="201B673B">
      <w:pPr>
        <w:widowControl/>
        <w:snapToGrid w:val="0"/>
        <w:spacing w:line="288" w:lineRule="auto"/>
        <w:ind w:firstLine="424" w:firstLineChars="201"/>
        <w:jc w:val="left"/>
        <w:rPr>
          <w:rFonts w:hint="eastAsia" w:cs="仿宋_GB2312"/>
          <w:b/>
          <w:color w:val="auto"/>
          <w:sz w:val="21"/>
          <w:szCs w:val="21"/>
          <w:highlight w:val="none"/>
        </w:rPr>
      </w:pPr>
      <w:r>
        <w:rPr>
          <w:rFonts w:hint="eastAsia" w:cs="仿宋_GB2312"/>
          <w:b/>
          <w:color w:val="auto"/>
          <w:sz w:val="21"/>
          <w:szCs w:val="21"/>
          <w:highlight w:val="none"/>
        </w:rPr>
        <w:t>（以联合体形式响应的，提供联合协议；本项目不接受联合体响应或者供应商不以联合体形式响应的，则不需要提供）</w:t>
      </w:r>
    </w:p>
    <w:p w14:paraId="565402B9">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（联合体所有成员名称）</w:t>
      </w:r>
      <w:r>
        <w:rPr>
          <w:rFonts w:hint="eastAsia" w:cs="仿宋_GB2312"/>
          <w:color w:val="auto"/>
          <w:kern w:val="0"/>
          <w:sz w:val="21"/>
          <w:szCs w:val="21"/>
          <w:highlight w:val="none"/>
        </w:rPr>
        <w:t>自愿</w:t>
      </w:r>
      <w:r>
        <w:rPr>
          <w:rFonts w:hint="eastAsia" w:cs="仿宋_GB2312"/>
          <w:color w:val="auto"/>
          <w:kern w:val="0"/>
          <w:sz w:val="21"/>
          <w:szCs w:val="21"/>
          <w:highlight w:val="none"/>
          <w:lang w:val="zh-CN"/>
        </w:rPr>
        <w:t>组成一个联合体，以一个供应商的身份</w:t>
      </w:r>
      <w:r>
        <w:rPr>
          <w:rFonts w:hint="eastAsia" w:cs="仿宋_GB2312"/>
          <w:color w:val="auto"/>
          <w:kern w:val="0"/>
          <w:sz w:val="21"/>
          <w:szCs w:val="21"/>
          <w:highlight w:val="none"/>
        </w:rPr>
        <w:t>参加</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响应。</w:t>
      </w:r>
    </w:p>
    <w:p w14:paraId="6FF94733">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一、各方一致决定，</w:t>
      </w:r>
      <w:r>
        <w:rPr>
          <w:rFonts w:hint="eastAsia" w:cs="仿宋_GB2312"/>
          <w:color w:val="auto"/>
          <w:kern w:val="0"/>
          <w:sz w:val="21"/>
          <w:szCs w:val="21"/>
          <w:highlight w:val="none"/>
          <w:u w:val="single"/>
        </w:rPr>
        <w:t>（某联合体成员名称）</w:t>
      </w:r>
      <w:r>
        <w:rPr>
          <w:rFonts w:hint="eastAsia" w:cs="仿宋_GB2312"/>
          <w:color w:val="auto"/>
          <w:kern w:val="0"/>
          <w:sz w:val="21"/>
          <w:szCs w:val="21"/>
          <w:highlight w:val="none"/>
        </w:rPr>
        <w:t>为联合体</w:t>
      </w:r>
      <w:r>
        <w:rPr>
          <w:rFonts w:hint="eastAsia" w:cs="仿宋_GB2312"/>
          <w:color w:val="auto"/>
          <w:kern w:val="0"/>
          <w:sz w:val="21"/>
          <w:szCs w:val="21"/>
          <w:highlight w:val="none"/>
          <w:lang w:val="zh-CN"/>
        </w:rPr>
        <w:t>牵头人</w:t>
      </w:r>
      <w:r>
        <w:rPr>
          <w:rFonts w:hint="eastAsia" w:cs="Arial"/>
          <w:color w:val="auto"/>
          <w:sz w:val="21"/>
          <w:szCs w:val="21"/>
          <w:highlight w:val="none"/>
        </w:rPr>
        <w:t>，代表所有联合体成员负责响应和合同实施阶段的主办、协调工作</w:t>
      </w:r>
      <w:r>
        <w:rPr>
          <w:rFonts w:hint="eastAsia" w:cs="仿宋_GB2312"/>
          <w:color w:val="auto"/>
          <w:kern w:val="0"/>
          <w:sz w:val="21"/>
          <w:szCs w:val="21"/>
          <w:highlight w:val="none"/>
          <w:lang w:val="zh-CN"/>
        </w:rPr>
        <w:t>。</w:t>
      </w:r>
    </w:p>
    <w:p w14:paraId="492D611E">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二、</w:t>
      </w:r>
      <w:r>
        <w:rPr>
          <w:rFonts w:hint="eastAsia" w:cs="Arial"/>
          <w:color w:val="auto"/>
          <w:sz w:val="21"/>
          <w:szCs w:val="21"/>
          <w:highlight w:val="none"/>
        </w:rPr>
        <w:t>所有联合体成员各方签署授权书，授权书载明的</w:t>
      </w:r>
      <w:r>
        <w:rPr>
          <w:rFonts w:hint="eastAsia" w:cs="仿宋_GB2312"/>
          <w:color w:val="auto"/>
          <w:kern w:val="0"/>
          <w:sz w:val="21"/>
          <w:szCs w:val="21"/>
          <w:highlight w:val="none"/>
          <w:lang w:val="zh-CN"/>
        </w:rPr>
        <w:t>授权代表根据磋商文件规定及响应内容而对采购人、采购代理机构所作的任何合法承诺，包括书面澄清及</w:t>
      </w:r>
      <w:r>
        <w:rPr>
          <w:rFonts w:hint="eastAsia" w:cs="仿宋_GB2312"/>
          <w:color w:val="auto"/>
          <w:kern w:val="0"/>
          <w:sz w:val="21"/>
          <w:szCs w:val="21"/>
          <w:highlight w:val="none"/>
        </w:rPr>
        <w:t>响应</w:t>
      </w:r>
      <w:r>
        <w:rPr>
          <w:rFonts w:hint="eastAsia" w:cs="仿宋_GB2312"/>
          <w:color w:val="auto"/>
          <w:kern w:val="0"/>
          <w:sz w:val="21"/>
          <w:szCs w:val="21"/>
          <w:highlight w:val="none"/>
          <w:lang w:val="zh-CN"/>
        </w:rPr>
        <w:t>等均对联合响应各方产生约束力。</w:t>
      </w:r>
    </w:p>
    <w:p w14:paraId="6CF3A3D2">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三、本次联合响应中，分工如下：</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lang w:val="zh-CN"/>
        </w:rPr>
        <w:t>承担的工作和义务为：</w:t>
      </w:r>
      <w:r>
        <w:rPr>
          <w:rFonts w:cs="Times New Roman"/>
          <w:color w:val="auto"/>
          <w:sz w:val="21"/>
          <w:szCs w:val="21"/>
          <w:highlight w:val="none"/>
          <w:u w:val="single"/>
        </w:rPr>
        <w:t xml:space="preserve">             </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w:t>
      </w:r>
    </w:p>
    <w:p w14:paraId="59E0AD04">
      <w:pPr>
        <w:snapToGrid w:val="0"/>
        <w:spacing w:line="288" w:lineRule="auto"/>
        <w:ind w:firstLine="422" w:firstLineChars="201"/>
        <w:rPr>
          <w:rFonts w:hint="eastAsia" w:cs="仿宋_GB2312"/>
          <w:b/>
          <w:color w:val="auto"/>
          <w:kern w:val="0"/>
          <w:sz w:val="21"/>
          <w:szCs w:val="21"/>
          <w:highlight w:val="none"/>
          <w:lang w:val="zh-CN"/>
        </w:rPr>
      </w:pPr>
      <w:r>
        <w:rPr>
          <w:rFonts w:hint="eastAsia" w:cs="仿宋_GB2312"/>
          <w:color w:val="auto"/>
          <w:kern w:val="0"/>
          <w:sz w:val="21"/>
          <w:szCs w:val="21"/>
          <w:highlight w:val="none"/>
          <w:lang w:val="zh-CN"/>
        </w:rPr>
        <w:t>四、</w:t>
      </w:r>
      <w:r>
        <w:rPr>
          <w:rFonts w:hint="eastAsia" w:cs="仿宋_GB2312"/>
          <w:color w:val="auto"/>
          <w:kern w:val="0"/>
          <w:sz w:val="21"/>
          <w:szCs w:val="21"/>
          <w:highlight w:val="none"/>
          <w:u w:val="single"/>
        </w:rPr>
        <w:t>（联合体其中一方成员名称）</w:t>
      </w:r>
      <w:r>
        <w:rPr>
          <w:rFonts w:hint="eastAsia" w:cs="仿宋_GB2312"/>
          <w:color w:val="auto"/>
          <w:kern w:val="0"/>
          <w:sz w:val="21"/>
          <w:szCs w:val="21"/>
          <w:highlight w:val="none"/>
        </w:rPr>
        <w:t>提供的全部货物由小微企业制造，其合同份额占到合同总金额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仿宋_GB2312"/>
          <w:color w:val="auto"/>
          <w:kern w:val="0"/>
          <w:sz w:val="21"/>
          <w:szCs w:val="21"/>
          <w:highlight w:val="none"/>
          <w:lang w:val="zh-CN"/>
        </w:rPr>
        <w:t>……。</w:t>
      </w:r>
      <w:r>
        <w:rPr>
          <w:rFonts w:hint="eastAsia" w:cs="仿宋_GB2312"/>
          <w:b/>
          <w:color w:val="auto"/>
          <w:kern w:val="0"/>
          <w:sz w:val="21"/>
          <w:szCs w:val="21"/>
          <w:highlight w:val="none"/>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，对联合体报价给予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1B5A6ADE">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五、如果成交，</w:t>
      </w:r>
      <w:r>
        <w:rPr>
          <w:rFonts w:hint="eastAsia" w:cs="Times New Roman"/>
          <w:color w:val="auto"/>
          <w:sz w:val="21"/>
          <w:szCs w:val="21"/>
          <w:highlight w:val="none"/>
        </w:rPr>
        <w:t>联合体各成员方共同与采购人签订合同，并就采购合同约定的事项对采购人承担连带责任。</w:t>
      </w:r>
    </w:p>
    <w:p w14:paraId="76C27626">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六、有关本次联合响应的其他事宜：</w:t>
      </w:r>
    </w:p>
    <w:p w14:paraId="1D3B9627">
      <w:pP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1、联合体各方不再单独参加或者与其</w:t>
      </w:r>
      <w:r>
        <w:rPr>
          <w:rFonts w:hint="eastAsia" w:cs="仿宋_GB2312"/>
          <w:color w:val="auto"/>
          <w:kern w:val="0"/>
          <w:sz w:val="21"/>
          <w:szCs w:val="21"/>
          <w:highlight w:val="none"/>
          <w:lang w:val="zh-CN"/>
        </w:rPr>
        <w:t>他供应商另外组成联合体参加同一合同项下的政府采购活动。</w:t>
      </w:r>
    </w:p>
    <w:p w14:paraId="11FC23DF">
      <w:pP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2、联合体中有同类资质的各方按照联合体分工承担相同工作的，按照资质等级较低的供应商确定资质等级。</w:t>
      </w:r>
    </w:p>
    <w:p w14:paraId="10F8E35A">
      <w:pPr>
        <w:snapToGrid w:val="0"/>
        <w:spacing w:line="288" w:lineRule="auto"/>
        <w:ind w:firstLine="422" w:firstLineChars="201"/>
        <w:rPr>
          <w:rFonts w:hint="eastAsia" w:cs="仿宋_GB2312"/>
          <w:color w:val="auto"/>
          <w:kern w:val="0"/>
          <w:sz w:val="21"/>
          <w:szCs w:val="21"/>
          <w:highlight w:val="none"/>
          <w:lang w:val="zh-CN"/>
        </w:rPr>
      </w:pPr>
      <w:r>
        <w:rPr>
          <w:rFonts w:cs="仿宋_GB2312"/>
          <w:color w:val="auto"/>
          <w:kern w:val="0"/>
          <w:sz w:val="21"/>
          <w:szCs w:val="21"/>
          <w:highlight w:val="none"/>
          <w:lang w:val="zh-CN"/>
        </w:rPr>
        <w:t>3、本协议提交采购人、</w:t>
      </w:r>
      <w:r>
        <w:rPr>
          <w:rFonts w:hint="eastAsia" w:cs="仿宋_GB2312"/>
          <w:color w:val="auto"/>
          <w:kern w:val="0"/>
          <w:sz w:val="21"/>
          <w:szCs w:val="21"/>
          <w:highlight w:val="none"/>
          <w:lang w:val="zh-CN"/>
        </w:rPr>
        <w:t>采购代理机构</w:t>
      </w:r>
      <w:r>
        <w:rPr>
          <w:rFonts w:cs="仿宋_GB2312"/>
          <w:color w:val="auto"/>
          <w:kern w:val="0"/>
          <w:sz w:val="21"/>
          <w:szCs w:val="21"/>
          <w:highlight w:val="none"/>
          <w:lang w:val="zh-CN"/>
        </w:rPr>
        <w:t>后，联合体各方不得以任何形式对上述内容进行修改或撤销。</w:t>
      </w:r>
    </w:p>
    <w:p w14:paraId="3736B628">
      <w:pPr>
        <w:snapToGrid w:val="0"/>
        <w:spacing w:line="288" w:lineRule="auto"/>
        <w:ind w:firstLine="422" w:firstLineChars="201"/>
        <w:rPr>
          <w:rFonts w:hint="eastAsia" w:cs="仿宋_GB2312"/>
          <w:color w:val="auto"/>
          <w:kern w:val="0"/>
          <w:sz w:val="21"/>
          <w:szCs w:val="21"/>
          <w:highlight w:val="none"/>
          <w:lang w:val="zh-CN"/>
        </w:rPr>
      </w:pPr>
    </w:p>
    <w:p w14:paraId="48F6FACA">
      <w:pPr>
        <w:snapToGrid w:val="0"/>
        <w:spacing w:line="288" w:lineRule="auto"/>
        <w:ind w:firstLine="422" w:firstLineChars="201"/>
        <w:rPr>
          <w:rFonts w:hint="eastAsia" w:cs="仿宋_GB2312"/>
          <w:color w:val="auto"/>
          <w:kern w:val="0"/>
          <w:sz w:val="21"/>
          <w:szCs w:val="21"/>
          <w:highlight w:val="none"/>
          <w:lang w:val="zh-CN"/>
        </w:rPr>
      </w:pPr>
    </w:p>
    <w:p w14:paraId="4600048E">
      <w:pPr>
        <w:snapToGrid w:val="0"/>
        <w:spacing w:line="288" w:lineRule="auto"/>
        <w:ind w:firstLine="424" w:firstLineChars="201"/>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联合体成员名称</w:t>
      </w:r>
      <w:r>
        <w:rPr>
          <w:rFonts w:cs="仿宋_GB2312"/>
          <w:b/>
          <w:bCs/>
          <w:color w:val="auto"/>
          <w:kern w:val="0"/>
          <w:sz w:val="21"/>
          <w:szCs w:val="21"/>
          <w:highlight w:val="none"/>
          <w:lang w:val="zh-CN"/>
        </w:rPr>
        <w:t>(电子签名/公章)：</w:t>
      </w:r>
    </w:p>
    <w:p w14:paraId="09BB8804">
      <w:pPr>
        <w:snapToGrid w:val="0"/>
        <w:spacing w:line="288" w:lineRule="auto"/>
        <w:ind w:firstLine="424" w:firstLineChars="201"/>
        <w:rPr>
          <w:rFonts w:hint="eastAsia" w:cs="仿宋_GB2312"/>
          <w:b/>
          <w:bCs/>
          <w:color w:val="auto"/>
          <w:kern w:val="0"/>
          <w:sz w:val="21"/>
          <w:szCs w:val="21"/>
          <w:highlight w:val="none"/>
          <w:lang w:val="zh-CN"/>
        </w:rPr>
      </w:pPr>
    </w:p>
    <w:p w14:paraId="7A5DBF6A">
      <w:pPr>
        <w:snapToGrid w:val="0"/>
        <w:spacing w:line="288" w:lineRule="auto"/>
        <w:ind w:firstLine="424" w:firstLineChars="201"/>
        <w:rPr>
          <w:rFonts w:hint="eastAsia" w:cs="Times New Roman"/>
          <w:b/>
          <w:bCs/>
          <w:color w:val="auto"/>
          <w:sz w:val="21"/>
          <w:szCs w:val="21"/>
          <w:highlight w:val="none"/>
        </w:rPr>
      </w:pPr>
    </w:p>
    <w:p w14:paraId="79854E06">
      <w:pPr>
        <w:snapToGrid w:val="0"/>
        <w:spacing w:line="288" w:lineRule="auto"/>
        <w:ind w:firstLine="424" w:firstLineChars="201"/>
        <w:rPr>
          <w:rFonts w:hint="eastAsia"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0A0F3A96">
      <w:pPr>
        <w:widowControl/>
        <w:jc w:val="left"/>
        <w:rPr>
          <w:rFonts w:hint="eastAsia" w:cs="仿宋_GB2312"/>
          <w:b/>
          <w:color w:val="auto"/>
          <w:kern w:val="0"/>
          <w:sz w:val="21"/>
          <w:szCs w:val="21"/>
          <w:highlight w:val="none"/>
        </w:rPr>
      </w:pPr>
      <w:r>
        <w:rPr>
          <w:rFonts w:cs="仿宋_GB2312"/>
          <w:b/>
          <w:color w:val="auto"/>
          <w:kern w:val="0"/>
          <w:sz w:val="21"/>
          <w:szCs w:val="21"/>
          <w:highlight w:val="none"/>
        </w:rPr>
        <w:br w:type="page"/>
      </w:r>
    </w:p>
    <w:p w14:paraId="05475075">
      <w:pPr>
        <w:snapToGrid w:val="0"/>
        <w:spacing w:line="288" w:lineRule="auto"/>
        <w:jc w:val="center"/>
        <w:outlineLvl w:val="2"/>
        <w:rPr>
          <w:rFonts w:hint="eastAsia" w:cs="仿宋_GB2312"/>
          <w:b/>
          <w:color w:val="auto"/>
          <w:kern w:val="0"/>
          <w:sz w:val="21"/>
          <w:szCs w:val="21"/>
          <w:highlight w:val="none"/>
        </w:rPr>
      </w:pPr>
      <w:r>
        <w:rPr>
          <w:rFonts w:hint="eastAsia" w:cs="仿宋_GB2312"/>
          <w:b/>
          <w:color w:val="auto"/>
          <w:kern w:val="0"/>
          <w:sz w:val="21"/>
          <w:szCs w:val="21"/>
          <w:highlight w:val="none"/>
        </w:rPr>
        <w:t>附件3</w:t>
      </w:r>
      <w:r>
        <w:rPr>
          <w:rFonts w:cs="仿宋_GB2312"/>
          <w:b/>
          <w:color w:val="auto"/>
          <w:kern w:val="0"/>
          <w:sz w:val="21"/>
          <w:szCs w:val="21"/>
          <w:highlight w:val="none"/>
        </w:rPr>
        <w:t>：</w:t>
      </w:r>
      <w:r>
        <w:rPr>
          <w:rFonts w:hint="eastAsia" w:cs="仿宋_GB2312"/>
          <w:b/>
          <w:color w:val="auto"/>
          <w:kern w:val="0"/>
          <w:sz w:val="21"/>
          <w:szCs w:val="21"/>
          <w:highlight w:val="none"/>
        </w:rPr>
        <w:t>分包意向协议</w:t>
      </w:r>
    </w:p>
    <w:p w14:paraId="1BE64251">
      <w:pPr>
        <w:widowControl/>
        <w:snapToGrid w:val="0"/>
        <w:spacing w:line="288" w:lineRule="auto"/>
        <w:ind w:firstLine="422" w:firstLineChars="201"/>
        <w:jc w:val="left"/>
        <w:rPr>
          <w:rFonts w:hint="eastAsia" w:cs="仿宋_GB2312"/>
          <w:color w:val="auto"/>
          <w:sz w:val="21"/>
          <w:szCs w:val="21"/>
          <w:highlight w:val="none"/>
        </w:rPr>
      </w:pPr>
      <w:r>
        <w:rPr>
          <w:rFonts w:hint="eastAsia" w:cs="仿宋_GB2312"/>
          <w:color w:val="auto"/>
          <w:sz w:val="21"/>
          <w:szCs w:val="21"/>
          <w:highlight w:val="none"/>
        </w:rPr>
        <w:t>（</w:t>
      </w:r>
      <w:r>
        <w:rPr>
          <w:rFonts w:hint="eastAsia" w:cs="仿宋_GB2312"/>
          <w:b/>
          <w:color w:val="auto"/>
          <w:sz w:val="21"/>
          <w:szCs w:val="21"/>
          <w:highlight w:val="none"/>
        </w:rPr>
        <w:t>成交后以分包方式履行合同的，提供分包意向协议；采购人不同意分包或者供应商成交后不以分包方式履行合同的，则不需要提供。</w:t>
      </w:r>
      <w:r>
        <w:rPr>
          <w:rFonts w:hint="eastAsia" w:cs="仿宋_GB2312"/>
          <w:color w:val="auto"/>
          <w:sz w:val="21"/>
          <w:szCs w:val="21"/>
          <w:highlight w:val="none"/>
        </w:rPr>
        <w:t>）</w:t>
      </w:r>
    </w:p>
    <w:p w14:paraId="6B8ADE89">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若成为</w:t>
      </w:r>
      <w:r>
        <w:rPr>
          <w:rFonts w:hint="eastAsia" w:cs="仿宋_GB2312"/>
          <w:color w:val="auto"/>
          <w:sz w:val="21"/>
          <w:szCs w:val="21"/>
          <w:highlight w:val="none"/>
        </w:rPr>
        <w:t>（项目名称）【招标编号：</w:t>
      </w:r>
      <w:r>
        <w:rPr>
          <w:rFonts w:hint="eastAsia" w:cs="Times New Roman"/>
          <w:color w:val="auto"/>
          <w:sz w:val="21"/>
          <w:szCs w:val="21"/>
          <w:highlight w:val="none"/>
        </w:rPr>
        <w:t>（采购编号）</w:t>
      </w:r>
      <w:r>
        <w:rPr>
          <w:rFonts w:hint="eastAsia" w:cs="仿宋_GB2312"/>
          <w:color w:val="auto"/>
          <w:sz w:val="21"/>
          <w:szCs w:val="21"/>
          <w:highlight w:val="none"/>
        </w:rPr>
        <w:t>】</w:t>
      </w:r>
      <w:r>
        <w:rPr>
          <w:rFonts w:hint="eastAsia" w:cs="仿宋_GB2312"/>
          <w:color w:val="auto"/>
          <w:kern w:val="0"/>
          <w:sz w:val="21"/>
          <w:szCs w:val="21"/>
          <w:highlight w:val="none"/>
          <w:lang w:val="zh-CN"/>
        </w:rPr>
        <w:t>的成交供应商，将依法采取分包方式履行合同。</w:t>
      </w: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rPr>
        <w:t>与</w:t>
      </w:r>
      <w:r>
        <w:rPr>
          <w:rFonts w:hint="eastAsia" w:cs="仿宋_GB2312"/>
          <w:color w:val="auto"/>
          <w:kern w:val="0"/>
          <w:sz w:val="21"/>
          <w:szCs w:val="21"/>
          <w:highlight w:val="none"/>
          <w:u w:val="single"/>
        </w:rPr>
        <w:t>（所有分包供应商名称）</w:t>
      </w:r>
      <w:r>
        <w:rPr>
          <w:rFonts w:hint="eastAsia" w:cs="仿宋_GB2312"/>
          <w:color w:val="auto"/>
          <w:kern w:val="0"/>
          <w:sz w:val="21"/>
          <w:szCs w:val="21"/>
          <w:highlight w:val="none"/>
        </w:rPr>
        <w:t>达成分包意向协议</w:t>
      </w:r>
      <w:r>
        <w:rPr>
          <w:rFonts w:hint="eastAsia" w:cs="仿宋_GB2312"/>
          <w:color w:val="auto"/>
          <w:kern w:val="0"/>
          <w:sz w:val="21"/>
          <w:szCs w:val="21"/>
          <w:highlight w:val="none"/>
          <w:lang w:val="zh-CN"/>
        </w:rPr>
        <w:t>。</w:t>
      </w:r>
      <w:r>
        <w:rPr>
          <w:rFonts w:cs="仿宋_GB2312"/>
          <w:color w:val="auto"/>
          <w:kern w:val="0"/>
          <w:sz w:val="21"/>
          <w:szCs w:val="21"/>
          <w:highlight w:val="none"/>
          <w:lang w:val="zh-CN"/>
        </w:rPr>
        <w:t xml:space="preserve"> </w:t>
      </w:r>
    </w:p>
    <w:p w14:paraId="4988280D">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一、分包标的及数量</w:t>
      </w:r>
    </w:p>
    <w:p w14:paraId="07756559">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u w:val="single"/>
        </w:rPr>
        <w:t>（供应商名称）</w:t>
      </w:r>
      <w:r>
        <w:rPr>
          <w:rFonts w:hint="eastAsia" w:cs="仿宋_GB2312"/>
          <w:color w:val="auto"/>
          <w:kern w:val="0"/>
          <w:sz w:val="21"/>
          <w:szCs w:val="21"/>
          <w:highlight w:val="none"/>
          <w:lang w:val="zh-CN"/>
        </w:rPr>
        <w:t>将</w:t>
      </w:r>
      <w:r>
        <w:rPr>
          <w:rFonts w:cs="Times New Roman"/>
          <w:color w:val="auto"/>
          <w:sz w:val="21"/>
          <w:szCs w:val="21"/>
          <w:highlight w:val="none"/>
          <w:u w:val="single"/>
        </w:rPr>
        <w:t xml:space="preserve">   XX工作内容   </w:t>
      </w:r>
      <w:r>
        <w:rPr>
          <w:rFonts w:hint="eastAsia" w:cs="Arial"/>
          <w:color w:val="auto"/>
          <w:sz w:val="21"/>
          <w:szCs w:val="21"/>
          <w:highlight w:val="none"/>
        </w:rPr>
        <w:t>分包给</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w:t>
      </w:r>
      <w:r>
        <w:rPr>
          <w:rFonts w:hint="eastAsia" w:cs="仿宋_GB2312"/>
          <w:color w:val="auto"/>
          <w:kern w:val="0"/>
          <w:sz w:val="21"/>
          <w:szCs w:val="21"/>
          <w:highlight w:val="none"/>
          <w:u w:val="single"/>
        </w:rPr>
        <w:t>（某分包供应商名称），</w:t>
      </w:r>
      <w:r>
        <w:rPr>
          <w:rFonts w:hint="eastAsia" w:cs="仿宋_GB2312"/>
          <w:color w:val="auto"/>
          <w:kern w:val="0"/>
          <w:sz w:val="21"/>
          <w:szCs w:val="21"/>
          <w:highlight w:val="none"/>
          <w:lang w:val="zh-CN"/>
        </w:rPr>
        <w:t>具备承</w:t>
      </w:r>
      <w:r>
        <w:rPr>
          <w:rFonts w:hint="eastAsia" w:cs="仿宋_GB2312"/>
          <w:color w:val="auto"/>
          <w:kern w:val="0"/>
          <w:sz w:val="21"/>
          <w:szCs w:val="21"/>
          <w:highlight w:val="none"/>
        </w:rPr>
        <w:t>担</w:t>
      </w:r>
      <w:r>
        <w:rPr>
          <w:rFonts w:cs="仿宋_GB2312"/>
          <w:color w:val="auto"/>
          <w:kern w:val="0"/>
          <w:sz w:val="21"/>
          <w:szCs w:val="21"/>
          <w:highlight w:val="none"/>
          <w:u w:val="single"/>
          <w:lang w:val="zh-CN"/>
        </w:rPr>
        <w:t>XX工作内容</w:t>
      </w:r>
      <w:r>
        <w:rPr>
          <w:rFonts w:hint="eastAsia" w:cs="仿宋_GB2312"/>
          <w:color w:val="auto"/>
          <w:kern w:val="0"/>
          <w:sz w:val="21"/>
          <w:szCs w:val="21"/>
          <w:highlight w:val="none"/>
          <w:lang w:val="zh-CN"/>
        </w:rPr>
        <w:t>相应资质条件且不得再次分包；</w:t>
      </w:r>
    </w:p>
    <w:p w14:paraId="3DBDCD04">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w:t>
      </w:r>
    </w:p>
    <w:p w14:paraId="356EE972">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二、分包工作履行期限、地点、方式</w:t>
      </w:r>
    </w:p>
    <w:p w14:paraId="7AFE8FD4">
      <w:pPr>
        <w:snapToGrid w:val="0"/>
        <w:spacing w:line="288" w:lineRule="auto"/>
        <w:ind w:firstLine="422" w:firstLineChars="201"/>
        <w:rPr>
          <w:rFonts w:hint="eastAsia" w:cs="Times New Roman"/>
          <w:color w:val="auto"/>
          <w:sz w:val="21"/>
          <w:szCs w:val="21"/>
          <w:highlight w:val="none"/>
          <w:u w:val="single"/>
        </w:rPr>
      </w:pPr>
      <w:r>
        <w:rPr>
          <w:rFonts w:cs="Times New Roman"/>
          <w:color w:val="auto"/>
          <w:sz w:val="21"/>
          <w:szCs w:val="21"/>
          <w:highlight w:val="none"/>
          <w:u w:val="single"/>
        </w:rPr>
        <w:t xml:space="preserve">                                                                                  </w:t>
      </w:r>
    </w:p>
    <w:p w14:paraId="12E0BAEB">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三、质量</w:t>
      </w:r>
    </w:p>
    <w:p w14:paraId="526F896F">
      <w:pP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1BF84CC8">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四、价款或者报酬</w:t>
      </w:r>
    </w:p>
    <w:p w14:paraId="1FA645E3">
      <w:pP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48D3D5E7">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五、违约责任</w:t>
      </w:r>
    </w:p>
    <w:p w14:paraId="01C1E0DA">
      <w:pP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05DBCE2F">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六、争议解决的办法</w:t>
      </w:r>
    </w:p>
    <w:p w14:paraId="5C81A363">
      <w:pPr>
        <w:snapToGrid w:val="0"/>
        <w:spacing w:line="288" w:lineRule="auto"/>
        <w:ind w:firstLine="422" w:firstLineChars="201"/>
        <w:rPr>
          <w:rFonts w:hint="eastAsia" w:cs="仿宋_GB2312"/>
          <w:color w:val="auto"/>
          <w:kern w:val="0"/>
          <w:sz w:val="21"/>
          <w:szCs w:val="21"/>
          <w:highlight w:val="none"/>
          <w:lang w:val="zh-CN"/>
        </w:rPr>
      </w:pPr>
      <w:r>
        <w:rPr>
          <w:rFonts w:cs="Times New Roman"/>
          <w:color w:val="auto"/>
          <w:sz w:val="21"/>
          <w:szCs w:val="21"/>
          <w:highlight w:val="none"/>
          <w:u w:val="single"/>
        </w:rPr>
        <w:t xml:space="preserve">                                                                                  </w:t>
      </w:r>
    </w:p>
    <w:p w14:paraId="7465F447">
      <w:pPr>
        <w:snapToGrid w:val="0"/>
        <w:spacing w:line="288" w:lineRule="auto"/>
        <w:ind w:firstLine="422" w:firstLineChars="201"/>
        <w:rPr>
          <w:rFonts w:hint="eastAsia" w:cs="仿宋_GB2312"/>
          <w:color w:val="auto"/>
          <w:kern w:val="0"/>
          <w:sz w:val="21"/>
          <w:szCs w:val="21"/>
          <w:highlight w:val="none"/>
          <w:lang w:val="zh-CN"/>
        </w:rPr>
      </w:pPr>
      <w:r>
        <w:rPr>
          <w:rFonts w:hint="eastAsia" w:cs="仿宋_GB2312"/>
          <w:color w:val="auto"/>
          <w:kern w:val="0"/>
          <w:sz w:val="21"/>
          <w:szCs w:val="21"/>
          <w:highlight w:val="none"/>
          <w:lang w:val="zh-CN"/>
        </w:rPr>
        <w:t>七、其他</w:t>
      </w:r>
    </w:p>
    <w:p w14:paraId="06594B39">
      <w:pPr>
        <w:snapToGrid w:val="0"/>
        <w:spacing w:line="288" w:lineRule="auto"/>
        <w:ind w:firstLine="422" w:firstLineChars="201"/>
        <w:rPr>
          <w:rFonts w:hint="eastAsia" w:cs="仿宋_GB2312"/>
          <w:b/>
          <w:color w:val="auto"/>
          <w:kern w:val="0"/>
          <w:sz w:val="21"/>
          <w:szCs w:val="21"/>
          <w:highlight w:val="none"/>
          <w:lang w:val="zh-CN"/>
        </w:rPr>
      </w:pPr>
      <w:r>
        <w:rPr>
          <w:rFonts w:hint="eastAsia" w:cs="仿宋_GB2312"/>
          <w:color w:val="auto"/>
          <w:kern w:val="0"/>
          <w:sz w:val="21"/>
          <w:szCs w:val="21"/>
          <w:highlight w:val="none"/>
          <w:u w:val="single"/>
        </w:rPr>
        <w:t>（分包供应商名称）提供的货物全部由小微企业制造，</w:t>
      </w:r>
      <w:r>
        <w:rPr>
          <w:rFonts w:hint="eastAsia" w:cs="仿宋_GB2312"/>
          <w:color w:val="auto"/>
          <w:kern w:val="0"/>
          <w:sz w:val="21"/>
          <w:szCs w:val="21"/>
          <w:highlight w:val="none"/>
        </w:rPr>
        <w:t>其合同份额占到合同总金额</w:t>
      </w:r>
      <w:r>
        <w:rPr>
          <w:rFonts w:cs="仿宋_GB2312"/>
          <w:color w:val="auto"/>
          <w:kern w:val="0"/>
          <w:sz w:val="21"/>
          <w:szCs w:val="21"/>
          <w:highlight w:val="none"/>
          <w:u w:val="single"/>
        </w:rPr>
        <w:t xml:space="preserve">     </w:t>
      </w:r>
      <w:r>
        <w:rPr>
          <w:rFonts w:cs="仿宋_GB2312"/>
          <w:color w:val="auto"/>
          <w:kern w:val="0"/>
          <w:sz w:val="21"/>
          <w:szCs w:val="21"/>
          <w:highlight w:val="none"/>
        </w:rPr>
        <w:t>%以上</w:t>
      </w:r>
      <w:r>
        <w:rPr>
          <w:rFonts w:hint="eastAsia" w:cs="Times New Roman"/>
          <w:color w:val="auto"/>
          <w:sz w:val="21"/>
          <w:szCs w:val="21"/>
          <w:highlight w:val="none"/>
        </w:rPr>
        <w:t>。</w:t>
      </w:r>
      <w:r>
        <w:rPr>
          <w:rFonts w:hint="eastAsia" w:cs="仿宋_GB2312"/>
          <w:b/>
          <w:color w:val="auto"/>
          <w:kern w:val="0"/>
          <w:sz w:val="21"/>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color w:val="auto"/>
          <w:kern w:val="0"/>
          <w:sz w:val="21"/>
          <w:szCs w:val="21"/>
          <w:highlight w:val="none"/>
          <w:lang w:val="zh-CN"/>
        </w:rPr>
        <w:t xml:space="preserve"> 30%以上</w:t>
      </w:r>
      <w:r>
        <w:rPr>
          <w:rFonts w:hint="eastAsia" w:cs="仿宋_GB2312"/>
          <w:b/>
          <w:color w:val="auto"/>
          <w:kern w:val="0"/>
          <w:sz w:val="21"/>
          <w:szCs w:val="21"/>
          <w:highlight w:val="none"/>
          <w:lang w:val="zh-CN"/>
        </w:rPr>
        <w:t>的，对大中型企业的报价给予</w:t>
      </w:r>
      <w:r>
        <w:rPr>
          <w:rFonts w:cs="仿宋_GB2312"/>
          <w:b/>
          <w:color w:val="auto"/>
          <w:kern w:val="0"/>
          <w:sz w:val="21"/>
          <w:szCs w:val="21"/>
          <w:highlight w:val="none"/>
          <w:lang w:val="zh-CN"/>
        </w:rPr>
        <w:t>6%的扣除</w:t>
      </w:r>
      <w:r>
        <w:rPr>
          <w:rFonts w:hint="eastAsia" w:cs="仿宋_GB2312"/>
          <w:b/>
          <w:color w:val="auto"/>
          <w:kern w:val="0"/>
          <w:sz w:val="21"/>
          <w:szCs w:val="21"/>
          <w:highlight w:val="none"/>
          <w:lang w:val="zh-CN"/>
        </w:rPr>
        <w:t>）</w:t>
      </w:r>
    </w:p>
    <w:p w14:paraId="2AA76DE6">
      <w:pPr>
        <w:snapToGrid w:val="0"/>
        <w:spacing w:line="288" w:lineRule="auto"/>
        <w:rPr>
          <w:rFonts w:hint="eastAsia" w:cs="仿宋_GB2312"/>
          <w:color w:val="auto"/>
          <w:kern w:val="0"/>
          <w:sz w:val="21"/>
          <w:szCs w:val="21"/>
          <w:highlight w:val="none"/>
          <w:lang w:val="zh-CN"/>
        </w:rPr>
      </w:pPr>
    </w:p>
    <w:p w14:paraId="742FE020">
      <w:pPr>
        <w:snapToGrid w:val="0"/>
        <w:spacing w:line="288" w:lineRule="auto"/>
        <w:ind w:firstLine="422" w:firstLineChars="200"/>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供应商名称（电子签名</w:t>
      </w:r>
      <w:r>
        <w:rPr>
          <w:rFonts w:cs="仿宋_GB2312"/>
          <w:b/>
          <w:bCs/>
          <w:color w:val="auto"/>
          <w:kern w:val="0"/>
          <w:sz w:val="21"/>
          <w:szCs w:val="21"/>
          <w:highlight w:val="none"/>
          <w:lang w:val="zh-CN"/>
        </w:rPr>
        <w:t>/公章）：</w:t>
      </w:r>
    </w:p>
    <w:p w14:paraId="6BB62814">
      <w:pPr>
        <w:snapToGrid w:val="0"/>
        <w:spacing w:line="288" w:lineRule="auto"/>
        <w:ind w:firstLine="424" w:firstLineChars="201"/>
        <w:rPr>
          <w:rFonts w:hint="eastAsia" w:cs="仿宋_GB2312"/>
          <w:b/>
          <w:bCs/>
          <w:color w:val="auto"/>
          <w:kern w:val="0"/>
          <w:sz w:val="21"/>
          <w:szCs w:val="21"/>
          <w:highlight w:val="none"/>
          <w:lang w:val="zh-CN"/>
        </w:rPr>
      </w:pPr>
    </w:p>
    <w:p w14:paraId="462C7C3B">
      <w:pPr>
        <w:snapToGrid w:val="0"/>
        <w:spacing w:line="288" w:lineRule="auto"/>
        <w:ind w:firstLine="424" w:firstLineChars="201"/>
        <w:rPr>
          <w:rFonts w:hint="eastAsia" w:cs="仿宋_GB2312"/>
          <w:b/>
          <w:bCs/>
          <w:color w:val="auto"/>
          <w:kern w:val="0"/>
          <w:sz w:val="21"/>
          <w:szCs w:val="21"/>
          <w:highlight w:val="none"/>
          <w:lang w:val="zh-CN"/>
        </w:rPr>
      </w:pPr>
      <w:r>
        <w:rPr>
          <w:rFonts w:hint="eastAsia" w:cs="仿宋_GB2312"/>
          <w:b/>
          <w:bCs/>
          <w:color w:val="auto"/>
          <w:kern w:val="0"/>
          <w:sz w:val="21"/>
          <w:szCs w:val="21"/>
          <w:highlight w:val="none"/>
          <w:lang w:val="zh-CN"/>
        </w:rPr>
        <w:t>分包供应商名称（电子签名</w:t>
      </w:r>
      <w:r>
        <w:rPr>
          <w:rFonts w:cs="仿宋_GB2312"/>
          <w:b/>
          <w:bCs/>
          <w:color w:val="auto"/>
          <w:kern w:val="0"/>
          <w:sz w:val="21"/>
          <w:szCs w:val="21"/>
          <w:highlight w:val="none"/>
          <w:lang w:val="zh-CN"/>
        </w:rPr>
        <w:t>/公章）</w:t>
      </w:r>
      <w:r>
        <w:rPr>
          <w:rFonts w:hint="eastAsia" w:cs="仿宋_GB2312"/>
          <w:b/>
          <w:bCs/>
          <w:color w:val="auto"/>
          <w:kern w:val="0"/>
          <w:sz w:val="21"/>
          <w:szCs w:val="21"/>
          <w:highlight w:val="none"/>
          <w:lang w:val="zh-CN"/>
        </w:rPr>
        <w:t>：</w:t>
      </w:r>
    </w:p>
    <w:p w14:paraId="33A6ABBE">
      <w:pPr>
        <w:snapToGrid w:val="0"/>
        <w:spacing w:line="288" w:lineRule="auto"/>
        <w:rPr>
          <w:rFonts w:hint="eastAsia" w:cs="仿宋_GB2312"/>
          <w:b/>
          <w:bCs/>
          <w:color w:val="auto"/>
          <w:kern w:val="0"/>
          <w:sz w:val="21"/>
          <w:szCs w:val="21"/>
          <w:highlight w:val="none"/>
          <w:lang w:val="zh-CN"/>
        </w:rPr>
      </w:pPr>
    </w:p>
    <w:p w14:paraId="1C17565E">
      <w:pPr>
        <w:snapToGrid w:val="0"/>
        <w:spacing w:line="288" w:lineRule="auto"/>
        <w:ind w:firstLine="424" w:firstLineChars="201"/>
        <w:rPr>
          <w:rFonts w:hint="eastAsia" w:cs="仿宋_GB2312"/>
          <w:b/>
          <w:bCs/>
          <w:color w:val="auto"/>
          <w:kern w:val="0"/>
          <w:sz w:val="21"/>
          <w:szCs w:val="21"/>
          <w:highlight w:val="none"/>
          <w:lang w:val="zh-CN"/>
        </w:rPr>
      </w:pPr>
      <w:r>
        <w:rPr>
          <w:rFonts w:cs="仿宋_GB2312"/>
          <w:b/>
          <w:bCs/>
          <w:color w:val="auto"/>
          <w:kern w:val="0"/>
          <w:sz w:val="21"/>
          <w:szCs w:val="21"/>
          <w:highlight w:val="none"/>
          <w:lang w:val="zh-CN"/>
        </w:rPr>
        <w:t>日期：  年  月   日</w:t>
      </w:r>
    </w:p>
    <w:p w14:paraId="46590C6B">
      <w:pPr>
        <w:rPr>
          <w:rFonts w:hint="eastAsia"/>
          <w:color w:val="auto"/>
          <w:highlight w:val="none"/>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66724">
    <w:pPr>
      <w:pStyle w:val="12"/>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EC2F0">
    <w:pPr>
      <w:pStyle w:val="12"/>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87ED3">
    <w:pPr>
      <w:jc w:val="center"/>
      <w:rPr>
        <w:rFonts w:hint="eastAsia"/>
      </w:rP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DF63D"/>
    <w:multiLevelType w:val="singleLevel"/>
    <w:tmpl w:val="913DF63D"/>
    <w:lvl w:ilvl="0" w:tentative="0">
      <w:start w:val="4"/>
      <w:numFmt w:val="decimal"/>
      <w:suff w:val="nothing"/>
      <w:lvlText w:val="（%1）"/>
      <w:lvlJc w:val="left"/>
    </w:lvl>
  </w:abstractNum>
  <w:abstractNum w:abstractNumId="1">
    <w:nsid w:val="972C4674"/>
    <w:multiLevelType w:val="singleLevel"/>
    <w:tmpl w:val="972C4674"/>
    <w:lvl w:ilvl="0" w:tentative="0">
      <w:start w:val="1"/>
      <w:numFmt w:val="decimal"/>
      <w:lvlText w:val="%1."/>
      <w:lvlJc w:val="left"/>
      <w:pPr>
        <w:ind w:left="665" w:hanging="425"/>
      </w:pPr>
      <w:rPr>
        <w:rFonts w:hint="default"/>
      </w:rPr>
    </w:lvl>
  </w:abstractNum>
  <w:abstractNum w:abstractNumId="2">
    <w:nsid w:val="43778182"/>
    <w:multiLevelType w:val="singleLevel"/>
    <w:tmpl w:val="43778182"/>
    <w:lvl w:ilvl="0" w:tentative="0">
      <w:start w:val="4"/>
      <w:numFmt w:val="decimal"/>
      <w:suff w:val="nothing"/>
      <w:lvlText w:val="（%1）"/>
      <w:lvlJc w:val="left"/>
    </w:lvl>
  </w:abstractNum>
  <w:abstractNum w:abstractNumId="3">
    <w:nsid w:val="4639ECE7"/>
    <w:multiLevelType w:val="singleLevel"/>
    <w:tmpl w:val="4639ECE7"/>
    <w:lvl w:ilvl="0" w:tentative="0">
      <w:start w:val="3"/>
      <w:numFmt w:val="decimal"/>
      <w:suff w:val="nothing"/>
      <w:lvlText w:val="（%1）"/>
      <w:lvlJc w:val="left"/>
    </w:lvl>
  </w:abstractNum>
  <w:abstractNum w:abstractNumId="4">
    <w:nsid w:val="79DFB28E"/>
    <w:multiLevelType w:val="singleLevel"/>
    <w:tmpl w:val="79DFB28E"/>
    <w:lvl w:ilvl="0" w:tentative="0">
      <w:start w:val="1"/>
      <w:numFmt w:val="decimal"/>
      <w:suff w:val="nothing"/>
      <w:lvlText w:val="%1"/>
      <w:lvlJc w:val="left"/>
      <w:pPr>
        <w:ind w:left="0" w:firstLine="0"/>
      </w:pPr>
      <w:rPr>
        <w:rFonts w:hint="default" w:eastAsia="仿宋"/>
        <w:spacing w:val="20"/>
        <w:sz w:val="21"/>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NjQyZTEwMThkZmRmNDAyZTZiYmEzYjZiNGZmYTU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E6D6E"/>
    <w:rsid w:val="002F0514"/>
    <w:rsid w:val="002F7386"/>
    <w:rsid w:val="00325E65"/>
    <w:rsid w:val="0035197B"/>
    <w:rsid w:val="0037718A"/>
    <w:rsid w:val="003C5FBC"/>
    <w:rsid w:val="00425942"/>
    <w:rsid w:val="004357FE"/>
    <w:rsid w:val="00441DD1"/>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D4B1A"/>
    <w:rsid w:val="005E3478"/>
    <w:rsid w:val="00605C23"/>
    <w:rsid w:val="00611721"/>
    <w:rsid w:val="00631B4E"/>
    <w:rsid w:val="0063741D"/>
    <w:rsid w:val="006402AB"/>
    <w:rsid w:val="00642879"/>
    <w:rsid w:val="006A0B04"/>
    <w:rsid w:val="006A2B3D"/>
    <w:rsid w:val="006B5B13"/>
    <w:rsid w:val="006E6002"/>
    <w:rsid w:val="006F33DD"/>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8C3515"/>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12A2D3C"/>
    <w:rsid w:val="017D5B2A"/>
    <w:rsid w:val="02913E5A"/>
    <w:rsid w:val="04337BD0"/>
    <w:rsid w:val="04530095"/>
    <w:rsid w:val="04913EC8"/>
    <w:rsid w:val="04F55735"/>
    <w:rsid w:val="053B43C5"/>
    <w:rsid w:val="05A834FB"/>
    <w:rsid w:val="06A10BD6"/>
    <w:rsid w:val="07251732"/>
    <w:rsid w:val="086A25CC"/>
    <w:rsid w:val="09087A0D"/>
    <w:rsid w:val="090F5CCF"/>
    <w:rsid w:val="0951775C"/>
    <w:rsid w:val="096119A6"/>
    <w:rsid w:val="0AFF3033"/>
    <w:rsid w:val="0C3C37BC"/>
    <w:rsid w:val="0CF34325"/>
    <w:rsid w:val="0D296F61"/>
    <w:rsid w:val="0EB569CC"/>
    <w:rsid w:val="0EE25427"/>
    <w:rsid w:val="0F0D0E9D"/>
    <w:rsid w:val="0F87222E"/>
    <w:rsid w:val="10F14C82"/>
    <w:rsid w:val="11116CB9"/>
    <w:rsid w:val="11F60706"/>
    <w:rsid w:val="123D65B5"/>
    <w:rsid w:val="124D4697"/>
    <w:rsid w:val="128309C4"/>
    <w:rsid w:val="14046C97"/>
    <w:rsid w:val="141F3FFC"/>
    <w:rsid w:val="144D6AC7"/>
    <w:rsid w:val="14914A30"/>
    <w:rsid w:val="14B17BB7"/>
    <w:rsid w:val="14B72FA3"/>
    <w:rsid w:val="159A5BC3"/>
    <w:rsid w:val="15EA3A17"/>
    <w:rsid w:val="15ED232D"/>
    <w:rsid w:val="15F71716"/>
    <w:rsid w:val="16357064"/>
    <w:rsid w:val="17A564D6"/>
    <w:rsid w:val="17F2236E"/>
    <w:rsid w:val="18644C22"/>
    <w:rsid w:val="18721FD5"/>
    <w:rsid w:val="188744BB"/>
    <w:rsid w:val="18A3313A"/>
    <w:rsid w:val="1A051B3B"/>
    <w:rsid w:val="1A4A054A"/>
    <w:rsid w:val="1C103F61"/>
    <w:rsid w:val="1CC72D6E"/>
    <w:rsid w:val="1D121E99"/>
    <w:rsid w:val="1D340697"/>
    <w:rsid w:val="1D7758E8"/>
    <w:rsid w:val="1FCA360B"/>
    <w:rsid w:val="22CC1552"/>
    <w:rsid w:val="22D67AB3"/>
    <w:rsid w:val="236F6F07"/>
    <w:rsid w:val="24454137"/>
    <w:rsid w:val="24C13CD4"/>
    <w:rsid w:val="24F34738"/>
    <w:rsid w:val="26217CFD"/>
    <w:rsid w:val="27561C22"/>
    <w:rsid w:val="28220306"/>
    <w:rsid w:val="290C7F05"/>
    <w:rsid w:val="29266E47"/>
    <w:rsid w:val="29776A83"/>
    <w:rsid w:val="29AD4B2C"/>
    <w:rsid w:val="29E2346B"/>
    <w:rsid w:val="2AC82E3D"/>
    <w:rsid w:val="2B731BD4"/>
    <w:rsid w:val="2C14676D"/>
    <w:rsid w:val="2D225B3B"/>
    <w:rsid w:val="2D255DE2"/>
    <w:rsid w:val="2DB530F6"/>
    <w:rsid w:val="2DC72F38"/>
    <w:rsid w:val="2DE74C9D"/>
    <w:rsid w:val="2E021B4D"/>
    <w:rsid w:val="2E7953E4"/>
    <w:rsid w:val="2ED85DFF"/>
    <w:rsid w:val="30817D16"/>
    <w:rsid w:val="310F53C8"/>
    <w:rsid w:val="318921E5"/>
    <w:rsid w:val="32870EE7"/>
    <w:rsid w:val="33F46A50"/>
    <w:rsid w:val="34BD4FC9"/>
    <w:rsid w:val="3508174C"/>
    <w:rsid w:val="36B70A28"/>
    <w:rsid w:val="37AA0086"/>
    <w:rsid w:val="389669BE"/>
    <w:rsid w:val="38F368E2"/>
    <w:rsid w:val="39B73927"/>
    <w:rsid w:val="3CC46BF8"/>
    <w:rsid w:val="3DA84466"/>
    <w:rsid w:val="3DB919B2"/>
    <w:rsid w:val="3DBE5134"/>
    <w:rsid w:val="3E6E5B41"/>
    <w:rsid w:val="3E8444A5"/>
    <w:rsid w:val="3E9B552D"/>
    <w:rsid w:val="3E9D5996"/>
    <w:rsid w:val="3FE16D38"/>
    <w:rsid w:val="411918CE"/>
    <w:rsid w:val="424D3EFC"/>
    <w:rsid w:val="432505F5"/>
    <w:rsid w:val="43422742"/>
    <w:rsid w:val="453454C3"/>
    <w:rsid w:val="45571D35"/>
    <w:rsid w:val="46185588"/>
    <w:rsid w:val="46742991"/>
    <w:rsid w:val="46C727A5"/>
    <w:rsid w:val="46CB6534"/>
    <w:rsid w:val="46D82DD4"/>
    <w:rsid w:val="48211CD3"/>
    <w:rsid w:val="48A87371"/>
    <w:rsid w:val="48DC722C"/>
    <w:rsid w:val="49E843A9"/>
    <w:rsid w:val="49EF7948"/>
    <w:rsid w:val="4A3D1B21"/>
    <w:rsid w:val="4A490193"/>
    <w:rsid w:val="4B36274E"/>
    <w:rsid w:val="4C651E42"/>
    <w:rsid w:val="4C793DF2"/>
    <w:rsid w:val="4C794A8C"/>
    <w:rsid w:val="4E392196"/>
    <w:rsid w:val="4E7D6D7D"/>
    <w:rsid w:val="4EBE7556"/>
    <w:rsid w:val="4F08515E"/>
    <w:rsid w:val="4F0A4659"/>
    <w:rsid w:val="504D27C2"/>
    <w:rsid w:val="508825A3"/>
    <w:rsid w:val="509B20E5"/>
    <w:rsid w:val="51942202"/>
    <w:rsid w:val="51F807BB"/>
    <w:rsid w:val="526D2BFC"/>
    <w:rsid w:val="533705A4"/>
    <w:rsid w:val="54000C6C"/>
    <w:rsid w:val="54530D96"/>
    <w:rsid w:val="549D01D5"/>
    <w:rsid w:val="54FF4258"/>
    <w:rsid w:val="577E1F04"/>
    <w:rsid w:val="57D13B36"/>
    <w:rsid w:val="585C70C1"/>
    <w:rsid w:val="5915074C"/>
    <w:rsid w:val="592F0023"/>
    <w:rsid w:val="59BA1E97"/>
    <w:rsid w:val="5B155D22"/>
    <w:rsid w:val="5B892F2F"/>
    <w:rsid w:val="5BFD69A3"/>
    <w:rsid w:val="5C6359D9"/>
    <w:rsid w:val="5C6F08F5"/>
    <w:rsid w:val="5D284EF1"/>
    <w:rsid w:val="5D41435A"/>
    <w:rsid w:val="5F195926"/>
    <w:rsid w:val="5FF27A39"/>
    <w:rsid w:val="601F6868"/>
    <w:rsid w:val="6143770B"/>
    <w:rsid w:val="61A14948"/>
    <w:rsid w:val="625748BA"/>
    <w:rsid w:val="6265548D"/>
    <w:rsid w:val="62FA0FEC"/>
    <w:rsid w:val="64436AB5"/>
    <w:rsid w:val="652F3077"/>
    <w:rsid w:val="65387C9C"/>
    <w:rsid w:val="658D6624"/>
    <w:rsid w:val="66254FD8"/>
    <w:rsid w:val="66343B2F"/>
    <w:rsid w:val="66CE5F3A"/>
    <w:rsid w:val="67402F06"/>
    <w:rsid w:val="67517E5A"/>
    <w:rsid w:val="679E1216"/>
    <w:rsid w:val="67EC504B"/>
    <w:rsid w:val="682409AB"/>
    <w:rsid w:val="68605830"/>
    <w:rsid w:val="68D93CAA"/>
    <w:rsid w:val="69424F38"/>
    <w:rsid w:val="69FD0B26"/>
    <w:rsid w:val="6B5801BB"/>
    <w:rsid w:val="6BAE3840"/>
    <w:rsid w:val="6BE90F0B"/>
    <w:rsid w:val="6C723EA8"/>
    <w:rsid w:val="6D131AAF"/>
    <w:rsid w:val="6DC31647"/>
    <w:rsid w:val="6E0A4BE5"/>
    <w:rsid w:val="6E290AC9"/>
    <w:rsid w:val="6E470F4F"/>
    <w:rsid w:val="6EF94C7E"/>
    <w:rsid w:val="6F26433C"/>
    <w:rsid w:val="6F2C4E45"/>
    <w:rsid w:val="70101771"/>
    <w:rsid w:val="701A62AD"/>
    <w:rsid w:val="708E2E66"/>
    <w:rsid w:val="70D626B4"/>
    <w:rsid w:val="71BB1C4F"/>
    <w:rsid w:val="72AF503E"/>
    <w:rsid w:val="73D077D9"/>
    <w:rsid w:val="742A460F"/>
    <w:rsid w:val="74DE41A5"/>
    <w:rsid w:val="74EF187E"/>
    <w:rsid w:val="76797A09"/>
    <w:rsid w:val="768F1FA5"/>
    <w:rsid w:val="77186B97"/>
    <w:rsid w:val="77272834"/>
    <w:rsid w:val="778A135A"/>
    <w:rsid w:val="783A6DE6"/>
    <w:rsid w:val="7848389F"/>
    <w:rsid w:val="78E62DF5"/>
    <w:rsid w:val="7B9434BC"/>
    <w:rsid w:val="7C5E3D22"/>
    <w:rsid w:val="7C7745EB"/>
    <w:rsid w:val="7D074354"/>
    <w:rsid w:val="7D9F7BD6"/>
    <w:rsid w:val="7E212EB1"/>
    <w:rsid w:val="7E292BB5"/>
    <w:rsid w:val="7E7A2C7B"/>
    <w:rsid w:val="7EA013D5"/>
    <w:rsid w:val="7EAA25D6"/>
    <w:rsid w:val="7F28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4"/>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semiHidden/>
    <w:unhideWhenUsed/>
    <w:qFormat/>
    <w:uiPriority w:val="9"/>
    <w:pPr>
      <w:spacing w:beforeAutospacing="1" w:afterAutospacing="1"/>
      <w:jc w:val="left"/>
      <w:outlineLvl w:val="2"/>
    </w:pPr>
    <w:rPr>
      <w:rFonts w:hint="eastAsia" w:cs="Times New Roman"/>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unhideWhenUsed/>
    <w:qFormat/>
    <w:uiPriority w:val="99"/>
    <w:pPr>
      <w:jc w:val="left"/>
    </w:pPr>
    <w:rPr>
      <w:rFonts w:ascii="Times New Roman" w:hAnsi="Times New Roman" w:cs="Times New Roman"/>
      <w:sz w:val="28"/>
    </w:rPr>
  </w:style>
  <w:style w:type="paragraph" w:styleId="6">
    <w:name w:val="Body Text"/>
    <w:basedOn w:val="1"/>
    <w:next w:val="7"/>
    <w:link w:val="41"/>
    <w:qFormat/>
    <w:uiPriority w:val="0"/>
    <w:pPr>
      <w:spacing w:after="120"/>
    </w:pPr>
  </w:style>
  <w:style w:type="paragraph" w:styleId="7">
    <w:name w:val="Body Text First Indent"/>
    <w:basedOn w:val="6"/>
    <w:next w:val="8"/>
    <w:qFormat/>
    <w:uiPriority w:val="0"/>
    <w:pPr>
      <w:ind w:firstLine="420"/>
    </w:pPr>
    <w:rPr>
      <w:rFonts w:hAnsi="Calibri" w:cs="Times New Roman"/>
      <w:szCs w:val="20"/>
    </w:rPr>
  </w:style>
  <w:style w:type="paragraph" w:styleId="8">
    <w:name w:val="toc 6"/>
    <w:basedOn w:val="1"/>
    <w:next w:val="1"/>
    <w:qFormat/>
    <w:uiPriority w:val="0"/>
    <w:pPr>
      <w:autoSpaceDE w:val="0"/>
      <w:autoSpaceDN w:val="0"/>
      <w:ind w:left="2100" w:leftChars="1000"/>
      <w:jc w:val="left"/>
    </w:pPr>
    <w:rPr>
      <w:rFonts w:ascii="Calibri" w:hAnsi="Calibri"/>
      <w:kern w:val="0"/>
      <w:sz w:val="20"/>
      <w:szCs w:val="20"/>
    </w:rPr>
  </w:style>
  <w:style w:type="paragraph" w:styleId="9">
    <w:name w:val="Body Text Indent"/>
    <w:basedOn w:val="1"/>
    <w:next w:val="1"/>
    <w:link w:val="32"/>
    <w:qFormat/>
    <w:uiPriority w:val="0"/>
    <w:pPr>
      <w:spacing w:line="200" w:lineRule="atLeast"/>
      <w:ind w:firstLine="301"/>
    </w:pPr>
    <w:rPr>
      <w:rFonts w:hAnsi="Courier New" w:cs="Times New Roman"/>
      <w:spacing w:val="-4"/>
      <w:sz w:val="18"/>
      <w:szCs w:val="20"/>
    </w:rPr>
  </w:style>
  <w:style w:type="paragraph" w:styleId="10">
    <w:name w:val="Plain Text"/>
    <w:basedOn w:val="1"/>
    <w:link w:val="42"/>
    <w:semiHidden/>
    <w:unhideWhenUsed/>
    <w:qFormat/>
    <w:uiPriority w:val="99"/>
    <w:rPr>
      <w:rFonts w:hAnsi="Courier New" w:cs="Courier New" w:asciiTheme="minorEastAsia" w:eastAsiaTheme="minorEastAsia"/>
    </w:rPr>
  </w:style>
  <w:style w:type="paragraph" w:styleId="11">
    <w:name w:val="Balloon Text"/>
    <w:basedOn w:val="1"/>
    <w:link w:val="31"/>
    <w:qFormat/>
    <w:uiPriority w:val="0"/>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kern w:val="0"/>
    </w:rPr>
  </w:style>
  <w:style w:type="paragraph" w:styleId="15">
    <w:name w:val="annotation subject"/>
    <w:basedOn w:val="5"/>
    <w:next w:val="5"/>
    <w:link w:val="39"/>
    <w:semiHidden/>
    <w:unhideWhenUsed/>
    <w:qFormat/>
    <w:uiPriority w:val="0"/>
    <w:rPr>
      <w:rFonts w:ascii="宋体" w:hAnsi="宋体" w:cs="宋体"/>
      <w:b/>
      <w:bCs/>
      <w:sz w:val="24"/>
    </w:rPr>
  </w:style>
  <w:style w:type="paragraph" w:styleId="16">
    <w:name w:val="Body Text First Indent 2"/>
    <w:basedOn w:val="9"/>
    <w:next w:val="1"/>
    <w:qFormat/>
    <w:uiPriority w:val="0"/>
    <w:pPr>
      <w:ind w:firstLine="420"/>
    </w:p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basedOn w:val="19"/>
    <w:unhideWhenUsed/>
    <w:qFormat/>
    <w:uiPriority w:val="99"/>
    <w:rPr>
      <w:color w:val="0000FF"/>
      <w:u w:val="single"/>
    </w:rPr>
  </w:style>
  <w:style w:type="character" w:styleId="22">
    <w:name w:val="annotation reference"/>
    <w:unhideWhenUsed/>
    <w:qFormat/>
    <w:uiPriority w:val="99"/>
    <w:rPr>
      <w:sz w:val="21"/>
      <w:szCs w:val="21"/>
    </w:rPr>
  </w:style>
  <w:style w:type="paragraph" w:customStyle="1" w:styleId="23">
    <w:name w:val="正文空2字"/>
    <w:basedOn w:val="2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24">
    <w:name w:val="左对齐正文"/>
    <w:qFormat/>
    <w:uiPriority w:val="99"/>
    <w:rPr>
      <w:rFonts w:ascii="Calibri" w:hAnsi="Calibri" w:eastAsia="仿宋_GB2312" w:cs="Calibri"/>
      <w:kern w:val="2"/>
      <w:sz w:val="32"/>
      <w:szCs w:val="32"/>
      <w:lang w:val="en-US" w:eastAsia="zh-CN" w:bidi="ar-SA"/>
    </w:rPr>
  </w:style>
  <w:style w:type="paragraph" w:customStyle="1" w:styleId="25">
    <w:name w:val="Default"/>
    <w:next w:val="26"/>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7">
    <w:name w:val="页眉 字符"/>
    <w:basedOn w:val="19"/>
    <w:link w:val="13"/>
    <w:qFormat/>
    <w:uiPriority w:val="99"/>
    <w:rPr>
      <w:sz w:val="18"/>
      <w:szCs w:val="18"/>
    </w:rPr>
  </w:style>
  <w:style w:type="character" w:customStyle="1" w:styleId="28">
    <w:name w:val="页脚 字符"/>
    <w:basedOn w:val="19"/>
    <w:link w:val="12"/>
    <w:qFormat/>
    <w:uiPriority w:val="99"/>
    <w:rPr>
      <w:sz w:val="18"/>
      <w:szCs w:val="18"/>
    </w:rPr>
  </w:style>
  <w:style w:type="character" w:customStyle="1" w:styleId="29">
    <w:name w:val="批注文字 字符"/>
    <w:basedOn w:val="19"/>
    <w:link w:val="5"/>
    <w:qFormat/>
    <w:uiPriority w:val="99"/>
    <w:rPr>
      <w:rFonts w:ascii="Times New Roman" w:hAnsi="Times New Roman" w:eastAsia="宋体" w:cs="Times New Roman"/>
      <w:sz w:val="28"/>
      <w:szCs w:val="24"/>
    </w:rPr>
  </w:style>
  <w:style w:type="character" w:customStyle="1" w:styleId="30">
    <w:name w:val="正文文本缩进 字符"/>
    <w:basedOn w:val="19"/>
    <w:qFormat/>
    <w:uiPriority w:val="0"/>
    <w:rPr>
      <w:rFonts w:ascii="宋体" w:hAnsi="宋体" w:eastAsia="宋体" w:cs="宋体"/>
      <w:sz w:val="24"/>
      <w:szCs w:val="24"/>
    </w:rPr>
  </w:style>
  <w:style w:type="character" w:customStyle="1" w:styleId="31">
    <w:name w:val="批注框文本 字符"/>
    <w:basedOn w:val="19"/>
    <w:link w:val="11"/>
    <w:qFormat/>
    <w:uiPriority w:val="0"/>
    <w:rPr>
      <w:rFonts w:ascii="宋体" w:hAnsi="宋体" w:eastAsia="宋体" w:cs="宋体"/>
      <w:sz w:val="18"/>
      <w:szCs w:val="18"/>
    </w:rPr>
  </w:style>
  <w:style w:type="character" w:customStyle="1" w:styleId="32">
    <w:name w:val="正文文本缩进 字符1"/>
    <w:link w:val="9"/>
    <w:qFormat/>
    <w:uiPriority w:val="0"/>
    <w:rPr>
      <w:rFonts w:ascii="宋体" w:hAnsi="Courier New" w:eastAsia="宋体" w:cs="Times New Roman"/>
      <w:spacing w:val="-4"/>
      <w:sz w:val="18"/>
      <w:szCs w:val="20"/>
    </w:rPr>
  </w:style>
  <w:style w:type="character" w:customStyle="1" w:styleId="33">
    <w:name w:val="正文文本缩进 字符2"/>
    <w:qFormat/>
    <w:uiPriority w:val="0"/>
    <w:rPr>
      <w:rFonts w:ascii="宋体" w:hAnsi="Courier New"/>
      <w:spacing w:val="-4"/>
      <w:kern w:val="2"/>
      <w:sz w:val="18"/>
    </w:rPr>
  </w:style>
  <w:style w:type="character" w:customStyle="1" w:styleId="34">
    <w:name w:val="未处理的提及1"/>
    <w:basedOn w:val="19"/>
    <w:semiHidden/>
    <w:unhideWhenUsed/>
    <w:qFormat/>
    <w:uiPriority w:val="99"/>
    <w:rPr>
      <w:color w:val="605E5C"/>
      <w:shd w:val="clear" w:color="auto" w:fill="E1DFDD"/>
    </w:rPr>
  </w:style>
  <w:style w:type="paragraph" w:styleId="35">
    <w:name w:val="List Paragraph"/>
    <w:basedOn w:val="1"/>
    <w:qFormat/>
    <w:uiPriority w:val="99"/>
    <w:pPr>
      <w:ind w:firstLine="420" w:firstLineChars="200"/>
    </w:pPr>
  </w:style>
  <w:style w:type="paragraph" w:customStyle="1" w:styleId="36">
    <w:name w:val="纯文本1"/>
    <w:basedOn w:val="1"/>
    <w:next w:val="10"/>
    <w:link w:val="38"/>
    <w:qFormat/>
    <w:uiPriority w:val="99"/>
    <w:pPr>
      <w:spacing w:before="156" w:beforeLines="50" w:after="156" w:afterLines="50" w:line="400" w:lineRule="atLeast"/>
    </w:pPr>
    <w:rPr>
      <w:rFonts w:hAnsi="Courier New" w:cs="Times New Roman"/>
    </w:rPr>
  </w:style>
  <w:style w:type="character" w:customStyle="1" w:styleId="37">
    <w:name w:val="纯文本 字符"/>
    <w:basedOn w:val="19"/>
    <w:qFormat/>
    <w:uiPriority w:val="0"/>
    <w:rPr>
      <w:rFonts w:ascii="宋体" w:hAnsi="Courier New" w:eastAsia="宋体" w:cs="Courier New"/>
      <w:kern w:val="2"/>
      <w:sz w:val="24"/>
      <w:szCs w:val="24"/>
    </w:rPr>
  </w:style>
  <w:style w:type="character" w:customStyle="1" w:styleId="38">
    <w:name w:val="纯文本 字符1"/>
    <w:link w:val="36"/>
    <w:qFormat/>
    <w:uiPriority w:val="99"/>
    <w:rPr>
      <w:rFonts w:ascii="宋体" w:hAnsi="Courier New" w:eastAsia="宋体" w:cs="Times New Roman"/>
      <w:kern w:val="2"/>
      <w:sz w:val="24"/>
      <w:szCs w:val="24"/>
    </w:rPr>
  </w:style>
  <w:style w:type="character" w:customStyle="1" w:styleId="39">
    <w:name w:val="批注主题 字符"/>
    <w:basedOn w:val="29"/>
    <w:link w:val="15"/>
    <w:semiHidden/>
    <w:qFormat/>
    <w:uiPriority w:val="0"/>
    <w:rPr>
      <w:rFonts w:ascii="宋体" w:hAnsi="宋体" w:eastAsia="宋体" w:cs="宋体"/>
      <w:b/>
      <w:bCs/>
      <w:sz w:val="24"/>
      <w:szCs w:val="24"/>
    </w:rPr>
  </w:style>
  <w:style w:type="character" w:customStyle="1" w:styleId="40">
    <w:name w:val="未处理的提及2"/>
    <w:basedOn w:val="19"/>
    <w:semiHidden/>
    <w:unhideWhenUsed/>
    <w:qFormat/>
    <w:uiPriority w:val="99"/>
    <w:rPr>
      <w:color w:val="605E5C"/>
      <w:shd w:val="clear" w:color="auto" w:fill="E1DFDD"/>
    </w:rPr>
  </w:style>
  <w:style w:type="character" w:customStyle="1" w:styleId="41">
    <w:name w:val="正文文本 字符"/>
    <w:basedOn w:val="19"/>
    <w:link w:val="6"/>
    <w:qFormat/>
    <w:uiPriority w:val="0"/>
    <w:rPr>
      <w:rFonts w:ascii="宋体" w:hAnsi="宋体" w:eastAsia="宋体" w:cs="宋体"/>
      <w:sz w:val="24"/>
      <w:szCs w:val="24"/>
    </w:rPr>
  </w:style>
  <w:style w:type="character" w:customStyle="1" w:styleId="42">
    <w:name w:val="纯文本 字符2"/>
    <w:basedOn w:val="19"/>
    <w:link w:val="10"/>
    <w:semiHidden/>
    <w:qFormat/>
    <w:uiPriority w:val="99"/>
    <w:rPr>
      <w:rFonts w:hAnsi="Courier New" w:cs="Courier New" w:asciiTheme="minorEastAsia"/>
      <w:sz w:val="24"/>
      <w:szCs w:val="24"/>
    </w:rPr>
  </w:style>
  <w:style w:type="table" w:customStyle="1" w:styleId="43">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表格文字"/>
    <w:basedOn w:val="1"/>
    <w:next w:val="6"/>
    <w:qFormat/>
    <w:uiPriority w:val="0"/>
    <w:pPr>
      <w:adjustRightInd w:val="0"/>
      <w:spacing w:line="420" w:lineRule="atLeast"/>
      <w:textAlignment w:val="baseline"/>
    </w:pPr>
  </w:style>
  <w:style w:type="paragraph" w:customStyle="1" w:styleId="45">
    <w:name w:val="自定义正文"/>
    <w:basedOn w:val="1"/>
    <w:qFormat/>
    <w:uiPriority w:val="0"/>
    <w:pPr>
      <w:spacing w:before="120" w:after="60" w:line="400" w:lineRule="exact"/>
      <w:ind w:firstLine="200" w:firstLineChars="200"/>
      <w:jc w:val="left"/>
    </w:pPr>
    <w:rPr>
      <w:rFonts w:ascii="仿宋_GB2312" w:eastAsia="仿宋_GB2312"/>
    </w:rPr>
  </w:style>
  <w:style w:type="paragraph" w:customStyle="1" w:styleId="46">
    <w:name w:val="Revision"/>
    <w:hidden/>
    <w:unhideWhenUsed/>
    <w:qFormat/>
    <w:uiPriority w:val="99"/>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3025</Words>
  <Characters>3512</Characters>
  <Lines>1527</Lines>
  <Paragraphs>1645</Paragraphs>
  <TotalTime>0</TotalTime>
  <ScaleCrop>false</ScaleCrop>
  <LinksUpToDate>false</LinksUpToDate>
  <CharactersWithSpaces>3545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温瑶</cp:lastModifiedBy>
  <dcterms:modified xsi:type="dcterms:W3CDTF">2025-06-09T06:03:09Z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893CDA5DE279464FB37E7908F3BE612D_13</vt:lpwstr>
  </property>
  <property fmtid="{D5CDD505-2E9C-101B-9397-08002B2CF9AE}" pid="4" name="KSOTemplateDocerSaveRecord">
    <vt:lpwstr>eyJoZGlkIjoiYmFjNjQyZTEwMThkZmRmNDAyZTZiYmEzYjZiNGZmYTUiLCJ1c2VySWQiOiIxNjEzNDM1NjUyIn0=</vt:lpwstr>
  </property>
</Properties>
</file>