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z w:val="48"/>
          <w:szCs w:val="48"/>
          <w:highlight w:val="none"/>
          <w:lang w:eastAsia="zh-CN"/>
        </w:rPr>
        <w:t>2025-2026年外文纸质图书采购</w:t>
      </w:r>
      <w:r>
        <w:rPr>
          <w:rFonts w:hint="eastAsia"/>
          <w:b/>
          <w:bCs/>
          <w:color w:val="auto"/>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2"/>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2025-2026年外文纸质图书采购</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QSZB-Z(H)-B25211(CS)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[2025]22061号</w:t>
      </w:r>
    </w:p>
    <w:p w14:paraId="37B140A2">
      <w:pPr>
        <w:adjustRightInd w:val="0"/>
        <w:snapToGrid w:val="0"/>
        <w:spacing w:line="288" w:lineRule="auto"/>
        <w:rPr>
          <w:b/>
          <w:bCs/>
          <w:color w:val="auto"/>
          <w:sz w:val="30"/>
          <w:szCs w:val="30"/>
          <w:highlight w:val="none"/>
        </w:rPr>
      </w:pPr>
    </w:p>
    <w:p w14:paraId="1BE3D9E1">
      <w:pPr>
        <w:pStyle w:val="13"/>
        <w:rPr>
          <w:b/>
          <w:bCs/>
          <w:color w:val="auto"/>
          <w:sz w:val="30"/>
          <w:szCs w:val="30"/>
          <w:highlight w:val="none"/>
        </w:rPr>
      </w:pPr>
    </w:p>
    <w:p w14:paraId="09D304F3">
      <w:pPr>
        <w:pStyle w:val="11"/>
        <w:rPr>
          <w:b/>
          <w:bCs/>
          <w:color w:val="auto"/>
          <w:sz w:val="30"/>
          <w:szCs w:val="30"/>
          <w:highlight w:val="none"/>
        </w:rPr>
      </w:pPr>
    </w:p>
    <w:p w14:paraId="430F8F28">
      <w:pPr>
        <w:pStyle w:val="13"/>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六</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8"/>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8"/>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8</w:t>
      </w:r>
      <w:r>
        <w:rPr>
          <w:rFonts w:hint="eastAsia"/>
          <w:color w:val="auto"/>
          <w:highlight w:val="none"/>
        </w:rPr>
        <w:fldChar w:fldCharType="end"/>
      </w:r>
    </w:p>
    <w:p w14:paraId="3A4F8AB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4</w:t>
      </w:r>
    </w:p>
    <w:p w14:paraId="7281185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6</w:t>
      </w:r>
    </w:p>
    <w:p w14:paraId="3710156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0</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25717"/>
      <w:bookmarkStart w:id="2" w:name="_Toc4348"/>
      <w:bookmarkStart w:id="3" w:name="_Toc25916"/>
      <w:bookmarkStart w:id="4" w:name="_Toc1177"/>
      <w:bookmarkStart w:id="5" w:name="_Toc3095"/>
      <w:bookmarkStart w:id="6" w:name="_Toc17664"/>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1D4F4CD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浙江树人学院</w:t>
      </w:r>
      <w:r>
        <w:rPr>
          <w:rFonts w:hint="eastAsia"/>
          <w:b/>
          <w:color w:val="auto"/>
          <w:sz w:val="21"/>
          <w:szCs w:val="21"/>
          <w:highlight w:val="none"/>
          <w:u w:val="single"/>
          <w:lang w:eastAsia="zh-CN"/>
        </w:rPr>
        <w:t>2025-2026年外文纸质图书采购</w:t>
      </w:r>
      <w:r>
        <w:rPr>
          <w:rFonts w:hint="eastAsia"/>
          <w:b/>
          <w:color w:val="auto"/>
          <w:sz w:val="21"/>
          <w:szCs w:val="21"/>
          <w:highlight w:val="none"/>
          <w:u w:val="single"/>
        </w:rPr>
        <w:t xml:space="preserve"> </w:t>
      </w:r>
      <w:r>
        <w:rPr>
          <w:rFonts w:hint="eastAsia"/>
          <w:b/>
          <w:color w:val="auto"/>
          <w:sz w:val="21"/>
          <w:szCs w:val="21"/>
          <w:highlight w:val="none"/>
        </w:rPr>
        <w:t>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2025年7月1日13:30:00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7956D02">
      <w:pPr>
        <w:adjustRightInd w:val="0"/>
        <w:snapToGrid w:val="0"/>
        <w:spacing w:line="288" w:lineRule="auto"/>
        <w:rPr>
          <w:b/>
          <w:color w:val="auto"/>
          <w:sz w:val="21"/>
          <w:szCs w:val="21"/>
          <w:highlight w:val="none"/>
        </w:rPr>
      </w:pPr>
      <w:bookmarkStart w:id="7" w:name="_Toc35393790"/>
      <w:bookmarkStart w:id="8" w:name="_Toc28359079"/>
      <w:bookmarkStart w:id="9" w:name="_Toc28359002"/>
      <w:bookmarkStart w:id="10" w:name="_Toc35393621"/>
      <w:bookmarkStart w:id="11" w:name="_Hlk24379207"/>
      <w:r>
        <w:rPr>
          <w:rFonts w:hint="eastAsia"/>
          <w:b/>
          <w:color w:val="auto"/>
          <w:sz w:val="21"/>
          <w:szCs w:val="21"/>
          <w:highlight w:val="none"/>
        </w:rPr>
        <w:t>一、项目基本情况</w:t>
      </w:r>
      <w:bookmarkEnd w:id="7"/>
      <w:bookmarkEnd w:id="8"/>
      <w:bookmarkEnd w:id="9"/>
      <w:bookmarkEnd w:id="10"/>
    </w:p>
    <w:p w14:paraId="7F0B79D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bCs/>
          <w:color w:val="auto"/>
          <w:sz w:val="21"/>
          <w:szCs w:val="21"/>
          <w:highlight w:val="none"/>
          <w:lang w:eastAsia="zh-CN"/>
        </w:rPr>
        <w:t>QSZB-Z(H)-B25211(CS)</w:t>
      </w:r>
    </w:p>
    <w:p w14:paraId="7BC174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2025-2026年外文纸质图书采购</w:t>
      </w:r>
      <w:r>
        <w:rPr>
          <w:rFonts w:hint="eastAsia"/>
          <w:color w:val="auto"/>
          <w:sz w:val="21"/>
          <w:szCs w:val="21"/>
          <w:highlight w:val="none"/>
        </w:rPr>
        <w:t>项目</w:t>
      </w:r>
    </w:p>
    <w:p w14:paraId="0B9C1D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3.采购方式：竞争性磋商</w:t>
      </w:r>
      <w:bookmarkEnd w:id="11"/>
    </w:p>
    <w:p w14:paraId="26F825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4.预算金额（元）：</w:t>
      </w:r>
      <w:r>
        <w:rPr>
          <w:rFonts w:hint="eastAsia"/>
          <w:color w:val="auto"/>
          <w:sz w:val="21"/>
          <w:szCs w:val="21"/>
          <w:highlight w:val="none"/>
          <w:lang w:val="en-US" w:eastAsia="zh-CN"/>
        </w:rPr>
        <w:t>300</w:t>
      </w:r>
      <w:r>
        <w:rPr>
          <w:rFonts w:hint="eastAsia"/>
          <w:color w:val="auto"/>
          <w:sz w:val="21"/>
          <w:szCs w:val="21"/>
          <w:highlight w:val="none"/>
        </w:rPr>
        <w:t>000元</w:t>
      </w:r>
    </w:p>
    <w:p w14:paraId="2CA43B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5.最高限价（元）：300000元，超过此最高限价作无效标处理。</w:t>
      </w:r>
    </w:p>
    <w:p w14:paraId="6510CFE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6.简要规格描述</w:t>
      </w:r>
      <w:r>
        <w:rPr>
          <w:rFonts w:hint="eastAsia"/>
          <w:b/>
          <w:bCs/>
          <w:color w:val="auto"/>
          <w:sz w:val="21"/>
          <w:szCs w:val="21"/>
          <w:highlight w:val="none"/>
        </w:rPr>
        <w:t>：</w:t>
      </w:r>
      <w:r>
        <w:rPr>
          <w:rFonts w:hint="eastAsia"/>
          <w:color w:val="auto"/>
          <w:sz w:val="21"/>
          <w:szCs w:val="21"/>
          <w:highlight w:val="none"/>
        </w:rPr>
        <w:t>详见第二章“采购需求”。</w:t>
      </w:r>
    </w:p>
    <w:p w14:paraId="7DEA68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7.本项目接受联合体响应。</w:t>
      </w:r>
    </w:p>
    <w:p w14:paraId="120A0B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8.合同履约期限：</w:t>
      </w:r>
      <w:r>
        <w:rPr>
          <w:rFonts w:hint="eastAsia"/>
          <w:color w:val="auto"/>
          <w:spacing w:val="-6"/>
          <w:sz w:val="21"/>
          <w:szCs w:val="21"/>
          <w:highlight w:val="none"/>
        </w:rPr>
        <w:t>自合同签订之日起至202</w:t>
      </w:r>
      <w:r>
        <w:rPr>
          <w:rFonts w:hint="eastAsia"/>
          <w:color w:val="auto"/>
          <w:spacing w:val="-6"/>
          <w:sz w:val="21"/>
          <w:szCs w:val="21"/>
          <w:highlight w:val="none"/>
          <w:lang w:val="en-US" w:eastAsia="zh-CN"/>
        </w:rPr>
        <w:t>6</w:t>
      </w:r>
      <w:r>
        <w:rPr>
          <w:rFonts w:hint="eastAsia"/>
          <w:color w:val="auto"/>
          <w:spacing w:val="-6"/>
          <w:sz w:val="21"/>
          <w:szCs w:val="21"/>
          <w:highlight w:val="none"/>
        </w:rPr>
        <w:t>年12月31日</w:t>
      </w:r>
      <w:r>
        <w:rPr>
          <w:rFonts w:hint="eastAsia"/>
          <w:color w:val="auto"/>
          <w:kern w:val="0"/>
          <w:sz w:val="21"/>
          <w:szCs w:val="21"/>
          <w:highlight w:val="none"/>
        </w:rPr>
        <w:t>。</w:t>
      </w:r>
    </w:p>
    <w:p w14:paraId="1B5D63F7">
      <w:pPr>
        <w:adjustRightInd w:val="0"/>
        <w:snapToGrid w:val="0"/>
        <w:spacing w:line="288" w:lineRule="auto"/>
        <w:rPr>
          <w:b/>
          <w:color w:val="auto"/>
          <w:sz w:val="21"/>
          <w:szCs w:val="21"/>
          <w:highlight w:val="none"/>
        </w:rPr>
      </w:pPr>
      <w:bookmarkStart w:id="12" w:name="_Toc35393622"/>
      <w:bookmarkStart w:id="13" w:name="_Toc35393791"/>
      <w:bookmarkStart w:id="14" w:name="_Toc28359080"/>
      <w:bookmarkStart w:id="15" w:name="_Toc28359003"/>
      <w:r>
        <w:rPr>
          <w:rFonts w:hint="eastAsia"/>
          <w:b/>
          <w:color w:val="auto"/>
          <w:sz w:val="21"/>
          <w:szCs w:val="21"/>
          <w:highlight w:val="none"/>
        </w:rPr>
        <w:t>二、申请人的资格要求：</w:t>
      </w:r>
      <w:bookmarkEnd w:id="12"/>
      <w:bookmarkEnd w:id="13"/>
      <w:bookmarkEnd w:id="14"/>
      <w:bookmarkEnd w:id="15"/>
      <w:r>
        <w:rPr>
          <w:rFonts w:hint="eastAsia"/>
          <w:b/>
          <w:color w:val="auto"/>
          <w:sz w:val="21"/>
          <w:szCs w:val="21"/>
          <w:highlight w:val="none"/>
        </w:rPr>
        <w:tab/>
      </w:r>
    </w:p>
    <w:p w14:paraId="6C1389BC">
      <w:pPr>
        <w:adjustRightInd w:val="0"/>
        <w:snapToGrid w:val="0"/>
        <w:spacing w:line="288" w:lineRule="auto"/>
        <w:ind w:firstLine="420" w:firstLineChars="200"/>
        <w:jc w:val="left"/>
        <w:rPr>
          <w:color w:val="auto"/>
          <w:sz w:val="21"/>
          <w:szCs w:val="21"/>
          <w:highlight w:val="none"/>
        </w:rPr>
      </w:pPr>
      <w:bookmarkStart w:id="16" w:name="_Toc28359081"/>
      <w:bookmarkStart w:id="17" w:name="_Toc28359004"/>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adjustRightInd w:val="0"/>
        <w:snapToGrid w:val="0"/>
        <w:spacing w:line="288" w:lineRule="auto"/>
        <w:ind w:firstLine="420" w:firstLineChars="200"/>
        <w:rPr>
          <w:rFonts w:cs="Times New Roman"/>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无</w:t>
      </w:r>
      <w:r>
        <w:rPr>
          <w:rFonts w:hint="eastAsia"/>
          <w:color w:val="auto"/>
          <w:sz w:val="21"/>
          <w:szCs w:val="21"/>
          <w:highlight w:val="none"/>
        </w:rPr>
        <w:t>；</w:t>
      </w:r>
    </w:p>
    <w:p w14:paraId="118F67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3.本项目的特定资格要求：具有有效的《出版物进口经营许可证》。</w:t>
      </w:r>
    </w:p>
    <w:p w14:paraId="5A3D979D">
      <w:pPr>
        <w:adjustRightInd w:val="0"/>
        <w:snapToGrid w:val="0"/>
        <w:spacing w:line="288" w:lineRule="auto"/>
        <w:rPr>
          <w:b/>
          <w:color w:val="auto"/>
          <w:sz w:val="21"/>
          <w:szCs w:val="21"/>
          <w:highlight w:val="none"/>
        </w:rPr>
      </w:pPr>
      <w:bookmarkStart w:id="18" w:name="_Toc35393792"/>
      <w:bookmarkStart w:id="19" w:name="_Toc35393623"/>
      <w:r>
        <w:rPr>
          <w:rFonts w:hint="eastAsia"/>
          <w:b/>
          <w:color w:val="auto"/>
          <w:sz w:val="21"/>
          <w:szCs w:val="21"/>
          <w:highlight w:val="none"/>
        </w:rPr>
        <w:t>三、获取（下载）采购文件</w:t>
      </w:r>
      <w:bookmarkEnd w:id="16"/>
      <w:bookmarkEnd w:id="17"/>
      <w:bookmarkEnd w:id="18"/>
      <w:bookmarkEnd w:id="19"/>
    </w:p>
    <w:p w14:paraId="6067F461">
      <w:pPr>
        <w:adjustRightInd w:val="0"/>
        <w:snapToGrid w:val="0"/>
        <w:spacing w:line="288" w:lineRule="auto"/>
        <w:ind w:firstLine="420" w:firstLineChars="200"/>
        <w:rPr>
          <w:color w:val="auto"/>
          <w:sz w:val="21"/>
          <w:szCs w:val="21"/>
          <w:highlight w:val="none"/>
        </w:rPr>
      </w:pPr>
      <w:bookmarkStart w:id="20" w:name="_Toc28359005"/>
      <w:bookmarkStart w:id="21" w:name="_Toc28359082"/>
      <w:bookmarkStart w:id="22" w:name="_Toc35393793"/>
      <w:bookmarkStart w:id="23" w:name="_Toc35393624"/>
      <w:r>
        <w:rPr>
          <w:rFonts w:hint="eastAsia"/>
          <w:color w:val="auto"/>
          <w:sz w:val="21"/>
          <w:szCs w:val="21"/>
          <w:highlight w:val="none"/>
        </w:rPr>
        <w:t>时间：/至</w:t>
      </w:r>
      <w:r>
        <w:rPr>
          <w:rFonts w:hint="eastAsia"/>
          <w:color w:val="auto"/>
          <w:sz w:val="21"/>
          <w:szCs w:val="21"/>
          <w:highlight w:val="none"/>
          <w:lang w:eastAsia="zh-CN"/>
        </w:rPr>
        <w:t>2025年7月1日</w:t>
      </w:r>
      <w:r>
        <w:rPr>
          <w:rFonts w:hint="eastAsia"/>
          <w:color w:val="auto"/>
          <w:sz w:val="21"/>
          <w:szCs w:val="21"/>
          <w:highlight w:val="none"/>
        </w:rPr>
        <w:t>，每天上午00:00至12:00，下午12:00至23:59（北京时间，线上获取法定节假日均可，线下获取文件法定节假日除外）</w:t>
      </w:r>
    </w:p>
    <w:p w14:paraId="728032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地点（网址）：政府采购云平台（https://www.zcygov.cn）</w:t>
      </w:r>
    </w:p>
    <w:p w14:paraId="4688E2F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1A0DD0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56E67F">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20"/>
      <w:bookmarkEnd w:id="21"/>
      <w:bookmarkEnd w:id="22"/>
      <w:bookmarkEnd w:id="23"/>
      <w:r>
        <w:rPr>
          <w:rFonts w:hint="eastAsia"/>
          <w:b/>
          <w:color w:val="auto"/>
          <w:sz w:val="21"/>
          <w:szCs w:val="21"/>
          <w:highlight w:val="none"/>
        </w:rPr>
        <w:t>响应文件提交（上传）</w:t>
      </w:r>
    </w:p>
    <w:p w14:paraId="60D613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w:t>
      </w:r>
      <w:r>
        <w:rPr>
          <w:rFonts w:hint="eastAsia"/>
          <w:color w:val="auto"/>
          <w:sz w:val="21"/>
          <w:szCs w:val="21"/>
          <w:highlight w:val="none"/>
        </w:rPr>
        <w:t>时间：</w:t>
      </w:r>
      <w:r>
        <w:rPr>
          <w:rFonts w:hint="eastAsia"/>
          <w:color w:val="auto"/>
          <w:sz w:val="21"/>
          <w:szCs w:val="21"/>
          <w:highlight w:val="none"/>
          <w:lang w:eastAsia="zh-CN"/>
        </w:rPr>
        <w:t>2025年7月1日13:30:00</w:t>
      </w:r>
      <w:r>
        <w:rPr>
          <w:rFonts w:hint="eastAsia"/>
          <w:bCs/>
          <w:color w:val="auto"/>
          <w:sz w:val="21"/>
          <w:szCs w:val="21"/>
          <w:highlight w:val="none"/>
        </w:rPr>
        <w:t>（北京时间）</w:t>
      </w:r>
    </w:p>
    <w:p w14:paraId="2FF4907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3</w:t>
      </w:r>
      <w:bookmarkStart w:id="191" w:name="_GoBack"/>
      <w:bookmarkEnd w:id="191"/>
      <w:r>
        <w:rPr>
          <w:rFonts w:hint="eastAsia"/>
          <w:color w:val="auto"/>
          <w:sz w:val="21"/>
          <w:szCs w:val="21"/>
          <w:highlight w:val="none"/>
        </w:rPr>
        <w:t>）</w:t>
      </w:r>
    </w:p>
    <w:p w14:paraId="52E7543A">
      <w:pPr>
        <w:adjustRightInd w:val="0"/>
        <w:snapToGrid w:val="0"/>
        <w:spacing w:line="288" w:lineRule="auto"/>
        <w:rPr>
          <w:b/>
          <w:color w:val="auto"/>
          <w:sz w:val="21"/>
          <w:szCs w:val="21"/>
          <w:highlight w:val="none"/>
        </w:rPr>
      </w:pPr>
      <w:bookmarkStart w:id="24" w:name="_Toc28359084"/>
      <w:bookmarkStart w:id="25" w:name="_Toc35393794"/>
      <w:bookmarkStart w:id="26" w:name="_Toc35393625"/>
      <w:bookmarkStart w:id="27" w:name="_Toc28359007"/>
      <w:r>
        <w:rPr>
          <w:rFonts w:hint="eastAsia"/>
          <w:b/>
          <w:color w:val="auto"/>
          <w:sz w:val="21"/>
          <w:szCs w:val="21"/>
          <w:highlight w:val="none"/>
        </w:rPr>
        <w:t>五、响应文件开启</w:t>
      </w:r>
    </w:p>
    <w:p w14:paraId="4D39333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2025年7月1日13:30:00</w:t>
      </w:r>
      <w:r>
        <w:rPr>
          <w:rFonts w:hint="eastAsia"/>
          <w:bCs/>
          <w:color w:val="auto"/>
          <w:sz w:val="21"/>
          <w:szCs w:val="21"/>
          <w:highlight w:val="none"/>
        </w:rPr>
        <w:t>（北京时间）</w:t>
      </w:r>
    </w:p>
    <w:p w14:paraId="2AD2890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3</w:t>
      </w:r>
      <w:r>
        <w:rPr>
          <w:rFonts w:hint="eastAsia"/>
          <w:color w:val="auto"/>
          <w:sz w:val="21"/>
          <w:szCs w:val="21"/>
          <w:highlight w:val="none"/>
        </w:rPr>
        <w:t>）</w:t>
      </w:r>
    </w:p>
    <w:p w14:paraId="70BD3384">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24"/>
      <w:bookmarkEnd w:id="25"/>
      <w:bookmarkEnd w:id="26"/>
      <w:bookmarkEnd w:id="27"/>
    </w:p>
    <w:p w14:paraId="408F5B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41920D45">
      <w:pPr>
        <w:adjustRightInd w:val="0"/>
        <w:snapToGrid w:val="0"/>
        <w:spacing w:line="288" w:lineRule="auto"/>
        <w:rPr>
          <w:b/>
          <w:color w:val="auto"/>
          <w:sz w:val="21"/>
          <w:szCs w:val="21"/>
          <w:highlight w:val="none"/>
        </w:rPr>
      </w:pPr>
      <w:bookmarkStart w:id="28" w:name="_Toc35393626"/>
      <w:bookmarkStart w:id="29" w:name="_Toc35393795"/>
      <w:r>
        <w:rPr>
          <w:rFonts w:hint="eastAsia"/>
          <w:b/>
          <w:color w:val="auto"/>
          <w:sz w:val="21"/>
          <w:szCs w:val="21"/>
          <w:highlight w:val="none"/>
        </w:rPr>
        <w:t>七、其他补充事宜</w:t>
      </w:r>
      <w:bookmarkEnd w:id="28"/>
      <w:bookmarkEnd w:id="29"/>
    </w:p>
    <w:p w14:paraId="01D0A68A">
      <w:pPr>
        <w:adjustRightInd w:val="0"/>
        <w:snapToGrid w:val="0"/>
        <w:spacing w:line="288" w:lineRule="auto"/>
        <w:ind w:firstLine="420" w:firstLineChars="200"/>
        <w:rPr>
          <w:color w:val="auto"/>
          <w:sz w:val="21"/>
          <w:szCs w:val="21"/>
          <w:highlight w:val="none"/>
        </w:rPr>
      </w:pPr>
      <w:bookmarkStart w:id="30" w:name="_Toc28359008"/>
      <w:bookmarkStart w:id="31" w:name="_Toc35393796"/>
      <w:bookmarkStart w:id="32" w:name="_Toc28359085"/>
      <w:bookmarkStart w:id="33" w:name="_Toc35393627"/>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color w:val="auto"/>
          <w:sz w:val="21"/>
          <w:szCs w:val="21"/>
          <w:highlight w:val="none"/>
        </w:rPr>
        <w:t>（选择上报采购代理机构）</w:t>
      </w:r>
      <w:r>
        <w:rPr>
          <w:rFonts w:hint="eastAsia"/>
          <w:color w:val="auto"/>
          <w:sz w:val="21"/>
          <w:szCs w:val="21"/>
          <w:highlight w:val="none"/>
        </w:rPr>
        <w:t>:鼓励供应商在线提起质疑，路径为：政采云-项目采购-询问质疑投诉-质疑列表</w:t>
      </w:r>
      <w:r>
        <w:rPr>
          <w:color w:val="auto"/>
          <w:sz w:val="21"/>
          <w:szCs w:val="21"/>
          <w:highlight w:val="none"/>
        </w:rPr>
        <w:t>（选择上报采购代理机构）</w:t>
      </w:r>
      <w:r>
        <w:rPr>
          <w:rFonts w:hint="eastAsia"/>
          <w:color w:val="auto"/>
          <w:sz w:val="21"/>
          <w:szCs w:val="21"/>
          <w:highlight w:val="none"/>
        </w:rPr>
        <w:t>。质疑供应商对在线质疑答复不满意的，可在线提起投诉，路径为：浙江政府服务网-政府采购投诉处理-在线办理。</w:t>
      </w:r>
    </w:p>
    <w:p w14:paraId="1AEEC6B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4.其他事项：</w:t>
      </w:r>
    </w:p>
    <w:p w14:paraId="3B20E696">
      <w:pPr>
        <w:pStyle w:val="2"/>
        <w:rPr>
          <w:color w:val="auto"/>
          <w:highlight w:val="none"/>
        </w:rPr>
      </w:pPr>
      <w:r>
        <w:rPr>
          <w:rFonts w:hint="eastAsia"/>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bookmarkStart w:id="34" w:name="_Hlk92271072"/>
      <w:r>
        <w:rPr>
          <w:rFonts w:hint="eastAsia"/>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30"/>
      <w:bookmarkEnd w:id="31"/>
      <w:bookmarkEnd w:id="32"/>
      <w:bookmarkEnd w:id="33"/>
    </w:p>
    <w:p w14:paraId="3852DD0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14:paraId="714BA89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w:t>
      </w:r>
    </w:p>
    <w:p w14:paraId="1BCBBA2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501F660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23D55DA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410C21D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项目联系方式（询问）：0571-88283298；0575-85600849</w:t>
      </w:r>
    </w:p>
    <w:p w14:paraId="159200F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质疑联系人：傅老师</w:t>
      </w:r>
    </w:p>
    <w:p w14:paraId="4709183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质疑联系方式：0571-88297208</w:t>
      </w:r>
    </w:p>
    <w:p w14:paraId="7FC93CCB">
      <w:pPr>
        <w:adjustRightInd w:val="0"/>
        <w:snapToGrid w:val="0"/>
        <w:spacing w:line="288" w:lineRule="auto"/>
        <w:ind w:firstLine="424" w:firstLineChars="202"/>
        <w:rPr>
          <w:color w:val="auto"/>
          <w:sz w:val="21"/>
          <w:szCs w:val="21"/>
          <w:highlight w:val="none"/>
        </w:rPr>
      </w:pPr>
    </w:p>
    <w:p w14:paraId="5CC8554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2.采购代理机构信息</w:t>
      </w:r>
    </w:p>
    <w:p w14:paraId="738D21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44BFD8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地址：杭州市西湖区玉古路173号中田大厦21楼</w:t>
      </w:r>
    </w:p>
    <w:p w14:paraId="344ED65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09DC7D77">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项目联系人（询问）：陈应俭、俞炳</w:t>
      </w:r>
      <w:r>
        <w:rPr>
          <w:rFonts w:hint="eastAsia"/>
          <w:color w:val="auto"/>
          <w:sz w:val="21"/>
          <w:szCs w:val="21"/>
          <w:highlight w:val="none"/>
          <w:lang w:eastAsia="zh-CN"/>
        </w:rPr>
        <w:t>、</w:t>
      </w:r>
      <w:r>
        <w:rPr>
          <w:rFonts w:hint="eastAsia"/>
          <w:color w:val="auto"/>
          <w:sz w:val="21"/>
          <w:szCs w:val="21"/>
          <w:highlight w:val="none"/>
          <w:lang w:val="en-US" w:eastAsia="zh-CN"/>
        </w:rPr>
        <w:t>林心怡</w:t>
      </w:r>
    </w:p>
    <w:p w14:paraId="023AF30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项目联系方式（询问）：0571-87670302</w:t>
      </w:r>
    </w:p>
    <w:p w14:paraId="177C12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536DC42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质疑联系方式：0571-81110356</w:t>
      </w:r>
    </w:p>
    <w:p w14:paraId="5ED0A9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质疑邮箱：jdkh@qszb.net</w:t>
      </w:r>
    </w:p>
    <w:p w14:paraId="2E631FE6">
      <w:pPr>
        <w:adjustRightInd w:val="0"/>
        <w:snapToGrid w:val="0"/>
        <w:spacing w:line="288" w:lineRule="auto"/>
        <w:ind w:firstLine="424" w:firstLineChars="202"/>
        <w:rPr>
          <w:color w:val="auto"/>
          <w:sz w:val="21"/>
          <w:szCs w:val="21"/>
          <w:highlight w:val="none"/>
        </w:rPr>
      </w:pPr>
    </w:p>
    <w:p w14:paraId="043059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3.政府采购监督管理部门</w:t>
      </w:r>
    </w:p>
    <w:p w14:paraId="35A0CFB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名称：浙江树人学院纪委办公室</w:t>
      </w:r>
    </w:p>
    <w:p w14:paraId="170CDC4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66531A2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5DD0F7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联系人：齐老师</w:t>
      </w:r>
    </w:p>
    <w:p w14:paraId="2812F18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监督投诉电话：0571-88297019</w:t>
      </w:r>
    </w:p>
    <w:p w14:paraId="07033F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adjustRightInd w:val="0"/>
        <w:snapToGrid w:val="0"/>
        <w:spacing w:line="288" w:lineRule="auto"/>
        <w:ind w:firstLine="424" w:firstLineChars="202"/>
        <w:rPr>
          <w:color w:val="auto"/>
          <w:kern w:val="0"/>
          <w:sz w:val="21"/>
          <w:szCs w:val="21"/>
          <w:highlight w:val="none"/>
        </w:rPr>
      </w:pPr>
      <w:r>
        <w:rPr>
          <w:rFonts w:hint="eastAsia"/>
          <w:color w:val="auto"/>
          <w:sz w:val="21"/>
          <w:szCs w:val="21"/>
          <w:highlight w:val="none"/>
        </w:rPr>
        <w:t>预算金额未达100万元的采购项目，由采购人处理采购争议。</w:t>
      </w:r>
    </w:p>
    <w:p w14:paraId="45B8ABB3">
      <w:pPr>
        <w:adjustRightInd w:val="0"/>
        <w:snapToGrid w:val="0"/>
        <w:spacing w:line="288" w:lineRule="auto"/>
        <w:rPr>
          <w:color w:val="auto"/>
          <w:sz w:val="21"/>
          <w:szCs w:val="21"/>
          <w:highlight w:val="none"/>
        </w:rPr>
      </w:pPr>
    </w:p>
    <w:p w14:paraId="76DBE1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1636"/>
      <w:bookmarkStart w:id="36" w:name="_Toc21935"/>
      <w:bookmarkStart w:id="37" w:name="_Toc25784"/>
      <w:bookmarkStart w:id="38" w:name="_Toc28092"/>
      <w:bookmarkStart w:id="39" w:name="_Toc29537"/>
      <w:bookmarkStart w:id="40" w:name="_Toc11034"/>
      <w:bookmarkStart w:id="41" w:name="_Toc731"/>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15290"/>
      <w:bookmarkStart w:id="43" w:name="_Toc4451"/>
      <w:bookmarkStart w:id="44" w:name="_Toc9952"/>
      <w:r>
        <w:rPr>
          <w:rFonts w:hint="eastAsia"/>
          <w:b/>
          <w:bCs/>
          <w:color w:val="auto"/>
          <w:sz w:val="21"/>
          <w:szCs w:val="21"/>
          <w:highlight w:val="none"/>
        </w:rPr>
        <w:t>一、为落实政府采购政策需满足的要求：</w:t>
      </w:r>
      <w:bookmarkEnd w:id="42"/>
      <w:bookmarkEnd w:id="43"/>
      <w:bookmarkEnd w:id="44"/>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066"/>
        <w:gridCol w:w="5835"/>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71" w:type="pct"/>
            <w:tcBorders>
              <w:tl2br w:val="nil"/>
              <w:tr2bl w:val="nil"/>
            </w:tcBorders>
            <w:vAlign w:val="center"/>
          </w:tcPr>
          <w:p w14:paraId="04EC8B55">
            <w:pPr>
              <w:adjustRightInd w:val="0"/>
              <w:snapToGrid w:val="0"/>
              <w:spacing w:line="288" w:lineRule="auto"/>
              <w:jc w:val="left"/>
              <w:rPr>
                <w:b/>
                <w:bCs/>
                <w:color w:val="auto"/>
                <w:sz w:val="21"/>
                <w:szCs w:val="21"/>
                <w:highlight w:val="none"/>
              </w:rPr>
            </w:pPr>
            <w:bookmarkStart w:id="45" w:name="_Hlk45005599"/>
            <w:r>
              <w:rPr>
                <w:rFonts w:hint="eastAsia"/>
                <w:b/>
                <w:bCs/>
                <w:color w:val="auto"/>
                <w:sz w:val="21"/>
                <w:szCs w:val="21"/>
                <w:highlight w:val="none"/>
              </w:rPr>
              <w:t>序号</w:t>
            </w:r>
          </w:p>
        </w:tc>
        <w:tc>
          <w:tcPr>
            <w:tcW w:w="1594" w:type="pct"/>
            <w:tcBorders>
              <w:tl2br w:val="nil"/>
              <w:tr2bl w:val="nil"/>
            </w:tcBorders>
            <w:vAlign w:val="center"/>
          </w:tcPr>
          <w:p w14:paraId="1D6443EF">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3034" w:type="pct"/>
            <w:tcBorders>
              <w:tl2br w:val="nil"/>
              <w:tr2bl w:val="nil"/>
            </w:tcBorders>
            <w:vAlign w:val="center"/>
          </w:tcPr>
          <w:p w14:paraId="7AC33AE2">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4BC9F600">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1594" w:type="pct"/>
            <w:tcBorders>
              <w:tl2br w:val="nil"/>
              <w:tr2bl w:val="nil"/>
            </w:tcBorders>
            <w:vAlign w:val="center"/>
          </w:tcPr>
          <w:p w14:paraId="48DFD2C8">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3034" w:type="pct"/>
            <w:tcBorders>
              <w:tl2br w:val="nil"/>
              <w:tr2bl w:val="nil"/>
            </w:tcBorders>
            <w:vAlign w:val="center"/>
          </w:tcPr>
          <w:p w14:paraId="236E3618">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4EAE59EF">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1594" w:type="pct"/>
            <w:tcBorders>
              <w:tl2br w:val="nil"/>
              <w:tr2bl w:val="nil"/>
            </w:tcBorders>
            <w:vAlign w:val="center"/>
          </w:tcPr>
          <w:p w14:paraId="376DA544">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3034" w:type="pct"/>
            <w:tcBorders>
              <w:tl2br w:val="nil"/>
              <w:tr2bl w:val="nil"/>
            </w:tcBorders>
            <w:vAlign w:val="center"/>
          </w:tcPr>
          <w:p w14:paraId="6E49E7D9">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57B94ECB">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1594" w:type="pct"/>
            <w:tcBorders>
              <w:tl2br w:val="nil"/>
              <w:tr2bl w:val="nil"/>
            </w:tcBorders>
            <w:vAlign w:val="center"/>
          </w:tcPr>
          <w:p w14:paraId="3146DD69">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3034" w:type="pct"/>
            <w:tcBorders>
              <w:tl2br w:val="nil"/>
              <w:tr2bl w:val="nil"/>
            </w:tcBorders>
            <w:vAlign w:val="center"/>
          </w:tcPr>
          <w:p w14:paraId="3FEDD049">
            <w:pPr>
              <w:adjustRightInd w:val="0"/>
              <w:snapToGrid w:val="0"/>
              <w:spacing w:line="288" w:lineRule="auto"/>
              <w:jc w:val="left"/>
              <w:rPr>
                <w:rFonts w:hint="eastAsia" w:eastAsia="宋体"/>
                <w:b/>
                <w:bCs/>
                <w:color w:val="auto"/>
                <w:sz w:val="21"/>
                <w:szCs w:val="21"/>
                <w:highlight w:val="none"/>
                <w:lang w:eastAsia="zh-CN"/>
              </w:rPr>
            </w:pPr>
            <w:r>
              <w:rPr>
                <w:rFonts w:hint="eastAsia"/>
                <w:color w:val="auto"/>
                <w:sz w:val="21"/>
                <w:szCs w:val="21"/>
                <w:highlight w:val="none"/>
                <w:lang w:val="en-US" w:eastAsia="zh-CN"/>
              </w:rPr>
              <w:t>不适用</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4622FC54">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1594" w:type="pct"/>
            <w:tcBorders>
              <w:tl2br w:val="nil"/>
              <w:tr2bl w:val="nil"/>
            </w:tcBorders>
            <w:vAlign w:val="center"/>
          </w:tcPr>
          <w:p w14:paraId="5A8201CE">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政府采购支持科技创新</w:t>
            </w:r>
          </w:p>
        </w:tc>
        <w:tc>
          <w:tcPr>
            <w:tcW w:w="3034" w:type="pct"/>
            <w:tcBorders>
              <w:tl2br w:val="nil"/>
              <w:tr2bl w:val="nil"/>
            </w:tcBorders>
            <w:vAlign w:val="center"/>
          </w:tcPr>
          <w:p w14:paraId="125EA3E1">
            <w:pPr>
              <w:adjustRightInd w:val="0"/>
              <w:snapToGrid w:val="0"/>
              <w:spacing w:line="288" w:lineRule="auto"/>
              <w:jc w:val="left"/>
              <w:rPr>
                <w:rFonts w:hint="eastAsia" w:eastAsia="宋体"/>
                <w:color w:val="auto"/>
                <w:sz w:val="21"/>
                <w:szCs w:val="21"/>
                <w:highlight w:val="none"/>
                <w:lang w:eastAsia="zh-CN"/>
              </w:rPr>
            </w:pPr>
            <w:r>
              <w:rPr>
                <w:rFonts w:hint="eastAsia"/>
                <w:color w:val="auto"/>
                <w:sz w:val="21"/>
                <w:szCs w:val="21"/>
                <w:highlight w:val="none"/>
                <w:lang w:val="en-US" w:eastAsia="zh-CN"/>
              </w:rPr>
              <w:t>不适用</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371" w:type="pct"/>
            <w:tcBorders>
              <w:tl2br w:val="nil"/>
              <w:tr2bl w:val="nil"/>
            </w:tcBorders>
            <w:vAlign w:val="center"/>
          </w:tcPr>
          <w:p w14:paraId="059203A0">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1594" w:type="pct"/>
            <w:tcBorders>
              <w:tl2br w:val="nil"/>
              <w:tr2bl w:val="nil"/>
            </w:tcBorders>
            <w:vAlign w:val="center"/>
          </w:tcPr>
          <w:p w14:paraId="110DB6AE">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3034" w:type="pct"/>
            <w:tcBorders>
              <w:tl2br w:val="nil"/>
              <w:tr2bl w:val="nil"/>
            </w:tcBorders>
            <w:vAlign w:val="center"/>
          </w:tcPr>
          <w:p w14:paraId="50CF883F">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p w14:paraId="1916F346">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本项目属性为：货物</w:t>
            </w:r>
          </w:p>
          <w:p w14:paraId="691D7E7E">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采购标的对应的中小企业划分标准所属行业：其他未列明行业</w:t>
            </w:r>
          </w:p>
          <w:p w14:paraId="4717BB7F">
            <w:pPr>
              <w:adjustRightInd w:val="0"/>
              <w:snapToGrid w:val="0"/>
              <w:spacing w:line="288" w:lineRule="auto"/>
              <w:jc w:val="left"/>
              <w:rPr>
                <w:color w:val="auto"/>
                <w:highlight w:val="none"/>
              </w:rPr>
            </w:pPr>
            <w:r>
              <w:rPr>
                <w:rFonts w:hint="eastAsia"/>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21E4CEA8">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1594" w:type="pct"/>
            <w:tcBorders>
              <w:tl2br w:val="nil"/>
              <w:tr2bl w:val="nil"/>
            </w:tcBorders>
            <w:vAlign w:val="center"/>
          </w:tcPr>
          <w:p w14:paraId="00FCD93B">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3034" w:type="pct"/>
            <w:tcBorders>
              <w:tl2br w:val="nil"/>
              <w:tr2bl w:val="nil"/>
            </w:tcBorders>
            <w:vAlign w:val="center"/>
          </w:tcPr>
          <w:p w14:paraId="7B5480E5">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1" w:type="pct"/>
            <w:tcBorders>
              <w:tl2br w:val="nil"/>
              <w:tr2bl w:val="nil"/>
            </w:tcBorders>
            <w:vAlign w:val="center"/>
          </w:tcPr>
          <w:p w14:paraId="2D8CF524">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1594" w:type="pct"/>
            <w:tcBorders>
              <w:tl2br w:val="nil"/>
              <w:tr2bl w:val="nil"/>
            </w:tcBorders>
            <w:vAlign w:val="center"/>
          </w:tcPr>
          <w:p w14:paraId="6337413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3034" w:type="pct"/>
            <w:tcBorders>
              <w:tl2br w:val="nil"/>
              <w:tr2bl w:val="nil"/>
            </w:tcBorders>
            <w:vAlign w:val="center"/>
          </w:tcPr>
          <w:p w14:paraId="3A5F2A62">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tc>
      </w:tr>
      <w:bookmarkEnd w:id="45"/>
    </w:tbl>
    <w:p w14:paraId="4F56C308">
      <w:pPr>
        <w:adjustRightInd w:val="0"/>
        <w:snapToGrid w:val="0"/>
        <w:spacing w:line="288" w:lineRule="auto"/>
        <w:rPr>
          <w:color w:val="auto"/>
          <w:sz w:val="21"/>
          <w:szCs w:val="21"/>
          <w:highlight w:val="none"/>
        </w:rPr>
      </w:pPr>
    </w:p>
    <w:p w14:paraId="445E1C17">
      <w:pPr>
        <w:pageBreakBefore w:val="0"/>
        <w:kinsoku/>
        <w:wordWrap/>
        <w:overflowPunct/>
        <w:topLinePunct w:val="0"/>
        <w:bidi w:val="0"/>
        <w:adjustRightInd w:val="0"/>
        <w:snapToGrid w:val="0"/>
        <w:spacing w:line="288" w:lineRule="auto"/>
        <w:outlineLvl w:val="1"/>
        <w:rPr>
          <w:rFonts w:hint="eastAsia" w:ascii="宋体" w:hAnsi="宋体" w:eastAsia="宋体" w:cs="宋体"/>
          <w:b/>
          <w:bCs/>
          <w:color w:val="auto"/>
          <w:highlight w:val="none"/>
        </w:rPr>
      </w:pPr>
      <w:bookmarkStart w:id="46" w:name="_Toc31100"/>
      <w:bookmarkStart w:id="47" w:name="_Toc14478"/>
      <w:r>
        <w:rPr>
          <w:rFonts w:hint="eastAsia" w:ascii="宋体" w:hAnsi="宋体" w:eastAsia="宋体" w:cs="宋体"/>
          <w:b/>
          <w:bCs/>
          <w:color w:val="auto"/>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7878"/>
      </w:tblGrid>
      <w:tr w14:paraId="78D1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5" w:type="pct"/>
            <w:tcBorders>
              <w:tl2br w:val="nil"/>
              <w:tr2bl w:val="nil"/>
            </w:tcBorders>
            <w:noWrap w:val="0"/>
            <w:vAlign w:val="center"/>
          </w:tcPr>
          <w:p w14:paraId="7071585C">
            <w:pPr>
              <w:pageBreakBefore w:val="0"/>
              <w:kinsoku/>
              <w:wordWrap/>
              <w:overflowPunct/>
              <w:topLinePunct w:val="0"/>
              <w:bidi w:val="0"/>
              <w:adjustRightInd w:val="0"/>
              <w:snapToGrid w:val="0"/>
              <w:spacing w:line="288" w:lineRule="auto"/>
              <w:jc w:val="center"/>
              <w:rPr>
                <w:rFonts w:ascii="宋体" w:hAnsi="宋体" w:eastAsia="宋体" w:cs="Times New Roman"/>
                <w:b/>
                <w:color w:val="auto"/>
                <w:spacing w:val="-6"/>
                <w:sz w:val="21"/>
                <w:szCs w:val="21"/>
                <w:highlight w:val="none"/>
              </w:rPr>
            </w:pPr>
            <w:bookmarkStart w:id="48" w:name="_Hlk45005608"/>
            <w:r>
              <w:rPr>
                <w:rFonts w:hint="eastAsia" w:ascii="宋体" w:hAnsi="宋体" w:eastAsia="宋体" w:cs="Times New Roman"/>
                <w:b/>
                <w:color w:val="auto"/>
                <w:spacing w:val="-6"/>
                <w:sz w:val="21"/>
                <w:szCs w:val="21"/>
                <w:highlight w:val="none"/>
              </w:rPr>
              <w:t>▲履约保证金</w:t>
            </w:r>
          </w:p>
        </w:tc>
        <w:tc>
          <w:tcPr>
            <w:tcW w:w="4094" w:type="pct"/>
            <w:tcBorders>
              <w:tl2br w:val="nil"/>
              <w:tr2bl w:val="nil"/>
            </w:tcBorders>
            <w:noWrap w:val="0"/>
            <w:vAlign w:val="center"/>
          </w:tcPr>
          <w:p w14:paraId="7D1C26D6">
            <w:pPr>
              <w:pageBreakBefore w:val="0"/>
              <w:kinsoku/>
              <w:wordWrap/>
              <w:overflowPunct/>
              <w:topLinePunct w:val="0"/>
              <w:bidi w:val="0"/>
              <w:adjustRightInd w:val="0"/>
              <w:snapToGrid w:val="0"/>
              <w:spacing w:line="288" w:lineRule="auto"/>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1.合同签订时，成交供应商向采购人提交合同总价1%的履约保证金，履约保证金在合同履约期间无违约情形的，项目</w:t>
            </w:r>
            <w:r>
              <w:rPr>
                <w:rFonts w:hint="eastAsia" w:ascii="宋体" w:hAnsi="宋体" w:eastAsia="宋体" w:cs="宋体"/>
                <w:color w:val="auto"/>
                <w:spacing w:val="-6"/>
                <w:sz w:val="21"/>
                <w:szCs w:val="21"/>
                <w:highlight w:val="none"/>
              </w:rPr>
              <w:t>履约完成后</w:t>
            </w:r>
            <w:r>
              <w:rPr>
                <w:rFonts w:hint="eastAsia" w:ascii="宋体" w:hAnsi="宋体" w:eastAsia="宋体" w:cs="宋体"/>
                <w:color w:val="auto"/>
                <w:spacing w:val="-6"/>
                <w:kern w:val="0"/>
                <w:sz w:val="21"/>
                <w:szCs w:val="21"/>
                <w:highlight w:val="none"/>
              </w:rPr>
              <w:t>，于一周内退还（不计息）；</w:t>
            </w:r>
          </w:p>
          <w:p w14:paraId="57B4B7FF">
            <w:pPr>
              <w:pageBreakBefore w:val="0"/>
              <w:kinsoku/>
              <w:wordWrap/>
              <w:overflowPunct/>
              <w:topLinePunct w:val="0"/>
              <w:bidi w:val="0"/>
              <w:adjustRightInd w:val="0"/>
              <w:snapToGrid w:val="0"/>
              <w:spacing w:line="288" w:lineRule="auto"/>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2C6D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5" w:type="pct"/>
            <w:tcBorders>
              <w:tl2br w:val="nil"/>
              <w:tr2bl w:val="nil"/>
            </w:tcBorders>
            <w:noWrap w:val="0"/>
            <w:vAlign w:val="center"/>
          </w:tcPr>
          <w:p w14:paraId="7736EEE5">
            <w:pPr>
              <w:pageBreakBefore w:val="0"/>
              <w:kinsoku/>
              <w:wordWrap/>
              <w:overflowPunct/>
              <w:topLinePunct w:val="0"/>
              <w:bidi w:val="0"/>
              <w:adjustRightInd w:val="0"/>
              <w:snapToGrid w:val="0"/>
              <w:spacing w:line="288" w:lineRule="auto"/>
              <w:jc w:val="center"/>
              <w:rPr>
                <w:rFonts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rPr>
              <w:t>▲付款方式</w:t>
            </w:r>
          </w:p>
        </w:tc>
        <w:tc>
          <w:tcPr>
            <w:tcW w:w="4094" w:type="pct"/>
            <w:tcBorders>
              <w:tl2br w:val="nil"/>
              <w:tr2bl w:val="nil"/>
            </w:tcBorders>
            <w:noWrap w:val="0"/>
            <w:vAlign w:val="center"/>
          </w:tcPr>
          <w:p w14:paraId="3A998EE3">
            <w:pPr>
              <w:pageBreakBefore w:val="0"/>
              <w:kinsoku/>
              <w:wordWrap/>
              <w:overflowPunct/>
              <w:topLinePunct w:val="0"/>
              <w:autoSpaceDE w:val="0"/>
              <w:autoSpaceDN w:val="0"/>
              <w:bidi w:val="0"/>
              <w:adjustRightInd w:val="0"/>
              <w:snapToGrid w:val="0"/>
              <w:spacing w:line="288" w:lineRule="auto"/>
              <w:jc w:val="left"/>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1.合同生效以及具备实施条件后</w:t>
            </w:r>
            <w:r>
              <w:rPr>
                <w:rFonts w:ascii="宋体" w:hAnsi="宋体" w:eastAsia="宋体" w:cs="宋体"/>
                <w:color w:val="auto"/>
                <w:spacing w:val="-6"/>
                <w:kern w:val="0"/>
                <w:sz w:val="21"/>
                <w:szCs w:val="21"/>
                <w:highlight w:val="none"/>
              </w:rPr>
              <w:t>7个工作日内</w:t>
            </w:r>
            <w:r>
              <w:rPr>
                <w:rFonts w:hint="eastAsia" w:ascii="宋体" w:hAnsi="宋体" w:eastAsia="宋体" w:cs="宋体"/>
                <w:color w:val="auto"/>
                <w:spacing w:val="-6"/>
                <w:kern w:val="0"/>
                <w:sz w:val="21"/>
                <w:szCs w:val="21"/>
                <w:highlight w:val="none"/>
              </w:rPr>
              <w:t>，且</w:t>
            </w:r>
            <w:r>
              <w:rPr>
                <w:rFonts w:hint="eastAsia" w:ascii="宋体" w:hAnsi="宋体" w:eastAsia="宋体" w:cs="Arial"/>
                <w:color w:val="auto"/>
                <w:kern w:val="0"/>
                <w:sz w:val="21"/>
                <w:szCs w:val="21"/>
                <w:highlight w:val="none"/>
              </w:rPr>
              <w:t>成交供应商已向采购人提交银行、保险公司等金融机构出具的预付款保函的，</w:t>
            </w:r>
            <w:r>
              <w:rPr>
                <w:rFonts w:hint="eastAsia" w:ascii="宋体" w:hAnsi="宋体" w:eastAsia="宋体" w:cs="宋体"/>
                <w:color w:val="auto"/>
                <w:spacing w:val="-6"/>
                <w:kern w:val="0"/>
                <w:sz w:val="21"/>
                <w:szCs w:val="21"/>
                <w:highlight w:val="none"/>
              </w:rPr>
              <w:t>采购人向供应商支付合同总价4</w:t>
            </w:r>
            <w:r>
              <w:rPr>
                <w:rFonts w:ascii="宋体" w:hAnsi="宋体" w:eastAsia="宋体" w:cs="宋体"/>
                <w:color w:val="auto"/>
                <w:spacing w:val="-6"/>
                <w:kern w:val="0"/>
                <w:sz w:val="21"/>
                <w:szCs w:val="21"/>
                <w:highlight w:val="none"/>
              </w:rPr>
              <w:t>0</w:t>
            </w:r>
            <w:r>
              <w:rPr>
                <w:rFonts w:hint="eastAsia" w:ascii="宋体" w:hAnsi="宋体" w:eastAsia="宋体" w:cs="宋体"/>
                <w:color w:val="auto"/>
                <w:spacing w:val="-6"/>
                <w:kern w:val="0"/>
                <w:sz w:val="21"/>
                <w:szCs w:val="21"/>
                <w:highlight w:val="none"/>
              </w:rPr>
              <w:t>%的预付款；</w:t>
            </w:r>
            <w:r>
              <w:rPr>
                <w:rFonts w:hint="eastAsia" w:ascii="宋体" w:hAnsi="宋体" w:eastAsia="宋体" w:cs="宋体"/>
                <w:color w:val="auto"/>
                <w:spacing w:val="-6"/>
                <w:kern w:val="0"/>
                <w:sz w:val="21"/>
                <w:szCs w:val="21"/>
                <w:highlight w:val="none"/>
                <w:lang w:val="en-US" w:eastAsia="zh-CN"/>
              </w:rPr>
              <w:t>2025年12月31日前，经采购人验收合格后，收到发票后7个工作日内，采购人向供应商支付</w:t>
            </w:r>
            <w:r>
              <w:rPr>
                <w:rFonts w:hint="eastAsia" w:cs="宋体"/>
                <w:color w:val="auto"/>
                <w:spacing w:val="-6"/>
                <w:kern w:val="0"/>
                <w:sz w:val="21"/>
                <w:szCs w:val="21"/>
                <w:highlight w:val="none"/>
                <w:lang w:val="en-US" w:eastAsia="zh-CN"/>
              </w:rPr>
              <w:t>至</w:t>
            </w:r>
            <w:r>
              <w:rPr>
                <w:rFonts w:hint="eastAsia" w:ascii="宋体" w:hAnsi="宋体" w:eastAsia="宋体" w:cs="宋体"/>
                <w:color w:val="auto"/>
                <w:spacing w:val="-6"/>
                <w:kern w:val="0"/>
                <w:sz w:val="21"/>
                <w:szCs w:val="21"/>
                <w:highlight w:val="none"/>
                <w:lang w:val="en-US" w:eastAsia="zh-CN"/>
              </w:rPr>
              <w:t>合同总价的</w:t>
            </w:r>
            <w:r>
              <w:rPr>
                <w:rFonts w:hint="eastAsia" w:cs="宋体"/>
                <w:color w:val="auto"/>
                <w:spacing w:val="-6"/>
                <w:kern w:val="0"/>
                <w:sz w:val="21"/>
                <w:szCs w:val="21"/>
                <w:highlight w:val="none"/>
                <w:lang w:val="en-US" w:eastAsia="zh-CN"/>
              </w:rPr>
              <w:t>5</w:t>
            </w:r>
            <w:r>
              <w:rPr>
                <w:rFonts w:hint="eastAsia" w:ascii="宋体" w:hAnsi="宋体" w:eastAsia="宋体" w:cs="宋体"/>
                <w:color w:val="auto"/>
                <w:spacing w:val="-6"/>
                <w:kern w:val="0"/>
                <w:sz w:val="21"/>
                <w:szCs w:val="21"/>
                <w:highlight w:val="none"/>
                <w:lang w:val="en-US" w:eastAsia="zh-CN"/>
              </w:rPr>
              <w:t>0%（如有删减，按实际结算）</w:t>
            </w:r>
            <w:r>
              <w:rPr>
                <w:rFonts w:hint="eastAsia" w:cs="宋体"/>
                <w:color w:val="auto"/>
                <w:spacing w:val="-6"/>
                <w:kern w:val="0"/>
                <w:sz w:val="21"/>
                <w:szCs w:val="21"/>
                <w:highlight w:val="none"/>
                <w:lang w:val="en-US" w:eastAsia="zh-CN"/>
              </w:rPr>
              <w:t>；2026年12月31日前，经采购人验收合格后，收到发票后7个工作日内，采购人向供应商至支付合同总价的100%（如有删减，按实际结算）</w:t>
            </w:r>
            <w:r>
              <w:rPr>
                <w:rFonts w:hint="eastAsia" w:ascii="宋体" w:hAnsi="宋体" w:eastAsia="宋体" w:cs="宋体"/>
                <w:color w:val="auto"/>
                <w:spacing w:val="-6"/>
                <w:kern w:val="0"/>
                <w:sz w:val="21"/>
                <w:szCs w:val="21"/>
                <w:highlight w:val="none"/>
                <w:lang w:val="en-US" w:eastAsia="zh-CN"/>
              </w:rPr>
              <w:t>。</w:t>
            </w:r>
          </w:p>
          <w:p w14:paraId="3727DA16">
            <w:pPr>
              <w:pageBreakBefore w:val="0"/>
              <w:kinsoku/>
              <w:wordWrap/>
              <w:overflowPunct/>
              <w:topLinePunct w:val="0"/>
              <w:autoSpaceDE w:val="0"/>
              <w:autoSpaceDN w:val="0"/>
              <w:bidi w:val="0"/>
              <w:adjustRightInd w:val="0"/>
              <w:snapToGrid w:val="0"/>
              <w:spacing w:line="288" w:lineRule="auto"/>
              <w:jc w:val="left"/>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2.在签订合同时，供应商明确表示无需预付款或者主动要求降低预付款比例的，可</w:t>
            </w:r>
            <w:r>
              <w:rPr>
                <w:rFonts w:hint="eastAsia" w:ascii="宋体" w:hAnsi="宋体" w:eastAsia="宋体" w:cs="宋体"/>
                <w:color w:val="auto"/>
                <w:spacing w:val="-6"/>
                <w:kern w:val="0"/>
                <w:sz w:val="21"/>
                <w:szCs w:val="21"/>
                <w:highlight w:val="none"/>
                <w:lang w:val="en-US" w:eastAsia="zh-CN"/>
              </w:rPr>
              <w:t>不支付或</w:t>
            </w:r>
            <w:r>
              <w:rPr>
                <w:rFonts w:hint="eastAsia" w:ascii="宋体" w:hAnsi="宋体" w:eastAsia="宋体" w:cs="宋体"/>
                <w:color w:val="auto"/>
                <w:spacing w:val="-6"/>
                <w:kern w:val="0"/>
                <w:sz w:val="21"/>
                <w:szCs w:val="21"/>
                <w:highlight w:val="none"/>
              </w:rPr>
              <w:t>降低预付款比例（预付款保函同步调整）。</w:t>
            </w:r>
          </w:p>
        </w:tc>
      </w:tr>
      <w:bookmarkEnd w:id="48"/>
    </w:tbl>
    <w:p w14:paraId="17FAE4B2">
      <w:pPr>
        <w:pageBreakBefore w:val="0"/>
        <w:kinsoku/>
        <w:wordWrap/>
        <w:overflowPunct/>
        <w:topLinePunct w:val="0"/>
        <w:bidi w:val="0"/>
        <w:adjustRightInd w:val="0"/>
        <w:snapToGrid w:val="0"/>
        <w:spacing w:line="288" w:lineRule="auto"/>
        <w:outlineLvl w:val="1"/>
        <w:rPr>
          <w:rFonts w:hint="eastAsia" w:ascii="宋体" w:hAnsi="宋体" w:eastAsia="宋体" w:cs="宋体"/>
          <w:b/>
          <w:bCs/>
          <w:color w:val="auto"/>
          <w:highlight w:val="none"/>
        </w:rPr>
      </w:pPr>
      <w:bookmarkStart w:id="49" w:name="_Toc25406"/>
      <w:bookmarkStart w:id="50" w:name="_Toc3067"/>
      <w:bookmarkStart w:id="51" w:name="_Toc21207"/>
      <w:bookmarkStart w:id="52" w:name="_Toc22248"/>
    </w:p>
    <w:p w14:paraId="29991206">
      <w:pPr>
        <w:pageBreakBefore w:val="0"/>
        <w:kinsoku/>
        <w:wordWrap/>
        <w:overflowPunct/>
        <w:topLinePunct w:val="0"/>
        <w:bidi w:val="0"/>
        <w:adjustRightInd w:val="0"/>
        <w:snapToGrid w:val="0"/>
        <w:spacing w:line="288" w:lineRule="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三、服务要求：</w:t>
      </w:r>
      <w:bookmarkEnd w:id="49"/>
      <w:bookmarkEnd w:id="50"/>
      <w:bookmarkEnd w:id="51"/>
      <w:bookmarkEnd w:id="52"/>
    </w:p>
    <w:bookmarkEnd w:id="46"/>
    <w:bookmarkEnd w:id="47"/>
    <w:tbl>
      <w:tblPr>
        <w:tblStyle w:val="2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4"/>
        <w:gridCol w:w="7754"/>
      </w:tblGrid>
      <w:tr w14:paraId="71728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2B514F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合同履行期限</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303FD2E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自合同签订之日起至202</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年12月31日</w:t>
            </w:r>
          </w:p>
        </w:tc>
      </w:tr>
      <w:tr w14:paraId="0A456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A8BBCA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3E31C8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供应商在收到采购人订单后，现货60日、期货180日</w:t>
            </w:r>
            <w:r>
              <w:rPr>
                <w:rFonts w:hint="eastAsia" w:ascii="宋体" w:hAnsi="宋体" w:eastAsia="宋体" w:cs="宋体"/>
                <w:color w:val="auto"/>
                <w:sz w:val="21"/>
                <w:szCs w:val="21"/>
                <w:highlight w:val="none"/>
                <w:lang w:val="en-US" w:eastAsia="zh-CN"/>
              </w:rPr>
              <w:t>内交付。规定时间内</w:t>
            </w:r>
            <w:r>
              <w:rPr>
                <w:rFonts w:hint="eastAsia" w:ascii="宋体" w:hAnsi="宋体" w:eastAsia="宋体" w:cs="宋体"/>
                <w:color w:val="auto"/>
                <w:sz w:val="21"/>
                <w:szCs w:val="21"/>
                <w:highlight w:val="none"/>
                <w:lang w:eastAsia="zh-CN"/>
              </w:rPr>
              <w:t>不能到货的图书，列出清单，并说明原因向采购人反馈。采购人根据实际情况再确定是否继续征订。</w:t>
            </w:r>
          </w:p>
        </w:tc>
      </w:tr>
      <w:tr w14:paraId="50E68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203C6E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4E561EEB">
            <w:pPr>
              <w:keepNext w:val="0"/>
              <w:keepLines w:val="0"/>
              <w:pageBreakBefore w:val="0"/>
              <w:widowControl w:val="0"/>
              <w:kinsoku/>
              <w:wordWrap/>
              <w:overflowPunct/>
              <w:topLinePunct w:val="0"/>
              <w:autoSpaceDE/>
              <w:autoSpaceDN/>
              <w:bidi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浙江树人学院拱宸桥校区、杨汛桥校区。</w:t>
            </w:r>
          </w:p>
        </w:tc>
      </w:tr>
      <w:tr w14:paraId="72309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F9123C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078280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项目经验收合格后开始计算，质保期内图书质量发生问题免费予以调换。</w:t>
            </w:r>
          </w:p>
        </w:tc>
      </w:tr>
      <w:tr w14:paraId="5E64E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5A7C6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支撑能力</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22E676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1.供应商应具有</w:t>
            </w:r>
            <w:r>
              <w:rPr>
                <w:rFonts w:hint="eastAsia" w:ascii="宋体" w:hAnsi="宋体" w:eastAsia="宋体" w:cs="宋体"/>
                <w:color w:val="auto"/>
                <w:sz w:val="21"/>
                <w:szCs w:val="21"/>
                <w:highlight w:val="none"/>
              </w:rPr>
              <w:t>经验丰富、稳定的本地工作团队，能在短时间内适应采购人新的服务要求；</w:t>
            </w:r>
          </w:p>
          <w:p w14:paraId="18BAEB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2.供应商应具有</w:t>
            </w:r>
            <w:r>
              <w:rPr>
                <w:rFonts w:hint="eastAsia" w:ascii="宋体" w:hAnsi="宋体" w:eastAsia="宋体" w:cs="宋体"/>
                <w:color w:val="auto"/>
                <w:sz w:val="21"/>
                <w:szCs w:val="21"/>
                <w:highlight w:val="none"/>
              </w:rPr>
              <w:t>便于采购人访问的网站，及时有效更新各类数据，为采购人提供数据下载和订单处理状态查询</w:t>
            </w:r>
            <w:r>
              <w:rPr>
                <w:rFonts w:hint="eastAsia" w:ascii="宋体" w:hAnsi="宋体" w:eastAsia="宋体" w:cs="宋体"/>
                <w:color w:val="auto"/>
                <w:sz w:val="21"/>
                <w:szCs w:val="21"/>
                <w:highlight w:val="none"/>
                <w:lang w:eastAsia="zh-CN"/>
              </w:rPr>
              <w:t>。</w:t>
            </w:r>
          </w:p>
        </w:tc>
      </w:tr>
      <w:tr w14:paraId="26E16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4CEDF5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供书品种与速度</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198DA4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1.能够提供预订购书、现场购书等不同采购方式和书展服务；</w:t>
            </w:r>
          </w:p>
          <w:p w14:paraId="61C4DA7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采购人要求提供内容准确完整、格式规范的外文原版图书出版社的全学科新书目录，包括分学科书目、现货书目、专题书目、特色书目等，所提供目录属于采购人指定采购大纲范围、符合浙江树人学院专业即课程设置和读者需求，不得因为供货折扣原因屏蔽任何图书品种，积极联系出版社尽可能多的获得合作包销图书品种信息。</w:t>
            </w:r>
          </w:p>
        </w:tc>
      </w:tr>
      <w:tr w14:paraId="684FC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61983EA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采访书目数据</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0E20793F">
            <w:pPr>
              <w:keepNext w:val="0"/>
              <w:keepLines w:val="0"/>
              <w:pageBreakBefore w:val="0"/>
              <w:widowControl w:val="0"/>
              <w:kinsoku/>
              <w:wordWrap/>
              <w:overflowPunct/>
              <w:topLinePunct w:val="0"/>
              <w:autoSpaceDE/>
              <w:autoSpaceDN/>
              <w:bidi w:val="0"/>
              <w:spacing w:line="288"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供应商应</w:t>
            </w:r>
            <w:r>
              <w:rPr>
                <w:rFonts w:hint="eastAsia" w:ascii="宋体" w:hAnsi="宋体" w:eastAsia="宋体" w:cs="宋体"/>
                <w:color w:val="auto"/>
                <w:sz w:val="21"/>
                <w:szCs w:val="21"/>
                <w:highlight w:val="none"/>
              </w:rPr>
              <w:t>按要求提供征订图书目录，采访书目数据提供标准USMARC（港台书为CNMARK）数据，符合采购人编目系统要求（具体数据要求遵循《国际标准书目著录（ISBD）》《CALIS联机合作编目手册》），内容包含ISBN号、正题名、副题名、分辑号、分辑名、丛书项、作者、版本、出版地、出版社、出版年代、价格（包含币制）、页码、装帧、开本、内容简介和读者对象等内容。</w:t>
            </w:r>
          </w:p>
        </w:tc>
      </w:tr>
      <w:tr w14:paraId="3EF1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5545BC6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订单反馈</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7103AC99">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.供应商应</w:t>
            </w:r>
            <w:r>
              <w:rPr>
                <w:rFonts w:hint="eastAsia" w:ascii="宋体" w:hAnsi="宋体" w:eastAsia="宋体" w:cs="宋体"/>
                <w:color w:val="auto"/>
                <w:sz w:val="21"/>
                <w:szCs w:val="21"/>
                <w:highlight w:val="none"/>
                <w:lang w:bidi="ar"/>
              </w:rPr>
              <w:t>无条件受理采购人提交的图书订单；</w:t>
            </w:r>
          </w:p>
          <w:p w14:paraId="5290BF3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订单以电子邮件形式发送，在接到订单后一周内进行新单回告，包括大码洋书目确认、不适藏书目确认、重复报订书目确认、审读禁止订单等，由采购人复核审定；</w:t>
            </w:r>
          </w:p>
          <w:p w14:paraId="67C9342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在订单执行过程中遇到书名和ISBN变更、出版时间延后或出版计划取消、丛书或连续出版物复本书不配套、价格涨幅过大（实际书价超出订单报价15%）等情况及时反馈，与采购人二次确认订单；</w:t>
            </w:r>
          </w:p>
          <w:p w14:paraId="273403C0">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一个月内反馈订单执行情况，包括报订时间和批次、已送货到馆书目、已到库未送货书目、逾期未到书目，未到书目注明原因，如“已采购未到货”“取消出版”“出版社缺货”“不适藏撤销”“审读禁止”等，同一批订单拒订率不得超过10%；</w:t>
            </w:r>
          </w:p>
          <w:p w14:paraId="0C4BF2A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每6个月汇总一次订单反馈情况（内容同上），分析、说明原因，及时向出版社催缺、尽快给予补充。</w:t>
            </w:r>
          </w:p>
        </w:tc>
      </w:tr>
      <w:tr w14:paraId="55DBB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3A7802E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配书速度与到馆率</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005A0E3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现采、现货图书2周内到馆率100%，电子订单预订图书前6个月到馆率≥90%、全年平均到馆率≥95%，取消出版、延期出版、绝版的文献除外（到馆率=实际配货种数/订单种数*100%），订购图书超过一年未到货的采购人有权拒收，采购人每6个月对</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的订单执行情况进行评估，若未达到以上要求即可认定</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不具备向采购人进行供货的能力，采购人可要求终止合同，有权采取相应的补救措施（如转向其他代理商补订图书），由此给采购人造成的各项损失或增加的各项费用（如折扣损失、邮费等）均由</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承担；</w:t>
            </w:r>
          </w:p>
          <w:p w14:paraId="76D7FC0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采购人急需的图书可提供快速采购、快递送货服务。</w:t>
            </w:r>
          </w:p>
        </w:tc>
      </w:tr>
      <w:tr w14:paraId="3086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4ABBD6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配书质量</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72989D2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收到订单后若出现订单不匹配，</w:t>
            </w:r>
            <w:r>
              <w:rPr>
                <w:rFonts w:hint="eastAsia" w:ascii="宋体" w:hAnsi="宋体" w:eastAsia="宋体" w:cs="宋体"/>
                <w:color w:val="auto"/>
                <w:sz w:val="21"/>
                <w:szCs w:val="21"/>
                <w:highlight w:val="none"/>
                <w:lang w:val="en-US" w:eastAsia="zh-CN" w:bidi="ar"/>
              </w:rPr>
              <w:t>应</w:t>
            </w:r>
            <w:r>
              <w:rPr>
                <w:rFonts w:hint="eastAsia" w:ascii="宋体" w:hAnsi="宋体" w:eastAsia="宋体" w:cs="宋体"/>
                <w:color w:val="auto"/>
                <w:sz w:val="21"/>
                <w:szCs w:val="21"/>
                <w:highlight w:val="none"/>
                <w:lang w:bidi="ar"/>
              </w:rPr>
              <w:t>在配书发货前再次确定采购人征订需求；</w:t>
            </w:r>
          </w:p>
          <w:p w14:paraId="579030A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.供应商应</w:t>
            </w:r>
            <w:r>
              <w:rPr>
                <w:rFonts w:hint="eastAsia" w:ascii="宋体" w:hAnsi="宋体" w:eastAsia="宋体" w:cs="宋体"/>
                <w:color w:val="auto"/>
                <w:sz w:val="21"/>
                <w:szCs w:val="21"/>
                <w:highlight w:val="none"/>
                <w:lang w:bidi="ar"/>
              </w:rPr>
              <w:t>完全按照采购人所提供的图书订单进行采购，杜绝提供与馆藏要求不符的品种和数量的图书，采购人有权对已到馆的、但不符合教学科研需要和水平的图书给予无条件退货，退货发生的全部费用由</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承担，供书发货差错率＜2‰；</w:t>
            </w:r>
          </w:p>
          <w:p w14:paraId="1E754F6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所供图书具有合法来源、渠道正规、保证正版（即未侵犯任何第三方的著作权或其他相关权利），盗版图书必须无条件负责退换并承担相应的法律责任；</w:t>
            </w:r>
          </w:p>
          <w:p w14:paraId="0251C22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.供应商应</w:t>
            </w:r>
            <w:r>
              <w:rPr>
                <w:rFonts w:hint="eastAsia" w:ascii="宋体" w:hAnsi="宋体" w:eastAsia="宋体" w:cs="宋体"/>
                <w:color w:val="auto"/>
                <w:sz w:val="21"/>
                <w:szCs w:val="21"/>
                <w:highlight w:val="none"/>
                <w:lang w:bidi="ar"/>
              </w:rPr>
              <w:t>保证所供图书无破损、无污损并能按要求配套，供应有质量问题的图书（如污损、图文不清、错页、漏页、破损、少附件等）及到书与原订购不符或运输途中出现遗失、破损，采购人有权提出调换或退货要求，</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无条件负责30个工作日内免费退换，对于因采购人原因出现错订的问题图书能积极协助调剂，配合采取撤订、退书、换书等方式减轻采购人的损失；</w:t>
            </w:r>
          </w:p>
          <w:p w14:paraId="18F3AB9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5</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对采购人选购的外文图书均免费提供USMARC格式的编目数据（以《中图法（第五版）》为准，其格式完全符合中国机读目录格式或CALIS格式），编目数据通过电子邮件比同批次送达的图书提前到馆且覆盖率100%、MARC数据差错率＜2‰</w:t>
            </w:r>
            <w:r>
              <w:rPr>
                <w:rFonts w:hint="eastAsia" w:ascii="宋体" w:hAnsi="宋体" w:eastAsia="宋体" w:cs="宋体"/>
                <w:color w:val="auto"/>
                <w:sz w:val="21"/>
                <w:szCs w:val="21"/>
                <w:highlight w:val="none"/>
                <w:lang w:eastAsia="zh-CN" w:bidi="ar"/>
              </w:rPr>
              <w:t>。</w:t>
            </w:r>
          </w:p>
        </w:tc>
      </w:tr>
      <w:tr w14:paraId="15BF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0F70C3A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配书加工及送货</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5BA872E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.供应商应</w:t>
            </w:r>
            <w:r>
              <w:rPr>
                <w:rFonts w:hint="eastAsia" w:ascii="宋体" w:hAnsi="宋体" w:eastAsia="宋体" w:cs="宋体"/>
                <w:color w:val="auto"/>
                <w:sz w:val="21"/>
                <w:szCs w:val="21"/>
                <w:highlight w:val="none"/>
                <w:lang w:bidi="ar"/>
              </w:rPr>
              <w:t>对配书进行防潮湿和防破损包装，发送配书前预先电话通知采购人，得到确认再行送货；</w:t>
            </w:r>
          </w:p>
          <w:p w14:paraId="11F9D4E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.供应商应</w:t>
            </w:r>
            <w:r>
              <w:rPr>
                <w:rFonts w:hint="eastAsia" w:ascii="宋体" w:hAnsi="宋体" w:eastAsia="宋体" w:cs="宋体"/>
                <w:color w:val="auto"/>
                <w:sz w:val="21"/>
                <w:szCs w:val="21"/>
                <w:highlight w:val="none"/>
                <w:lang w:bidi="ar"/>
              </w:rPr>
              <w:t>有规律</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配送时间、有固定的送货渠道、提供门对门的快速送货服务，由此所发生的任何手续和运输费全部由</w:t>
            </w: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承担，如不能按要求送达指定收货点的采购人有权拒收。</w:t>
            </w:r>
          </w:p>
        </w:tc>
      </w:tr>
      <w:tr w14:paraId="1D8B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307251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验收</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4086957C">
            <w:pPr>
              <w:adjustRightInd w:val="0"/>
              <w:snapToGrid w:val="0"/>
              <w:spacing w:line="288" w:lineRule="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1.验收由采购人负责实施</w:t>
            </w:r>
            <w:r>
              <w:rPr>
                <w:rFonts w:hint="eastAsia" w:ascii="宋体" w:hAnsi="宋体" w:eastAsia="宋体" w:cs="宋体"/>
                <w:color w:val="auto"/>
                <w:sz w:val="21"/>
                <w:szCs w:val="21"/>
                <w:highlight w:val="none"/>
                <w:lang w:eastAsia="zh-CN" w:bidi="ar"/>
              </w:rPr>
              <w:t>；</w:t>
            </w:r>
          </w:p>
          <w:p w14:paraId="59EDD889">
            <w:pPr>
              <w:adjustRightInd w:val="0"/>
              <w:snapToGrid w:val="0"/>
              <w:spacing w:line="288" w:lineRule="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2.验收依据</w:t>
            </w:r>
            <w:r>
              <w:rPr>
                <w:rFonts w:hint="eastAsia" w:ascii="宋体" w:hAnsi="宋体" w:eastAsia="宋体" w:cs="宋体"/>
                <w:color w:val="auto"/>
                <w:sz w:val="21"/>
                <w:szCs w:val="21"/>
                <w:highlight w:val="none"/>
                <w:lang w:eastAsia="zh-CN" w:bidi="ar"/>
              </w:rPr>
              <w:t>：</w:t>
            </w:r>
          </w:p>
          <w:p w14:paraId="54E474B8">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2.1 合同、</w:t>
            </w:r>
            <w:r>
              <w:rPr>
                <w:rFonts w:hint="eastAsia" w:ascii="宋体" w:hAnsi="宋体" w:eastAsia="宋体" w:cs="宋体"/>
                <w:color w:val="auto"/>
                <w:sz w:val="21"/>
                <w:szCs w:val="21"/>
                <w:highlight w:val="none"/>
                <w:lang w:eastAsia="zh-CN" w:bidi="ar"/>
              </w:rPr>
              <w:t>磋商文件</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响应文件</w:t>
            </w:r>
            <w:r>
              <w:rPr>
                <w:rFonts w:hint="eastAsia" w:ascii="宋体" w:hAnsi="宋体" w:eastAsia="宋体" w:cs="宋体"/>
                <w:color w:val="auto"/>
                <w:sz w:val="21"/>
                <w:szCs w:val="21"/>
                <w:highlight w:val="none"/>
                <w:lang w:bidi="ar"/>
              </w:rPr>
              <w:t>；</w:t>
            </w:r>
          </w:p>
          <w:p w14:paraId="3EF2E3C1">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2.2 </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提供的技术规格、经采购人认可的合同货物的有效检验文件；</w:t>
            </w:r>
          </w:p>
          <w:p w14:paraId="38E97DE1">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2.3 </w:t>
            </w:r>
            <w:r>
              <w:rPr>
                <w:rFonts w:hint="eastAsia" w:ascii="宋体" w:hAnsi="宋体" w:eastAsia="宋体" w:cs="宋体"/>
                <w:color w:val="auto"/>
                <w:sz w:val="21"/>
                <w:szCs w:val="21"/>
                <w:highlight w:val="none"/>
                <w:lang w:eastAsia="zh-CN" w:bidi="ar"/>
              </w:rPr>
              <w:t>供应商响应文件</w:t>
            </w:r>
            <w:r>
              <w:rPr>
                <w:rFonts w:hint="eastAsia" w:ascii="宋体" w:hAnsi="宋体" w:eastAsia="宋体" w:cs="宋体"/>
                <w:color w:val="auto"/>
                <w:sz w:val="21"/>
                <w:szCs w:val="21"/>
                <w:highlight w:val="none"/>
                <w:lang w:bidi="ar"/>
              </w:rPr>
              <w:t>中提供的经采购人认可的合同货物的验收标准（符合中国有关的国家、地方、行业标准）和检测办法及相应检测手段。</w:t>
            </w:r>
          </w:p>
          <w:p w14:paraId="78A77AE1">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3.验收合格的条件</w:t>
            </w:r>
          </w:p>
          <w:p w14:paraId="79AF9730">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 采购人预订的图书品种在图书报订前对已预订的图书进行查重，由此造成采购人误订的图书</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予以退货；</w:t>
            </w:r>
          </w:p>
          <w:p w14:paraId="5211EF9D">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 若送交的图书污损、破损、图文不清、缺页、倒页、缺附件等质量不合格的无条件予以退换，不能以已加工为理由拒绝，由此造成的损失及费用全部由</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承担；</w:t>
            </w:r>
          </w:p>
          <w:p w14:paraId="2B952173">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3.3 保证送交的图书为正版，凡有版权问题的无条件予以退回，问题严重的采购人有权终止采购合同，由此引发的法律纠纷</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承担全部责任；</w:t>
            </w:r>
          </w:p>
          <w:p w14:paraId="24E5F535">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3.4 凡交到采购人的图书经验收发现书款与发货单不符的，采购人及时通知</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派员到验收地核算，</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接到通知之日起10个工作日内不能派员核算的，以采购人验收的实际数额计算书款。</w:t>
            </w:r>
          </w:p>
          <w:p w14:paraId="7ECC4D26">
            <w:pPr>
              <w:adjustRightInd w:val="0"/>
              <w:snapToGrid w:val="0"/>
              <w:spacing w:line="288"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应派员在所供货物到采购人处时进行到货验收，若发现任何损坏及质量问题，</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负责妥善处理直至采购人满意，由此产生的费用由</w:t>
            </w:r>
            <w:r>
              <w:rPr>
                <w:rFonts w:hint="eastAsia" w:ascii="宋体" w:hAnsi="宋体" w:eastAsia="宋体" w:cs="宋体"/>
                <w:color w:val="auto"/>
                <w:sz w:val="21"/>
                <w:szCs w:val="21"/>
                <w:highlight w:val="none"/>
                <w:lang w:eastAsia="zh-CN" w:bidi="ar"/>
              </w:rPr>
              <w:t>供应商</w:t>
            </w:r>
            <w:r>
              <w:rPr>
                <w:rFonts w:hint="eastAsia" w:ascii="宋体" w:hAnsi="宋体" w:eastAsia="宋体" w:cs="宋体"/>
                <w:color w:val="auto"/>
                <w:sz w:val="21"/>
                <w:szCs w:val="21"/>
                <w:highlight w:val="none"/>
                <w:lang w:bidi="ar"/>
              </w:rPr>
              <w:t>承担。</w:t>
            </w:r>
          </w:p>
        </w:tc>
      </w:tr>
      <w:tr w14:paraId="2CB60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noWrap w:val="0"/>
            <w:vAlign w:val="center"/>
          </w:tcPr>
          <w:p w14:paraId="1B7EA1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其他要求</w:t>
            </w:r>
          </w:p>
        </w:tc>
        <w:tc>
          <w:tcPr>
            <w:tcW w:w="4030" w:type="pct"/>
            <w:tcBorders>
              <w:top w:val="single" w:color="auto" w:sz="4" w:space="0"/>
              <w:left w:val="single" w:color="auto" w:sz="4" w:space="0"/>
              <w:bottom w:val="single" w:color="auto" w:sz="4" w:space="0"/>
              <w:right w:val="single" w:color="auto" w:sz="4" w:space="0"/>
            </w:tcBorders>
            <w:noWrap w:val="0"/>
            <w:vAlign w:val="center"/>
          </w:tcPr>
          <w:p w14:paraId="6011ACDE">
            <w:pPr>
              <w:adjustRightInd w:val="0"/>
              <w:snapToGrid w:val="0"/>
              <w:spacing w:line="288" w:lineRule="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color w:val="auto"/>
                <w:sz w:val="21"/>
                <w:szCs w:val="21"/>
                <w:highlight w:val="none"/>
                <w:lang w:bidi="ar"/>
              </w:rPr>
              <w:t>本项目采用折扣报价，结算价</w:t>
            </w:r>
            <w:r>
              <w:rPr>
                <w:rFonts w:hint="eastAsia" w:ascii="宋体" w:hAnsi="宋体" w:eastAsia="宋体" w:cs="宋体"/>
                <w:b w:val="0"/>
                <w:bCs/>
                <w:color w:val="auto"/>
                <w:sz w:val="21"/>
                <w:szCs w:val="21"/>
                <w:highlight w:val="none"/>
                <w:lang w:val="en-US" w:eastAsia="zh-CN" w:bidi="ar"/>
              </w:rPr>
              <w:t>格</w:t>
            </w:r>
            <w:r>
              <w:rPr>
                <w:rFonts w:hint="eastAsia" w:ascii="宋体" w:hAnsi="宋体" w:eastAsia="宋体" w:cs="宋体"/>
                <w:b w:val="0"/>
                <w:bCs/>
                <w:color w:val="auto"/>
                <w:sz w:val="21"/>
                <w:szCs w:val="21"/>
                <w:highlight w:val="none"/>
                <w:lang w:bidi="ar"/>
              </w:rPr>
              <w:t>=</w:t>
            </w:r>
            <w:r>
              <w:rPr>
                <w:rFonts w:hint="eastAsia" w:ascii="宋体" w:hAnsi="宋体" w:eastAsia="宋体" w:cs="宋体"/>
                <w:b w:val="0"/>
                <w:bCs/>
                <w:color w:val="auto"/>
                <w:sz w:val="21"/>
                <w:szCs w:val="21"/>
                <w:highlight w:val="none"/>
                <w:lang w:val="en-US" w:eastAsia="zh-CN" w:bidi="ar"/>
              </w:rPr>
              <w:t>图书码洋</w:t>
            </w:r>
            <w:r>
              <w:rPr>
                <w:rFonts w:hint="eastAsia" w:ascii="宋体" w:hAnsi="宋体" w:eastAsia="宋体" w:cs="宋体"/>
                <w:b w:val="0"/>
                <w:bCs/>
                <w:color w:val="auto"/>
                <w:sz w:val="21"/>
                <w:szCs w:val="21"/>
                <w:highlight w:val="none"/>
                <w:lang w:bidi="ar"/>
              </w:rPr>
              <w:t>*成交折扣。</w:t>
            </w:r>
          </w:p>
        </w:tc>
      </w:tr>
    </w:tbl>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3747"/>
      <w:bookmarkStart w:id="54" w:name="_Toc3307"/>
      <w:bookmarkStart w:id="55" w:name="_Toc31862"/>
      <w:bookmarkStart w:id="56" w:name="_Toc4159"/>
      <w:bookmarkStart w:id="57" w:name="_Toc31552"/>
      <w:bookmarkStart w:id="58" w:name="_Toc2083"/>
      <w:bookmarkStart w:id="59" w:name="_Toc2599"/>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32532"/>
      <w:bookmarkStart w:id="61" w:name="_Toc31020"/>
      <w:bookmarkStart w:id="62" w:name="_Toc19309"/>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909" w:type="pct"/>
            <w:vAlign w:val="center"/>
          </w:tcPr>
          <w:p w14:paraId="2C34D4B4">
            <w:pPr>
              <w:snapToGrid w:val="0"/>
              <w:spacing w:line="288" w:lineRule="auto"/>
              <w:jc w:val="center"/>
              <w:rPr>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rPr>
              <w:t>2025年外文纸质图书</w:t>
            </w:r>
          </w:p>
          <w:p w14:paraId="64B13127">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909" w:type="pct"/>
            <w:vAlign w:val="center"/>
          </w:tcPr>
          <w:p w14:paraId="5CA36F0F">
            <w:pPr>
              <w:snapToGrid w:val="0"/>
              <w:spacing w:line="288" w:lineRule="auto"/>
              <w:jc w:val="center"/>
              <w:rPr>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rPr>
              <w:t>2025年外文纸质图书</w:t>
            </w:r>
            <w:r>
              <w:rPr>
                <w:rFonts w:hint="eastAsia"/>
                <w:color w:val="auto"/>
                <w:kern w:val="0"/>
                <w:sz w:val="21"/>
                <w:szCs w:val="21"/>
                <w:highlight w:val="none"/>
              </w:rPr>
              <w:t>，属于</w:t>
            </w:r>
            <w:r>
              <w:rPr>
                <w:rFonts w:hint="eastAsia"/>
                <w:color w:val="auto"/>
                <w:kern w:val="0"/>
                <w:sz w:val="21"/>
                <w:szCs w:val="21"/>
                <w:highlight w:val="none"/>
                <w:u w:val="single"/>
                <w:lang w:val="en-US" w:eastAsia="zh-CN"/>
              </w:rPr>
              <w:t>其他未列明行业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909" w:type="pct"/>
            <w:vAlign w:val="center"/>
          </w:tcPr>
          <w:p w14:paraId="7F7F82CF">
            <w:pPr>
              <w:snapToGrid w:val="0"/>
              <w:spacing w:line="288" w:lineRule="auto"/>
              <w:jc w:val="center"/>
              <w:rPr>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spacing w:line="288" w:lineRule="auto"/>
              <w:rPr>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909" w:type="pct"/>
            <w:vAlign w:val="center"/>
          </w:tcPr>
          <w:p w14:paraId="424D01A1">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3362" w:type="pct"/>
            <w:vAlign w:val="center"/>
          </w:tcPr>
          <w:p w14:paraId="6E75FD5E">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2025-2026年外文纸质图书采购</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909" w:type="pct"/>
            <w:vAlign w:val="center"/>
          </w:tcPr>
          <w:p w14:paraId="559DCF09">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3362" w:type="pct"/>
            <w:vAlign w:val="center"/>
          </w:tcPr>
          <w:p w14:paraId="2808EAB7">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909" w:type="pct"/>
            <w:vAlign w:val="center"/>
          </w:tcPr>
          <w:p w14:paraId="18ACDD3B">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adjustRightInd w:val="0"/>
              <w:snapToGrid w:val="0"/>
              <w:spacing w:line="288" w:lineRule="auto"/>
              <w:rPr>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adjustRightInd w:val="0"/>
              <w:snapToGrid w:val="0"/>
              <w:spacing w:line="288" w:lineRule="auto"/>
              <w:rPr>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909" w:type="pct"/>
            <w:vAlign w:val="center"/>
          </w:tcPr>
          <w:p w14:paraId="63EE44A6">
            <w:pPr>
              <w:adjustRightInd w:val="0"/>
              <w:snapToGrid w:val="0"/>
              <w:spacing w:line="288" w:lineRule="auto"/>
              <w:jc w:val="center"/>
              <w:rPr>
                <w:rFonts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 xml:space="preserve">             </w:t>
            </w:r>
            <w:r>
              <w:rPr>
                <w:rFonts w:hint="eastAsia"/>
                <w:color w:val="auto"/>
                <w:kern w:val="0"/>
                <w:sz w:val="21"/>
                <w:szCs w:val="21"/>
                <w:highlight w:val="none"/>
              </w:rPr>
              <w:t>；</w:t>
            </w:r>
          </w:p>
          <w:p w14:paraId="2A0AF414">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rPr>
              <w:t xml:space="preserve"> 详见采购需求  </w:t>
            </w:r>
            <w:r>
              <w:rPr>
                <w:rFonts w:hint="eastAsia"/>
                <w:color w:val="auto"/>
                <w:kern w:val="0"/>
                <w:sz w:val="21"/>
                <w:szCs w:val="21"/>
                <w:highlight w:val="none"/>
              </w:rPr>
              <w:t>；</w:t>
            </w:r>
          </w:p>
          <w:p w14:paraId="02C050E0">
            <w:pPr>
              <w:adjustRightInd w:val="0"/>
              <w:snapToGrid w:val="0"/>
              <w:spacing w:line="288" w:lineRule="auto"/>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adjustRightInd w:val="0"/>
              <w:snapToGrid w:val="0"/>
              <w:spacing w:line="288" w:lineRule="auto"/>
              <w:rPr>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adjustRightInd w:val="0"/>
              <w:snapToGrid w:val="0"/>
              <w:spacing w:line="288" w:lineRule="auto"/>
              <w:rPr>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adjustRightInd w:val="0"/>
              <w:snapToGrid w:val="0"/>
              <w:spacing w:line="288" w:lineRule="auto"/>
              <w:rPr>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 xml:space="preserve">                 </w:t>
            </w:r>
            <w:r>
              <w:rPr>
                <w:rFonts w:hint="eastAsia"/>
                <w:color w:val="auto"/>
                <w:kern w:val="0"/>
                <w:sz w:val="21"/>
                <w:szCs w:val="21"/>
                <w:highlight w:val="none"/>
              </w:rPr>
              <w:t>；地点：</w:t>
            </w:r>
            <w:r>
              <w:rPr>
                <w:rFonts w:hint="eastAsia"/>
                <w:color w:val="auto"/>
                <w:sz w:val="21"/>
                <w:szCs w:val="21"/>
                <w:highlight w:val="none"/>
                <w:u w:val="single"/>
                <w:lang w:val="en-US" w:eastAsia="zh-CN"/>
              </w:rPr>
              <w:t xml:space="preserve">               </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adjustRightInd w:val="0"/>
              <w:snapToGrid w:val="0"/>
              <w:spacing w:line="288" w:lineRule="auto"/>
              <w:rPr>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adjustRightInd w:val="0"/>
              <w:snapToGrid w:val="0"/>
              <w:spacing w:line="288" w:lineRule="auto"/>
              <w:rPr>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adjustRightInd w:val="0"/>
              <w:snapToGrid w:val="0"/>
              <w:spacing w:line="288" w:lineRule="auto"/>
              <w:jc w:val="center"/>
              <w:rPr>
                <w:color w:val="auto"/>
                <w:highlight w:val="none"/>
              </w:rPr>
            </w:pPr>
            <w:r>
              <w:rPr>
                <w:rFonts w:hint="eastAsia"/>
                <w:color w:val="auto"/>
                <w:highlight w:val="none"/>
              </w:rPr>
              <w:t>（八）</w:t>
            </w:r>
          </w:p>
        </w:tc>
        <w:tc>
          <w:tcPr>
            <w:tcW w:w="909" w:type="pct"/>
            <w:vAlign w:val="center"/>
          </w:tcPr>
          <w:p w14:paraId="1E0D95DB">
            <w:pPr>
              <w:adjustRightInd w:val="0"/>
              <w:snapToGrid w:val="0"/>
              <w:spacing w:line="288" w:lineRule="auto"/>
              <w:jc w:val="center"/>
              <w:rPr>
                <w:rFonts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adjustRightInd w:val="0"/>
              <w:snapToGrid w:val="0"/>
              <w:spacing w:line="288" w:lineRule="auto"/>
              <w:rPr>
                <w:color w:val="auto"/>
                <w:sz w:val="21"/>
                <w:szCs w:val="21"/>
                <w:highlight w:val="none"/>
              </w:rPr>
            </w:pPr>
            <w:r>
              <w:rPr>
                <w:rFonts w:hint="eastAsia"/>
                <w:color w:val="auto"/>
                <w:sz w:val="21"/>
                <w:szCs w:val="21"/>
                <w:highlight w:val="none"/>
              </w:rPr>
              <w:sym w:font="Wingdings 2" w:char="00A3"/>
            </w:r>
            <w:r>
              <w:rPr>
                <w:rFonts w:hint="eastAsia"/>
                <w:color w:val="auto"/>
                <w:sz w:val="21"/>
                <w:szCs w:val="21"/>
                <w:highlight w:val="none"/>
              </w:rPr>
              <w:t>B组织。</w:t>
            </w:r>
          </w:p>
          <w:p w14:paraId="0BFADABD">
            <w:pPr>
              <w:autoSpaceDE w:val="0"/>
              <w:spacing w:line="288" w:lineRule="auto"/>
              <w:rPr>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spacing w:line="288" w:lineRule="auto"/>
              <w:rPr>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909" w:type="pct"/>
            <w:vAlign w:val="center"/>
          </w:tcPr>
          <w:p w14:paraId="3B758EDA">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3362" w:type="pct"/>
            <w:vAlign w:val="center"/>
          </w:tcPr>
          <w:p w14:paraId="08AF5894">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adjustRightInd w:val="0"/>
              <w:snapToGrid w:val="0"/>
              <w:spacing w:line="288" w:lineRule="auto"/>
              <w:rPr>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adjustRightInd w:val="0"/>
                    <w:snapToGrid w:val="0"/>
                    <w:spacing w:line="288" w:lineRule="auto"/>
                    <w:jc w:val="center"/>
                    <w:rPr>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adjustRightInd w:val="0"/>
                    <w:snapToGrid w:val="0"/>
                    <w:spacing w:line="288" w:lineRule="auto"/>
                    <w:jc w:val="center"/>
                    <w:rPr>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adjustRightInd w:val="0"/>
                    <w:snapToGrid w:val="0"/>
                    <w:spacing w:line="288" w:lineRule="auto"/>
                    <w:jc w:val="center"/>
                    <w:rPr>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adjustRightInd w:val="0"/>
                    <w:snapToGrid w:val="0"/>
                    <w:spacing w:line="288" w:lineRule="auto"/>
                    <w:jc w:val="center"/>
                    <w:rPr>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adjustRightInd w:val="0"/>
                    <w:snapToGrid w:val="0"/>
                    <w:spacing w:line="288" w:lineRule="auto"/>
                    <w:jc w:val="center"/>
                    <w:rPr>
                      <w:color w:val="auto"/>
                      <w:sz w:val="21"/>
                      <w:szCs w:val="21"/>
                      <w:highlight w:val="none"/>
                      <w:lang w:bidi="ar"/>
                    </w:rPr>
                  </w:pPr>
                  <w:r>
                    <w:rPr>
                      <w:rFonts w:hint="eastAsia"/>
                      <w:color w:val="auto"/>
                      <w:sz w:val="21"/>
                      <w:szCs w:val="21"/>
                      <w:highlight w:val="none"/>
                    </w:rPr>
                    <w:t>0.88</w:t>
                  </w:r>
                </w:p>
              </w:tc>
            </w:tr>
          </w:tbl>
          <w:p w14:paraId="0C12CD0C">
            <w:pPr>
              <w:adjustRightInd w:val="0"/>
              <w:snapToGrid w:val="0"/>
              <w:spacing w:line="288" w:lineRule="auto"/>
              <w:ind w:firstLine="420" w:firstLineChars="200"/>
              <w:jc w:val="center"/>
              <w:rPr>
                <w:color w:val="auto"/>
                <w:sz w:val="21"/>
                <w:szCs w:val="21"/>
                <w:highlight w:val="none"/>
                <w:lang w:bidi="ar"/>
              </w:rPr>
            </w:pPr>
            <w:r>
              <w:rPr>
                <w:rFonts w:hint="eastAsia"/>
                <w:color w:val="auto"/>
                <w:sz w:val="21"/>
                <w:szCs w:val="21"/>
                <w:highlight w:val="none"/>
                <w:lang w:bidi="ar"/>
              </w:rPr>
              <w:t>代理服务费不足3000元的按3000元计。</w:t>
            </w:r>
          </w:p>
          <w:p w14:paraId="37DEB356">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户 名：浙江求是招标代理有限公司</w:t>
            </w:r>
          </w:p>
          <w:p w14:paraId="08C58117">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 xml:space="preserve">开 户：工行浙大支行 </w:t>
            </w:r>
          </w:p>
          <w:p w14:paraId="0AE23B68">
            <w:pPr>
              <w:adjustRightInd w:val="0"/>
              <w:snapToGrid w:val="0"/>
              <w:spacing w:line="288" w:lineRule="auto"/>
              <w:jc w:val="left"/>
              <w:rPr>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909" w:type="pct"/>
            <w:vAlign w:val="center"/>
          </w:tcPr>
          <w:p w14:paraId="43050468">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adjustRightInd w:val="0"/>
              <w:snapToGrid w:val="0"/>
              <w:spacing w:line="288" w:lineRule="auto"/>
              <w:rPr>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909" w:type="pct"/>
            <w:vAlign w:val="center"/>
          </w:tcPr>
          <w:p w14:paraId="2FB1699C">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3362" w:type="pct"/>
            <w:vAlign w:val="center"/>
          </w:tcPr>
          <w:p w14:paraId="5DE3D71A">
            <w:pPr>
              <w:adjustRightInd w:val="0"/>
              <w:snapToGrid w:val="0"/>
              <w:spacing w:line="288" w:lineRule="auto"/>
              <w:rPr>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909" w:type="pct"/>
            <w:vAlign w:val="center"/>
          </w:tcPr>
          <w:p w14:paraId="64E4B3B9">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3362" w:type="pct"/>
            <w:vAlign w:val="center"/>
          </w:tcPr>
          <w:p w14:paraId="15C9DA61">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2849B397">
            <w:pPr>
              <w:adjustRightInd w:val="0"/>
              <w:snapToGrid w:val="0"/>
              <w:spacing w:line="288" w:lineRule="auto"/>
              <w:rPr>
                <w:color w:val="auto"/>
                <w:sz w:val="21"/>
                <w:szCs w:val="21"/>
                <w:highlight w:val="none"/>
              </w:rPr>
            </w:pPr>
            <w:r>
              <w:rPr>
                <w:rFonts w:hint="eastAsia"/>
                <w:color w:val="auto"/>
                <w:sz w:val="21"/>
                <w:szCs w:val="21"/>
                <w:highlight w:val="none"/>
              </w:rPr>
              <w:t>2.本项目允许分包，可以分包履行的（非主体、非关键性的工作）具体内容、金额或者比例：货物运输。</w:t>
            </w:r>
          </w:p>
          <w:p w14:paraId="718894FF">
            <w:pPr>
              <w:adjustRightInd w:val="0"/>
              <w:snapToGrid w:val="0"/>
              <w:spacing w:line="288" w:lineRule="auto"/>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909" w:type="pct"/>
            <w:vAlign w:val="center"/>
          </w:tcPr>
          <w:p w14:paraId="640BDD12">
            <w:pPr>
              <w:adjustRightInd w:val="0"/>
              <w:snapToGrid w:val="0"/>
              <w:spacing w:line="288" w:lineRule="auto"/>
              <w:jc w:val="center"/>
              <w:rPr>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adjustRightInd w:val="0"/>
              <w:snapToGrid w:val="0"/>
              <w:spacing w:line="288" w:lineRule="auto"/>
              <w:jc w:val="left"/>
              <w:rPr>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adjustRightInd w:val="0"/>
              <w:snapToGrid w:val="0"/>
              <w:spacing w:line="288" w:lineRule="auto"/>
              <w:jc w:val="center"/>
              <w:rPr>
                <w:color w:val="auto"/>
                <w:sz w:val="21"/>
                <w:szCs w:val="21"/>
                <w:highlight w:val="none"/>
              </w:rPr>
            </w:pPr>
            <w:r>
              <w:rPr>
                <w:rFonts w:hint="eastAsia"/>
                <w:color w:val="auto"/>
                <w:sz w:val="21"/>
                <w:szCs w:val="21"/>
                <w:highlight w:val="none"/>
              </w:rPr>
              <w:t>（十四）</w:t>
            </w:r>
          </w:p>
        </w:tc>
        <w:tc>
          <w:tcPr>
            <w:tcW w:w="909" w:type="pct"/>
            <w:vAlign w:val="center"/>
          </w:tcPr>
          <w:p w14:paraId="32BAE0D4">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adjustRightInd w:val="0"/>
              <w:snapToGrid w:val="0"/>
              <w:spacing w:line="288" w:lineRule="auto"/>
              <w:rPr>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adjustRightInd w:val="0"/>
              <w:snapToGrid w:val="0"/>
              <w:spacing w:line="288" w:lineRule="auto"/>
              <w:rPr>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adjustRightInd w:val="0"/>
              <w:snapToGrid w:val="0"/>
              <w:spacing w:line="288" w:lineRule="auto"/>
              <w:rPr>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adjustRightInd w:val="0"/>
              <w:snapToGrid w:val="0"/>
              <w:spacing w:line="288" w:lineRule="auto"/>
              <w:rPr>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adjustRightInd w:val="0"/>
              <w:snapToGrid w:val="0"/>
              <w:spacing w:line="288" w:lineRule="auto"/>
              <w:rPr>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909" w:type="pct"/>
            <w:vAlign w:val="center"/>
          </w:tcPr>
          <w:p w14:paraId="0AF793AD">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27A04B78">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adjustRightInd w:val="0"/>
              <w:snapToGrid w:val="0"/>
              <w:spacing w:line="288" w:lineRule="auto"/>
              <w:rPr>
                <w:color w:val="auto"/>
                <w:sz w:val="21"/>
                <w:szCs w:val="21"/>
                <w:highlight w:val="none"/>
              </w:rPr>
            </w:pPr>
            <w:r>
              <w:rPr>
                <w:rFonts w:hint="eastAsia"/>
                <w:color w:val="auto"/>
                <w:sz w:val="21"/>
                <w:szCs w:val="21"/>
                <w:highlight w:val="none"/>
              </w:rPr>
              <w:t>（2）符合参加政府采购活动应当具备的一般条件的承诺函；</w:t>
            </w:r>
          </w:p>
          <w:p w14:paraId="43EF9B66">
            <w:pPr>
              <w:adjustRightInd w:val="0"/>
              <w:snapToGrid w:val="0"/>
              <w:spacing w:line="288" w:lineRule="auto"/>
              <w:rPr>
                <w:rFonts w:hint="eastAsia" w:eastAsia="宋体"/>
                <w:color w:val="auto"/>
                <w:sz w:val="21"/>
                <w:szCs w:val="21"/>
                <w:highlight w:val="none"/>
                <w:lang w:val="en-US" w:eastAsia="zh-CN"/>
              </w:rPr>
            </w:pPr>
            <w:r>
              <w:rPr>
                <w:rFonts w:hint="eastAsia"/>
                <w:color w:val="auto"/>
                <w:sz w:val="21"/>
                <w:szCs w:val="21"/>
                <w:highlight w:val="none"/>
              </w:rPr>
              <w:t>（3）落实政府采购政策需满足的资格要求：</w:t>
            </w:r>
            <w:r>
              <w:rPr>
                <w:rFonts w:hint="eastAsia"/>
                <w:color w:val="auto"/>
                <w:sz w:val="21"/>
                <w:szCs w:val="21"/>
                <w:highlight w:val="none"/>
                <w:lang w:val="en-US" w:eastAsia="zh-CN"/>
              </w:rPr>
              <w:t>无</w:t>
            </w:r>
          </w:p>
          <w:p w14:paraId="299D50BC">
            <w:pPr>
              <w:adjustRightInd w:val="0"/>
              <w:snapToGrid w:val="0"/>
              <w:spacing w:line="288" w:lineRule="auto"/>
              <w:rPr>
                <w:b/>
                <w:bCs/>
                <w:color w:val="auto"/>
                <w:sz w:val="21"/>
                <w:szCs w:val="21"/>
                <w:highlight w:val="none"/>
              </w:rPr>
            </w:pPr>
            <w:r>
              <w:rPr>
                <w:rFonts w:hint="eastAsia"/>
                <w:color w:val="auto"/>
                <w:sz w:val="21"/>
                <w:szCs w:val="21"/>
                <w:highlight w:val="none"/>
              </w:rPr>
              <w:t>（4）本项目的特定资格要求证明材料：具有有效的《出版物进口经营许可证》。</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909" w:type="pct"/>
            <w:vAlign w:val="center"/>
          </w:tcPr>
          <w:p w14:paraId="7445B1D8">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909" w:type="pct"/>
            <w:vAlign w:val="center"/>
          </w:tcPr>
          <w:p w14:paraId="6B25F758">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adjustRightInd w:val="0"/>
              <w:snapToGrid w:val="0"/>
              <w:spacing w:line="288" w:lineRule="auto"/>
              <w:rPr>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adjustRightInd w:val="0"/>
              <w:snapToGrid w:val="0"/>
              <w:spacing w:line="288" w:lineRule="auto"/>
              <w:rPr>
                <w:color w:val="auto"/>
                <w:sz w:val="21"/>
                <w:szCs w:val="21"/>
                <w:highlight w:val="none"/>
              </w:rPr>
            </w:pPr>
            <w:r>
              <w:rPr>
                <w:rFonts w:hint="eastAsia"/>
                <w:color w:val="auto"/>
                <w:sz w:val="21"/>
                <w:szCs w:val="21"/>
                <w:highlight w:val="none"/>
              </w:rPr>
              <w:t>2.本次磋商采用人民币报价；</w:t>
            </w:r>
          </w:p>
          <w:p w14:paraId="55D8C874">
            <w:pPr>
              <w:adjustRightInd w:val="0"/>
              <w:snapToGrid w:val="0"/>
              <w:spacing w:line="288" w:lineRule="auto"/>
              <w:rPr>
                <w:color w:val="auto"/>
                <w:highlight w:val="none"/>
              </w:rPr>
            </w:pPr>
            <w:r>
              <w:rPr>
                <w:rFonts w:hint="eastAsia"/>
                <w:color w:val="auto"/>
                <w:sz w:val="21"/>
                <w:szCs w:val="21"/>
                <w:highlight w:val="none"/>
              </w:rPr>
              <w:t>3.最后磋商报价是履行合同的最终价格。</w:t>
            </w:r>
          </w:p>
          <w:p w14:paraId="2483DA9B">
            <w:pPr>
              <w:adjustRightInd w:val="0"/>
              <w:snapToGrid w:val="0"/>
              <w:spacing w:line="288" w:lineRule="auto"/>
              <w:rPr>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adjustRightInd w:val="0"/>
              <w:snapToGrid w:val="0"/>
              <w:spacing w:line="288" w:lineRule="auto"/>
              <w:rPr>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909" w:type="pct"/>
            <w:vAlign w:val="center"/>
          </w:tcPr>
          <w:p w14:paraId="78369F8A">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909" w:type="pct"/>
            <w:vAlign w:val="center"/>
          </w:tcPr>
          <w:p w14:paraId="5851097E">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adjustRightInd w:val="0"/>
              <w:snapToGrid w:val="0"/>
              <w:spacing w:line="288" w:lineRule="auto"/>
              <w:rPr>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909" w:type="pct"/>
            <w:vAlign w:val="center"/>
          </w:tcPr>
          <w:p w14:paraId="28ECE2DD">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909" w:type="pct"/>
            <w:vAlign w:val="center"/>
          </w:tcPr>
          <w:p w14:paraId="6DC81EC7">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3362" w:type="pct"/>
            <w:vAlign w:val="center"/>
          </w:tcPr>
          <w:p w14:paraId="747192ED">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909" w:type="pct"/>
            <w:vAlign w:val="center"/>
          </w:tcPr>
          <w:p w14:paraId="306C84EA">
            <w:pPr>
              <w:adjustRightInd w:val="0"/>
              <w:snapToGrid w:val="0"/>
              <w:spacing w:line="288" w:lineRule="auto"/>
              <w:jc w:val="center"/>
              <w:rPr>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lang w:eastAsia="zh-CN"/>
              </w:rPr>
              <w:t>[2025]22061号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adjustRightInd w:val="0"/>
              <w:snapToGrid w:val="0"/>
              <w:spacing w:line="288" w:lineRule="auto"/>
              <w:jc w:val="center"/>
              <w:rPr>
                <w:color w:val="auto"/>
                <w:sz w:val="21"/>
                <w:szCs w:val="21"/>
                <w:highlight w:val="none"/>
              </w:rPr>
            </w:pPr>
            <w:r>
              <w:rPr>
                <w:rFonts w:hint="eastAsia"/>
                <w:b/>
                <w:color w:val="auto"/>
                <w:sz w:val="21"/>
                <w:szCs w:val="21"/>
                <w:highlight w:val="none"/>
              </w:rPr>
              <w:t>特别说明</w:t>
            </w:r>
          </w:p>
        </w:tc>
        <w:tc>
          <w:tcPr>
            <w:tcW w:w="3362" w:type="pct"/>
            <w:vAlign w:val="center"/>
          </w:tcPr>
          <w:p w14:paraId="0C39CC68">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spacing w:line="288" w:lineRule="auto"/>
              <w:rPr>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adjustRightInd w:val="0"/>
              <w:snapToGrid w:val="0"/>
              <w:spacing w:line="288" w:lineRule="auto"/>
              <w:jc w:val="center"/>
              <w:rPr>
                <w:color w:val="auto"/>
                <w:sz w:val="21"/>
                <w:szCs w:val="21"/>
                <w:highlight w:val="none"/>
              </w:rPr>
            </w:pPr>
          </w:p>
        </w:tc>
        <w:tc>
          <w:tcPr>
            <w:tcW w:w="909" w:type="pct"/>
            <w:vMerge w:val="continue"/>
            <w:vAlign w:val="center"/>
          </w:tcPr>
          <w:p w14:paraId="0F6F7E09">
            <w:pPr>
              <w:adjustRightInd w:val="0"/>
              <w:snapToGrid w:val="0"/>
              <w:spacing w:line="288" w:lineRule="auto"/>
              <w:jc w:val="center"/>
              <w:rPr>
                <w:color w:val="auto"/>
                <w:sz w:val="21"/>
                <w:szCs w:val="21"/>
                <w:highlight w:val="none"/>
              </w:rPr>
            </w:pPr>
          </w:p>
        </w:tc>
        <w:tc>
          <w:tcPr>
            <w:tcW w:w="3362" w:type="pct"/>
            <w:vAlign w:val="center"/>
          </w:tcPr>
          <w:p w14:paraId="6A0C3D13">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spacing w:line="288" w:lineRule="auto"/>
              <w:rPr>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20158"/>
      <w:bookmarkStart w:id="66" w:name="_Toc20531"/>
      <w:bookmarkStart w:id="67" w:name="_Toc8486"/>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2025-2026年外文纸质图书采购</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4366"/>
      <w:bookmarkStart w:id="78" w:name="_Toc4778"/>
      <w:bookmarkStart w:id="79" w:name="_Toc22518"/>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3808"/>
      <w:bookmarkStart w:id="81" w:name="_Toc18945"/>
      <w:bookmarkStart w:id="82" w:name="_Toc929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2.本次磋商采用人民币报价。</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1"/>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5348"/>
      <w:bookmarkStart w:id="84" w:name="_Toc214"/>
      <w:bookmarkStart w:id="85" w:name="_Toc23561"/>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1084"/>
      <w:bookmarkStart w:id="87" w:name="_Toc8287"/>
      <w:bookmarkStart w:id="88" w:name="_Toc3984"/>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23435"/>
      <w:bookmarkStart w:id="90" w:name="_Toc15451"/>
      <w:bookmarkStart w:id="91" w:name="_Toc5170"/>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3</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042220BD">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采磋商小组按照磋商文件规定的方式确定一个供应商获得成交供应商推荐资格，磋商文件未规定的采取随机抽取方式确定，其他同品牌供应商不作为成交候选人。</w:t>
      </w:r>
    </w:p>
    <w:p w14:paraId="0FE9227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非单一产品采购项目，采购人应当根据采购项目技术构成、产品价格比重等合理确定核心产品，并在磋商文件中载明。多家供应商提供的核心产品品牌相同的，按前款规定处理。</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10268"/>
      <w:bookmarkStart w:id="93" w:name="_Toc23275"/>
      <w:bookmarkStart w:id="94" w:name="_Toc25991"/>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28309"/>
      <w:bookmarkStart w:id="96" w:name="_Toc14986"/>
      <w:bookmarkStart w:id="97" w:name="_Toc30128"/>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14993"/>
      <w:bookmarkStart w:id="99" w:name="_Toc2819"/>
      <w:bookmarkStart w:id="100" w:name="_Toc10913"/>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30075"/>
      <w:bookmarkStart w:id="102" w:name="_Toc2552"/>
      <w:bookmarkStart w:id="103" w:name="_Toc29975"/>
      <w:bookmarkStart w:id="104" w:name="_Toc17065"/>
      <w:bookmarkStart w:id="105" w:name="_Toc148"/>
      <w:bookmarkStart w:id="106" w:name="_Toc566"/>
      <w:bookmarkStart w:id="107" w:name="_Toc11891"/>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11056"/>
      <w:bookmarkStart w:id="109" w:name="_Toc27117"/>
      <w:bookmarkStart w:id="110" w:name="_Toc31576"/>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20584"/>
      <w:bookmarkStart w:id="112" w:name="_Toc12885"/>
      <w:bookmarkStart w:id="113" w:name="_Toc24337"/>
      <w:r>
        <w:rPr>
          <w:rFonts w:hint="eastAsia"/>
          <w:b/>
          <w:bCs/>
          <w:color w:val="auto"/>
          <w:sz w:val="21"/>
          <w:szCs w:val="21"/>
          <w:highlight w:val="none"/>
        </w:rPr>
        <w:t>评审标准</w:t>
      </w:r>
      <w:bookmarkEnd w:id="111"/>
      <w:bookmarkEnd w:id="112"/>
      <w:bookmarkEnd w:id="113"/>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0D34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0FC3521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评审因素</w:t>
            </w:r>
          </w:p>
        </w:tc>
        <w:tc>
          <w:tcPr>
            <w:tcW w:w="654" w:type="dxa"/>
            <w:noWrap w:val="0"/>
            <w:vAlign w:val="center"/>
          </w:tcPr>
          <w:p w14:paraId="1D5599B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noWrap w:val="0"/>
            <w:vAlign w:val="center"/>
          </w:tcPr>
          <w:p w14:paraId="58945FE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386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2B6A54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70AA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33EB7669">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最后磋商报价</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7F54CF1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30</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D845870">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价格分统一采用低价优先法计算，即满足磋商文件要求且最后报价最低的供应商的价格为磋商基准价，其价格分为满分。其他供应商的价格分统一按照下列公式计算：</w:t>
            </w:r>
          </w:p>
          <w:p w14:paraId="3C57796D">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磋商报价得分=（磋商基准价/最后磋商报价）×30%×100</w:t>
            </w:r>
          </w:p>
        </w:tc>
      </w:tr>
      <w:tr w14:paraId="159D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1DDBB72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14:paraId="3402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17035B9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noWrap w:val="0"/>
            <w:vAlign w:val="center"/>
          </w:tcPr>
          <w:p w14:paraId="30D24AE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noWrap w:val="0"/>
            <w:vAlign w:val="center"/>
          </w:tcPr>
          <w:p w14:paraId="78D799A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响应方自202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w:t>
            </w:r>
            <w:r>
              <w:rPr>
                <w:rFonts w:hint="eastAsia" w:ascii="宋体" w:hAnsi="宋体" w:eastAsia="宋体" w:cs="宋体"/>
                <w:color w:val="auto"/>
                <w:sz w:val="21"/>
                <w:szCs w:val="21"/>
                <w:highlight w:val="none"/>
                <w:lang w:val="en-US" w:eastAsia="zh-CN"/>
              </w:rPr>
              <w:t>外文图书</w:t>
            </w:r>
            <w:r>
              <w:rPr>
                <w:rFonts w:hint="eastAsia" w:ascii="宋体" w:hAnsi="宋体" w:eastAsia="宋体" w:cs="宋体"/>
                <w:color w:val="auto"/>
                <w:sz w:val="21"/>
                <w:szCs w:val="21"/>
                <w:highlight w:val="none"/>
              </w:rPr>
              <w:t>合同业绩，每提供1份合同业绩得0.5分，最高得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分（以提供的完整合同复印件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用户评价（评价内容须正向积极）</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未提供或未完整提供的不得分</w:t>
            </w:r>
            <w:r>
              <w:rPr>
                <w:rFonts w:hint="eastAsia" w:ascii="宋体" w:hAnsi="宋体" w:eastAsia="宋体" w:cs="宋体"/>
                <w:color w:val="auto"/>
                <w:sz w:val="21"/>
                <w:szCs w:val="21"/>
                <w:highlight w:val="none"/>
              </w:rPr>
              <w:t>）。</w:t>
            </w:r>
          </w:p>
        </w:tc>
      </w:tr>
      <w:tr w14:paraId="7451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noWrap w:val="0"/>
            <w:vAlign w:val="center"/>
          </w:tcPr>
          <w:p w14:paraId="26B162E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67</w:t>
            </w:r>
            <w:r>
              <w:rPr>
                <w:rFonts w:hint="eastAsia" w:ascii="宋体" w:hAnsi="宋体" w:eastAsia="宋体" w:cs="宋体"/>
                <w:b/>
                <w:bCs/>
                <w:color w:val="auto"/>
                <w:sz w:val="21"/>
                <w:szCs w:val="21"/>
                <w:highlight w:val="none"/>
              </w:rPr>
              <w:t>）</w:t>
            </w:r>
          </w:p>
        </w:tc>
      </w:tr>
      <w:tr w14:paraId="7EC1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noWrap w:val="0"/>
            <w:vAlign w:val="center"/>
          </w:tcPr>
          <w:p w14:paraId="604922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进货渠道</w:t>
            </w:r>
          </w:p>
        </w:tc>
        <w:tc>
          <w:tcPr>
            <w:tcW w:w="654" w:type="dxa"/>
            <w:noWrap w:val="0"/>
            <w:vAlign w:val="center"/>
          </w:tcPr>
          <w:p w14:paraId="55F4A9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p>
        </w:tc>
        <w:tc>
          <w:tcPr>
            <w:tcW w:w="7207" w:type="dxa"/>
            <w:noWrap w:val="0"/>
            <w:vAlign w:val="center"/>
          </w:tcPr>
          <w:p w14:paraId="35F04219">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【主观分】响应方</w:t>
            </w:r>
            <w:r>
              <w:rPr>
                <w:rFonts w:hint="eastAsia" w:ascii="宋体" w:hAnsi="宋体" w:eastAsia="宋体" w:cs="宋体"/>
                <w:b w:val="0"/>
                <w:bCs w:val="0"/>
                <w:color w:val="auto"/>
                <w:kern w:val="2"/>
                <w:sz w:val="21"/>
                <w:szCs w:val="21"/>
                <w:highlight w:val="none"/>
                <w:lang w:val="en-US" w:eastAsia="zh-CN" w:bidi="ar"/>
              </w:rPr>
              <w:t>外文图书进货渠道对服务质量（及时、全面、正版）保证程度（提供有效期内的合同或授权书、出版社清单等）：保障程度高、有利于采购标的实现及合同履约（评分范围：4</w:t>
            </w:r>
            <w:r>
              <w:rPr>
                <w:rFonts w:hint="eastAsia" w:ascii="仿宋" w:hAnsi="仿宋" w:eastAsia="仿宋"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3,2,1,0）</w:t>
            </w:r>
            <w:r>
              <w:rPr>
                <w:rFonts w:hint="eastAsia" w:ascii="仿宋" w:hAnsi="仿宋" w:eastAsia="仿宋" w:cs="宋体"/>
                <w:b w:val="0"/>
                <w:bCs w:val="0"/>
                <w:color w:val="auto"/>
                <w:kern w:val="2"/>
                <w:sz w:val="21"/>
                <w:szCs w:val="21"/>
                <w:highlight w:val="none"/>
                <w:lang w:val="en-US" w:eastAsia="zh-CN" w:bidi="ar"/>
              </w:rPr>
              <w:t>。</w:t>
            </w:r>
          </w:p>
        </w:tc>
      </w:tr>
      <w:tr w14:paraId="0FC9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455C4F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现采能力</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388F28D0">
            <w:pPr>
              <w:keepNext w:val="0"/>
              <w:keepLines w:val="0"/>
              <w:widowControl/>
              <w:suppressLineNumbers w:val="0"/>
              <w:spacing w:before="0" w:beforeAutospacing="0" w:after="0" w:afterAutospacing="0"/>
              <w:ind w:left="0" w:leftChars="0" w:right="0" w:rightChars="0" w:firstLine="211" w:firstLineChars="100"/>
              <w:jc w:val="both"/>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433749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【主观分】响应方现采能力情况，是否能组织大型书市现采活动（提供房产证或房产租赁合同复印件等现采能力证明材料，不提供不得分）（评分范围：2,1,0.5,0）。</w:t>
            </w:r>
          </w:p>
        </w:tc>
      </w:tr>
      <w:tr w14:paraId="646E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14:paraId="0ADB8BA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服务承诺</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DD6D53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23121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针对以下内容，响应方每承诺一项得1分，最高得8分：</w:t>
            </w:r>
          </w:p>
          <w:p w14:paraId="659B534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采访书目时效性强、符合需求且出版信息一月内送达采访员</w:t>
            </w:r>
            <w:r>
              <w:rPr>
                <w:rFonts w:hint="eastAsia" w:ascii="宋体" w:hAnsi="宋体" w:eastAsia="宋体" w:cs="宋体"/>
                <w:color w:val="auto"/>
                <w:sz w:val="21"/>
                <w:szCs w:val="21"/>
                <w:highlight w:val="none"/>
                <w:lang w:eastAsia="zh-CN"/>
              </w:rPr>
              <w:t>；</w:t>
            </w:r>
          </w:p>
          <w:p w14:paraId="5BB5F9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采访数据标准、准确，满足采购人指定采购大纲范围；</w:t>
            </w:r>
          </w:p>
          <w:p w14:paraId="7B5CC52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3.能够提供USMARC（港台书为CNMARK）格式的编目数据；</w:t>
            </w:r>
          </w:p>
          <w:p w14:paraId="1FA4CA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4.通过电子邮件比同批次送达的图书提前到馆且覆盖率100%、MARC数据差错率＜2‰且不侵犯第三方利益；</w:t>
            </w:r>
          </w:p>
          <w:p w14:paraId="19F6DAE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5.编目数据在每次送书前或同时移交采购人，内容标准、准确；</w:t>
            </w:r>
          </w:p>
          <w:p w14:paraId="6C87999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6.现采、现货图书2周内到馆率≥100%，电子订单预订图书前6个月到馆率≥90%、全年平均到馆率≥95%；</w:t>
            </w:r>
          </w:p>
          <w:p w14:paraId="2C67AD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7.送达的图书保证全新正版、无破损、附件齐全；</w:t>
            </w:r>
          </w:p>
          <w:p w14:paraId="3CC5CEB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8.提供优质配送服务且对配书进行防潮湿和防破损包装，配送时间有规律、有固定的送货渠道、提供门对门的快速送货服务。</w:t>
            </w:r>
          </w:p>
        </w:tc>
      </w:tr>
      <w:tr w14:paraId="68CA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noWrap w:val="0"/>
            <w:vAlign w:val="center"/>
          </w:tcPr>
          <w:p w14:paraId="5C3C4DE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服务方案</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2F98A1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8FC202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响应方</w:t>
            </w:r>
            <w:r>
              <w:rPr>
                <w:rFonts w:hint="eastAsia" w:ascii="宋体" w:hAnsi="宋体" w:eastAsia="宋体" w:cs="宋体"/>
                <w:color w:val="auto"/>
                <w:sz w:val="21"/>
                <w:szCs w:val="21"/>
                <w:highlight w:val="none"/>
              </w:rPr>
              <w:t>外文采访书目</w:t>
            </w:r>
            <w:r>
              <w:rPr>
                <w:rFonts w:hint="eastAsia" w:ascii="宋体" w:hAnsi="宋体" w:eastAsia="宋体" w:cs="宋体"/>
                <w:color w:val="auto"/>
                <w:sz w:val="21"/>
                <w:szCs w:val="21"/>
                <w:highlight w:val="none"/>
                <w:lang w:val="en-US" w:eastAsia="zh-CN"/>
              </w:rPr>
              <w:t>整体情况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齐全、信息覆盖面广、有利于采购标的实现及合同履约（评分范围：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tc>
      </w:tr>
      <w:tr w14:paraId="576B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60F159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3345FD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5447A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响应方针对</w:t>
            </w:r>
            <w:r>
              <w:rPr>
                <w:rFonts w:hint="eastAsia" w:ascii="宋体" w:hAnsi="宋体" w:eastAsia="宋体" w:cs="宋体"/>
                <w:color w:val="auto"/>
                <w:sz w:val="21"/>
                <w:szCs w:val="21"/>
                <w:highlight w:val="none"/>
              </w:rPr>
              <w:t>外文自备书书目、自定较窄主题书目</w:t>
            </w:r>
            <w:r>
              <w:rPr>
                <w:rFonts w:hint="eastAsia" w:ascii="宋体" w:hAnsi="宋体" w:eastAsia="宋体" w:cs="宋体"/>
                <w:color w:val="auto"/>
                <w:sz w:val="21"/>
                <w:szCs w:val="21"/>
                <w:highlight w:val="none"/>
                <w:lang w:val="en-US" w:eastAsia="zh-CN"/>
              </w:rPr>
              <w:t>提供的服务方案的</w:t>
            </w:r>
            <w:r>
              <w:rPr>
                <w:rFonts w:hint="eastAsia" w:ascii="宋体" w:hAnsi="宋体" w:eastAsia="宋体" w:cs="宋体"/>
                <w:color w:val="auto"/>
                <w:sz w:val="21"/>
                <w:szCs w:val="21"/>
                <w:highlight w:val="none"/>
              </w:rPr>
              <w:t>专业、合理、及时</w:t>
            </w:r>
            <w:r>
              <w:rPr>
                <w:rFonts w:hint="eastAsia" w:ascii="宋体" w:hAnsi="宋体" w:eastAsia="宋体" w:cs="宋体"/>
                <w:color w:val="auto"/>
                <w:sz w:val="21"/>
                <w:szCs w:val="21"/>
                <w:highlight w:val="none"/>
                <w:lang w:val="en-US" w:eastAsia="zh-CN"/>
              </w:rPr>
              <w:t>性（评分范围：3,2,1,0）。</w:t>
            </w:r>
          </w:p>
        </w:tc>
      </w:tr>
      <w:tr w14:paraId="050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D47A4E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0A2411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E751AF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订单处理-信息查询反馈提供的服务方案的专业、合理、及时性（评分范围：3,2,1,0）。</w:t>
            </w:r>
          </w:p>
        </w:tc>
      </w:tr>
      <w:tr w14:paraId="3E5A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F0A0F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1967A96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5D49FD6">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订单处理-订单处理反馈提供的服务方案的专业、合理、及时性（评分范围：3,2,1,0）。</w:t>
            </w:r>
          </w:p>
        </w:tc>
      </w:tr>
      <w:tr w14:paraId="0C3B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2A8414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52EEE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D4B86B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订单处理-急需订单处理提供的服务方案的专业、合理、及时性（评分范围：3,2,1,0）。</w:t>
            </w:r>
          </w:p>
        </w:tc>
      </w:tr>
      <w:tr w14:paraId="4EDA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5CE1894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87CA03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C98221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未能采购的图书（缺货、出版推迟、停止出版等不能及时到馆的图书或取消出版的图书）得信息反馈、处理提供的服务方案的专业、合理、及时性（评分范围：3,2,1,0）。</w:t>
            </w:r>
          </w:p>
        </w:tc>
      </w:tr>
      <w:tr w14:paraId="48F8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57B0CF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5ADC0F3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00017DB">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退书（图书质量问题、与馆藏要求不符、与预订不符等原因）的处理方案的专业、全面、针对性（评分范围：3,2,1,0）。</w:t>
            </w:r>
          </w:p>
        </w:tc>
      </w:tr>
      <w:tr w14:paraId="7B3D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0303BB3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5DBF116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9B976D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绝（断）版图书、售缺书、古旧图书、连续出版物等长期订单跟踪信息和补缺提供的服务方案的专业、合理、及时性（评分范围：3,2,1,0）。</w:t>
            </w:r>
          </w:p>
        </w:tc>
      </w:tr>
      <w:tr w14:paraId="4F57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1364A4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3B768F2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85556C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网络购书补缺服务提供的服务方案的专业、合理、及时性（评分范围：3,2,1,0）。</w:t>
            </w:r>
          </w:p>
        </w:tc>
      </w:tr>
      <w:tr w14:paraId="5E1E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02BA769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27787A8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E288954">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w:t>
            </w:r>
            <w:r>
              <w:rPr>
                <w:rFonts w:hint="eastAsia" w:ascii="宋体" w:hAnsi="宋体" w:eastAsia="宋体" w:cs="宋体"/>
                <w:b w:val="0"/>
                <w:bCs w:val="0"/>
                <w:color w:val="auto"/>
                <w:kern w:val="2"/>
                <w:sz w:val="21"/>
                <w:szCs w:val="21"/>
                <w:highlight w:val="none"/>
                <w:lang w:val="en-US" w:eastAsia="zh-CN" w:bidi="ar"/>
              </w:rPr>
              <w:t>快递送达补缺服务提供的服务方案的专业、合理、及时性（评分范围：3,2,1,0）。</w:t>
            </w:r>
          </w:p>
        </w:tc>
      </w:tr>
      <w:tr w14:paraId="3665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6F3B3C1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62B36B8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3A8262E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【主观分】响应方针对本项目的</w:t>
            </w:r>
            <w:r>
              <w:rPr>
                <w:rFonts w:hint="eastAsia" w:ascii="宋体" w:hAnsi="宋体" w:eastAsia="宋体" w:cs="宋体"/>
                <w:b w:val="0"/>
                <w:bCs w:val="0"/>
                <w:color w:val="auto"/>
                <w:kern w:val="2"/>
                <w:sz w:val="21"/>
                <w:szCs w:val="21"/>
                <w:highlight w:val="none"/>
                <w:lang w:val="en-US" w:eastAsia="zh-CN" w:bidi="ar"/>
              </w:rPr>
              <w:t>车辆配备（提供车辆相关证明材料）保障程度情况（评分范围：2,1,0.5,0）。</w:t>
            </w:r>
          </w:p>
        </w:tc>
      </w:tr>
      <w:tr w14:paraId="17A6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0717757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6DF4696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32C343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w:t>
            </w:r>
            <w:r>
              <w:rPr>
                <w:rFonts w:hint="eastAsia" w:ascii="宋体" w:hAnsi="宋体" w:eastAsia="宋体" w:cs="宋体"/>
                <w:b w:val="0"/>
                <w:bCs w:val="0"/>
                <w:color w:val="auto"/>
                <w:kern w:val="2"/>
                <w:sz w:val="21"/>
                <w:szCs w:val="21"/>
                <w:highlight w:val="none"/>
                <w:lang w:val="en-US" w:eastAsia="zh-CN" w:bidi="ar"/>
              </w:rPr>
              <w:t>图书加工和服务（含异地加工）场地保障情况（提供图书加工和服务场地相关证明材料，不提供不得分）（评分范围：2,1,0.5,0）。</w:t>
            </w:r>
          </w:p>
        </w:tc>
      </w:tr>
      <w:tr w14:paraId="2BE0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2AEA2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0E08BD7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7F4C5A2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w:t>
            </w:r>
            <w:r>
              <w:rPr>
                <w:rFonts w:hint="eastAsia" w:ascii="宋体" w:hAnsi="宋体" w:eastAsia="宋体" w:cs="宋体"/>
                <w:b w:val="0"/>
                <w:bCs w:val="0"/>
                <w:color w:val="auto"/>
                <w:kern w:val="2"/>
                <w:sz w:val="21"/>
                <w:szCs w:val="21"/>
                <w:highlight w:val="none"/>
                <w:lang w:val="en-US" w:eastAsia="zh-CN" w:bidi="ar"/>
              </w:rPr>
              <w:t>仓库储备场地保障情况（提供仓库储备场地相关证明材料，不提供不得分）（评分范围：2,1,0.5,0）。</w:t>
            </w:r>
          </w:p>
        </w:tc>
      </w:tr>
      <w:tr w14:paraId="6AFC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59EB9DB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63A9C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07275FB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w:t>
            </w:r>
            <w:r>
              <w:rPr>
                <w:rFonts w:hint="eastAsia" w:ascii="宋体" w:hAnsi="宋体" w:eastAsia="宋体" w:cs="宋体"/>
                <w:b w:val="0"/>
                <w:bCs w:val="0"/>
                <w:color w:val="auto"/>
                <w:kern w:val="2"/>
                <w:sz w:val="21"/>
                <w:szCs w:val="21"/>
                <w:highlight w:val="none"/>
                <w:lang w:val="en-US" w:eastAsia="zh-CN" w:bidi="ar"/>
              </w:rPr>
              <w:t>售后维护机构情况（提供相关证明材料，不提供不得分）（评分范围：2,1,0.5,0）。</w:t>
            </w:r>
          </w:p>
        </w:tc>
      </w:tr>
      <w:tr w14:paraId="42E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6F0D3D8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470310F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630B0A3B">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w:t>
            </w:r>
            <w:r>
              <w:rPr>
                <w:rFonts w:hint="eastAsia" w:ascii="宋体" w:hAnsi="宋体" w:eastAsia="宋体" w:cs="宋体"/>
                <w:b w:val="0"/>
                <w:bCs w:val="0"/>
                <w:color w:val="auto"/>
                <w:kern w:val="2"/>
                <w:sz w:val="21"/>
                <w:szCs w:val="21"/>
                <w:highlight w:val="none"/>
                <w:lang w:val="en-US" w:eastAsia="zh-CN" w:bidi="ar"/>
              </w:rPr>
              <w:t>响应方协助图书馆对图书馆预采购订单提供馆藏订单查重（包含精平装查重）的具体服务方案情况（评分范围：3,2,1,0）。</w:t>
            </w:r>
          </w:p>
        </w:tc>
      </w:tr>
      <w:tr w14:paraId="5131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67" w:type="dxa"/>
            <w:vMerge w:val="continue"/>
            <w:tcBorders>
              <w:left w:val="single" w:color="auto" w:sz="4" w:space="0"/>
              <w:right w:val="single" w:color="auto" w:sz="4" w:space="0"/>
            </w:tcBorders>
            <w:noWrap w:val="0"/>
            <w:vAlign w:val="center"/>
          </w:tcPr>
          <w:p w14:paraId="7F1F6B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49A436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B698F9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【主观分】响应方</w:t>
            </w:r>
            <w:r>
              <w:rPr>
                <w:rFonts w:hint="eastAsia" w:ascii="宋体" w:hAnsi="宋体" w:eastAsia="宋体" w:cs="宋体"/>
                <w:b w:val="0"/>
                <w:bCs w:val="0"/>
                <w:color w:val="auto"/>
                <w:kern w:val="2"/>
                <w:sz w:val="21"/>
                <w:szCs w:val="21"/>
                <w:highlight w:val="none"/>
                <w:lang w:val="en-US" w:eastAsia="zh-CN" w:bidi="ar"/>
              </w:rPr>
              <w:t>可提供的馆藏建设特色服务（如赠书引进服务）整体情况（评分范围：2,1,0.5,0）。</w:t>
            </w:r>
          </w:p>
        </w:tc>
      </w:tr>
      <w:tr w14:paraId="7936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left w:val="single" w:color="auto" w:sz="4" w:space="0"/>
              <w:right w:val="single" w:color="auto" w:sz="4" w:space="0"/>
            </w:tcBorders>
            <w:noWrap w:val="0"/>
            <w:vAlign w:val="center"/>
          </w:tcPr>
          <w:p w14:paraId="76B5B84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拟投入人员</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083C43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bidi="ar"/>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1B6295AD">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【主观分】项目负责人同类项目实施经验情况（评分范围：3,2,1,0）。</w:t>
            </w:r>
          </w:p>
        </w:tc>
      </w:tr>
      <w:tr w14:paraId="1E3B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4550724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27C0C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bidi="ar"/>
              </w:rPr>
              <w:t>3</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4995CFCC">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【主观分】团队其他人员岗位设置、职责分工、同类项目实施经验情况（评分范围：3,2,1,0）。</w:t>
            </w:r>
          </w:p>
        </w:tc>
      </w:tr>
      <w:tr w14:paraId="6BBA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noWrap w:val="0"/>
            <w:vAlign w:val="center"/>
          </w:tcPr>
          <w:p w14:paraId="58A557D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14:paraId="781DEB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noWrap w:val="0"/>
            <w:vAlign w:val="center"/>
          </w:tcPr>
          <w:p w14:paraId="24C9E2A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【客观分】响应方从业人员具备编目相关专业能力证明材料的得1分，最高得4分（提供2024年1月（含）以来任意一月响应方为其缴纳的社保证明及编目相关专业能力证明材料，不提供不得分）。</w:t>
            </w:r>
          </w:p>
        </w:tc>
      </w:tr>
    </w:tbl>
    <w:p w14:paraId="6DC7FB2A">
      <w:pPr>
        <w:adjustRightInd w:val="0"/>
        <w:snapToGrid w:val="0"/>
        <w:spacing w:line="288" w:lineRule="auto"/>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r>
        <w:rPr>
          <w:rFonts w:ascii="宋体" w:hAnsi="宋体" w:eastAsia="宋体" w:cs="宋体"/>
          <w:b/>
          <w:color w:val="auto"/>
          <w:sz w:val="21"/>
          <w:szCs w:val="21"/>
          <w:highlight w:val="none"/>
        </w:rPr>
        <w:t>：</w:t>
      </w:r>
    </w:p>
    <w:p w14:paraId="5EC05835">
      <w:pPr>
        <w:adjustRightInd w:val="0"/>
        <w:snapToGrid w:val="0"/>
        <w:spacing w:line="288" w:lineRule="auto"/>
        <w:jc w:val="left"/>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w:t>
      </w:r>
      <w:r>
        <w:rPr>
          <w:rFonts w:hint="eastAsia" w:ascii="宋体" w:hAnsi="宋体" w:eastAsia="宋体" w:cs="Times New Roman"/>
          <w:b/>
          <w:color w:val="auto"/>
          <w:sz w:val="21"/>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 w:val="21"/>
          <w:szCs w:val="21"/>
          <w:highlight w:val="none"/>
        </w:rPr>
        <w:t>2022〕19号）</w:t>
      </w:r>
      <w:r>
        <w:rPr>
          <w:rFonts w:hint="eastAsia" w:ascii="宋体" w:hAnsi="宋体" w:eastAsia="宋体" w:cs="Times New Roman"/>
          <w:b/>
          <w:color w:val="auto"/>
          <w:sz w:val="21"/>
          <w:szCs w:val="21"/>
          <w:highlight w:val="none"/>
        </w:rPr>
        <w:t>的规定：对符合规定的小微企业报价给予</w:t>
      </w:r>
      <w:r>
        <w:rPr>
          <w:rFonts w:hint="eastAsia" w:ascii="宋体" w:hAnsi="宋体" w:eastAsia="宋体" w:cs="Times New Roman"/>
          <w:b/>
          <w:color w:val="auto"/>
          <w:sz w:val="21"/>
          <w:szCs w:val="21"/>
          <w:highlight w:val="none"/>
          <w:lang w:eastAsia="zh-CN"/>
        </w:rPr>
        <w:t>10%</w:t>
      </w:r>
      <w:r>
        <w:rPr>
          <w:rFonts w:hint="eastAsia" w:ascii="宋体" w:hAnsi="宋体" w:eastAsia="宋体" w:cs="Times New Roman"/>
          <w:b/>
          <w:color w:val="auto"/>
          <w:sz w:val="21"/>
          <w:szCs w:val="21"/>
          <w:highlight w:val="none"/>
        </w:rPr>
        <w:t>的扣除后计算价格得分。</w:t>
      </w:r>
    </w:p>
    <w:p w14:paraId="2A3FFFB7">
      <w:pPr>
        <w:adjustRightInd w:val="0"/>
        <w:snapToGrid w:val="0"/>
        <w:spacing w:line="288" w:lineRule="auto"/>
        <w:ind w:firstLine="396" w:firstLineChars="200"/>
        <w:jc w:val="left"/>
        <w:rPr>
          <w:rFonts w:ascii="宋体" w:hAnsi="宋体" w:eastAsia="宋体" w:cs="宋体"/>
          <w:b/>
          <w:color w:val="auto"/>
          <w:sz w:val="21"/>
          <w:szCs w:val="21"/>
          <w:highlight w:val="none"/>
        </w:rPr>
      </w:pPr>
      <w:r>
        <w:rPr>
          <w:rFonts w:hint="eastAsia" w:ascii="宋体" w:hAnsi="宋体" w:eastAsia="宋体"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 w:val="21"/>
          <w:szCs w:val="21"/>
          <w:highlight w:val="none"/>
          <w:u w:val="single"/>
          <w:lang w:eastAsia="zh-CN"/>
        </w:rPr>
        <w:t>4%</w:t>
      </w:r>
      <w:r>
        <w:rPr>
          <w:rFonts w:hint="eastAsia" w:ascii="宋体" w:hAnsi="宋体" w:eastAsia="宋体"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2812D942">
      <w:pPr>
        <w:adjustRightInd w:val="0"/>
        <w:snapToGrid w:val="0"/>
        <w:spacing w:line="288" w:lineRule="auto"/>
        <w:rPr>
          <w:rFonts w:ascii="宋体" w:hAnsi="宋体" w:eastAsia="宋体" w:cs="Times New Roman"/>
          <w:b/>
          <w:bCs/>
          <w:color w:val="auto"/>
          <w:spacing w:val="-6"/>
          <w:sz w:val="21"/>
          <w:szCs w:val="21"/>
          <w:highlight w:val="none"/>
        </w:rPr>
      </w:pPr>
      <w:bookmarkStart w:id="114" w:name="_Hlk81817373"/>
      <w:r>
        <w:rPr>
          <w:rFonts w:hint="eastAsia" w:ascii="宋体" w:hAnsi="宋体" w:eastAsia="宋体" w:cs="Times New Roman"/>
          <w:b/>
          <w:bCs/>
          <w:color w:val="auto"/>
          <w:spacing w:val="-6"/>
          <w:sz w:val="21"/>
          <w:szCs w:val="21"/>
          <w:highlight w:val="none"/>
        </w:rPr>
        <w:t>2</w:t>
      </w:r>
      <w:r>
        <w:rPr>
          <w:rFonts w:ascii="宋体" w:hAnsi="宋体" w:eastAsia="宋体" w:cs="Times New Roman"/>
          <w:b/>
          <w:bCs/>
          <w:color w:val="auto"/>
          <w:spacing w:val="-6"/>
          <w:sz w:val="21"/>
          <w:szCs w:val="21"/>
          <w:highlight w:val="none"/>
        </w:rPr>
        <w:t>.</w:t>
      </w:r>
      <w:r>
        <w:rPr>
          <w:rFonts w:hint="eastAsia" w:ascii="宋体" w:hAnsi="宋体" w:eastAsia="宋体" w:cs="Times New Roman"/>
          <w:b/>
          <w:bCs/>
          <w:color w:val="auto"/>
          <w:spacing w:val="-6"/>
          <w:sz w:val="21"/>
          <w:szCs w:val="21"/>
          <w:highlight w:val="none"/>
        </w:rPr>
        <w:t>根据《</w:t>
      </w:r>
      <w:r>
        <w:rPr>
          <w:rFonts w:ascii="宋体" w:hAnsi="宋体" w:eastAsia="宋体" w:cs="Times New Roman"/>
          <w:b/>
          <w:bCs/>
          <w:color w:val="auto"/>
          <w:spacing w:val="-6"/>
          <w:sz w:val="21"/>
          <w:szCs w:val="21"/>
          <w:highlight w:val="none"/>
        </w:rPr>
        <w:t>关于政府采购支持监狱企业发展有关问题的通知</w:t>
      </w:r>
      <w:r>
        <w:rPr>
          <w:rFonts w:hint="eastAsia" w:ascii="宋体" w:hAnsi="宋体" w:eastAsia="宋体" w:cs="Times New Roman"/>
          <w:b/>
          <w:bCs/>
          <w:color w:val="auto"/>
          <w:spacing w:val="-6"/>
          <w:sz w:val="21"/>
          <w:szCs w:val="21"/>
          <w:highlight w:val="none"/>
        </w:rPr>
        <w:t>》（</w:t>
      </w:r>
      <w:r>
        <w:rPr>
          <w:rFonts w:ascii="宋体" w:hAnsi="宋体" w:eastAsia="宋体" w:cs="Times New Roman"/>
          <w:b/>
          <w:bCs/>
          <w:color w:val="auto"/>
          <w:spacing w:val="-6"/>
          <w:sz w:val="21"/>
          <w:szCs w:val="21"/>
          <w:highlight w:val="none"/>
        </w:rPr>
        <w:t>财库[2014]68号</w:t>
      </w:r>
      <w:r>
        <w:rPr>
          <w:rFonts w:hint="eastAsia" w:ascii="宋体" w:hAnsi="宋体" w:eastAsia="宋体" w:cs="Times New Roman"/>
          <w:b/>
          <w:bCs/>
          <w:color w:val="auto"/>
          <w:spacing w:val="-6"/>
          <w:sz w:val="21"/>
          <w:szCs w:val="21"/>
          <w:highlight w:val="none"/>
        </w:rPr>
        <w:t>）的规定，</w:t>
      </w:r>
      <w:r>
        <w:rPr>
          <w:rFonts w:hint="eastAsia" w:ascii="宋体" w:hAnsi="宋体" w:eastAsia="宋体" w:cs="宋体"/>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14"/>
    <w:p w14:paraId="62D075F5">
      <w:pPr>
        <w:adjustRightInd w:val="0"/>
        <w:snapToGrid w:val="0"/>
        <w:spacing w:line="288" w:lineRule="auto"/>
        <w:jc w:val="left"/>
        <w:rPr>
          <w:b/>
          <w:color w:val="auto"/>
          <w:sz w:val="21"/>
          <w:szCs w:val="21"/>
          <w:highlight w:val="none"/>
        </w:rPr>
      </w:pPr>
      <w:r>
        <w:rPr>
          <w:rFonts w:hint="eastAsia" w:ascii="宋体" w:hAnsi="宋体" w:eastAsia="宋体" w:cs="Times New Roman"/>
          <w:b/>
          <w:bCs/>
          <w:color w:val="auto"/>
          <w:spacing w:val="-6"/>
          <w:sz w:val="21"/>
          <w:szCs w:val="21"/>
          <w:highlight w:val="none"/>
        </w:rPr>
        <w:t>3</w:t>
      </w:r>
      <w:r>
        <w:rPr>
          <w:rFonts w:ascii="宋体" w:hAnsi="宋体" w:eastAsia="宋体" w:cs="Times New Roman"/>
          <w:b/>
          <w:bCs/>
          <w:color w:val="auto"/>
          <w:spacing w:val="-6"/>
          <w:sz w:val="21"/>
          <w:szCs w:val="21"/>
          <w:highlight w:val="none"/>
        </w:rPr>
        <w:t>.</w:t>
      </w:r>
      <w:r>
        <w:rPr>
          <w:rFonts w:hint="eastAsia" w:ascii="宋体" w:hAnsi="宋体" w:eastAsia="宋体" w:cs="Times New Roman"/>
          <w:b/>
          <w:bCs/>
          <w:color w:val="auto"/>
          <w:spacing w:val="-6"/>
          <w:sz w:val="21"/>
          <w:szCs w:val="21"/>
          <w:highlight w:val="none"/>
        </w:rPr>
        <w:t>根据《关于促进残疾人就业政府采购政策的通知》（财库[2017]141号）的规定，</w:t>
      </w:r>
      <w:r>
        <w:rPr>
          <w:rFonts w:hint="eastAsia" w:ascii="宋体" w:hAnsi="宋体" w:eastAsia="宋体" w:cs="宋体"/>
          <w:color w:val="auto"/>
          <w:sz w:val="21"/>
          <w:szCs w:val="21"/>
          <w:highlight w:val="none"/>
        </w:rPr>
        <w:t>符合条件的残疾人福利性单位在参加政府采购活动时，提供财库</w:t>
      </w:r>
      <w:r>
        <w:rPr>
          <w:rFonts w:ascii="宋体" w:hAnsi="宋体" w:eastAsia="宋体" w:cs="宋体"/>
          <w:color w:val="auto"/>
          <w:sz w:val="21"/>
          <w:szCs w:val="21"/>
          <w:highlight w:val="none"/>
        </w:rPr>
        <w:t>[2017]141号</w:t>
      </w:r>
      <w:r>
        <w:rPr>
          <w:rFonts w:hint="eastAsia" w:ascii="宋体" w:hAnsi="宋体" w:eastAsia="宋体" w:cs="宋体"/>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 w:val="21"/>
          <w:szCs w:val="21"/>
          <w:highlight w:val="none"/>
        </w:rPr>
        <w:t>残疾人福利性单位属于小型、微型企业的，不重复享受政策。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5" w:name="_Toc25268"/>
      <w:bookmarkStart w:id="116" w:name="_Toc14756"/>
      <w:bookmarkStart w:id="117" w:name="_Toc17541"/>
      <w:bookmarkStart w:id="118" w:name="_Toc16710"/>
      <w:bookmarkStart w:id="119" w:name="_Toc5658"/>
      <w:bookmarkStart w:id="120" w:name="_Toc24744"/>
      <w:bookmarkStart w:id="121" w:name="_Toc10679"/>
      <w:r>
        <w:rPr>
          <w:rFonts w:hint="eastAsia"/>
          <w:b/>
          <w:bCs/>
          <w:color w:val="auto"/>
          <w:sz w:val="32"/>
          <w:szCs w:val="32"/>
          <w:highlight w:val="none"/>
        </w:rPr>
        <w:t>第五章  拟签订的合同文本</w:t>
      </w:r>
      <w:bookmarkEnd w:id="115"/>
      <w:bookmarkEnd w:id="116"/>
      <w:bookmarkEnd w:id="117"/>
      <w:bookmarkEnd w:id="118"/>
      <w:bookmarkEnd w:id="119"/>
      <w:bookmarkEnd w:id="120"/>
      <w:bookmarkEnd w:id="121"/>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2025-2026年外文纸质图书采购</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[2025]22061号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3"/>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2025-2026年外文纸质图书采购</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QSZB-Z(H)-B25211(CS)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3AC5D79F">
      <w:pPr>
        <w:keepNext w:val="0"/>
        <w:keepLines w:val="0"/>
        <w:pageBreakBefore w:val="0"/>
        <w:widowControl w:val="0"/>
        <w:kinsoku/>
        <w:wordWrap/>
        <w:overflowPunct/>
        <w:topLinePunct w:val="0"/>
        <w:bidi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第一条：合同价格</w:t>
      </w:r>
    </w:p>
    <w:p w14:paraId="4B00655D">
      <w:pPr>
        <w:keepNext w:val="0"/>
        <w:keepLines w:val="0"/>
        <w:pageBreakBefore w:val="0"/>
        <w:widowControl w:val="0"/>
        <w:kinsoku/>
        <w:wordWrap/>
        <w:overflowPunct/>
        <w:topLinePunct w:val="0"/>
        <w:bidi w:val="0"/>
        <w:snapToGrid w:val="0"/>
        <w:spacing w:line="288" w:lineRule="auto"/>
        <w:ind w:left="0" w:leftChars="0" w:right="0" w:rightChars="0" w:firstLine="375"/>
        <w:textAlignment w:val="auto"/>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图书折扣为    %，结算价格=图书码洋*折扣。该折扣合同期内不作调整。</w:t>
      </w:r>
    </w:p>
    <w:p w14:paraId="4E7204A3">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第二条：质量保证</w:t>
      </w:r>
    </w:p>
    <w:p w14:paraId="50E04965">
      <w:pPr>
        <w:keepNext w:val="0"/>
        <w:keepLines w:val="0"/>
        <w:pageBreakBefore w:val="0"/>
        <w:widowControl w:val="0"/>
        <w:tabs>
          <w:tab w:val="left" w:pos="1545"/>
        </w:tabs>
        <w:kinsoku/>
        <w:wordWrap/>
        <w:overflowPunct/>
        <w:topLinePunct w:val="0"/>
        <w:autoSpaceDE w:val="0"/>
        <w:autoSpaceDN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规定和甲方期刊订单要求，向甲方提供未经使用的全新正版的合格期刊。</w:t>
      </w:r>
    </w:p>
    <w:p w14:paraId="104D72D1">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2、因期刊本身的质量发生问题，乙方应负责包退、包换或贬值处理（由甲方选择）：</w:t>
      </w:r>
    </w:p>
    <w:p w14:paraId="5134ECA9">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⑴再次更换：由乙方承担所发生的全部费用。</w:t>
      </w:r>
    </w:p>
    <w:p w14:paraId="3ECA55CD">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⑵贬值处理：由甲乙双方合议定价（合议定价范围为原件的5%—50%）。</w:t>
      </w:r>
    </w:p>
    <w:p w14:paraId="79294269">
      <w:pPr>
        <w:keepNext w:val="0"/>
        <w:keepLines w:val="0"/>
        <w:pageBreakBefore w:val="0"/>
        <w:widowControl w:val="0"/>
        <w:kinsoku/>
        <w:wordWrap/>
        <w:overflowPunct/>
        <w:topLinePunct w:val="0"/>
        <w:bidi w:val="0"/>
        <w:adjustRightInd w:val="0"/>
        <w:spacing w:line="288" w:lineRule="auto"/>
        <w:ind w:left="0" w:leftChars="0" w:right="0" w:rightChars="0" w:firstLine="420"/>
        <w:jc w:val="both"/>
        <w:textAlignment w:val="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spacing w:val="-6"/>
          <w:kern w:val="2"/>
          <w:sz w:val="21"/>
          <w:szCs w:val="21"/>
          <w:highlight w:val="none"/>
          <w:lang w:val="en-US" w:eastAsia="zh-CN" w:bidi="ar-SA"/>
        </w:rPr>
        <w:t>⑶退货处理：乙方应退还甲方支付的合同款，同时应承担合同产品的直接费用（运输、保险、检验、货款利息及银行手续费等，其中银行利息按同期银行贷款利率的150%计算）。</w:t>
      </w:r>
    </w:p>
    <w:p w14:paraId="616443CF">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第三条：技术资料</w:t>
      </w:r>
    </w:p>
    <w:p w14:paraId="0D255856">
      <w:pPr>
        <w:keepNext w:val="0"/>
        <w:keepLines w:val="0"/>
        <w:pageBreakBefore w:val="0"/>
        <w:widowControl w:val="0"/>
        <w:kinsoku/>
        <w:wordWrap/>
        <w:overflowPunct/>
        <w:topLinePunct w:val="0"/>
        <w:bidi w:val="0"/>
        <w:adjustRightInd w:val="0"/>
        <w:spacing w:line="288" w:lineRule="auto"/>
        <w:ind w:left="0" w:leftChars="0" w:right="0" w:rightChars="0" w:firstLine="420"/>
        <w:jc w:val="both"/>
        <w:textAlignment w:val="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1、乙方应按采购文件规定的时间向甲方提供使用货物的全部技术资料。</w:t>
      </w:r>
    </w:p>
    <w:p w14:paraId="5B1215DC">
      <w:pPr>
        <w:keepNext w:val="0"/>
        <w:keepLines w:val="0"/>
        <w:pageBreakBefore w:val="0"/>
        <w:widowControl w:val="0"/>
        <w:kinsoku/>
        <w:wordWrap/>
        <w:overflowPunct/>
        <w:topLinePunct w:val="0"/>
        <w:bidi w:val="0"/>
        <w:adjustRightInd w:val="0"/>
        <w:spacing w:line="288" w:lineRule="auto"/>
        <w:ind w:left="0" w:leftChars="0" w:right="0" w:rightChars="0" w:firstLine="420"/>
        <w:jc w:val="both"/>
        <w:textAlignment w:val="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03BFB3E8">
      <w:pPr>
        <w:keepNext w:val="0"/>
        <w:keepLines w:val="0"/>
        <w:pageBreakBefore w:val="0"/>
        <w:widowControl w:val="0"/>
        <w:kinsoku/>
        <w:wordWrap/>
        <w:overflowPunct/>
        <w:topLinePunct w:val="0"/>
        <w:bidi w:val="0"/>
        <w:snapToGrid w:val="0"/>
        <w:spacing w:line="288" w:lineRule="auto"/>
        <w:ind w:left="340" w:leftChars="0" w:right="0" w:rightChars="0" w:hanging="340" w:hangingChars="171"/>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第四条：知识产权</w:t>
      </w:r>
    </w:p>
    <w:p w14:paraId="353503E9">
      <w:pPr>
        <w:keepNext w:val="0"/>
        <w:keepLines w:val="0"/>
        <w:pageBreakBefore w:val="0"/>
        <w:widowControl w:val="0"/>
        <w:kinsoku/>
        <w:wordWrap/>
        <w:overflowPunct/>
        <w:topLinePunct w:val="0"/>
        <w:bidi w:val="0"/>
        <w:adjustRightInd w:val="0"/>
        <w:spacing w:line="288" w:lineRule="auto"/>
        <w:ind w:left="0" w:leftChars="0" w:right="0" w:rightChars="0" w:firstLine="420"/>
        <w:jc w:val="both"/>
        <w:textAlignment w:val="auto"/>
        <w:rPr>
          <w:rFonts w:hint="eastAsia" w:ascii="宋体" w:hAnsi="宋体" w:eastAsia="宋体" w:cs="宋体"/>
          <w:color w:val="auto"/>
          <w:kern w:val="2"/>
          <w:sz w:val="21"/>
          <w:szCs w:val="21"/>
          <w:highlight w:val="none"/>
          <w:lang w:val="zh-TW" w:eastAsia="zh-TW" w:bidi="ar-SA"/>
        </w:rPr>
      </w:pPr>
      <w:r>
        <w:rPr>
          <w:rFonts w:hint="eastAsia" w:ascii="宋体" w:hAnsi="宋体" w:eastAsia="宋体" w:cs="宋体"/>
          <w:color w:val="auto"/>
          <w:kern w:val="2"/>
          <w:sz w:val="21"/>
          <w:szCs w:val="21"/>
          <w:highlight w:val="none"/>
          <w:lang w:val="zh-TW" w:eastAsia="zh-TW" w:bidi="ar-SA"/>
        </w:rPr>
        <w:t>乙方保证所提供的合同产品或其任何一部分均不会侵犯任何第三方的知识产权，如有侵犯知识产权情况发生，乙方应承担全部责任。</w:t>
      </w:r>
    </w:p>
    <w:p w14:paraId="6FB04861">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第五条：交货时间、地点</w:t>
      </w:r>
    </w:p>
    <w:p w14:paraId="33002F00">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交货时间</w:t>
      </w:r>
      <w:r>
        <w:rPr>
          <w:rFonts w:hint="eastAsia" w:ascii="宋体" w:hAnsi="宋体" w:eastAsia="宋体" w:cs="宋体"/>
          <w:color w:val="auto"/>
          <w:spacing w:val="-6"/>
          <w:sz w:val="21"/>
          <w:szCs w:val="21"/>
          <w:highlight w:val="none"/>
          <w:lang w:eastAsia="zh-CN"/>
        </w:rPr>
        <w:t>：自合同签订之日起至202</w:t>
      </w:r>
      <w:r>
        <w:rPr>
          <w:rFonts w:hint="eastAsia"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lang w:eastAsia="zh-CN"/>
        </w:rPr>
        <w:t>年12月31日。</w:t>
      </w:r>
      <w:r>
        <w:rPr>
          <w:rFonts w:hint="eastAsia" w:ascii="宋体" w:hAnsi="宋体" w:eastAsia="宋体" w:cs="宋体"/>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rPr>
        <w:t>在收到</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订单后，现货60日、期货180日内交付。规定时间内不能到货的图书，列出清单，并说明原因向</w:t>
      </w:r>
      <w:r>
        <w:rPr>
          <w:rFonts w:hint="eastAsia" w:ascii="宋体" w:hAnsi="宋体" w:eastAsia="宋体"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反馈。</w:t>
      </w:r>
      <w:r>
        <w:rPr>
          <w:rFonts w:hint="eastAsia" w:ascii="宋体" w:hAnsi="宋体" w:eastAsia="宋体"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根据实际情况再确定是否继续征订。</w:t>
      </w:r>
    </w:p>
    <w:p w14:paraId="114EABE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交货</w:t>
      </w:r>
      <w:r>
        <w:rPr>
          <w:rFonts w:hint="eastAsia" w:ascii="宋体" w:hAnsi="宋体" w:eastAsia="宋体" w:cs="宋体"/>
          <w:color w:val="auto"/>
          <w:spacing w:val="-6"/>
          <w:sz w:val="21"/>
          <w:szCs w:val="21"/>
          <w:highlight w:val="none"/>
          <w:lang w:val="en-US" w:eastAsia="zh-CN"/>
        </w:rPr>
        <w:t>地点：</w:t>
      </w:r>
      <w:r>
        <w:rPr>
          <w:rFonts w:hint="eastAsia" w:ascii="宋体" w:hAnsi="宋体" w:eastAsia="宋体" w:cs="宋体"/>
          <w:color w:val="auto"/>
          <w:spacing w:val="-6"/>
          <w:sz w:val="21"/>
          <w:szCs w:val="21"/>
          <w:highlight w:val="none"/>
        </w:rPr>
        <w:t>浙江树人学院</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校区。</w:t>
      </w:r>
    </w:p>
    <w:p w14:paraId="0C4D55E2">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第六条：</w:t>
      </w:r>
      <w:r>
        <w:rPr>
          <w:rFonts w:hint="eastAsia" w:ascii="宋体" w:hAnsi="宋体" w:eastAsia="宋体" w:cs="宋体"/>
          <w:b/>
          <w:color w:val="auto"/>
          <w:spacing w:val="-6"/>
          <w:sz w:val="21"/>
          <w:szCs w:val="21"/>
          <w:highlight w:val="none"/>
          <w:lang w:val="en-US" w:eastAsia="zh-CN"/>
        </w:rPr>
        <w:t>服务要求</w:t>
      </w:r>
    </w:p>
    <w:p w14:paraId="571C417A">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支撑能力</w:t>
      </w:r>
      <w:r>
        <w:rPr>
          <w:rFonts w:hint="eastAsia" w:ascii="宋体" w:hAnsi="宋体" w:eastAsia="宋体" w:cs="宋体"/>
          <w:color w:val="auto"/>
          <w:spacing w:val="-6"/>
          <w:sz w:val="21"/>
          <w:szCs w:val="21"/>
          <w:highlight w:val="none"/>
          <w:lang w:eastAsia="zh-CN"/>
        </w:rPr>
        <w:t>：</w:t>
      </w:r>
    </w:p>
    <w:p w14:paraId="13722E80">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val="en-US" w:eastAsia="zh-CN"/>
        </w:rPr>
        <w:t xml:space="preserve">1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应具有经验丰富、稳定的本地工作团队，能在短时间内适应</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新的服务要求；</w:t>
      </w:r>
    </w:p>
    <w:p w14:paraId="16DC6F49">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1.2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应具有便于</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访问的网站，及时有效更新各类数据，为</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提供数据下载和订单处理状态查询。</w:t>
      </w:r>
    </w:p>
    <w:p w14:paraId="2574A7FB">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供书品种与速度</w:t>
      </w:r>
      <w:r>
        <w:rPr>
          <w:rFonts w:hint="eastAsia" w:ascii="宋体" w:hAnsi="宋体" w:eastAsia="宋体" w:cs="宋体"/>
          <w:color w:val="auto"/>
          <w:spacing w:val="-6"/>
          <w:sz w:val="21"/>
          <w:szCs w:val="21"/>
          <w:highlight w:val="none"/>
          <w:lang w:eastAsia="zh-CN"/>
        </w:rPr>
        <w:t>：</w:t>
      </w:r>
    </w:p>
    <w:p w14:paraId="1B3D13DA">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2.1 </w:t>
      </w:r>
      <w:r>
        <w:rPr>
          <w:rFonts w:hint="eastAsia" w:ascii="宋体" w:hAnsi="宋体" w:eastAsia="宋体" w:cs="宋体"/>
          <w:color w:val="auto"/>
          <w:spacing w:val="-6"/>
          <w:sz w:val="21"/>
          <w:szCs w:val="21"/>
          <w:highlight w:val="none"/>
        </w:rPr>
        <w:t>能够提供预订购书、现场购书等不同采购方式和书展服务；</w:t>
      </w:r>
    </w:p>
    <w:p w14:paraId="09E99EB0">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val="en-US" w:eastAsia="zh-CN"/>
        </w:rPr>
        <w:t xml:space="preserve">2 </w:t>
      </w:r>
      <w:r>
        <w:rPr>
          <w:rFonts w:hint="eastAsia" w:ascii="宋体" w:hAnsi="宋体" w:eastAsia="宋体" w:cs="宋体"/>
          <w:color w:val="auto"/>
          <w:spacing w:val="-6"/>
          <w:sz w:val="21"/>
          <w:szCs w:val="21"/>
          <w:highlight w:val="none"/>
        </w:rPr>
        <w:t>根据</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要求提供内容准确完整、格式规范的外文原版图书出版社的全学科新书目录，包括分学科书目、现货书目、专题书目、特色书目等，所提供目录属于</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指定采购大纲范围、符合浙江树人学院专业即课程设置和读者需求，不得因为供货折扣原因屏蔽任何图书品种，积极联系出版社尽可能多的获得合作包销图书品种信息。</w:t>
      </w:r>
    </w:p>
    <w:p w14:paraId="011EBDFD">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采访书目数据</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应按要求提供征订图书目录，采访书目数据提供标准USMARC（港台书为CNMARK）数据，符合</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编目系统要求（具体数据要求遵循《国际标准书目著录（ISBD）》《CALIS联机合作编目手册》），内容包含ISBN号、正题名、副题名、分辑号、分辑名、丛书项、作者、版本、出版地、出版社、出版年代、价格（包含币制）、页码、装帧、开本、内容简介和读者对象等内容。</w:t>
      </w:r>
    </w:p>
    <w:p w14:paraId="3E9F29A6">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订单反馈</w:t>
      </w:r>
      <w:r>
        <w:rPr>
          <w:rFonts w:hint="eastAsia" w:ascii="宋体" w:hAnsi="宋体" w:eastAsia="宋体" w:cs="宋体"/>
          <w:color w:val="auto"/>
          <w:spacing w:val="-6"/>
          <w:sz w:val="21"/>
          <w:szCs w:val="21"/>
          <w:highlight w:val="none"/>
          <w:lang w:eastAsia="zh-CN"/>
        </w:rPr>
        <w:t>：</w:t>
      </w:r>
    </w:p>
    <w:p w14:paraId="3FA5C3D5">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4.1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应无条件受理</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提交的图书订单；</w:t>
      </w:r>
    </w:p>
    <w:p w14:paraId="1712D32B">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4.2 </w:t>
      </w:r>
      <w:r>
        <w:rPr>
          <w:rFonts w:hint="eastAsia" w:ascii="宋体" w:hAnsi="宋体" w:eastAsia="宋体" w:cs="宋体"/>
          <w:color w:val="auto"/>
          <w:spacing w:val="-6"/>
          <w:sz w:val="21"/>
          <w:szCs w:val="21"/>
          <w:highlight w:val="none"/>
        </w:rPr>
        <w:t>订单以电子邮件形式发送，在接到订单后一周内进行新单回告，包括大码洋书目确认、不适藏书目确认、重复报订书目确认、审读禁止订单等，由</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复核审定；</w:t>
      </w:r>
    </w:p>
    <w:p w14:paraId="74A73385">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4.3 </w:t>
      </w:r>
      <w:r>
        <w:rPr>
          <w:rFonts w:hint="eastAsia" w:ascii="宋体" w:hAnsi="宋体" w:eastAsia="宋体" w:cs="宋体"/>
          <w:color w:val="auto"/>
          <w:spacing w:val="-6"/>
          <w:sz w:val="21"/>
          <w:szCs w:val="21"/>
          <w:highlight w:val="none"/>
        </w:rPr>
        <w:t>在订单执行过程中遇到书名和ISBN变更、出版时间延后或出版计划取消、丛书或连续出版物复本书不配套、价格涨幅过大（实际书价超出订单报价15%）等情况及时反馈，与</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二次确认订单；</w:t>
      </w:r>
    </w:p>
    <w:p w14:paraId="4C932E0A">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val="en-US" w:eastAsia="zh-CN"/>
        </w:rPr>
        <w:t xml:space="preserve">4 </w:t>
      </w:r>
      <w:r>
        <w:rPr>
          <w:rFonts w:hint="eastAsia" w:ascii="宋体" w:hAnsi="宋体" w:eastAsia="宋体" w:cs="宋体"/>
          <w:color w:val="auto"/>
          <w:spacing w:val="-6"/>
          <w:sz w:val="21"/>
          <w:szCs w:val="21"/>
          <w:highlight w:val="none"/>
        </w:rPr>
        <w:t>一个月内反馈订单执行情况，包括报订时间和批次、已送货到馆书目、已到库未送货书目、逾期未到书目，未到书目注明原因，如“已采购未到货”“取消出版”“出版社缺货”“不适藏撤销”“审读禁止”等，同一批订单拒订率不得超过10%；</w:t>
      </w:r>
    </w:p>
    <w:p w14:paraId="03C49532">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4.5 </w:t>
      </w:r>
      <w:r>
        <w:rPr>
          <w:rFonts w:hint="eastAsia" w:ascii="宋体" w:hAnsi="宋体" w:eastAsia="宋体" w:cs="宋体"/>
          <w:color w:val="auto"/>
          <w:spacing w:val="-6"/>
          <w:sz w:val="21"/>
          <w:szCs w:val="21"/>
          <w:highlight w:val="none"/>
        </w:rPr>
        <w:t>每6个月汇总一次订单反馈情况（内容同上），分析、说明原因，及时向出版社催缺、尽快给予补充。</w:t>
      </w:r>
    </w:p>
    <w:p w14:paraId="144F018F">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配书速度与到馆率</w:t>
      </w:r>
      <w:r>
        <w:rPr>
          <w:rFonts w:hint="eastAsia" w:ascii="宋体" w:hAnsi="宋体" w:eastAsia="宋体" w:cs="宋体"/>
          <w:color w:val="auto"/>
          <w:spacing w:val="-6"/>
          <w:sz w:val="21"/>
          <w:szCs w:val="21"/>
          <w:highlight w:val="none"/>
          <w:lang w:eastAsia="zh-CN"/>
        </w:rPr>
        <w:t>：</w:t>
      </w:r>
    </w:p>
    <w:p w14:paraId="20E24E6B">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5.1 </w:t>
      </w:r>
      <w:r>
        <w:rPr>
          <w:rFonts w:hint="eastAsia" w:ascii="宋体" w:hAnsi="宋体" w:eastAsia="宋体" w:cs="宋体"/>
          <w:color w:val="auto"/>
          <w:spacing w:val="-6"/>
          <w:sz w:val="21"/>
          <w:szCs w:val="21"/>
          <w:highlight w:val="none"/>
        </w:rPr>
        <w:t>现采、现货图书2周内到馆率100%，电子订单预订图书前6个月到馆率≥90%、全年平均到馆率≥95%，取消出版、延期出版、绝版的文献除外（到馆率=实际配货种数/订单种数*100%），订购图书超过一年未到货的</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有权拒收，</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每6个月对</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的订单执行情况进行评估，若未达到以上要求即可认定</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不具备向</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进行供货的能力，</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可要求终止合同，有权采取相应的补救措施（如转向其他代理商补订图书），由此给</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造成的各项损失或增加的各项费用（如折扣损失、邮费等）均由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w:t>
      </w:r>
    </w:p>
    <w:p w14:paraId="3E51C742">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5.2 </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急需的图书可提供快速采购、快递送货服务。</w:t>
      </w:r>
    </w:p>
    <w:p w14:paraId="71CB31D1">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配书质量</w:t>
      </w:r>
      <w:r>
        <w:rPr>
          <w:rFonts w:hint="eastAsia" w:ascii="宋体" w:hAnsi="宋体" w:eastAsia="宋体" w:cs="宋体"/>
          <w:color w:val="auto"/>
          <w:spacing w:val="-6"/>
          <w:sz w:val="21"/>
          <w:szCs w:val="21"/>
          <w:highlight w:val="none"/>
          <w:lang w:eastAsia="zh-CN"/>
        </w:rPr>
        <w:t>：</w:t>
      </w:r>
    </w:p>
    <w:p w14:paraId="215FAD6D">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6.1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收到订单后若出现订单不匹配，应在配书发货前再次确定</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征订需求；</w:t>
      </w:r>
    </w:p>
    <w:p w14:paraId="60BE3BB4">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6.2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应完全按照</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所提供的图书订单进行采购，杜绝提供与馆藏要求不符的品种和数量的图书，</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有权对已到馆的、但不符合教学科研需要和水平的图书给予无条件退货，退货发生的全部费用由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承担，供书发货差错率＜2‰；</w:t>
      </w:r>
    </w:p>
    <w:p w14:paraId="66FF231F">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6.3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所供图书具有合法来源、渠道正规、保证正版（即未侵犯任何第三方的著作权或其他相关权利），盗版图书必须无条件负责退换并承担相应的法律责任；</w:t>
      </w:r>
    </w:p>
    <w:p w14:paraId="3B867977">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6.4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应保证所供图书无破损、无污损并能按要求配套，供应有质量问题的图书（如污损、图文不清、错页、漏页、破损、少附件等）及到书与原订购不符或运输途中出现遗失、破损，</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有权提出调换或退货要求，</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无条件负责30个工作日内免费退换，对于因</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原因出现错订的问题图书能积极协助调剂，配合采取撤订、退书、换书等方式减轻</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的损失；</w:t>
      </w:r>
    </w:p>
    <w:p w14:paraId="244F9C80">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6.5 </w:t>
      </w: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选购的外文图书均免费提供USMARC格式的编目数据（以《中图法（第五版）》为准，其格式完全符合中国机读目录格式或CALIS格式），编目数据通过电子邮件比同批次送达的图书提前到馆且覆盖率100%、MARC数据差错率＜2‰。</w:t>
      </w:r>
    </w:p>
    <w:p w14:paraId="29A3AB6A">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配书加工及送货</w:t>
      </w:r>
      <w:r>
        <w:rPr>
          <w:rFonts w:hint="eastAsia" w:ascii="宋体" w:hAnsi="宋体" w:eastAsia="宋体" w:cs="宋体"/>
          <w:color w:val="auto"/>
          <w:spacing w:val="-6"/>
          <w:sz w:val="21"/>
          <w:szCs w:val="21"/>
          <w:highlight w:val="none"/>
          <w:lang w:eastAsia="zh-CN"/>
        </w:rPr>
        <w:t>：</w:t>
      </w:r>
    </w:p>
    <w:p w14:paraId="76CE8E1D">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7.1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应对配书进行防潮湿和防破损包装，发送配书前预先电话通知</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，得到确认再行送货；</w:t>
      </w:r>
    </w:p>
    <w:p w14:paraId="6269E721">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7.2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应有规律的配送时间、有固定的送货渠道、提供门对门的快速送货服务，由此所发生的任何手续和运输费全部由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承担，如不能按要求送达指定收货点的</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有权拒收。</w:t>
      </w:r>
    </w:p>
    <w:p w14:paraId="4C52FE83">
      <w:pPr>
        <w:keepNext w:val="0"/>
        <w:keepLines w:val="0"/>
        <w:pageBreakBefore w:val="0"/>
        <w:widowControl w:val="0"/>
        <w:kinsoku/>
        <w:wordWrap/>
        <w:overflowPunct/>
        <w:topLinePunct w:val="0"/>
        <w:bidi w:val="0"/>
        <w:snapToGrid w:val="0"/>
        <w:spacing w:line="288" w:lineRule="auto"/>
        <w:ind w:left="0" w:leftChars="0" w:right="0" w:rightChars="0" w:firstLine="42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在合同履行中造成的人员伤亡及财产损失，由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自行承担。</w:t>
      </w:r>
    </w:p>
    <w:p w14:paraId="499D4620">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第七条：验收</w:t>
      </w:r>
    </w:p>
    <w:p w14:paraId="0DE9EF3F">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负责实施；</w:t>
      </w:r>
    </w:p>
    <w:p w14:paraId="0976DE3B">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4508D2D8">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 合同、</w:t>
      </w:r>
      <w:r>
        <w:rPr>
          <w:rFonts w:hint="eastAsia" w:ascii="宋体" w:hAnsi="宋体" w:eastAsia="宋体" w:cs="宋体"/>
          <w:color w:val="auto"/>
          <w:spacing w:val="-6"/>
          <w:sz w:val="21"/>
          <w:szCs w:val="21"/>
          <w:highlight w:val="none"/>
          <w:lang w:eastAsia="zh-CN"/>
        </w:rPr>
        <w:t>磋商文件</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响应文件</w:t>
      </w:r>
      <w:r>
        <w:rPr>
          <w:rFonts w:hint="eastAsia" w:ascii="宋体" w:hAnsi="宋体" w:eastAsia="宋体" w:cs="宋体"/>
          <w:color w:val="auto"/>
          <w:spacing w:val="-6"/>
          <w:sz w:val="21"/>
          <w:szCs w:val="21"/>
          <w:highlight w:val="none"/>
        </w:rPr>
        <w:t>；</w:t>
      </w:r>
    </w:p>
    <w:p w14:paraId="7D92C527">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2.2 </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提供的技术规格、经</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认可的合同货物的有效检验文件；</w:t>
      </w:r>
    </w:p>
    <w:p w14:paraId="764ABD15">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2.3 </w:t>
      </w:r>
      <w:r>
        <w:rPr>
          <w:rFonts w:hint="eastAsia" w:ascii="宋体" w:hAnsi="宋体" w:eastAsia="宋体" w:cs="宋体"/>
          <w:color w:val="auto"/>
          <w:spacing w:val="-6"/>
          <w:sz w:val="21"/>
          <w:szCs w:val="21"/>
          <w:highlight w:val="none"/>
          <w:lang w:eastAsia="zh-CN"/>
        </w:rPr>
        <w:t>乙方响应文件</w:t>
      </w:r>
      <w:r>
        <w:rPr>
          <w:rFonts w:hint="eastAsia" w:ascii="宋体" w:hAnsi="宋体" w:eastAsia="宋体" w:cs="宋体"/>
          <w:color w:val="auto"/>
          <w:spacing w:val="-6"/>
          <w:sz w:val="21"/>
          <w:szCs w:val="21"/>
          <w:highlight w:val="none"/>
        </w:rPr>
        <w:t>中提供的经</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认可的合同货物的验收标准（符合中国有关的国家、地方、行业标准）和检测办法及相应检测手段。</w:t>
      </w:r>
    </w:p>
    <w:p w14:paraId="77E421B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3.验收合格的条件</w:t>
      </w:r>
      <w:r>
        <w:rPr>
          <w:rFonts w:hint="eastAsia" w:ascii="宋体" w:hAnsi="宋体" w:eastAsia="宋体" w:cs="宋体"/>
          <w:color w:val="auto"/>
          <w:spacing w:val="-6"/>
          <w:sz w:val="21"/>
          <w:szCs w:val="21"/>
          <w:highlight w:val="none"/>
          <w:lang w:eastAsia="zh-CN"/>
        </w:rPr>
        <w:t>：</w:t>
      </w:r>
    </w:p>
    <w:p w14:paraId="00D6B55D">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3.1 </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预订的图书品种在图书报订前对已预订的图书进行查重，由此造成</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误订的图书</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予以退货；</w:t>
      </w:r>
    </w:p>
    <w:p w14:paraId="3E62B19B">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 若送交的图书污损、破损、图文不清、缺页、倒页、缺附件等质量不合格的无条件予以退换，不能以已加工为理由拒绝，由此造成的损失及费用全部由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w:t>
      </w:r>
    </w:p>
    <w:p w14:paraId="03289B27">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 保证送交的图书为正版，凡有版权问题的无条件予以退回，问题严重的</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有权终止采购合同，由此引发的法律纠纷</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承担全部责任；</w:t>
      </w:r>
    </w:p>
    <w:p w14:paraId="23A83E9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 凡交到</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的图书经验收发现书款与发货单不符的，</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及时通知</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派员到验收地核算，</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接到通知之日起10个工作日内不能派员核算的，以</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验收的实际数额计算书款。</w:t>
      </w:r>
    </w:p>
    <w:p w14:paraId="1D6D6DC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应派员在所供货物到</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处时进行到货验收，若发现任何损坏及质量问题，</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负责妥善处理直至</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满意，由此产生的费用由</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承担。</w:t>
      </w:r>
    </w:p>
    <w:p w14:paraId="7344430F">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第八条：货款的支付</w:t>
      </w:r>
    </w:p>
    <w:p w14:paraId="30EB7584">
      <w:pPr>
        <w:keepNext w:val="0"/>
        <w:keepLines w:val="0"/>
        <w:pageBreakBefore w:val="0"/>
        <w:widowControl w:val="0"/>
        <w:kinsoku/>
        <w:wordWrap/>
        <w:overflowPunct/>
        <w:topLinePunct w:val="0"/>
        <w:bidi w:val="0"/>
        <w:adjustRightInd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74AD2781">
      <w:pPr>
        <w:keepNext w:val="0"/>
        <w:keepLines w:val="0"/>
        <w:pageBreakBefore w:val="0"/>
        <w:widowControl w:val="0"/>
        <w:kinsoku/>
        <w:wordWrap/>
        <w:overflowPunct/>
        <w:topLinePunct w:val="0"/>
        <w:bidi w:val="0"/>
        <w:adjustRightInd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2、合同生效以及具备实施条件后7个工作日内，且</w:t>
      </w:r>
      <w:r>
        <w:rPr>
          <w:rFonts w:hint="eastAsia" w:ascii="宋体" w:hAnsi="宋体" w:eastAsia="宋体" w:cs="宋体"/>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rPr>
        <w:t>已向</w:t>
      </w:r>
      <w:r>
        <w:rPr>
          <w:rFonts w:hint="eastAsia" w:ascii="宋体" w:hAnsi="宋体" w:eastAsia="宋体"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提交银行、保险公司等金融机构出具的预付款保函的，</w:t>
      </w:r>
      <w:r>
        <w:rPr>
          <w:rFonts w:hint="eastAsia" w:ascii="宋体" w:hAnsi="宋体" w:eastAsia="宋体"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向</w:t>
      </w:r>
      <w:r>
        <w:rPr>
          <w:rFonts w:hint="eastAsia" w:ascii="宋体" w:hAnsi="宋体" w:eastAsia="宋体" w:cs="宋体"/>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rPr>
        <w:t>支付合同总价40%的预付款；</w:t>
      </w:r>
      <w:r>
        <w:rPr>
          <w:rFonts w:hint="eastAsia" w:ascii="宋体" w:hAnsi="宋体" w:eastAsia="宋体" w:cs="宋体"/>
          <w:color w:val="auto"/>
          <w:spacing w:val="-6"/>
          <w:kern w:val="0"/>
          <w:sz w:val="21"/>
          <w:szCs w:val="21"/>
          <w:highlight w:val="none"/>
        </w:rPr>
        <w:t>在签订合同时，</w:t>
      </w:r>
      <w:r>
        <w:rPr>
          <w:rFonts w:hint="eastAsia" w:ascii="宋体" w:hAnsi="宋体" w:eastAsia="宋体" w:cs="宋体"/>
          <w:color w:val="auto"/>
          <w:spacing w:val="-6"/>
          <w:kern w:val="0"/>
          <w:sz w:val="21"/>
          <w:szCs w:val="21"/>
          <w:highlight w:val="none"/>
          <w:lang w:val="en-US" w:eastAsia="zh-CN"/>
        </w:rPr>
        <w:t>乙方</w:t>
      </w:r>
      <w:r>
        <w:rPr>
          <w:rFonts w:hint="eastAsia" w:ascii="宋体" w:hAnsi="宋体" w:eastAsia="宋体" w:cs="宋体"/>
          <w:color w:val="auto"/>
          <w:spacing w:val="-6"/>
          <w:kern w:val="0"/>
          <w:sz w:val="21"/>
          <w:szCs w:val="21"/>
          <w:highlight w:val="none"/>
        </w:rPr>
        <w:t>明确表示无需预付款或者主动要求降低预付款比例的，可</w:t>
      </w:r>
      <w:r>
        <w:rPr>
          <w:rFonts w:hint="eastAsia" w:ascii="宋体" w:hAnsi="宋体" w:eastAsia="宋体" w:cs="宋体"/>
          <w:color w:val="auto"/>
          <w:spacing w:val="-6"/>
          <w:kern w:val="0"/>
          <w:sz w:val="21"/>
          <w:szCs w:val="21"/>
          <w:highlight w:val="none"/>
          <w:lang w:val="en-US" w:eastAsia="zh-CN"/>
        </w:rPr>
        <w:t>不支付或</w:t>
      </w:r>
      <w:r>
        <w:rPr>
          <w:rFonts w:hint="eastAsia" w:ascii="宋体" w:hAnsi="宋体" w:eastAsia="宋体" w:cs="宋体"/>
          <w:color w:val="auto"/>
          <w:spacing w:val="-6"/>
          <w:kern w:val="0"/>
          <w:sz w:val="21"/>
          <w:szCs w:val="21"/>
          <w:highlight w:val="none"/>
        </w:rPr>
        <w:t>降低预付款比例（预付款保函同步调整）。</w:t>
      </w:r>
      <w:r>
        <w:rPr>
          <w:rFonts w:hint="eastAsia" w:ascii="宋体" w:hAnsi="宋体" w:eastAsia="宋体" w:cs="宋体"/>
          <w:color w:val="auto"/>
          <w:spacing w:val="-6"/>
          <w:sz w:val="21"/>
          <w:szCs w:val="21"/>
          <w:highlight w:val="none"/>
        </w:rPr>
        <w:t>2025年12月31日前，经</w:t>
      </w:r>
      <w:r>
        <w:rPr>
          <w:rFonts w:hint="eastAsia"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验收合格后，收到发票后7个工作日内，</w:t>
      </w:r>
      <w:r>
        <w:rPr>
          <w:rFonts w:hint="eastAsia"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向</w:t>
      </w:r>
      <w:r>
        <w:rPr>
          <w:rFonts w:hint="eastAsia" w:cs="宋体"/>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rPr>
        <w:t>支付至合同总价的50%（如有删减，按实际结算）；2026年12月31日前，经</w:t>
      </w:r>
      <w:r>
        <w:rPr>
          <w:rFonts w:hint="eastAsia" w:cs="宋体"/>
          <w:color w:val="auto"/>
          <w:spacing w:val="-6"/>
          <w:sz w:val="21"/>
          <w:szCs w:val="21"/>
          <w:highlight w:val="none"/>
          <w:lang w:val="en-US" w:eastAsia="zh-CN"/>
        </w:rPr>
        <w:t>甲方</w:t>
      </w:r>
      <w:r>
        <w:rPr>
          <w:rFonts w:hint="eastAsia" w:ascii="宋体" w:hAnsi="宋体" w:eastAsia="宋体" w:cs="宋体"/>
          <w:color w:val="auto"/>
          <w:spacing w:val="-6"/>
          <w:sz w:val="21"/>
          <w:szCs w:val="21"/>
          <w:highlight w:val="none"/>
        </w:rPr>
        <w:t>验收合格后，收到发票后7个工作日内，甲方向乙方至支付合同总价的100%（如有删减，按实际结算）。</w:t>
      </w:r>
    </w:p>
    <w:p w14:paraId="3CF1E56F">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第九条：违约责任</w:t>
      </w:r>
    </w:p>
    <w:p w14:paraId="42457745">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1、甲方逾期支付货款的，自逾期之日起，向乙方每日偿付未付价款万分之二点一的滞纳金。</w:t>
      </w:r>
    </w:p>
    <w:p w14:paraId="69F4A67A">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2、乙方逾期履行合同的，自逾期之日起，向甲方每日偿付合同总价万分之二点一的滞纳金；逾期</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个月，乙方需支付合同总额20%作为违约金，同时甲方有权要求终止合同。</w:t>
      </w:r>
    </w:p>
    <w:p w14:paraId="4FAD1EDB">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其它未尽事宜，双方签订协议时协商议定。</w:t>
      </w:r>
    </w:p>
    <w:p w14:paraId="165CA384">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第十条：不可抗力事件处理</w:t>
      </w:r>
    </w:p>
    <w:p w14:paraId="167108AD">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84AB31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5B763978">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3、不可抗力事件延续120天以上，双方通过友好协商，确定是否继续履行合同。</w:t>
      </w:r>
    </w:p>
    <w:p w14:paraId="10FF532C">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第十一条：争议解决</w:t>
      </w:r>
    </w:p>
    <w:p w14:paraId="04898630">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本合同未尽事宜由三方协商解决，如协商不成，三方同意将本合同引起的争议提交甲方所在地法院解决。</w:t>
      </w:r>
    </w:p>
    <w:p w14:paraId="03A90235">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第十二条：其它</w:t>
      </w:r>
    </w:p>
    <w:p w14:paraId="20326780">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1、本合同所有附件、采购文件、</w:t>
      </w:r>
      <w:r>
        <w:rPr>
          <w:rFonts w:hint="eastAsia" w:ascii="宋体" w:hAnsi="宋体" w:eastAsia="宋体" w:cs="宋体"/>
          <w:color w:val="auto"/>
          <w:spacing w:val="-6"/>
          <w:sz w:val="21"/>
          <w:szCs w:val="21"/>
          <w:highlight w:val="none"/>
          <w:lang w:eastAsia="zh-CN"/>
        </w:rPr>
        <w:t>响应文件</w:t>
      </w:r>
      <w:r>
        <w:rPr>
          <w:rFonts w:hint="eastAsia" w:ascii="宋体" w:hAnsi="宋体" w:eastAsia="宋体" w:cs="宋体"/>
          <w:color w:val="auto"/>
          <w:spacing w:val="-6"/>
          <w:sz w:val="21"/>
          <w:szCs w:val="21"/>
          <w:highlight w:val="none"/>
        </w:rPr>
        <w:t>、中标通知书通知书均为合同的有效组成部分，与本合同具有同等法律效力。</w:t>
      </w:r>
    </w:p>
    <w:p w14:paraId="21872673">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2、在执行本合同的过程中，所有经双方签署确认的文件（包括会议纪要、补充协议、往来信函）即成为本合同的有效组成部分。</w:t>
      </w:r>
    </w:p>
    <w:p w14:paraId="2CEE6665">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3、如一方地址、电话、传真号码有变更，应在变更当日内书面通知对方，否则，应承担相应责任。</w:t>
      </w:r>
    </w:p>
    <w:p w14:paraId="6E0B46E7">
      <w:pPr>
        <w:keepNext w:val="0"/>
        <w:keepLines w:val="0"/>
        <w:pageBreakBefore w:val="0"/>
        <w:widowControl w:val="0"/>
        <w:kinsoku/>
        <w:wordWrap/>
        <w:overflowPunct/>
        <w:topLinePunct w:val="0"/>
        <w:bidi w:val="0"/>
        <w:snapToGrid w:val="0"/>
        <w:spacing w:line="288" w:lineRule="auto"/>
        <w:ind w:left="0" w:leftChars="0" w:right="0" w:right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第十三条：合同生效</w:t>
      </w:r>
    </w:p>
    <w:p w14:paraId="26CBC59C">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1、合同经三方法定代表人或授权代表签字并加盖单位公章后生效。</w:t>
      </w:r>
    </w:p>
    <w:p w14:paraId="2007A62D">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A383C9">
      <w:pPr>
        <w:keepNext w:val="0"/>
        <w:keepLines w:val="0"/>
        <w:pageBreakBefore w:val="0"/>
        <w:widowControl w:val="0"/>
        <w:kinsoku/>
        <w:wordWrap/>
        <w:overflowPunct/>
        <w:topLinePunct w:val="0"/>
        <w:bidi w:val="0"/>
        <w:snapToGrid w:val="0"/>
        <w:spacing w:line="288" w:lineRule="auto"/>
        <w:ind w:left="0" w:leftChars="0" w:right="0" w:rightChars="0"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3、本合同未尽事宜，遵照《民法典》有关条文执行。</w:t>
      </w:r>
    </w:p>
    <w:p w14:paraId="4B9FA74A">
      <w:pPr>
        <w:snapToGrid w:val="0"/>
        <w:spacing w:line="288" w:lineRule="auto"/>
        <w:ind w:firstLine="396" w:firstLineChars="200"/>
        <w:rPr>
          <w:color w:val="auto"/>
          <w:spacing w:val="-6"/>
          <w:sz w:val="21"/>
          <w:szCs w:val="21"/>
          <w:highlight w:val="none"/>
        </w:rPr>
      </w:pPr>
      <w:r>
        <w:rPr>
          <w:rFonts w:hint="eastAsia" w:ascii="宋体" w:hAnsi="宋体" w:eastAsia="宋体" w:cs="宋体"/>
          <w:color w:val="auto"/>
          <w:spacing w:val="-6"/>
          <w:sz w:val="21"/>
          <w:szCs w:val="21"/>
          <w:highlight w:val="none"/>
        </w:rPr>
        <w:t>4、本合同一式</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份，甲方执</w:t>
      </w:r>
      <w:r>
        <w:rPr>
          <w:rFonts w:hint="eastAsia" w:ascii="宋体" w:hAnsi="宋体" w:eastAsia="宋体" w:cs="宋体"/>
          <w:color w:val="auto"/>
          <w:spacing w:val="-6"/>
          <w:sz w:val="21"/>
          <w:szCs w:val="21"/>
          <w:highlight w:val="none"/>
          <w:u w:val="single"/>
        </w:rPr>
        <w:t xml:space="preserve"> 叁 </w:t>
      </w:r>
      <w:r>
        <w:rPr>
          <w:rFonts w:hint="eastAsia" w:ascii="宋体" w:hAnsi="宋体" w:eastAsia="宋体" w:cs="宋体"/>
          <w:color w:val="auto"/>
          <w:spacing w:val="-6"/>
          <w:sz w:val="21"/>
          <w:szCs w:val="21"/>
          <w:highlight w:val="none"/>
        </w:rPr>
        <w:t>份，乙方执</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份，采购代理机构执</w:t>
      </w:r>
      <w:r>
        <w:rPr>
          <w:rFonts w:hint="eastAsia" w:ascii="宋体" w:hAnsi="宋体" w:eastAsia="宋体" w:cs="宋体"/>
          <w:color w:val="auto"/>
          <w:spacing w:val="-6"/>
          <w:sz w:val="21"/>
          <w:szCs w:val="21"/>
          <w:highlight w:val="none"/>
          <w:u w:val="single"/>
        </w:rPr>
        <w:t xml:space="preserve"> 壹 </w:t>
      </w:r>
      <w:r>
        <w:rPr>
          <w:rFonts w:hint="eastAsia" w:ascii="宋体" w:hAnsi="宋体" w:eastAsia="宋体" w:cs="宋体"/>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spacing w:line="288" w:lineRule="auto"/>
              <w:rPr>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spacing w:line="288" w:lineRule="auto"/>
              <w:rPr>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spacing w:line="288" w:lineRule="auto"/>
              <w:rPr>
                <w:color w:val="auto"/>
                <w:spacing w:val="-6"/>
                <w:sz w:val="21"/>
                <w:szCs w:val="21"/>
                <w:highlight w:val="none"/>
              </w:rPr>
            </w:pPr>
            <w:r>
              <w:rPr>
                <w:rFonts w:hint="eastAsia"/>
                <w:color w:val="auto"/>
                <w:spacing w:val="-6"/>
                <w:sz w:val="21"/>
                <w:szCs w:val="21"/>
                <w:highlight w:val="none"/>
              </w:rPr>
              <w:t>甲方代表：</w:t>
            </w:r>
          </w:p>
          <w:p w14:paraId="3790FE0D">
            <w:pPr>
              <w:spacing w:line="288" w:lineRule="auto"/>
              <w:rPr>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spacing w:line="288" w:lineRule="auto"/>
              <w:rPr>
                <w:color w:val="auto"/>
                <w:spacing w:val="-6"/>
                <w:sz w:val="21"/>
                <w:szCs w:val="21"/>
                <w:highlight w:val="none"/>
              </w:rPr>
            </w:pPr>
            <w:r>
              <w:rPr>
                <w:rFonts w:hint="eastAsia"/>
                <w:color w:val="auto"/>
                <w:spacing w:val="-6"/>
                <w:sz w:val="21"/>
                <w:szCs w:val="21"/>
                <w:highlight w:val="none"/>
              </w:rPr>
              <w:t>乙方代表：</w:t>
            </w:r>
          </w:p>
          <w:p w14:paraId="23077197">
            <w:pPr>
              <w:spacing w:line="288" w:lineRule="auto"/>
              <w:rPr>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spacing w:line="288" w:lineRule="auto"/>
              <w:rPr>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spacing w:line="288" w:lineRule="auto"/>
              <w:rPr>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spacing w:line="288" w:lineRule="auto"/>
              <w:rPr>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spacing w:line="288" w:lineRule="auto"/>
              <w:rPr>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spacing w:line="288" w:lineRule="auto"/>
              <w:rPr>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spacing w:line="288" w:lineRule="auto"/>
              <w:rPr>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spacing w:line="288" w:lineRule="auto"/>
              <w:rPr>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spacing w:line="288" w:lineRule="auto"/>
              <w:rPr>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spacing w:line="288" w:lineRule="auto"/>
              <w:rPr>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spacing w:line="288" w:lineRule="auto"/>
              <w:rPr>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spacing w:line="288" w:lineRule="auto"/>
              <w:rPr>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spacing w:line="288" w:lineRule="auto"/>
              <w:rPr>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spacing w:line="288" w:lineRule="auto"/>
              <w:rPr>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spacing w:line="288" w:lineRule="auto"/>
              <w:rPr>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spacing w:line="288" w:lineRule="auto"/>
              <w:rPr>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spacing w:line="288" w:lineRule="auto"/>
              <w:rPr>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spacing w:line="288" w:lineRule="auto"/>
              <w:rPr>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2" w:name="_Toc30559"/>
      <w:bookmarkStart w:id="123" w:name="_Toc29708"/>
      <w:bookmarkStart w:id="124" w:name="_Toc9363"/>
      <w:bookmarkStart w:id="125" w:name="_Toc29822"/>
      <w:bookmarkStart w:id="126" w:name="_Toc29941"/>
      <w:bookmarkStart w:id="127" w:name="_Toc1796"/>
      <w:bookmarkStart w:id="128" w:name="_Toc10393"/>
      <w:r>
        <w:rPr>
          <w:rFonts w:hint="eastAsia"/>
          <w:b/>
          <w:bCs/>
          <w:color w:val="auto"/>
          <w:sz w:val="32"/>
          <w:szCs w:val="32"/>
          <w:highlight w:val="none"/>
        </w:rPr>
        <w:t>第六章  响应文件格式</w:t>
      </w:r>
      <w:bookmarkEnd w:id="122"/>
      <w:bookmarkEnd w:id="123"/>
      <w:bookmarkEnd w:id="124"/>
      <w:bookmarkEnd w:id="125"/>
      <w:bookmarkEnd w:id="126"/>
      <w:bookmarkEnd w:id="127"/>
      <w:bookmarkEnd w:id="128"/>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9"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9"/>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30"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rFonts w:hint="eastAsia" w:eastAsia="宋体"/>
          <w:b/>
          <w:bCs/>
          <w:color w:val="auto"/>
          <w:sz w:val="21"/>
          <w:szCs w:val="21"/>
          <w:highlight w:val="none"/>
          <w:lang w:val="en-US" w:eastAsia="zh-CN"/>
        </w:rPr>
      </w:pPr>
      <w:r>
        <w:rPr>
          <w:rFonts w:hint="eastAsia"/>
          <w:b/>
          <w:bCs/>
          <w:color w:val="auto"/>
          <w:sz w:val="21"/>
          <w:szCs w:val="21"/>
          <w:highlight w:val="none"/>
        </w:rPr>
        <w:t>（3）落实政府采购政策需满足的资格要求：</w:t>
      </w:r>
      <w:r>
        <w:rPr>
          <w:rFonts w:hint="eastAsia"/>
          <w:b/>
          <w:bCs/>
          <w:color w:val="auto"/>
          <w:sz w:val="21"/>
          <w:szCs w:val="21"/>
          <w:highlight w:val="none"/>
          <w:lang w:val="en-US" w:eastAsia="zh-CN"/>
        </w:rPr>
        <w:t>无；</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w:t>
      </w:r>
      <w:bookmarkEnd w:id="130"/>
      <w:r>
        <w:rPr>
          <w:rFonts w:hint="eastAsia"/>
          <w:b/>
          <w:bCs/>
          <w:color w:val="auto"/>
          <w:sz w:val="21"/>
          <w:szCs w:val="21"/>
          <w:highlight w:val="none"/>
        </w:rPr>
        <w:t>具有有效的《出版物进口经营许可证》；</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0DBF3CB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（2）报价情况说明（如有）；</w:t>
      </w:r>
    </w:p>
    <w:p w14:paraId="4B382625">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中小企业声明函（若属于中小企业）</w:t>
      </w:r>
      <w:r>
        <w:rPr>
          <w:rFonts w:hint="eastAsia"/>
          <w:color w:val="auto"/>
          <w:sz w:val="21"/>
          <w:szCs w:val="21"/>
          <w:highlight w:val="none"/>
          <w:lang w:eastAsia="zh-CN"/>
        </w:rPr>
        <w:t>；</w:t>
      </w:r>
    </w:p>
    <w:p w14:paraId="1144219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属于监狱企业的证明文件（若属于监狱企业）</w:t>
      </w:r>
      <w:r>
        <w:rPr>
          <w:rFonts w:hint="eastAsia"/>
          <w:color w:val="auto"/>
          <w:sz w:val="21"/>
          <w:szCs w:val="21"/>
          <w:highlight w:val="none"/>
          <w:lang w:eastAsia="zh-CN"/>
        </w:rPr>
        <w:t>；</w:t>
      </w:r>
    </w:p>
    <w:p w14:paraId="14FCDABA">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残疾人福利性单位声明函（若属于残疾人福利性单位）</w:t>
      </w:r>
      <w:r>
        <w:rPr>
          <w:rFonts w:hint="eastAsia"/>
          <w:color w:val="auto"/>
          <w:sz w:val="21"/>
          <w:szCs w:val="21"/>
          <w:highlight w:val="none"/>
          <w:lang w:eastAsia="zh-CN"/>
        </w:rPr>
        <w:t>。</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1" w:name="_Hlk71884196"/>
      <w:r>
        <w:rPr>
          <w:rFonts w:hint="eastAsia"/>
          <w:color w:val="auto"/>
          <w:sz w:val="21"/>
          <w:szCs w:val="21"/>
          <w:highlight w:val="none"/>
        </w:rPr>
        <w:t>（5）供应商类似业绩一览表；</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w:t>
      </w:r>
      <w:r>
        <w:rPr>
          <w:rFonts w:hint="eastAsia"/>
          <w:color w:val="auto"/>
          <w:sz w:val="21"/>
          <w:szCs w:val="21"/>
          <w:highlight w:val="none"/>
          <w:lang w:val="en-US" w:eastAsia="zh-CN"/>
        </w:rPr>
        <w:t>服务</w:t>
      </w:r>
      <w:r>
        <w:rPr>
          <w:rFonts w:hint="eastAsia"/>
          <w:color w:val="auto"/>
          <w:sz w:val="21"/>
          <w:szCs w:val="21"/>
          <w:highlight w:val="none"/>
        </w:rPr>
        <w:t>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）供应商需要说明的其他文件和材料。</w:t>
      </w:r>
    </w:p>
    <w:bookmarkEnd w:id="131"/>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2" w:name="_Toc19719"/>
      <w:bookmarkStart w:id="133" w:name="_Toc18243"/>
      <w:bookmarkStart w:id="134" w:name="_Toc14812"/>
      <w:r>
        <w:rPr>
          <w:rFonts w:hint="eastAsia"/>
          <w:b/>
          <w:bCs/>
          <w:color w:val="auto"/>
          <w:sz w:val="84"/>
          <w:szCs w:val="84"/>
          <w:highlight w:val="none"/>
        </w:rPr>
        <w:t>资格文件</w:t>
      </w:r>
      <w:bookmarkEnd w:id="132"/>
      <w:bookmarkEnd w:id="133"/>
      <w:bookmarkEnd w:id="134"/>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5" w:name="_Hlk94097338"/>
      <w:r>
        <w:rPr>
          <w:rFonts w:hint="eastAsia"/>
          <w:b/>
          <w:bCs/>
          <w:color w:val="auto"/>
          <w:sz w:val="21"/>
          <w:szCs w:val="21"/>
          <w:highlight w:val="none"/>
        </w:rPr>
        <w:t>资格审查要求的资格证明材料(均需加盖公章)</w:t>
      </w:r>
      <w:bookmarkEnd w:id="135"/>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6" w:name="_Toc11699"/>
      <w:r>
        <w:rPr>
          <w:rFonts w:hint="eastAsia"/>
          <w:b/>
          <w:bCs/>
          <w:color w:val="auto"/>
          <w:sz w:val="21"/>
          <w:szCs w:val="21"/>
          <w:highlight w:val="none"/>
        </w:rPr>
        <w:t>一、有效的法人或者其他组织的营业执照等证明文件，自然人的身份证明</w:t>
      </w:r>
      <w:bookmarkEnd w:id="136"/>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7"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7"/>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adjustRightInd w:val="0"/>
        <w:snapToGrid w:val="0"/>
        <w:spacing w:line="288" w:lineRule="auto"/>
        <w:outlineLvl w:val="2"/>
        <w:rPr>
          <w:rFonts w:hint="eastAsia" w:eastAsia="宋体"/>
          <w:b/>
          <w:color w:val="auto"/>
          <w:spacing w:val="-6"/>
          <w:sz w:val="21"/>
          <w:szCs w:val="21"/>
          <w:highlight w:val="none"/>
          <w:lang w:val="en-US" w:eastAsia="zh-CN"/>
        </w:rPr>
      </w:pPr>
      <w:r>
        <w:rPr>
          <w:rFonts w:hint="eastAsia"/>
          <w:color w:val="auto"/>
          <w:sz w:val="21"/>
          <w:szCs w:val="21"/>
          <w:highlight w:val="none"/>
        </w:rPr>
        <w:br w:type="page"/>
      </w:r>
      <w:bookmarkStart w:id="138"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8"/>
      <w:r>
        <w:rPr>
          <w:rFonts w:hint="eastAsia"/>
          <w:b/>
          <w:color w:val="auto"/>
          <w:spacing w:val="-6"/>
          <w:sz w:val="21"/>
          <w:szCs w:val="21"/>
          <w:highlight w:val="none"/>
          <w:lang w:val="en-US" w:eastAsia="zh-CN"/>
        </w:rPr>
        <w:t>无</w:t>
      </w:r>
    </w:p>
    <w:p w14:paraId="3FEED0D7">
      <w:pPr>
        <w:adjustRightInd w:val="0"/>
        <w:snapToGrid w:val="0"/>
        <w:spacing w:line="360" w:lineRule="auto"/>
        <w:jc w:val="left"/>
        <w:outlineLvl w:val="2"/>
        <w:rPr>
          <w:b/>
          <w:color w:val="auto"/>
          <w:spacing w:val="-6"/>
          <w:sz w:val="21"/>
          <w:szCs w:val="21"/>
          <w:highlight w:val="none"/>
        </w:rPr>
      </w:pPr>
      <w:bookmarkStart w:id="139" w:name="_Toc23640"/>
      <w:r>
        <w:rPr>
          <w:rFonts w:hint="eastAsia"/>
          <w:b/>
          <w:color w:val="auto"/>
          <w:spacing w:val="-6"/>
          <w:sz w:val="21"/>
          <w:szCs w:val="21"/>
          <w:highlight w:val="none"/>
        </w:rPr>
        <w:t>四、本项目的特定资格要求证明材料：</w:t>
      </w:r>
      <w:bookmarkEnd w:id="139"/>
      <w:r>
        <w:rPr>
          <w:rFonts w:hint="eastAsia"/>
          <w:b/>
          <w:color w:val="auto"/>
          <w:spacing w:val="-6"/>
          <w:sz w:val="21"/>
          <w:szCs w:val="21"/>
          <w:highlight w:val="none"/>
        </w:rPr>
        <w:t>具有有效的《出版物进口经营许可证》。</w:t>
      </w:r>
    </w:p>
    <w:p w14:paraId="5CB75BAC">
      <w:pPr>
        <w:adjustRightInd w:val="0"/>
        <w:snapToGrid w:val="0"/>
        <w:spacing w:line="360" w:lineRule="auto"/>
        <w:jc w:val="left"/>
        <w:outlineLvl w:val="2"/>
        <w:rPr>
          <w:color w:val="auto"/>
          <w:sz w:val="21"/>
          <w:szCs w:val="21"/>
          <w:highlight w:val="none"/>
        </w:rPr>
      </w:pPr>
      <w:bookmarkStart w:id="140"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40"/>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1" w:name="_Toc9903"/>
      <w:bookmarkStart w:id="142" w:name="_Toc11709"/>
      <w:bookmarkStart w:id="143" w:name="_Toc7213"/>
      <w:r>
        <w:rPr>
          <w:rFonts w:hint="eastAsia"/>
          <w:b/>
          <w:bCs/>
          <w:color w:val="auto"/>
          <w:sz w:val="84"/>
          <w:szCs w:val="84"/>
          <w:highlight w:val="none"/>
        </w:rPr>
        <w:t>报价文件</w:t>
      </w:r>
      <w:bookmarkEnd w:id="141"/>
      <w:bookmarkEnd w:id="142"/>
      <w:bookmarkEnd w:id="143"/>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4" w:name="_Toc290"/>
      <w:bookmarkStart w:id="145" w:name="_Toc20328"/>
      <w:bookmarkStart w:id="146" w:name="_Toc17160"/>
      <w:bookmarkStart w:id="147" w:name="_Toc9596"/>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2025-2026年外文纸质图书采购</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QSZB-Z(H)-B25211(CS)</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2"/>
      </w:tblGrid>
      <w:tr w14:paraId="31FF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0BE8915F">
            <w:pPr>
              <w:adjustRightInd w:val="0"/>
              <w:snapToGrid w:val="0"/>
              <w:jc w:val="cente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磋商响应折扣</w:t>
            </w:r>
          </w:p>
        </w:tc>
      </w:tr>
      <w:tr w14:paraId="22BA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095D3D68">
            <w:pPr>
              <w:adjustRightInd w:val="0"/>
              <w:snapToGrid w:val="0"/>
              <w:rPr>
                <w:rFonts w:ascii="宋体" w:hAnsi="宋体" w:eastAsia="宋体" w:cs="宋体"/>
                <w:color w:val="auto"/>
                <w:sz w:val="21"/>
                <w:szCs w:val="21"/>
                <w:highlight w:val="none"/>
              </w:rPr>
            </w:pPr>
          </w:p>
          <w:p w14:paraId="535BFAF0">
            <w:pPr>
              <w:adjustRightInd w:val="0"/>
              <w:snapToGrid w:val="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大写：______________________________小写：______________________________</w:t>
            </w:r>
          </w:p>
          <w:p w14:paraId="41C6661A">
            <w:pPr>
              <w:adjustRightInd w:val="0"/>
              <w:snapToGrid w:val="0"/>
              <w:rPr>
                <w:rFonts w:ascii="宋体" w:hAnsi="宋体" w:eastAsia="宋体" w:cs="宋体"/>
                <w:color w:val="auto"/>
                <w:sz w:val="21"/>
                <w:szCs w:val="21"/>
                <w:highlight w:val="none"/>
              </w:rPr>
            </w:pPr>
          </w:p>
          <w:p w14:paraId="33A924FD">
            <w:pPr>
              <w:adjustRightInd w:val="0"/>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p w14:paraId="18FA784D">
            <w:pPr>
              <w:widowControl w:val="0"/>
              <w:spacing w:line="200" w:lineRule="atLeast"/>
              <w:ind w:left="0" w:leftChars="0" w:firstLine="0" w:firstLineChars="0"/>
              <w:jc w:val="both"/>
              <w:rPr>
                <w:rFonts w:ascii="宋体" w:hAnsi="Courier New" w:eastAsia="宋体" w:cs="Times New Roman"/>
                <w:color w:val="auto"/>
                <w:spacing w:val="-4"/>
                <w:kern w:val="2"/>
                <w:sz w:val="18"/>
                <w:szCs w:val="20"/>
                <w:highlight w:val="none"/>
                <w:lang w:val="en-US" w:eastAsia="zh-CN" w:bidi="ar-SA"/>
              </w:rPr>
            </w:pPr>
          </w:p>
        </w:tc>
      </w:tr>
    </w:tbl>
    <w:p w14:paraId="6259FF78">
      <w:pPr>
        <w:adjustRightInd w:val="0"/>
        <w:snapToGrid w:val="0"/>
        <w:spacing w:line="288" w:lineRule="auto"/>
        <w:rPr>
          <w:rFonts w:hint="eastAsia" w:ascii="宋体" w:hAnsi="宋体" w:eastAsia="宋体" w:cs="宋体"/>
          <w:color w:val="auto"/>
          <w:spacing w:val="-6"/>
          <w:sz w:val="21"/>
          <w:szCs w:val="21"/>
          <w:highlight w:val="none"/>
        </w:rPr>
      </w:pPr>
    </w:p>
    <w:p w14:paraId="4D8CFCEA">
      <w:pPr>
        <w:adjustRightInd w:val="0"/>
        <w:snapToGrid w:val="0"/>
        <w:spacing w:line="288" w:lineRule="auto"/>
        <w:rPr>
          <w:rFonts w:ascii="宋体" w:hAnsi="宋体" w:eastAsia="宋体" w:cs="Times New Roman"/>
          <w:b/>
          <w:color w:val="auto"/>
          <w:spacing w:val="-6"/>
          <w:sz w:val="21"/>
          <w:szCs w:val="21"/>
          <w:highlight w:val="none"/>
        </w:rPr>
      </w:pPr>
      <w:r>
        <w:rPr>
          <w:rFonts w:hint="eastAsia" w:ascii="宋体" w:hAnsi="宋体" w:eastAsia="宋体" w:cs="宋体"/>
          <w:b/>
          <w:bCs/>
          <w:color w:val="auto"/>
          <w:spacing w:val="-6"/>
          <w:sz w:val="21"/>
          <w:szCs w:val="21"/>
          <w:highlight w:val="none"/>
        </w:rPr>
        <w:t>说明：</w:t>
      </w:r>
      <w:r>
        <w:rPr>
          <w:rFonts w:ascii="宋体" w:hAnsi="宋体" w:eastAsia="宋体" w:cs="Times New Roman"/>
          <w:bCs/>
          <w:color w:val="auto"/>
          <w:spacing w:val="-6"/>
          <w:sz w:val="21"/>
          <w:szCs w:val="21"/>
          <w:highlight w:val="none"/>
        </w:rPr>
        <w:t>有关本项目实施所涉及的一切费用均计入报价。</w:t>
      </w:r>
    </w:p>
    <w:p w14:paraId="6A060114">
      <w:pPr>
        <w:adjustRightInd w:val="0"/>
        <w:snapToGrid w:val="0"/>
        <w:spacing w:line="288" w:lineRule="auto"/>
        <w:rPr>
          <w:bCs/>
          <w:color w:val="auto"/>
          <w:sz w:val="21"/>
          <w:szCs w:val="21"/>
          <w:highlight w:val="none"/>
        </w:rPr>
      </w:pP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4"/>
      <w:bookmarkEnd w:id="145"/>
      <w:bookmarkEnd w:id="146"/>
      <w:bookmarkEnd w:id="147"/>
      <w:bookmarkStart w:id="148" w:name="_Toc8603"/>
      <w:bookmarkStart w:id="149" w:name="_Toc3484"/>
      <w:bookmarkStart w:id="150" w:name="_Toc6428"/>
    </w:p>
    <w:p w14:paraId="5A69CA68">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lang w:val="en-US" w:eastAsia="zh-CN"/>
        </w:rPr>
        <w:t>三、</w:t>
      </w:r>
      <w:r>
        <w:rPr>
          <w:b/>
          <w:bCs/>
          <w:color w:val="auto"/>
          <w:sz w:val="21"/>
          <w:szCs w:val="21"/>
          <w:highlight w:val="none"/>
        </w:rPr>
        <w:t>中小企业声明函（货物）</w:t>
      </w:r>
    </w:p>
    <w:p w14:paraId="10022DA7">
      <w:pPr>
        <w:adjustRightInd w:val="0"/>
        <w:snapToGrid w:val="0"/>
        <w:spacing w:line="288" w:lineRule="auto"/>
        <w:ind w:firstLine="498" w:firstLineChars="236"/>
        <w:rPr>
          <w:b/>
          <w:color w:val="auto"/>
          <w:sz w:val="21"/>
          <w:szCs w:val="21"/>
          <w:highlight w:val="none"/>
        </w:rPr>
      </w:pPr>
    </w:p>
    <w:p w14:paraId="22A81CF1">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浙江树人学院</w:t>
      </w:r>
      <w:r>
        <w:rPr>
          <w:color w:val="auto"/>
          <w:sz w:val="21"/>
          <w:szCs w:val="21"/>
          <w:highlight w:val="none"/>
        </w:rPr>
        <w:t>的</w:t>
      </w:r>
      <w:r>
        <w:rPr>
          <w:rFonts w:hint="eastAsia"/>
          <w:color w:val="auto"/>
          <w:sz w:val="21"/>
          <w:szCs w:val="21"/>
          <w:highlight w:val="none"/>
          <w:u w:val="single"/>
          <w:lang w:eastAsia="zh-CN"/>
        </w:rPr>
        <w:t>2025-2026年外文纸质图书采购</w:t>
      </w:r>
      <w:r>
        <w:rPr>
          <w:color w:val="auto"/>
          <w:sz w:val="21"/>
          <w:szCs w:val="21"/>
          <w:highlight w:val="none"/>
        </w:rPr>
        <w:t>采购活动，提供的货物全部由符合政策要求的中小企业制造。相关企业（含联合体中的中小企业、签订分包意向协议的中小企业）的具体情况如下：</w:t>
      </w:r>
    </w:p>
    <w:p w14:paraId="5170746A">
      <w:pPr>
        <w:adjustRightInd w:val="0"/>
        <w:snapToGrid w:val="0"/>
        <w:spacing w:line="288" w:lineRule="auto"/>
        <w:ind w:firstLine="495" w:firstLineChars="236"/>
        <w:rPr>
          <w:rFonts w:hint="eastAsia"/>
          <w:color w:val="auto"/>
          <w:sz w:val="21"/>
          <w:szCs w:val="21"/>
          <w:highlight w:val="none"/>
          <w:lang w:eastAsia="zh-CN"/>
        </w:rPr>
      </w:pPr>
      <w:r>
        <w:rPr>
          <w:color w:val="auto"/>
          <w:sz w:val="21"/>
          <w:szCs w:val="21"/>
          <w:highlight w:val="none"/>
          <w:u w:val="single"/>
        </w:rPr>
        <w:t>1.</w:t>
      </w:r>
      <w:r>
        <w:rPr>
          <w:rFonts w:hint="eastAsia"/>
          <w:color w:val="auto"/>
          <w:sz w:val="21"/>
          <w:szCs w:val="21"/>
          <w:highlight w:val="none"/>
          <w:u w:val="single"/>
          <w:lang w:val="en-US" w:eastAsia="zh-CN"/>
        </w:rPr>
        <w:t xml:space="preserve">           </w:t>
      </w:r>
      <w:r>
        <w:rPr>
          <w:color w:val="auto"/>
          <w:sz w:val="21"/>
          <w:szCs w:val="21"/>
          <w:highlight w:val="none"/>
        </w:rPr>
        <w:t>，属于</w:t>
      </w:r>
      <w:r>
        <w:rPr>
          <w:rFonts w:hint="eastAsia"/>
          <w:color w:val="auto"/>
          <w:sz w:val="21"/>
          <w:szCs w:val="21"/>
          <w:highlight w:val="none"/>
          <w:u w:val="single"/>
          <w:lang w:val="en-US" w:eastAsia="zh-CN"/>
        </w:rPr>
        <w:t xml:space="preserve">     </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color w:val="auto"/>
          <w:sz w:val="21"/>
          <w:szCs w:val="21"/>
          <w:highlight w:val="none"/>
          <w:u w:val="single"/>
        </w:rPr>
        <w:t>（中型企业、小型企业、微型企业）</w:t>
      </w:r>
      <w:r>
        <w:rPr>
          <w:rFonts w:hint="eastAsia" w:eastAsia="宋体"/>
          <w:color w:val="auto"/>
          <w:sz w:val="21"/>
          <w:szCs w:val="21"/>
          <w:highlight w:val="none"/>
          <w:lang w:eastAsia="zh-CN"/>
        </w:rPr>
        <w:t>；</w:t>
      </w:r>
    </w:p>
    <w:p w14:paraId="28DF518F">
      <w:pPr>
        <w:adjustRightInd w:val="0"/>
        <w:snapToGrid w:val="0"/>
        <w:spacing w:line="288" w:lineRule="auto"/>
        <w:ind w:firstLine="495" w:firstLineChars="236"/>
        <w:rPr>
          <w:rFonts w:hint="default" w:eastAsia="宋体"/>
          <w:color w:val="auto"/>
          <w:sz w:val="21"/>
          <w:szCs w:val="21"/>
          <w:highlight w:val="none"/>
          <w:lang w:val="en-US" w:eastAsia="zh-CN"/>
        </w:rPr>
      </w:pPr>
      <w:r>
        <w:rPr>
          <w:rFonts w:hint="eastAsia"/>
          <w:color w:val="auto"/>
          <w:sz w:val="21"/>
          <w:szCs w:val="21"/>
          <w:highlight w:val="none"/>
          <w:lang w:val="en-US" w:eastAsia="zh-CN"/>
        </w:rPr>
        <w:t>····</w:t>
      </w:r>
    </w:p>
    <w:p w14:paraId="42C9F010">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A603E33">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5AFDC7B3">
      <w:pPr>
        <w:adjustRightInd w:val="0"/>
        <w:snapToGrid w:val="0"/>
        <w:spacing w:line="288" w:lineRule="auto"/>
        <w:ind w:firstLine="495" w:firstLineChars="236"/>
        <w:rPr>
          <w:color w:val="auto"/>
          <w:sz w:val="21"/>
          <w:szCs w:val="21"/>
          <w:highlight w:val="none"/>
        </w:rPr>
      </w:pPr>
    </w:p>
    <w:p w14:paraId="3403F76A">
      <w:pPr>
        <w:adjustRightInd w:val="0"/>
        <w:snapToGrid w:val="0"/>
        <w:spacing w:line="288" w:lineRule="auto"/>
        <w:ind w:firstLine="498" w:firstLineChars="236"/>
        <w:rPr>
          <w:b/>
          <w:bCs/>
          <w:color w:val="auto"/>
          <w:sz w:val="21"/>
          <w:szCs w:val="21"/>
          <w:highlight w:val="none"/>
        </w:rPr>
      </w:pPr>
      <w:r>
        <w:rPr>
          <w:rFonts w:hint="eastAsia"/>
          <w:b/>
          <w:bCs/>
          <w:color w:val="auto"/>
          <w:sz w:val="21"/>
          <w:szCs w:val="21"/>
          <w:highlight w:val="none"/>
        </w:rPr>
        <w:t>供应商名称（电子签名/公章）</w:t>
      </w:r>
      <w:r>
        <w:rPr>
          <w:b/>
          <w:bCs/>
          <w:color w:val="auto"/>
          <w:sz w:val="21"/>
          <w:szCs w:val="21"/>
          <w:highlight w:val="none"/>
        </w:rPr>
        <w:t>：</w:t>
      </w:r>
    </w:p>
    <w:p w14:paraId="7BFF767F">
      <w:pPr>
        <w:adjustRightInd w:val="0"/>
        <w:snapToGrid w:val="0"/>
        <w:spacing w:line="288" w:lineRule="auto"/>
        <w:ind w:firstLine="498" w:firstLineChars="236"/>
        <w:rPr>
          <w:b/>
          <w:bCs/>
          <w:color w:val="auto"/>
          <w:sz w:val="21"/>
          <w:szCs w:val="21"/>
          <w:highlight w:val="none"/>
        </w:rPr>
      </w:pPr>
      <w:r>
        <w:rPr>
          <w:b/>
          <w:bCs/>
          <w:color w:val="auto"/>
          <w:sz w:val="21"/>
          <w:szCs w:val="21"/>
          <w:highlight w:val="none"/>
        </w:rPr>
        <w:t>日期：</w:t>
      </w:r>
      <w:r>
        <w:rPr>
          <w:rFonts w:hint="eastAsia" w:eastAsia="宋体"/>
          <w:b/>
          <w:bCs/>
          <w:color w:val="auto"/>
          <w:sz w:val="21"/>
          <w:szCs w:val="21"/>
          <w:highlight w:val="none"/>
          <w:lang w:eastAsia="zh-CN"/>
        </w:rPr>
        <w:t>2025年</w:t>
      </w:r>
      <w:r>
        <w:rPr>
          <w:rFonts w:hint="eastAsia"/>
          <w:b/>
          <w:bCs/>
          <w:color w:val="auto"/>
          <w:sz w:val="21"/>
          <w:szCs w:val="21"/>
          <w:highlight w:val="none"/>
        </w:rPr>
        <w:t xml:space="preserve">  月  日</w:t>
      </w:r>
    </w:p>
    <w:p w14:paraId="1CDD7AD1">
      <w:pPr>
        <w:adjustRightInd w:val="0"/>
        <w:snapToGrid w:val="0"/>
        <w:spacing w:line="288" w:lineRule="auto"/>
        <w:ind w:firstLine="495" w:firstLineChars="236"/>
        <w:rPr>
          <w:color w:val="auto"/>
          <w:sz w:val="21"/>
          <w:szCs w:val="21"/>
          <w:highlight w:val="none"/>
        </w:rPr>
      </w:pPr>
    </w:p>
    <w:p w14:paraId="2E4C6317">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0A0AA9A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14:paraId="492FEED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14:paraId="497A6B21">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或未按照《中小企业声明函》要求填写的，不享受中小企业扶持政策。</w:t>
      </w:r>
      <w:r>
        <w:rPr>
          <w:color w:val="auto"/>
          <w:sz w:val="21"/>
          <w:szCs w:val="21"/>
          <w:highlight w:val="none"/>
        </w:rPr>
        <w:t>如项目包含“多件”标的物的，需按标的物项数逐项填写。</w:t>
      </w:r>
    </w:p>
    <w:p w14:paraId="6D20CAAA">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396110F2">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5.以联合体形式参加的，联合体各方均须提供中小企业声明函，联合各方须均为中小企业，否则视为不满足落实政府采购政策需满足的资格要求。</w:t>
      </w:r>
    </w:p>
    <w:p w14:paraId="24D891FF">
      <w:pPr>
        <w:adjustRightInd w:val="0"/>
        <w:snapToGrid w:val="0"/>
        <w:spacing w:line="288" w:lineRule="auto"/>
        <w:ind w:firstLine="495" w:firstLineChars="236"/>
        <w:rPr>
          <w:rFonts w:cs="Times New Roman"/>
          <w:color w:val="auto"/>
          <w:sz w:val="21"/>
          <w:szCs w:val="21"/>
          <w:highlight w:val="none"/>
        </w:rPr>
      </w:pPr>
      <w:r>
        <w:rPr>
          <w:rFonts w:hint="eastAsia"/>
          <w:color w:val="auto"/>
          <w:sz w:val="21"/>
          <w:szCs w:val="21"/>
          <w:highlight w:val="none"/>
        </w:rPr>
        <w:t>6.合同分包的，供应商和分包供应商均须提供中小企业声明函，分包意向协议中所有供应商须均为中小企业，否则视为不满足落实政府采购政策需满足的资格要求。</w:t>
      </w:r>
    </w:p>
    <w:p w14:paraId="7C6377F7">
      <w:pPr>
        <w:widowControl/>
        <w:adjustRightInd w:val="0"/>
        <w:snapToGrid w:val="0"/>
        <w:spacing w:line="288" w:lineRule="auto"/>
        <w:ind w:firstLine="469" w:firstLineChars="236"/>
        <w:jc w:val="center"/>
        <w:outlineLvl w:val="2"/>
        <w:rPr>
          <w:color w:val="auto"/>
          <w:kern w:val="0"/>
          <w:sz w:val="21"/>
          <w:szCs w:val="21"/>
          <w:highlight w:val="none"/>
        </w:rPr>
      </w:pPr>
      <w:r>
        <w:rPr>
          <w:rFonts w:hint="eastAsia"/>
          <w:b/>
          <w:color w:val="auto"/>
          <w:spacing w:val="-6"/>
          <w:sz w:val="21"/>
          <w:szCs w:val="21"/>
          <w:highlight w:val="none"/>
        </w:rPr>
        <w:br w:type="page"/>
      </w:r>
      <w:r>
        <w:rPr>
          <w:rFonts w:hint="eastAsia"/>
          <w:b/>
          <w:color w:val="auto"/>
          <w:spacing w:val="-6"/>
          <w:sz w:val="21"/>
          <w:szCs w:val="21"/>
          <w:highlight w:val="none"/>
          <w:lang w:val="en-US" w:eastAsia="zh-CN"/>
        </w:rPr>
        <w:t>四、</w:t>
      </w:r>
      <w:r>
        <w:rPr>
          <w:rFonts w:hint="eastAsia"/>
          <w:b/>
          <w:color w:val="auto"/>
          <w:spacing w:val="-6"/>
          <w:sz w:val="21"/>
          <w:szCs w:val="21"/>
          <w:highlight w:val="none"/>
        </w:rPr>
        <w:t>属于监狱企业的证明文件（若属于监狱企业）</w:t>
      </w:r>
    </w:p>
    <w:p w14:paraId="1C96F180">
      <w:pPr>
        <w:adjustRightInd w:val="0"/>
        <w:snapToGrid w:val="0"/>
        <w:spacing w:line="288" w:lineRule="auto"/>
        <w:rPr>
          <w:color w:val="auto"/>
          <w:kern w:val="0"/>
          <w:sz w:val="21"/>
          <w:szCs w:val="21"/>
          <w:highlight w:val="none"/>
        </w:rPr>
      </w:pPr>
    </w:p>
    <w:p w14:paraId="64D1055E">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5AB62C03">
      <w:pPr>
        <w:adjustRightInd w:val="0"/>
        <w:snapToGrid w:val="0"/>
        <w:spacing w:line="288" w:lineRule="auto"/>
        <w:rPr>
          <w:color w:val="auto"/>
          <w:sz w:val="21"/>
          <w:szCs w:val="21"/>
          <w:highlight w:val="none"/>
        </w:rPr>
      </w:pPr>
    </w:p>
    <w:p w14:paraId="5932DEE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EBAB31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4C999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4DC4B6E0">
      <w:pPr>
        <w:widowControl/>
        <w:adjustRightInd w:val="0"/>
        <w:snapToGrid w:val="0"/>
        <w:spacing w:line="288" w:lineRule="auto"/>
        <w:jc w:val="center"/>
        <w:outlineLvl w:val="2"/>
        <w:rPr>
          <w:b/>
          <w:color w:val="auto"/>
          <w:spacing w:val="-6"/>
          <w:sz w:val="21"/>
          <w:szCs w:val="21"/>
          <w:highlight w:val="none"/>
        </w:rPr>
      </w:pPr>
      <w:r>
        <w:rPr>
          <w:b/>
          <w:color w:val="auto"/>
          <w:spacing w:val="-6"/>
          <w:sz w:val="21"/>
          <w:szCs w:val="21"/>
          <w:highlight w:val="none"/>
        </w:rPr>
        <w:br w:type="page"/>
      </w:r>
      <w:r>
        <w:rPr>
          <w:rFonts w:hint="eastAsia"/>
          <w:b/>
          <w:color w:val="auto"/>
          <w:spacing w:val="-6"/>
          <w:sz w:val="21"/>
          <w:szCs w:val="21"/>
          <w:highlight w:val="none"/>
          <w:lang w:val="en-US" w:eastAsia="zh-CN"/>
        </w:rPr>
        <w:t>五、</w:t>
      </w:r>
      <w:r>
        <w:rPr>
          <w:rFonts w:hint="eastAsia"/>
          <w:b/>
          <w:color w:val="auto"/>
          <w:spacing w:val="-6"/>
          <w:sz w:val="21"/>
          <w:szCs w:val="21"/>
          <w:highlight w:val="none"/>
        </w:rPr>
        <w:t>残疾人福利性单位声明函（若属于残疾人福利性单位）</w:t>
      </w:r>
    </w:p>
    <w:p w14:paraId="2D1086B4">
      <w:pPr>
        <w:adjustRightInd w:val="0"/>
        <w:snapToGrid w:val="0"/>
        <w:spacing w:line="288" w:lineRule="auto"/>
        <w:rPr>
          <w:rFonts w:cs="Times New Roman"/>
          <w:b/>
          <w:color w:val="auto"/>
          <w:spacing w:val="6"/>
          <w:sz w:val="21"/>
          <w:szCs w:val="21"/>
          <w:highlight w:val="none"/>
        </w:rPr>
      </w:pPr>
    </w:p>
    <w:p w14:paraId="4F649AB9">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16DB8545">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51F536AD">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p>
    <w:p w14:paraId="4DF2F709">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供应商名称（电子签名/公章）：</w:t>
      </w:r>
    </w:p>
    <w:p w14:paraId="4688EB8A">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日  期：</w:t>
      </w:r>
      <w:r>
        <w:rPr>
          <w:rFonts w:hint="eastAsia" w:eastAsia="宋体"/>
          <w:b/>
          <w:bCs/>
          <w:color w:val="auto"/>
          <w:sz w:val="21"/>
          <w:szCs w:val="21"/>
          <w:highlight w:val="none"/>
          <w:lang w:eastAsia="zh-CN"/>
        </w:rPr>
        <w:t>2025年</w:t>
      </w:r>
      <w:r>
        <w:rPr>
          <w:rFonts w:hint="eastAsia"/>
          <w:b/>
          <w:bCs/>
          <w:color w:val="auto"/>
          <w:sz w:val="21"/>
          <w:szCs w:val="21"/>
          <w:highlight w:val="none"/>
        </w:rPr>
        <w:t xml:space="preserve">  月  日</w:t>
      </w:r>
    </w:p>
    <w:p w14:paraId="3A7DD3B6">
      <w:pPr>
        <w:adjustRightInd w:val="0"/>
        <w:snapToGrid w:val="0"/>
        <w:spacing w:line="288" w:lineRule="auto"/>
        <w:rPr>
          <w:color w:val="auto"/>
          <w:sz w:val="21"/>
          <w:szCs w:val="21"/>
          <w:highlight w:val="none"/>
        </w:rPr>
      </w:pPr>
    </w:p>
    <w:p w14:paraId="4612A5B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3F932D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4DE702B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FD4B69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30CB469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098B8BB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95E3F2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69BD030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3E713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80AED7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2DF6B09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注：残疾人福利性单位属于小型、微型企业的，不重复享受政策。</w:t>
      </w:r>
    </w:p>
    <w:p w14:paraId="3DE57EAB">
      <w:pPr>
        <w:widowControl/>
        <w:adjustRightInd w:val="0"/>
        <w:snapToGrid w:val="0"/>
        <w:spacing w:line="288" w:lineRule="auto"/>
        <w:jc w:val="left"/>
        <w:rPr>
          <w:b/>
          <w:color w:val="auto"/>
          <w:spacing w:val="-6"/>
          <w:sz w:val="21"/>
          <w:szCs w:val="21"/>
          <w:highlight w:val="none"/>
        </w:rPr>
      </w:pPr>
      <w:r>
        <w:rPr>
          <w:rFonts w:hint="eastAsia"/>
          <w:b/>
          <w:color w:val="auto"/>
          <w:spacing w:val="-6"/>
          <w:sz w:val="21"/>
          <w:szCs w:val="21"/>
          <w:highlight w:val="none"/>
        </w:rPr>
        <w:br w:type="page"/>
      </w:r>
    </w:p>
    <w:p w14:paraId="496741B6">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8"/>
      <w:bookmarkEnd w:id="149"/>
      <w:bookmarkEnd w:id="150"/>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1" w:name="_Toc31700"/>
      <w:r>
        <w:rPr>
          <w:rFonts w:hint="eastAsia"/>
          <w:b/>
          <w:bCs/>
          <w:color w:val="auto"/>
          <w:sz w:val="21"/>
          <w:szCs w:val="21"/>
          <w:highlight w:val="none"/>
        </w:rPr>
        <w:t>一、响应函</w:t>
      </w:r>
      <w:bookmarkEnd w:id="151"/>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2025-2026年外文纸质图书采购</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QSZB-Z(H)-B25211(CS)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adjustRightInd w:val="0"/>
              <w:snapToGrid w:val="0"/>
              <w:spacing w:line="288" w:lineRule="auto"/>
              <w:rPr>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adjustRightInd w:val="0"/>
              <w:snapToGrid w:val="0"/>
              <w:spacing w:line="288" w:lineRule="auto"/>
              <w:rPr>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adjustRightInd w:val="0"/>
              <w:snapToGrid w:val="0"/>
              <w:spacing w:line="288" w:lineRule="auto"/>
              <w:rPr>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adjustRightInd w:val="0"/>
              <w:snapToGrid w:val="0"/>
              <w:spacing w:line="288" w:lineRule="auto"/>
              <w:rPr>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adjustRightInd w:val="0"/>
              <w:snapToGrid w:val="0"/>
              <w:spacing w:line="288" w:lineRule="auto"/>
              <w:rPr>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adjustRightInd w:val="0"/>
              <w:snapToGrid w:val="0"/>
              <w:spacing w:line="288" w:lineRule="auto"/>
              <w:rPr>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adjustRightInd w:val="0"/>
              <w:snapToGrid w:val="0"/>
              <w:spacing w:line="288" w:lineRule="auto"/>
              <w:rPr>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2" w:name="_Toc12753"/>
      <w:r>
        <w:rPr>
          <w:rFonts w:hint="eastAsia"/>
          <w:b/>
          <w:bCs/>
          <w:color w:val="auto"/>
          <w:sz w:val="21"/>
          <w:szCs w:val="21"/>
          <w:highlight w:val="none"/>
        </w:rPr>
        <w:t>二、授权委托书或法定代表人（单位负责人、自然人本人）身份证明</w:t>
      </w:r>
      <w:bookmarkEnd w:id="152"/>
    </w:p>
    <w:p w14:paraId="36EAF546">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3" w:name="_Toc19623"/>
      <w:bookmarkStart w:id="154" w:name="_Toc3833"/>
      <w:bookmarkStart w:id="155" w:name="_Toc2114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3"/>
      <w:bookmarkEnd w:id="154"/>
      <w:bookmarkEnd w:id="155"/>
    </w:p>
    <w:p w14:paraId="4F9329C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3"/>
        <w:rPr>
          <w:color w:val="auto"/>
          <w:highlight w:val="none"/>
        </w:rPr>
      </w:pPr>
    </w:p>
    <w:p w14:paraId="32AA9F99">
      <w:pPr>
        <w:pStyle w:val="13"/>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cols w:space="720" w:num="1"/>
          <w:titlePg/>
          <w:docGrid w:linePitch="326" w:charSpace="0"/>
        </w:sectPr>
      </w:pPr>
    </w:p>
    <w:p w14:paraId="041958D5">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6" w:name="_Toc12514"/>
      <w:bookmarkStart w:id="157" w:name="_Toc7459"/>
      <w:bookmarkStart w:id="158" w:name="_Toc3197"/>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6"/>
      <w:bookmarkEnd w:id="157"/>
      <w:bookmarkEnd w:id="158"/>
    </w:p>
    <w:p w14:paraId="2F0205E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3"/>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3"/>
        <w:spacing w:line="288" w:lineRule="auto"/>
        <w:ind w:firstLine="0"/>
        <w:rPr>
          <w:rFonts w:hAnsi="宋体" w:cs="宋体"/>
          <w:color w:val="auto"/>
          <w:sz w:val="21"/>
          <w:szCs w:val="21"/>
          <w:highlight w:val="none"/>
        </w:rPr>
      </w:pPr>
    </w:p>
    <w:p w14:paraId="33C2510B">
      <w:pPr>
        <w:pStyle w:val="5"/>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adjustRightInd w:val="0"/>
              <w:snapToGrid w:val="0"/>
              <w:spacing w:line="288" w:lineRule="auto"/>
              <w:rPr>
                <w:color w:val="auto"/>
                <w:sz w:val="21"/>
                <w:szCs w:val="21"/>
                <w:highlight w:val="none"/>
              </w:rPr>
            </w:pPr>
            <w:r>
              <w:rPr>
                <w:rFonts w:hint="eastAsia"/>
                <w:color w:val="auto"/>
                <w:sz w:val="21"/>
                <w:szCs w:val="21"/>
                <w:highlight w:val="none"/>
              </w:rPr>
              <w:t>法定代表人身份证明：</w:t>
            </w:r>
          </w:p>
          <w:p w14:paraId="09D4C6F2">
            <w:pPr>
              <w:adjustRightInd w:val="0"/>
              <w:snapToGrid w:val="0"/>
              <w:spacing w:line="288" w:lineRule="auto"/>
              <w:rPr>
                <w:color w:val="auto"/>
                <w:sz w:val="21"/>
                <w:szCs w:val="21"/>
                <w:highlight w:val="none"/>
              </w:rPr>
            </w:pPr>
          </w:p>
          <w:p w14:paraId="2C21E1D8">
            <w:pPr>
              <w:adjustRightInd w:val="0"/>
              <w:snapToGrid w:val="0"/>
              <w:spacing w:line="288" w:lineRule="auto"/>
              <w:rPr>
                <w:color w:val="auto"/>
                <w:sz w:val="21"/>
                <w:szCs w:val="21"/>
                <w:highlight w:val="none"/>
              </w:rPr>
            </w:pPr>
          </w:p>
          <w:p w14:paraId="539D3EA3">
            <w:pPr>
              <w:adjustRightInd w:val="0"/>
              <w:snapToGrid w:val="0"/>
              <w:spacing w:line="288" w:lineRule="auto"/>
              <w:rPr>
                <w:color w:val="auto"/>
                <w:sz w:val="21"/>
                <w:szCs w:val="21"/>
                <w:highlight w:val="none"/>
              </w:rPr>
            </w:pPr>
          </w:p>
          <w:p w14:paraId="3ED740FB">
            <w:pPr>
              <w:adjustRightInd w:val="0"/>
              <w:snapToGrid w:val="0"/>
              <w:spacing w:line="288" w:lineRule="auto"/>
              <w:rPr>
                <w:color w:val="auto"/>
                <w:sz w:val="21"/>
                <w:szCs w:val="21"/>
                <w:highlight w:val="none"/>
              </w:rPr>
            </w:pPr>
          </w:p>
          <w:p w14:paraId="2C67D2D9">
            <w:pPr>
              <w:adjustRightInd w:val="0"/>
              <w:snapToGrid w:val="0"/>
              <w:spacing w:line="288" w:lineRule="auto"/>
              <w:rPr>
                <w:color w:val="auto"/>
                <w:sz w:val="21"/>
                <w:szCs w:val="21"/>
                <w:highlight w:val="none"/>
              </w:rPr>
            </w:pPr>
          </w:p>
          <w:p w14:paraId="7AFFF97A">
            <w:pPr>
              <w:adjustRightInd w:val="0"/>
              <w:snapToGrid w:val="0"/>
              <w:spacing w:line="288" w:lineRule="auto"/>
              <w:rPr>
                <w:color w:val="auto"/>
                <w:sz w:val="21"/>
                <w:szCs w:val="21"/>
                <w:highlight w:val="none"/>
              </w:rPr>
            </w:pPr>
            <w:r>
              <w:rPr>
                <w:rFonts w:hint="eastAsia"/>
                <w:color w:val="auto"/>
                <w:sz w:val="21"/>
                <w:szCs w:val="21"/>
                <w:highlight w:val="none"/>
              </w:rPr>
              <w:t>授权代表身份证明：</w:t>
            </w:r>
          </w:p>
          <w:p w14:paraId="05E60649">
            <w:pPr>
              <w:adjustRightInd w:val="0"/>
              <w:snapToGrid w:val="0"/>
              <w:spacing w:line="288" w:lineRule="auto"/>
              <w:rPr>
                <w:color w:val="auto"/>
                <w:sz w:val="21"/>
                <w:szCs w:val="21"/>
                <w:highlight w:val="none"/>
              </w:rPr>
            </w:pPr>
          </w:p>
          <w:p w14:paraId="29756081">
            <w:pPr>
              <w:adjustRightInd w:val="0"/>
              <w:snapToGrid w:val="0"/>
              <w:spacing w:line="288" w:lineRule="auto"/>
              <w:rPr>
                <w:color w:val="auto"/>
                <w:sz w:val="21"/>
                <w:szCs w:val="21"/>
                <w:highlight w:val="none"/>
              </w:rPr>
            </w:pPr>
          </w:p>
          <w:p w14:paraId="0C71B265">
            <w:pPr>
              <w:adjustRightInd w:val="0"/>
              <w:snapToGrid w:val="0"/>
              <w:spacing w:line="288" w:lineRule="auto"/>
              <w:rPr>
                <w:color w:val="auto"/>
                <w:sz w:val="21"/>
                <w:szCs w:val="21"/>
                <w:highlight w:val="none"/>
              </w:rPr>
            </w:pPr>
          </w:p>
          <w:p w14:paraId="1ACEA43D">
            <w:pPr>
              <w:adjustRightInd w:val="0"/>
              <w:snapToGrid w:val="0"/>
              <w:spacing w:line="288" w:lineRule="auto"/>
              <w:rPr>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adjustRightInd w:val="0"/>
              <w:spacing w:line="288" w:lineRule="auto"/>
              <w:rPr>
                <w:rFonts w:hAnsi="宋体" w:cs="宋体"/>
                <w:bCs/>
                <w:color w:val="auto"/>
                <w:highlight w:val="none"/>
              </w:rPr>
            </w:pPr>
            <w:r>
              <w:rPr>
                <w:rFonts w:hint="eastAsia" w:hAnsi="宋体" w:cs="宋体"/>
                <w:bCs/>
                <w:color w:val="auto"/>
                <w:highlight w:val="none"/>
              </w:rPr>
              <w:t>正面：                                 反面：</w:t>
            </w:r>
          </w:p>
          <w:p w14:paraId="10A565CF">
            <w:pPr>
              <w:pStyle w:val="60"/>
              <w:adjustRightInd w:val="0"/>
              <w:spacing w:line="288" w:lineRule="auto"/>
              <w:rPr>
                <w:rFonts w:hAnsi="宋体" w:cs="宋体"/>
                <w:bCs/>
                <w:color w:val="auto"/>
                <w:highlight w:val="none"/>
              </w:rPr>
            </w:pPr>
          </w:p>
        </w:tc>
      </w:tr>
    </w:tbl>
    <w:p w14:paraId="05D193B1">
      <w:pPr>
        <w:pStyle w:val="13"/>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6"/>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9" w:name="_Toc28829"/>
      <w:r>
        <w:rPr>
          <w:rFonts w:hint="eastAsia"/>
          <w:b/>
          <w:bCs/>
          <w:color w:val="auto"/>
          <w:sz w:val="21"/>
          <w:szCs w:val="21"/>
          <w:highlight w:val="none"/>
        </w:rPr>
        <w:t>三、</w:t>
      </w:r>
      <w:bookmarkEnd w:id="159"/>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2025-2026年外文纸质图书采购</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QSZB-Z(H)-B25211(CS)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38FAB39">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1C7D03">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05DC19E">
            <w:pPr>
              <w:adjustRightInd w:val="0"/>
              <w:snapToGrid w:val="0"/>
              <w:spacing w:line="288" w:lineRule="auto"/>
              <w:jc w:val="center"/>
              <w:rPr>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4C975D09">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18F66738">
            <w:pPr>
              <w:adjustRightInd w:val="0"/>
              <w:snapToGrid w:val="0"/>
              <w:spacing w:line="288" w:lineRule="auto"/>
              <w:jc w:val="center"/>
              <w:rPr>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A05A87">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7AB00C">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915CAB9">
            <w:pPr>
              <w:adjustRightInd w:val="0"/>
              <w:snapToGrid w:val="0"/>
              <w:spacing w:line="288" w:lineRule="auto"/>
              <w:jc w:val="center"/>
              <w:rPr>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adjustRightInd w:val="0"/>
              <w:snapToGrid w:val="0"/>
              <w:spacing w:line="288" w:lineRule="auto"/>
              <w:rPr>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A8BD4B6">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94724D3">
            <w:pPr>
              <w:adjustRightInd w:val="0"/>
              <w:snapToGrid w:val="0"/>
              <w:spacing w:line="288" w:lineRule="auto"/>
              <w:jc w:val="center"/>
              <w:rPr>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DA7A34">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6B767F55">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DE36502">
            <w:pPr>
              <w:adjustRightInd w:val="0"/>
              <w:snapToGrid w:val="0"/>
              <w:spacing w:line="288" w:lineRule="auto"/>
              <w:jc w:val="center"/>
              <w:rPr>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0E6668E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3E15D2B9">
            <w:pPr>
              <w:adjustRightInd w:val="0"/>
              <w:snapToGrid w:val="0"/>
              <w:spacing w:line="288" w:lineRule="auto"/>
              <w:jc w:val="center"/>
              <w:rPr>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EDFC073">
            <w:pPr>
              <w:adjustRightInd w:val="0"/>
              <w:snapToGrid w:val="0"/>
              <w:spacing w:line="288" w:lineRule="auto"/>
              <w:rPr>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421689">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3C16A1D9">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FDB2EC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E1654F2">
            <w:pPr>
              <w:adjustRightInd w:val="0"/>
              <w:snapToGrid w:val="0"/>
              <w:spacing w:line="288" w:lineRule="auto"/>
              <w:jc w:val="center"/>
              <w:rPr>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2E118A17">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37B61034">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899869C">
            <w:pPr>
              <w:adjustRightInd w:val="0"/>
              <w:snapToGrid w:val="0"/>
              <w:spacing w:line="288" w:lineRule="auto"/>
              <w:jc w:val="center"/>
              <w:rPr>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3"/>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60" w:name="_Toc24677"/>
      <w:r>
        <w:rPr>
          <w:rFonts w:hint="eastAsia" w:hAnsi="宋体" w:cs="宋体"/>
          <w:b/>
          <w:bCs/>
          <w:color w:val="auto"/>
          <w:sz w:val="21"/>
          <w:szCs w:val="21"/>
          <w:highlight w:val="none"/>
        </w:rPr>
        <w:t>四、廉政承诺书</w:t>
      </w:r>
      <w:bookmarkEnd w:id="160"/>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1"/>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1" w:name="_Toc24885"/>
      <w:r>
        <w:rPr>
          <w:rFonts w:hint="eastAsia"/>
          <w:b/>
          <w:bCs/>
          <w:color w:val="auto"/>
          <w:sz w:val="21"/>
          <w:szCs w:val="21"/>
          <w:highlight w:val="none"/>
        </w:rPr>
        <w:t>五、供应商类似业绩一览表</w:t>
      </w:r>
      <w:bookmarkEnd w:id="161"/>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2025-2026年外文纸质图书采购</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QSZB-Z(H)-B25211(CS)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14:paraId="6C8114B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72FF8B0F">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39BD2D2">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83E9E50">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66488127">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51397EE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4534D5FC">
            <w:pPr>
              <w:adjustRightInd w:val="0"/>
              <w:snapToGrid w:val="0"/>
              <w:spacing w:line="288" w:lineRule="auto"/>
              <w:jc w:val="center"/>
              <w:rPr>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1F8689A">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1F10D9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030493E1">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2AB6EB24">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1377B36C">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F1EC1A7">
            <w:pPr>
              <w:adjustRightInd w:val="0"/>
              <w:snapToGrid w:val="0"/>
              <w:spacing w:line="288" w:lineRule="auto"/>
              <w:jc w:val="center"/>
              <w:rPr>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09C19189">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37F40A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A2B966F">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71075F4B">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4A2B3BA7">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68457882">
            <w:pPr>
              <w:adjustRightInd w:val="0"/>
              <w:snapToGrid w:val="0"/>
              <w:spacing w:line="288" w:lineRule="auto"/>
              <w:jc w:val="center"/>
              <w:rPr>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25C659B">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26CF920">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4CECD6C5">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45872152">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37C3E0F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BA4DFC5">
            <w:pPr>
              <w:adjustRightInd w:val="0"/>
              <w:snapToGrid w:val="0"/>
              <w:spacing w:line="288" w:lineRule="auto"/>
              <w:jc w:val="center"/>
              <w:rPr>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cols w:space="720" w:num="1"/>
          <w:docGrid w:type="lines" w:linePitch="312" w:charSpace="0"/>
        </w:sectPr>
      </w:pPr>
    </w:p>
    <w:p w14:paraId="3009F6D3">
      <w:pPr>
        <w:adjustRightInd w:val="0"/>
        <w:snapToGrid w:val="0"/>
        <w:spacing w:line="288" w:lineRule="auto"/>
        <w:jc w:val="left"/>
        <w:outlineLvl w:val="1"/>
        <w:rPr>
          <w:rFonts w:hint="eastAsia"/>
          <w:b/>
          <w:bCs/>
          <w:color w:val="auto"/>
          <w:sz w:val="21"/>
          <w:szCs w:val="21"/>
          <w:highlight w:val="none"/>
        </w:rPr>
      </w:pPr>
      <w:bookmarkStart w:id="162" w:name="_Toc16143"/>
      <w:r>
        <w:rPr>
          <w:rFonts w:hint="eastAsia"/>
          <w:b/>
          <w:bCs/>
          <w:color w:val="auto"/>
          <w:sz w:val="21"/>
          <w:szCs w:val="21"/>
          <w:highlight w:val="none"/>
          <w:lang w:val="en-US" w:eastAsia="zh-CN"/>
        </w:rPr>
        <w:t>六</w:t>
      </w:r>
      <w:r>
        <w:rPr>
          <w:rFonts w:hint="eastAsia"/>
          <w:b/>
          <w:bCs/>
          <w:color w:val="auto"/>
          <w:sz w:val="21"/>
          <w:szCs w:val="21"/>
          <w:highlight w:val="none"/>
        </w:rPr>
        <w:t>、</w:t>
      </w:r>
      <w:bookmarkEnd w:id="162"/>
      <w:r>
        <w:rPr>
          <w:rFonts w:hint="eastAsia"/>
          <w:b/>
          <w:bCs/>
          <w:color w:val="auto"/>
          <w:sz w:val="21"/>
          <w:szCs w:val="21"/>
          <w:highlight w:val="none"/>
          <w:lang w:val="en-US" w:eastAsia="zh-CN"/>
        </w:rPr>
        <w:t>服务</w:t>
      </w:r>
      <w:r>
        <w:rPr>
          <w:rFonts w:hint="eastAsia"/>
          <w:b/>
          <w:bCs/>
          <w:color w:val="auto"/>
          <w:sz w:val="21"/>
          <w:szCs w:val="21"/>
          <w:highlight w:val="none"/>
        </w:rPr>
        <w:t>方案</w:t>
      </w:r>
      <w:bookmarkStart w:id="163" w:name="_Toc26598"/>
    </w:p>
    <w:p w14:paraId="1EEE0A0C">
      <w:pPr>
        <w:adjustRightInd w:val="0"/>
        <w:snapToGrid w:val="0"/>
        <w:spacing w:line="288" w:lineRule="auto"/>
        <w:jc w:val="left"/>
        <w:outlineLvl w:val="1"/>
        <w:rPr>
          <w:b/>
          <w:color w:val="auto"/>
          <w:spacing w:val="-6"/>
          <w:sz w:val="21"/>
          <w:szCs w:val="21"/>
          <w:highlight w:val="none"/>
        </w:rPr>
      </w:pPr>
      <w:r>
        <w:rPr>
          <w:rFonts w:hint="eastAsia"/>
          <w:b/>
          <w:bCs/>
          <w:color w:val="auto"/>
          <w:sz w:val="21"/>
          <w:szCs w:val="21"/>
          <w:highlight w:val="none"/>
          <w:lang w:val="en-US" w:eastAsia="zh-CN"/>
        </w:rPr>
        <w:t>七</w:t>
      </w:r>
      <w:r>
        <w:rPr>
          <w:rFonts w:hint="eastAsia"/>
          <w:b/>
          <w:bCs/>
          <w:color w:val="auto"/>
          <w:sz w:val="21"/>
          <w:szCs w:val="21"/>
          <w:highlight w:val="none"/>
        </w:rPr>
        <w:t>、供应商需要说明的其他文件和材料（如有）</w:t>
      </w:r>
      <w:bookmarkEnd w:id="163"/>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4" w:name="_Toc10331"/>
      <w:r>
        <w:rPr>
          <w:rFonts w:hint="eastAsia"/>
          <w:b/>
          <w:color w:val="auto"/>
          <w:spacing w:val="-6"/>
          <w:kern w:val="0"/>
          <w:sz w:val="21"/>
          <w:szCs w:val="21"/>
          <w:highlight w:val="none"/>
        </w:rPr>
        <w:t>九、其他</w:t>
      </w:r>
    </w:p>
    <w:p w14:paraId="63431D1C">
      <w:pPr>
        <w:suppressAutoHyphens/>
        <w:spacing w:line="288" w:lineRule="auto"/>
        <w:jc w:val="center"/>
        <w:rPr>
          <w:color w:val="auto"/>
          <w:kern w:val="0"/>
          <w:sz w:val="21"/>
          <w:szCs w:val="21"/>
          <w:highlight w:val="none"/>
        </w:rPr>
      </w:pPr>
      <w:bookmarkStart w:id="165" w:name="_Toc13074"/>
      <w:bookmarkStart w:id="166" w:name="_Toc17717"/>
      <w:bookmarkStart w:id="167" w:name="_Toc20808"/>
      <w:bookmarkStart w:id="168" w:name="_Toc28412"/>
      <w:bookmarkStart w:id="169" w:name="_Toc24380"/>
      <w:bookmarkStart w:id="170" w:name="_Toc27245"/>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5"/>
      <w:bookmarkEnd w:id="166"/>
      <w:bookmarkEnd w:id="167"/>
      <w:bookmarkEnd w:id="168"/>
      <w:bookmarkEnd w:id="169"/>
      <w:bookmarkEnd w:id="170"/>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2025-2026年外文纸质图书采购</w:t>
      </w:r>
      <w:r>
        <w:rPr>
          <w:rFonts w:hint="eastAsia"/>
          <w:color w:val="auto"/>
          <w:sz w:val="21"/>
          <w:szCs w:val="21"/>
          <w:highlight w:val="none"/>
        </w:rPr>
        <w:t>项目（编号：</w:t>
      </w:r>
      <w:r>
        <w:rPr>
          <w:rFonts w:hint="eastAsia"/>
          <w:color w:val="auto"/>
          <w:sz w:val="21"/>
          <w:szCs w:val="21"/>
          <w:highlight w:val="none"/>
          <w:lang w:eastAsia="zh-CN"/>
        </w:rPr>
        <w:t>QSZB-Z(H)-B25211(CS)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1" w:name="_Toc23840"/>
      <w:bookmarkStart w:id="172" w:name="_Toc3552"/>
      <w:bookmarkStart w:id="173" w:name="_Toc3126"/>
      <w:r>
        <w:rPr>
          <w:rFonts w:hint="eastAsia"/>
          <w:color w:val="auto"/>
          <w:sz w:val="21"/>
          <w:szCs w:val="21"/>
          <w:highlight w:val="none"/>
        </w:rPr>
        <w:t>I.其他利害关系情况。</w:t>
      </w:r>
      <w:bookmarkEnd w:id="171"/>
      <w:bookmarkEnd w:id="172"/>
      <w:bookmarkEnd w:id="173"/>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cols w:space="720" w:num="1"/>
          <w:titlePg/>
          <w:docGrid w:linePitch="312" w:charSpace="0"/>
        </w:sectPr>
      </w:pPr>
    </w:p>
    <w:p w14:paraId="58E49753">
      <w:pPr>
        <w:adjustRightInd w:val="0"/>
        <w:snapToGrid w:val="0"/>
        <w:spacing w:line="288" w:lineRule="auto"/>
        <w:outlineLvl w:val="1"/>
        <w:rPr>
          <w:b/>
          <w:color w:val="auto"/>
          <w:spacing w:val="-6"/>
          <w:sz w:val="21"/>
          <w:szCs w:val="21"/>
          <w:highlight w:val="none"/>
        </w:rPr>
      </w:pPr>
      <w:bookmarkStart w:id="174" w:name="_Toc12983"/>
      <w:bookmarkStart w:id="175" w:name="_Toc22480"/>
      <w:bookmarkStart w:id="176" w:name="_Toc14668"/>
      <w:r>
        <w:rPr>
          <w:rFonts w:hint="eastAsia"/>
          <w:b/>
          <w:color w:val="auto"/>
          <w:spacing w:val="-6"/>
          <w:sz w:val="21"/>
          <w:szCs w:val="21"/>
          <w:highlight w:val="none"/>
        </w:rPr>
        <w:t>十、附件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4"/>
      <w:bookmarkEnd w:id="174"/>
      <w:bookmarkEnd w:id="175"/>
      <w:bookmarkEnd w:id="176"/>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7" w:name="_Toc24386"/>
      <w:bookmarkStart w:id="178" w:name="_Toc23516"/>
      <w:bookmarkStart w:id="179" w:name="_Toc23208"/>
      <w:bookmarkStart w:id="180" w:name="_Toc24422"/>
      <w:r>
        <w:rPr>
          <w:rFonts w:hint="eastAsia"/>
          <w:b/>
          <w:color w:val="auto"/>
          <w:kern w:val="0"/>
          <w:sz w:val="21"/>
          <w:szCs w:val="21"/>
          <w:highlight w:val="none"/>
          <w:lang w:val="zh-CN"/>
        </w:rPr>
        <w:t>附件2：联合协议</w:t>
      </w:r>
      <w:bookmarkEnd w:id="177"/>
      <w:bookmarkEnd w:id="178"/>
      <w:bookmarkEnd w:id="179"/>
      <w:bookmarkEnd w:id="180"/>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提供的全部货物由小微企业制造，其合同份额占到合同总金额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1" w:name="_Toc23454"/>
      <w:bookmarkStart w:id="182" w:name="_Toc30452"/>
      <w:bookmarkStart w:id="183" w:name="_Toc8476"/>
      <w:bookmarkStart w:id="184" w:name="_Toc5675"/>
      <w:r>
        <w:rPr>
          <w:rFonts w:hint="eastAsia"/>
          <w:b/>
          <w:color w:val="auto"/>
          <w:kern w:val="0"/>
          <w:sz w:val="21"/>
          <w:szCs w:val="21"/>
          <w:highlight w:val="none"/>
        </w:rPr>
        <w:t>附件3：分包意向协议</w:t>
      </w:r>
      <w:bookmarkEnd w:id="181"/>
      <w:bookmarkEnd w:id="182"/>
      <w:bookmarkEnd w:id="183"/>
      <w:bookmarkEnd w:id="184"/>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（分包供应商名称）提供的货物全部由小微企业制造，</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5" w:name="_Toc23373"/>
      <w:bookmarkStart w:id="186" w:name="_Toc27489"/>
      <w:bookmarkStart w:id="187" w:name="_Toc12504"/>
      <w:r>
        <w:rPr>
          <w:rFonts w:hint="eastAsia"/>
          <w:color w:val="auto"/>
          <w:highlight w:val="none"/>
        </w:rPr>
        <w:t>二、质疑函范本及制作说明</w:t>
      </w:r>
      <w:bookmarkEnd w:id="185"/>
      <w:bookmarkEnd w:id="186"/>
      <w:bookmarkEnd w:id="187"/>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8" w:name="_Toc7397"/>
      <w:bookmarkStart w:id="189" w:name="_Toc10678"/>
      <w:bookmarkStart w:id="190" w:name="_Toc25656"/>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8"/>
      <w:bookmarkEnd w:id="189"/>
      <w:bookmarkEnd w:id="190"/>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7C0F41F-3484-46E2-906A-45E630B173F0}"/>
  </w:font>
  <w:font w:name="Arial">
    <w:panose1 w:val="020B0604020202020204"/>
    <w:charset w:val="01"/>
    <w:family w:val="swiss"/>
    <w:pitch w:val="default"/>
    <w:sig w:usb0="E0002EFF" w:usb1="C000785B" w:usb2="00000009" w:usb3="00000000" w:csb0="400001FF" w:csb1="FFFF0000"/>
    <w:embedRegular r:id="rId2" w:fontKey="{42993916-8CDE-4C32-A303-BFB6F6DEDD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3" w:fontKey="{2ADFBA62-C32F-4D55-85F7-9883E3799F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embedRegular r:id="rId4" w:fontKey="{FC2ED802-2150-4F98-A7B9-06D2EAA9B832}"/>
  </w:font>
  <w:font w:name="仿宋_GB2312">
    <w:panose1 w:val="02010609030101010101"/>
    <w:charset w:val="86"/>
    <w:family w:val="modern"/>
    <w:pitch w:val="default"/>
    <w:sig w:usb0="00000001" w:usb1="080E0000" w:usb2="00000000" w:usb3="00000000" w:csb0="00040000" w:csb1="00000000"/>
    <w:embedRegular r:id="rId5" w:fontKey="{46A6D0CA-4FCF-4023-A433-9EE22F75BE3A}"/>
  </w:font>
  <w:font w:name="Wingdings 2">
    <w:panose1 w:val="05020102010507070707"/>
    <w:charset w:val="02"/>
    <w:family w:val="roman"/>
    <w:pitch w:val="default"/>
    <w:sig w:usb0="00000000" w:usb1="00000000" w:usb2="00000000" w:usb3="00000000" w:csb0="80000000" w:csb1="00000000"/>
    <w:embedRegular r:id="rId6" w:fontKey="{17284420-B0EB-41D8-887A-4F634C01E1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5"/>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5"/>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5"/>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7"/>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7"/>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66BD"/>
    <w:rsid w:val="018C0E18"/>
    <w:rsid w:val="0199700D"/>
    <w:rsid w:val="01C9286B"/>
    <w:rsid w:val="01D408F4"/>
    <w:rsid w:val="02350109"/>
    <w:rsid w:val="02480D0E"/>
    <w:rsid w:val="024E4980"/>
    <w:rsid w:val="02503267"/>
    <w:rsid w:val="02515B60"/>
    <w:rsid w:val="025778F0"/>
    <w:rsid w:val="02933F19"/>
    <w:rsid w:val="02AE3211"/>
    <w:rsid w:val="02DD75DD"/>
    <w:rsid w:val="035655C6"/>
    <w:rsid w:val="037324D4"/>
    <w:rsid w:val="037B50A2"/>
    <w:rsid w:val="038D5330"/>
    <w:rsid w:val="03DF70E9"/>
    <w:rsid w:val="03E00C4C"/>
    <w:rsid w:val="04047316"/>
    <w:rsid w:val="04107868"/>
    <w:rsid w:val="041A2636"/>
    <w:rsid w:val="042639C4"/>
    <w:rsid w:val="050378E0"/>
    <w:rsid w:val="05186D7A"/>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621094"/>
    <w:rsid w:val="0A6D18E6"/>
    <w:rsid w:val="0A84444E"/>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61359F"/>
    <w:rsid w:val="0F627B1B"/>
    <w:rsid w:val="0F84079F"/>
    <w:rsid w:val="0FB87AA7"/>
    <w:rsid w:val="0FC77938"/>
    <w:rsid w:val="0FD53060"/>
    <w:rsid w:val="0FE412F8"/>
    <w:rsid w:val="10210889"/>
    <w:rsid w:val="10356A35"/>
    <w:rsid w:val="10364729"/>
    <w:rsid w:val="103C2486"/>
    <w:rsid w:val="105900A8"/>
    <w:rsid w:val="106120BF"/>
    <w:rsid w:val="10765998"/>
    <w:rsid w:val="109E3910"/>
    <w:rsid w:val="10AC3582"/>
    <w:rsid w:val="10B206A8"/>
    <w:rsid w:val="10D1632A"/>
    <w:rsid w:val="11070506"/>
    <w:rsid w:val="11275087"/>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F36D3"/>
    <w:rsid w:val="131F199E"/>
    <w:rsid w:val="13247991"/>
    <w:rsid w:val="13295189"/>
    <w:rsid w:val="13515A7F"/>
    <w:rsid w:val="135B3AAF"/>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5000184"/>
    <w:rsid w:val="150C105C"/>
    <w:rsid w:val="15335CBD"/>
    <w:rsid w:val="154B5D0D"/>
    <w:rsid w:val="155E366F"/>
    <w:rsid w:val="15624DC3"/>
    <w:rsid w:val="15671077"/>
    <w:rsid w:val="15756EE5"/>
    <w:rsid w:val="157A2AB5"/>
    <w:rsid w:val="15957336"/>
    <w:rsid w:val="15AC74D8"/>
    <w:rsid w:val="15BE38D2"/>
    <w:rsid w:val="162008E1"/>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84096"/>
    <w:rsid w:val="1A2D7A9D"/>
    <w:rsid w:val="1A477CEF"/>
    <w:rsid w:val="1AA66BE4"/>
    <w:rsid w:val="1AB23249"/>
    <w:rsid w:val="1AC828CA"/>
    <w:rsid w:val="1AE20BCB"/>
    <w:rsid w:val="1AE2213E"/>
    <w:rsid w:val="1AEF153B"/>
    <w:rsid w:val="1AF00FC1"/>
    <w:rsid w:val="1AF4305C"/>
    <w:rsid w:val="1B1768EA"/>
    <w:rsid w:val="1B62591C"/>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4151ED"/>
    <w:rsid w:val="1F695568"/>
    <w:rsid w:val="1F6E1866"/>
    <w:rsid w:val="1F97701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873C64"/>
    <w:rsid w:val="21A34113"/>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2B40F9"/>
    <w:rsid w:val="26424AF4"/>
    <w:rsid w:val="26547AE8"/>
    <w:rsid w:val="26775500"/>
    <w:rsid w:val="269A2C67"/>
    <w:rsid w:val="26AB3636"/>
    <w:rsid w:val="26E20255"/>
    <w:rsid w:val="26E525E4"/>
    <w:rsid w:val="26E60A65"/>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D947EB"/>
    <w:rsid w:val="29E15790"/>
    <w:rsid w:val="29E250EE"/>
    <w:rsid w:val="29E570C1"/>
    <w:rsid w:val="2A2E0E20"/>
    <w:rsid w:val="2A3A52DB"/>
    <w:rsid w:val="2A3A704E"/>
    <w:rsid w:val="2A452B3D"/>
    <w:rsid w:val="2A4F7491"/>
    <w:rsid w:val="2A5F5870"/>
    <w:rsid w:val="2A687F7F"/>
    <w:rsid w:val="2A6E4BCA"/>
    <w:rsid w:val="2A7654F9"/>
    <w:rsid w:val="2A7B2580"/>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DC7E42"/>
    <w:rsid w:val="2CF652E7"/>
    <w:rsid w:val="2D1153A4"/>
    <w:rsid w:val="2D614DC2"/>
    <w:rsid w:val="2D837739"/>
    <w:rsid w:val="2D860AD6"/>
    <w:rsid w:val="2DA22BE2"/>
    <w:rsid w:val="2DE5633D"/>
    <w:rsid w:val="2DF36AC5"/>
    <w:rsid w:val="2DF43473"/>
    <w:rsid w:val="2E2758AF"/>
    <w:rsid w:val="2E3A18BB"/>
    <w:rsid w:val="2E3C752E"/>
    <w:rsid w:val="2E3F744B"/>
    <w:rsid w:val="2E744255"/>
    <w:rsid w:val="2E7942E2"/>
    <w:rsid w:val="2EB7131C"/>
    <w:rsid w:val="2ECB17AD"/>
    <w:rsid w:val="2ECB4055"/>
    <w:rsid w:val="2EF81307"/>
    <w:rsid w:val="2F0F13BF"/>
    <w:rsid w:val="2F0F2FF0"/>
    <w:rsid w:val="2F0F3ED9"/>
    <w:rsid w:val="2F3F4FA6"/>
    <w:rsid w:val="2F5D35AA"/>
    <w:rsid w:val="2F713FC3"/>
    <w:rsid w:val="2F726968"/>
    <w:rsid w:val="2FA007D0"/>
    <w:rsid w:val="2FBA4216"/>
    <w:rsid w:val="2FD12F51"/>
    <w:rsid w:val="30116C8D"/>
    <w:rsid w:val="302B091D"/>
    <w:rsid w:val="302F07D9"/>
    <w:rsid w:val="30376BB9"/>
    <w:rsid w:val="30606780"/>
    <w:rsid w:val="30735E1C"/>
    <w:rsid w:val="307A41C9"/>
    <w:rsid w:val="307A6BF4"/>
    <w:rsid w:val="3098002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387DC7"/>
    <w:rsid w:val="3B5932CD"/>
    <w:rsid w:val="3B94546D"/>
    <w:rsid w:val="3B9868BA"/>
    <w:rsid w:val="3BB63E9D"/>
    <w:rsid w:val="3BC01FF5"/>
    <w:rsid w:val="3BC30B8A"/>
    <w:rsid w:val="3BDB3237"/>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4EF8"/>
    <w:rsid w:val="3E12397F"/>
    <w:rsid w:val="3E1D6A2E"/>
    <w:rsid w:val="3E1F0EB2"/>
    <w:rsid w:val="3E2E3C7F"/>
    <w:rsid w:val="3E3006DD"/>
    <w:rsid w:val="3E3A43A6"/>
    <w:rsid w:val="3E6C0A8A"/>
    <w:rsid w:val="3E7145EF"/>
    <w:rsid w:val="3E766141"/>
    <w:rsid w:val="3E843852"/>
    <w:rsid w:val="3E9632B8"/>
    <w:rsid w:val="3E9F68B5"/>
    <w:rsid w:val="3EB346E9"/>
    <w:rsid w:val="3EBD6A2B"/>
    <w:rsid w:val="3ECE4E0A"/>
    <w:rsid w:val="3EDE7DBE"/>
    <w:rsid w:val="3EE04095"/>
    <w:rsid w:val="3F03729D"/>
    <w:rsid w:val="3F183797"/>
    <w:rsid w:val="3F491508"/>
    <w:rsid w:val="3F5D7FCB"/>
    <w:rsid w:val="3F5E6491"/>
    <w:rsid w:val="3F9900FB"/>
    <w:rsid w:val="3F9B2115"/>
    <w:rsid w:val="3F9F67D4"/>
    <w:rsid w:val="3FCD053B"/>
    <w:rsid w:val="3FEA6AA5"/>
    <w:rsid w:val="402C4DAE"/>
    <w:rsid w:val="40522DD7"/>
    <w:rsid w:val="40641372"/>
    <w:rsid w:val="408E221F"/>
    <w:rsid w:val="4094290E"/>
    <w:rsid w:val="40BC267D"/>
    <w:rsid w:val="410715B3"/>
    <w:rsid w:val="41124712"/>
    <w:rsid w:val="41144707"/>
    <w:rsid w:val="41224FB8"/>
    <w:rsid w:val="414954A9"/>
    <w:rsid w:val="414D2866"/>
    <w:rsid w:val="414E2321"/>
    <w:rsid w:val="41580206"/>
    <w:rsid w:val="417F7AFD"/>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63056C"/>
    <w:rsid w:val="446D5132"/>
    <w:rsid w:val="44711592"/>
    <w:rsid w:val="448955E3"/>
    <w:rsid w:val="44AA53F4"/>
    <w:rsid w:val="44B86C03"/>
    <w:rsid w:val="44DB13AA"/>
    <w:rsid w:val="453647EA"/>
    <w:rsid w:val="455333C3"/>
    <w:rsid w:val="45540B2A"/>
    <w:rsid w:val="456E52B6"/>
    <w:rsid w:val="45A560D2"/>
    <w:rsid w:val="45C304E1"/>
    <w:rsid w:val="46084EAB"/>
    <w:rsid w:val="46092EE9"/>
    <w:rsid w:val="462C484E"/>
    <w:rsid w:val="462D32F3"/>
    <w:rsid w:val="463E2755"/>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A50B47"/>
    <w:rsid w:val="4AA61B68"/>
    <w:rsid w:val="4ADA36F1"/>
    <w:rsid w:val="4ADD16A7"/>
    <w:rsid w:val="4AE1743A"/>
    <w:rsid w:val="4AF06DC5"/>
    <w:rsid w:val="4AF117E4"/>
    <w:rsid w:val="4AF62C56"/>
    <w:rsid w:val="4B0A5C21"/>
    <w:rsid w:val="4B0A6344"/>
    <w:rsid w:val="4B1A6ED1"/>
    <w:rsid w:val="4B1C60E9"/>
    <w:rsid w:val="4B1F3121"/>
    <w:rsid w:val="4BBA2B01"/>
    <w:rsid w:val="4BC74E6E"/>
    <w:rsid w:val="4BCF10E0"/>
    <w:rsid w:val="4BDB67A7"/>
    <w:rsid w:val="4BE13A23"/>
    <w:rsid w:val="4BE4402F"/>
    <w:rsid w:val="4BF800DC"/>
    <w:rsid w:val="4BF85AA5"/>
    <w:rsid w:val="4C052700"/>
    <w:rsid w:val="4C590C5D"/>
    <w:rsid w:val="4C5D1D5A"/>
    <w:rsid w:val="4CAC181F"/>
    <w:rsid w:val="4CB97E79"/>
    <w:rsid w:val="4D3F1D0A"/>
    <w:rsid w:val="4D4B3976"/>
    <w:rsid w:val="4D4E7696"/>
    <w:rsid w:val="4D562539"/>
    <w:rsid w:val="4D644AE4"/>
    <w:rsid w:val="4D6B732C"/>
    <w:rsid w:val="4D895D66"/>
    <w:rsid w:val="4D9B2A2A"/>
    <w:rsid w:val="4DA16E27"/>
    <w:rsid w:val="4DBE7DFA"/>
    <w:rsid w:val="4DCC7E54"/>
    <w:rsid w:val="4DF5551C"/>
    <w:rsid w:val="4E125F5E"/>
    <w:rsid w:val="4E194AE1"/>
    <w:rsid w:val="4E262F7C"/>
    <w:rsid w:val="4E4023B2"/>
    <w:rsid w:val="4E5E5A05"/>
    <w:rsid w:val="4E7A13E6"/>
    <w:rsid w:val="4E805443"/>
    <w:rsid w:val="4E835A83"/>
    <w:rsid w:val="4E87023A"/>
    <w:rsid w:val="4E937B48"/>
    <w:rsid w:val="4E9B5FEF"/>
    <w:rsid w:val="4EA05D76"/>
    <w:rsid w:val="4EC93248"/>
    <w:rsid w:val="4ECB500C"/>
    <w:rsid w:val="4EDF069F"/>
    <w:rsid w:val="4EF26FBB"/>
    <w:rsid w:val="4EFE5BE2"/>
    <w:rsid w:val="4EFE6728"/>
    <w:rsid w:val="4F05236E"/>
    <w:rsid w:val="4F0B787A"/>
    <w:rsid w:val="4F1203F1"/>
    <w:rsid w:val="4F187DE9"/>
    <w:rsid w:val="4F210F21"/>
    <w:rsid w:val="4F3718E3"/>
    <w:rsid w:val="4F7B269C"/>
    <w:rsid w:val="4F8B0585"/>
    <w:rsid w:val="4FDA0DAB"/>
    <w:rsid w:val="4FEC3BFA"/>
    <w:rsid w:val="4FF053B2"/>
    <w:rsid w:val="500009BE"/>
    <w:rsid w:val="50377F99"/>
    <w:rsid w:val="503B0720"/>
    <w:rsid w:val="507239EE"/>
    <w:rsid w:val="50824944"/>
    <w:rsid w:val="5088341F"/>
    <w:rsid w:val="50AD2A54"/>
    <w:rsid w:val="50BA7E57"/>
    <w:rsid w:val="50D31B0B"/>
    <w:rsid w:val="50D81BF7"/>
    <w:rsid w:val="50E9335E"/>
    <w:rsid w:val="51013988"/>
    <w:rsid w:val="51190415"/>
    <w:rsid w:val="513738A4"/>
    <w:rsid w:val="513E2846"/>
    <w:rsid w:val="5154538B"/>
    <w:rsid w:val="51792C49"/>
    <w:rsid w:val="518E2826"/>
    <w:rsid w:val="518F3505"/>
    <w:rsid w:val="519C4558"/>
    <w:rsid w:val="519C7C5B"/>
    <w:rsid w:val="519D7D7A"/>
    <w:rsid w:val="51D42DB3"/>
    <w:rsid w:val="51D67140"/>
    <w:rsid w:val="51E95069"/>
    <w:rsid w:val="51F577C4"/>
    <w:rsid w:val="51F73AE5"/>
    <w:rsid w:val="51F85346"/>
    <w:rsid w:val="52264409"/>
    <w:rsid w:val="52815EB4"/>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A6E7C"/>
    <w:rsid w:val="552D710B"/>
    <w:rsid w:val="555A26FD"/>
    <w:rsid w:val="556A04AF"/>
    <w:rsid w:val="557766E3"/>
    <w:rsid w:val="557B0739"/>
    <w:rsid w:val="558E66C9"/>
    <w:rsid w:val="55A5332F"/>
    <w:rsid w:val="55CC5ACC"/>
    <w:rsid w:val="55E36449"/>
    <w:rsid w:val="55EF73AC"/>
    <w:rsid w:val="55F05BDD"/>
    <w:rsid w:val="56226A5D"/>
    <w:rsid w:val="5630006B"/>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DC3049"/>
    <w:rsid w:val="5DE3352B"/>
    <w:rsid w:val="5E2118F1"/>
    <w:rsid w:val="5E2454A6"/>
    <w:rsid w:val="5E424FF2"/>
    <w:rsid w:val="5E463BD8"/>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87484E"/>
    <w:rsid w:val="648864C8"/>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59611C"/>
    <w:rsid w:val="666D4B17"/>
    <w:rsid w:val="667C4235"/>
    <w:rsid w:val="667D1AD5"/>
    <w:rsid w:val="66973754"/>
    <w:rsid w:val="66C24048"/>
    <w:rsid w:val="66F71842"/>
    <w:rsid w:val="67205059"/>
    <w:rsid w:val="672370FC"/>
    <w:rsid w:val="674F1686"/>
    <w:rsid w:val="675871CF"/>
    <w:rsid w:val="675E63A8"/>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2206A"/>
    <w:rsid w:val="68FA2B7B"/>
    <w:rsid w:val="68FA3F01"/>
    <w:rsid w:val="693442D1"/>
    <w:rsid w:val="695A7DFF"/>
    <w:rsid w:val="69AF407E"/>
    <w:rsid w:val="69DD3507"/>
    <w:rsid w:val="69E74048"/>
    <w:rsid w:val="69F134E0"/>
    <w:rsid w:val="6A010AF2"/>
    <w:rsid w:val="6A2B5C7C"/>
    <w:rsid w:val="6A311016"/>
    <w:rsid w:val="6A705A68"/>
    <w:rsid w:val="6A9F40EF"/>
    <w:rsid w:val="6AB662D5"/>
    <w:rsid w:val="6AC5705C"/>
    <w:rsid w:val="6AC87B09"/>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B94757"/>
    <w:rsid w:val="70CF457E"/>
    <w:rsid w:val="70EB10A9"/>
    <w:rsid w:val="711C0A07"/>
    <w:rsid w:val="713153F6"/>
    <w:rsid w:val="71493E4B"/>
    <w:rsid w:val="71714708"/>
    <w:rsid w:val="71B9722D"/>
    <w:rsid w:val="72243AEB"/>
    <w:rsid w:val="722A7E86"/>
    <w:rsid w:val="723356D8"/>
    <w:rsid w:val="723B1117"/>
    <w:rsid w:val="724F76A0"/>
    <w:rsid w:val="726208DF"/>
    <w:rsid w:val="727B04D4"/>
    <w:rsid w:val="727B4099"/>
    <w:rsid w:val="727F4596"/>
    <w:rsid w:val="72A94047"/>
    <w:rsid w:val="72DE3FCB"/>
    <w:rsid w:val="7301059D"/>
    <w:rsid w:val="730B3575"/>
    <w:rsid w:val="734071D4"/>
    <w:rsid w:val="735E369C"/>
    <w:rsid w:val="73734FD6"/>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D780C"/>
    <w:rsid w:val="79F345E9"/>
    <w:rsid w:val="79F56A7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C070032"/>
    <w:rsid w:val="7C10135A"/>
    <w:rsid w:val="7C750E75"/>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E474C5"/>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5">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6">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7">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next w:val="1"/>
    <w:link w:val="34"/>
    <w:qFormat/>
    <w:uiPriority w:val="0"/>
    <w:pPr>
      <w:spacing w:line="200" w:lineRule="atLeast"/>
      <w:ind w:firstLine="301"/>
    </w:pPr>
    <w:rPr>
      <w:rFonts w:hAnsi="Courier New" w:cs="Times New Roman"/>
      <w:spacing w:val="-4"/>
      <w:sz w:val="18"/>
      <w:szCs w:val="20"/>
    </w:rPr>
  </w:style>
  <w:style w:type="paragraph" w:styleId="8">
    <w:name w:val="Normal Indent"/>
    <w:basedOn w:val="1"/>
    <w:next w:val="3"/>
    <w:autoRedefine/>
    <w:unhideWhenUsed/>
    <w:qFormat/>
    <w:uiPriority w:val="0"/>
    <w:pPr>
      <w:ind w:firstLine="420" w:firstLineChars="200"/>
    </w:pPr>
    <w:rPr>
      <w:rFonts w:ascii="Times New Roman" w:hAnsi="Times New Roman" w:cs="Times New Roman"/>
      <w:sz w:val="21"/>
      <w:szCs w:val="21"/>
    </w:rPr>
  </w:style>
  <w:style w:type="paragraph" w:styleId="9">
    <w:name w:val="annotation text"/>
    <w:basedOn w:val="1"/>
    <w:link w:val="35"/>
    <w:autoRedefine/>
    <w:unhideWhenUsed/>
    <w:qFormat/>
    <w:uiPriority w:val="99"/>
    <w:pPr>
      <w:jc w:val="left"/>
    </w:pPr>
    <w:rPr>
      <w:rFonts w:ascii="Times New Roman" w:hAnsi="Times New Roman" w:cs="Times New Roman"/>
      <w:sz w:val="28"/>
    </w:rPr>
  </w:style>
  <w:style w:type="paragraph" w:styleId="10">
    <w:name w:val="Body Text 3"/>
    <w:basedOn w:val="1"/>
    <w:autoRedefine/>
    <w:qFormat/>
    <w:uiPriority w:val="99"/>
    <w:pPr>
      <w:spacing w:line="440" w:lineRule="atLeast"/>
      <w:jc w:val="center"/>
    </w:pPr>
    <w:rPr>
      <w:rFonts w:ascii="楷体_GB2312" w:eastAsia="楷体_GB2312"/>
      <w:b/>
      <w:color w:val="000000"/>
      <w:sz w:val="30"/>
    </w:rPr>
  </w:style>
  <w:style w:type="paragraph" w:styleId="11">
    <w:name w:val="Body Text"/>
    <w:basedOn w:val="1"/>
    <w:next w:val="1"/>
    <w:autoRedefine/>
    <w:unhideWhenUsed/>
    <w:qFormat/>
    <w:uiPriority w:val="0"/>
    <w:pPr>
      <w:spacing w:after="120"/>
    </w:pPr>
  </w:style>
  <w:style w:type="paragraph" w:styleId="12">
    <w:name w:val="toc 3"/>
    <w:basedOn w:val="1"/>
    <w:next w:val="1"/>
    <w:autoRedefine/>
    <w:unhideWhenUsed/>
    <w:qFormat/>
    <w:uiPriority w:val="0"/>
    <w:pPr>
      <w:ind w:left="840" w:leftChars="400"/>
    </w:pPr>
  </w:style>
  <w:style w:type="paragraph" w:styleId="13">
    <w:name w:val="Plain Text"/>
    <w:basedOn w:val="1"/>
    <w:next w:val="11"/>
    <w:link w:val="33"/>
    <w:autoRedefine/>
    <w:qFormat/>
    <w:uiPriority w:val="99"/>
    <w:pPr>
      <w:spacing w:beforeLines="50" w:afterLines="50" w:line="400" w:lineRule="atLeast"/>
    </w:pPr>
    <w:rPr>
      <w:rFonts w:hAnsi="Courier New" w:cs="Times New Roman"/>
    </w:rPr>
  </w:style>
  <w:style w:type="paragraph" w:styleId="14">
    <w:name w:val="Balloon Text"/>
    <w:basedOn w:val="1"/>
    <w:link w:val="36"/>
    <w:autoRedefine/>
    <w:qFormat/>
    <w:uiPriority w:val="0"/>
    <w:rPr>
      <w:rFonts w:cs="Times New Roman"/>
      <w:sz w:val="18"/>
      <w:szCs w:val="18"/>
    </w:rPr>
  </w:style>
  <w:style w:type="paragraph" w:styleId="15">
    <w:name w:val="footer"/>
    <w:basedOn w:val="1"/>
    <w:link w:val="37"/>
    <w:autoRedefine/>
    <w:qFormat/>
    <w:uiPriority w:val="99"/>
    <w:pPr>
      <w:tabs>
        <w:tab w:val="center" w:pos="4153"/>
        <w:tab w:val="right" w:pos="8306"/>
      </w:tabs>
      <w:snapToGrid w:val="0"/>
      <w:jc w:val="left"/>
    </w:pPr>
    <w:rPr>
      <w:rFonts w:cs="Times New Roman"/>
      <w:sz w:val="18"/>
    </w:rPr>
  </w:style>
  <w:style w:type="paragraph" w:styleId="16">
    <w:name w:val="envelope return"/>
    <w:basedOn w:val="1"/>
    <w:autoRedefine/>
    <w:unhideWhenUsed/>
    <w:qFormat/>
    <w:uiPriority w:val="99"/>
    <w:pPr>
      <w:snapToGrid w:val="0"/>
    </w:pPr>
    <w:rPr>
      <w:rFonts w:ascii="Cambria" w:hAnsi="Cambria" w:cs="Times New Roman"/>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0"/>
  </w:style>
  <w:style w:type="paragraph" w:styleId="19">
    <w:name w:val="toc 6"/>
    <w:basedOn w:val="1"/>
    <w:next w:val="1"/>
    <w:autoRedefine/>
    <w:unhideWhenUsed/>
    <w:qFormat/>
    <w:uiPriority w:val="39"/>
    <w:rPr>
      <w:rFonts w:ascii="Calibri" w:hAnsi="Calibri"/>
      <w:sz w:val="22"/>
      <w:szCs w:val="22"/>
    </w:rPr>
  </w:style>
  <w:style w:type="paragraph" w:styleId="20">
    <w:name w:val="toc 2"/>
    <w:basedOn w:val="1"/>
    <w:next w:val="1"/>
    <w:unhideWhenUsed/>
    <w:qFormat/>
    <w:uiPriority w:val="0"/>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kern w:val="0"/>
    </w:rPr>
  </w:style>
  <w:style w:type="paragraph" w:styleId="22">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3">
    <w:name w:val="annotation subject"/>
    <w:basedOn w:val="9"/>
    <w:next w:val="9"/>
    <w:link w:val="38"/>
    <w:autoRedefine/>
    <w:unhideWhenUsed/>
    <w:qFormat/>
    <w:uiPriority w:val="0"/>
    <w:rPr>
      <w:rFonts w:ascii="宋体" w:hAnsi="宋体"/>
      <w:b/>
      <w:bCs/>
      <w:sz w:val="24"/>
    </w:rPr>
  </w:style>
  <w:style w:type="paragraph" w:styleId="24">
    <w:name w:val="Body Text First Indent"/>
    <w:basedOn w:val="11"/>
    <w:autoRedefine/>
    <w:unhideWhenUsed/>
    <w:qFormat/>
    <w:uiPriority w:val="99"/>
    <w:pPr>
      <w:widowControl/>
      <w:ind w:firstLine="420" w:firstLineChars="100"/>
      <w:jc w:val="left"/>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3"/>
    <w:autoRedefine/>
    <w:qFormat/>
    <w:uiPriority w:val="99"/>
    <w:rPr>
      <w:rFonts w:ascii="宋体" w:hAnsi="Courier New" w:eastAsia="宋体" w:cs="Times New Roman"/>
      <w:kern w:val="2"/>
      <w:sz w:val="24"/>
      <w:szCs w:val="24"/>
    </w:rPr>
  </w:style>
  <w:style w:type="character" w:customStyle="1" w:styleId="34">
    <w:name w:val="正文文本缩进 Char"/>
    <w:link w:val="3"/>
    <w:autoRedefine/>
    <w:qFormat/>
    <w:uiPriority w:val="0"/>
    <w:rPr>
      <w:rFonts w:ascii="宋体" w:hAnsi="Courier New"/>
      <w:spacing w:val="-4"/>
      <w:kern w:val="2"/>
      <w:sz w:val="18"/>
    </w:rPr>
  </w:style>
  <w:style w:type="character" w:customStyle="1" w:styleId="35">
    <w:name w:val="批注文字 Char"/>
    <w:link w:val="9"/>
    <w:autoRedefine/>
    <w:qFormat/>
    <w:uiPriority w:val="99"/>
    <w:rPr>
      <w:kern w:val="2"/>
      <w:sz w:val="28"/>
      <w:szCs w:val="24"/>
    </w:rPr>
  </w:style>
  <w:style w:type="character" w:customStyle="1" w:styleId="36">
    <w:name w:val="批注框文本 Char"/>
    <w:link w:val="14"/>
    <w:autoRedefine/>
    <w:qFormat/>
    <w:uiPriority w:val="0"/>
    <w:rPr>
      <w:rFonts w:ascii="宋体" w:hAnsi="宋体" w:cs="宋体"/>
      <w:kern w:val="2"/>
      <w:sz w:val="18"/>
      <w:szCs w:val="18"/>
    </w:rPr>
  </w:style>
  <w:style w:type="character" w:customStyle="1" w:styleId="37">
    <w:name w:val="页脚 Char"/>
    <w:link w:val="15"/>
    <w:autoRedefine/>
    <w:qFormat/>
    <w:uiPriority w:val="99"/>
    <w:rPr>
      <w:rFonts w:ascii="宋体" w:hAnsi="宋体" w:cs="宋体"/>
      <w:kern w:val="2"/>
      <w:sz w:val="18"/>
      <w:szCs w:val="24"/>
    </w:rPr>
  </w:style>
  <w:style w:type="character" w:customStyle="1" w:styleId="38">
    <w:name w:val="批注主题 Char"/>
    <w:link w:val="23"/>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1"/>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3674</Words>
  <Characters>4199</Characters>
  <Lines>1</Lines>
  <Paragraphs>1</Paragraphs>
  <TotalTime>5</TotalTime>
  <ScaleCrop>false</ScaleCrop>
  <LinksUpToDate>false</LinksUpToDate>
  <CharactersWithSpaces>4236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2023-05-17T02:40:00Z</dcterms:created>
  <dc:creator>Administrator</dc:creator>
  <cp:lastModifiedBy>俞炳</cp:lastModifiedBy>
  <cp:lastPrinted>2022-02-28T13:42:00Z</cp:lastPrinted>
  <dcterms:modified xsi:type="dcterms:W3CDTF">2025-06-17T05:32:41Z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072F7D69FC454399B0E7C74531785033_13</vt:lpwstr>
  </property>
  <property fmtid="{D5CDD505-2E9C-101B-9397-08002B2CF9AE}" pid="4" name="KSOTemplateDocerSaveRecord">
    <vt:lpwstr>eyJoZGlkIjoiNDA1NjJhY2YzNGY0NzY5M2ZmM2Y0ZjcwMmY2ODQ2YTYiLCJ1c2VySWQiOiIxNjEzNTQ4OTc4In0=</vt:lpwstr>
  </property>
</Properties>
</file>