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ABB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31243C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423C5E2C">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浙江省市场监督管理局</w:t>
      </w:r>
    </w:p>
    <w:p w14:paraId="774B04B1">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52"/>
          <w:szCs w:val="52"/>
          <w:highlight w:val="none"/>
          <w:lang w:eastAsia="zh-CN"/>
        </w:rPr>
        <w:t>2025年度浙江省工业生产资料产品质量监督抽查抽样检验机构技术服务采购项目</w:t>
      </w:r>
    </w:p>
    <w:p w14:paraId="44B46BE0">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1E2B7CC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4A9C2368">
      <w:pPr>
        <w:widowControl/>
        <w:adjustRightInd w:val="0"/>
        <w:snapToGrid w:val="0"/>
        <w:spacing w:line="288" w:lineRule="auto"/>
        <w:ind w:right="-2"/>
        <w:jc w:val="center"/>
        <w:rPr>
          <w:rFonts w:hint="eastAsia"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17A782C5">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val="en-US" w:eastAsia="zh-CN"/>
        </w:rPr>
      </w:pPr>
    </w:p>
    <w:p w14:paraId="712A6F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rPr>
        <w:t>项目名称：</w:t>
      </w:r>
      <w:r>
        <w:rPr>
          <w:rFonts w:hint="eastAsia" w:ascii="仿宋" w:hAnsi="仿宋" w:eastAsia="仿宋" w:cs="仿宋"/>
          <w:b/>
          <w:color w:val="auto"/>
          <w:spacing w:val="-6"/>
          <w:sz w:val="28"/>
          <w:szCs w:val="28"/>
          <w:highlight w:val="none"/>
          <w:lang w:eastAsia="zh-CN"/>
        </w:rPr>
        <w:t>2025年度浙江省工业生产资料产品质量监督抽查抽样检验机构技术服务采购项目</w:t>
      </w:r>
    </w:p>
    <w:p w14:paraId="14C20FA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rPr>
        <w:t>项目编号：</w:t>
      </w:r>
      <w:r>
        <w:rPr>
          <w:rFonts w:hint="eastAsia" w:ascii="仿宋" w:hAnsi="仿宋" w:eastAsia="仿宋" w:cs="仿宋"/>
          <w:b/>
          <w:color w:val="auto"/>
          <w:spacing w:val="-6"/>
          <w:sz w:val="28"/>
          <w:szCs w:val="28"/>
          <w:highlight w:val="none"/>
          <w:lang w:eastAsia="zh-CN"/>
        </w:rPr>
        <w:t>QSZB-Z(F)-H25107(GK)</w:t>
      </w:r>
    </w:p>
    <w:p w14:paraId="01A9BD3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rPr>
        <w:t>采 购 人：</w:t>
      </w:r>
      <w:r>
        <w:rPr>
          <w:rFonts w:hint="eastAsia" w:ascii="仿宋" w:hAnsi="仿宋" w:eastAsia="仿宋" w:cs="仿宋"/>
          <w:b/>
          <w:color w:val="auto"/>
          <w:spacing w:val="-6"/>
          <w:sz w:val="28"/>
          <w:szCs w:val="28"/>
          <w:highlight w:val="none"/>
          <w:lang w:eastAsia="zh-CN"/>
        </w:rPr>
        <w:t>浙江省市场监督管理局</w:t>
      </w:r>
    </w:p>
    <w:p w14:paraId="2A76CFB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采购代理机构：浙江求是招标代理有限公司</w:t>
      </w:r>
    </w:p>
    <w:p w14:paraId="3A55A14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 w:hAnsi="仿宋" w:eastAsia="仿宋" w:cs="仿宋"/>
          <w:b/>
          <w:color w:val="auto"/>
          <w:sz w:val="32"/>
          <w:szCs w:val="32"/>
          <w:highlight w:val="none"/>
          <w:lang w:val="en-US" w:eastAsia="zh-CN"/>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r>
        <w:rPr>
          <w:rFonts w:hint="eastAsia" w:ascii="仿宋" w:hAnsi="仿宋" w:eastAsia="仿宋" w:cs="仿宋"/>
          <w:b/>
          <w:color w:val="auto"/>
          <w:spacing w:val="-6"/>
          <w:sz w:val="28"/>
          <w:szCs w:val="28"/>
          <w:highlight w:val="none"/>
        </w:rPr>
        <w:t>采购计划文号：</w:t>
      </w:r>
      <w:r>
        <w:rPr>
          <w:rFonts w:hint="eastAsia" w:ascii="仿宋" w:hAnsi="仿宋" w:eastAsia="仿宋" w:cs="仿宋"/>
          <w:b/>
          <w:color w:val="auto"/>
          <w:spacing w:val="-6"/>
          <w:sz w:val="28"/>
          <w:szCs w:val="28"/>
          <w:highlight w:val="none"/>
          <w:lang w:eastAsia="zh-CN"/>
        </w:rPr>
        <w:t>[2025]30938、30939、30940、30941、30942、30943、30944、30945、30946、30947、30948、30949号</w:t>
      </w:r>
    </w:p>
    <w:p w14:paraId="57102752">
      <w:pPr>
        <w:adjustRightInd w:val="0"/>
        <w:snapToGrid w:val="0"/>
        <w:ind w:left="0" w:leftChars="0" w:right="0" w:rightChars="0" w:firstLine="0" w:firstLineChars="0"/>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091370CA">
      <w:pPr>
        <w:adjustRightInd w:val="0"/>
        <w:snapToGrid w:val="0"/>
        <w:jc w:val="center"/>
        <w:rPr>
          <w:rFonts w:hint="eastAsia" w:ascii="仿宋" w:hAnsi="仿宋" w:eastAsia="仿宋" w:cs="仿宋"/>
          <w:b/>
          <w:color w:val="auto"/>
          <w:spacing w:val="-6"/>
          <w:sz w:val="30"/>
          <w:szCs w:val="30"/>
          <w:highlight w:val="none"/>
        </w:rPr>
      </w:pPr>
    </w:p>
    <w:p w14:paraId="1F6F713E">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3B661D9C">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2863B5E9">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47DC2F60">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77EF8B01">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2CD1564C">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0E544230">
      <w:pPr>
        <w:adjustRightInd w:val="0"/>
        <w:snapToGrid w:val="0"/>
        <w:spacing w:line="360" w:lineRule="auto"/>
        <w:ind w:left="0" w:leftChars="0" w:right="0" w:rightChars="0" w:firstLine="0" w:firstLineChars="0"/>
        <w:jc w:val="center"/>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1256A15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7C6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29EF35C6">
            <w:pPr>
              <w:adjustRightInd w:val="0"/>
              <w:snapToGrid w:val="0"/>
              <w:ind w:firstLine="422" w:firstLineChars="200"/>
              <w:rPr>
                <w:rFonts w:hint="eastAsia" w:ascii="仿宋" w:hAnsi="仿宋" w:eastAsia="仿宋" w:cs="仿宋"/>
                <w:b/>
                <w:color w:val="auto"/>
                <w:szCs w:val="21"/>
                <w:highlight w:val="none"/>
              </w:rPr>
            </w:pPr>
            <w:bookmarkStart w:id="0" w:name="_Toc35393621"/>
            <w:bookmarkStart w:id="1" w:name="_Toc28359079"/>
            <w:bookmarkStart w:id="2" w:name="_Toc35393790"/>
            <w:bookmarkStart w:id="3" w:name="_Toc28359002"/>
            <w:bookmarkStart w:id="4" w:name="_Hlk24379207"/>
            <w:r>
              <w:rPr>
                <w:rFonts w:hint="eastAsia" w:ascii="仿宋" w:hAnsi="仿宋" w:eastAsia="仿宋" w:cs="仿宋"/>
                <w:b/>
                <w:color w:val="auto"/>
                <w:szCs w:val="21"/>
                <w:highlight w:val="none"/>
              </w:rPr>
              <w:t>项目概况</w:t>
            </w:r>
          </w:p>
          <w:p w14:paraId="1C3401E4">
            <w:pPr>
              <w:adjustRightInd w:val="0"/>
              <w:snapToGrid w:val="0"/>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2025年度浙江省工业生产资料产品质量监督抽查抽样检验机构技术服务采购项目</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2025年07月14日上午09:30:00（北京时间）</w:t>
            </w:r>
            <w:r>
              <w:rPr>
                <w:rFonts w:hint="eastAsia" w:ascii="仿宋" w:hAnsi="仿宋" w:eastAsia="仿宋" w:cs="仿宋"/>
                <w:b/>
                <w:color w:val="auto"/>
                <w:szCs w:val="21"/>
                <w:highlight w:val="none"/>
              </w:rPr>
              <w:t>前递交（上传）投标文件。</w:t>
            </w:r>
          </w:p>
        </w:tc>
      </w:tr>
    </w:tbl>
    <w:p w14:paraId="1BE6076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auto"/>
          <w:szCs w:val="21"/>
          <w:highlight w:val="none"/>
        </w:rPr>
      </w:pPr>
    </w:p>
    <w:p w14:paraId="0EBED8E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3DDAB44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QSZB-Z(F)-H25107(GK)</w:t>
      </w:r>
    </w:p>
    <w:p w14:paraId="5BEB61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2025年度浙江省工业生产资料产品质量监督抽查抽样检验机构技术服务采购项目</w:t>
      </w:r>
    </w:p>
    <w:bookmarkEnd w:id="4"/>
    <w:p w14:paraId="07629F6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预算金额（元）：5930000</w:t>
      </w:r>
    </w:p>
    <w:p w14:paraId="4369380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14:paraId="22E4C34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bookmarkStart w:id="5" w:name="_Toc28359003"/>
      <w:bookmarkStart w:id="6" w:name="_Toc35393622"/>
      <w:bookmarkStart w:id="7" w:name="_Toc35393791"/>
      <w:bookmarkStart w:id="8" w:name="_Toc28359080"/>
      <w:r>
        <w:rPr>
          <w:rFonts w:hint="eastAsia" w:ascii="仿宋" w:hAnsi="仿宋" w:eastAsia="仿宋" w:cs="仿宋"/>
          <w:color w:val="auto"/>
          <w:szCs w:val="21"/>
          <w:highlight w:val="none"/>
        </w:rPr>
        <w:t>采购需求：</w:t>
      </w:r>
    </w:p>
    <w:p w14:paraId="258C9FD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7BB5C86E">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标项一</w:t>
      </w:r>
    </w:p>
    <w:p w14:paraId="27CAE38C">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标项名称：安防用品</w:t>
      </w:r>
    </w:p>
    <w:p w14:paraId="1EFBB7AE">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w:t>
      </w:r>
    </w:p>
    <w:p w14:paraId="70BF1A77">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200000</w:t>
      </w:r>
    </w:p>
    <w:p w14:paraId="3D06157D">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简要规格描述或项目基本概况介绍、用途：安全鞋</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安全帽</w:t>
      </w:r>
      <w:r>
        <w:rPr>
          <w:rFonts w:hint="eastAsia" w:ascii="仿宋" w:hAnsi="仿宋" w:eastAsia="仿宋" w:cs="仿宋"/>
          <w:szCs w:val="21"/>
          <w:highlight w:val="none"/>
          <w:lang w:eastAsia="zh-CN"/>
        </w:rPr>
        <w:t>、</w:t>
      </w:r>
      <w:r>
        <w:rPr>
          <w:rFonts w:hint="eastAsia" w:ascii="仿宋" w:hAnsi="仿宋" w:eastAsia="仿宋" w:cs="仿宋"/>
          <w:szCs w:val="21"/>
          <w:highlight w:val="none"/>
        </w:rPr>
        <w:t>人民币鉴别仪</w:t>
      </w:r>
    </w:p>
    <w:p w14:paraId="083DFDF7">
      <w:pPr>
        <w:adjustRightInd w:val="0"/>
        <w:snapToGrid w:val="0"/>
        <w:spacing w:line="288"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对应采购计划文号[2025]30938</w:t>
      </w:r>
    </w:p>
    <w:p w14:paraId="5F81B5ED">
      <w:pPr>
        <w:adjustRightInd w:val="0"/>
        <w:snapToGrid w:val="0"/>
        <w:spacing w:line="288" w:lineRule="auto"/>
        <w:ind w:firstLine="420" w:firstLineChars="200"/>
        <w:rPr>
          <w:rFonts w:hint="eastAsia" w:ascii="仿宋" w:hAnsi="仿宋" w:eastAsia="仿宋" w:cs="仿宋"/>
          <w:szCs w:val="21"/>
          <w:highlight w:val="none"/>
        </w:rPr>
      </w:pPr>
    </w:p>
    <w:p w14:paraId="10BDECE3">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标项二</w:t>
      </w:r>
    </w:p>
    <w:p w14:paraId="3B2CD414">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标项名称：光伏组件</w:t>
      </w:r>
    </w:p>
    <w:p w14:paraId="1FC9A6A7">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w:t>
      </w:r>
    </w:p>
    <w:p w14:paraId="67355A84">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150000</w:t>
      </w:r>
    </w:p>
    <w:p w14:paraId="5794DFC7">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简要规格描述或项目基本概况介绍、用途：晶体硅太阳能电池组件</w:t>
      </w:r>
    </w:p>
    <w:p w14:paraId="635425D5">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对应采购计划文号[2025]30939</w:t>
      </w:r>
    </w:p>
    <w:p w14:paraId="5BB35230">
      <w:pPr>
        <w:adjustRightInd w:val="0"/>
        <w:snapToGrid w:val="0"/>
        <w:spacing w:line="288" w:lineRule="auto"/>
        <w:ind w:firstLine="420" w:firstLineChars="200"/>
        <w:rPr>
          <w:rFonts w:hint="eastAsia" w:ascii="仿宋" w:hAnsi="仿宋" w:eastAsia="仿宋" w:cs="仿宋"/>
          <w:szCs w:val="21"/>
          <w:highlight w:val="none"/>
        </w:rPr>
      </w:pPr>
    </w:p>
    <w:p w14:paraId="72C3D21A">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标项三</w:t>
      </w:r>
    </w:p>
    <w:p w14:paraId="241E5F7B">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标项名称：电线电缆</w:t>
      </w:r>
    </w:p>
    <w:p w14:paraId="3644379E">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w:t>
      </w:r>
    </w:p>
    <w:p w14:paraId="0A71D29E">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44</w:t>
      </w:r>
      <w:r>
        <w:rPr>
          <w:rFonts w:hint="eastAsia" w:ascii="仿宋" w:hAnsi="仿宋" w:eastAsia="仿宋" w:cs="仿宋"/>
          <w:szCs w:val="21"/>
          <w:highlight w:val="none"/>
        </w:rPr>
        <w:t>0000</w:t>
      </w:r>
    </w:p>
    <w:p w14:paraId="49ACC0ED">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简要规格描述或项目基本概况介绍、用途：电力电缆</w:t>
      </w:r>
      <w:r>
        <w:rPr>
          <w:rFonts w:hint="eastAsia" w:ascii="仿宋" w:hAnsi="仿宋" w:eastAsia="仿宋" w:cs="仿宋"/>
          <w:szCs w:val="21"/>
          <w:highlight w:val="none"/>
          <w:lang w:eastAsia="zh-CN"/>
        </w:rPr>
        <w:t>、</w:t>
      </w:r>
      <w:r>
        <w:rPr>
          <w:rFonts w:hint="eastAsia" w:ascii="仿宋" w:hAnsi="仿宋" w:eastAsia="仿宋" w:cs="仿宋"/>
          <w:szCs w:val="21"/>
          <w:highlight w:val="none"/>
        </w:rPr>
        <w:t>电线电缆</w:t>
      </w:r>
    </w:p>
    <w:p w14:paraId="3EE40730">
      <w:pPr>
        <w:adjustRightInd w:val="0"/>
        <w:snapToGrid w:val="0"/>
        <w:spacing w:line="288" w:lineRule="auto"/>
        <w:ind w:firstLine="420" w:firstLineChars="200"/>
        <w:rPr>
          <w:rFonts w:hint="eastAsia" w:ascii="仿宋" w:hAnsi="仿宋" w:eastAsia="仿宋" w:cs="仿宋"/>
          <w:szCs w:val="21"/>
          <w:highlight w:val="none"/>
          <w:lang w:val="en-US"/>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对应采购计划文号[2025]30940</w:t>
      </w:r>
    </w:p>
    <w:p w14:paraId="2E498192">
      <w:pPr>
        <w:adjustRightInd w:val="0"/>
        <w:snapToGrid w:val="0"/>
        <w:spacing w:line="288" w:lineRule="auto"/>
        <w:ind w:firstLine="420" w:firstLineChars="200"/>
        <w:rPr>
          <w:rFonts w:hint="eastAsia" w:ascii="仿宋" w:hAnsi="仿宋" w:eastAsia="仿宋" w:cs="仿宋"/>
          <w:szCs w:val="21"/>
          <w:highlight w:val="none"/>
        </w:rPr>
      </w:pPr>
    </w:p>
    <w:p w14:paraId="66B048C0">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标项四</w:t>
      </w:r>
    </w:p>
    <w:p w14:paraId="4F3A6738">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标项名称：高低压产品（一）</w:t>
      </w:r>
    </w:p>
    <w:p w14:paraId="4FB160F1">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w:t>
      </w:r>
    </w:p>
    <w:p w14:paraId="03B68862">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600000</w:t>
      </w:r>
    </w:p>
    <w:p w14:paraId="176B210C">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简要规格描述或项目基本概况介绍、用途：隔离开关</w:t>
      </w:r>
      <w:r>
        <w:rPr>
          <w:rFonts w:hint="eastAsia" w:ascii="仿宋" w:hAnsi="仿宋" w:eastAsia="仿宋" w:cs="仿宋"/>
          <w:szCs w:val="21"/>
          <w:highlight w:val="none"/>
          <w:lang w:eastAsia="zh-CN"/>
        </w:rPr>
        <w:t>、</w:t>
      </w:r>
      <w:r>
        <w:rPr>
          <w:rFonts w:hint="eastAsia" w:ascii="仿宋" w:hAnsi="仿宋" w:eastAsia="仿宋" w:cs="仿宋"/>
          <w:szCs w:val="21"/>
          <w:highlight w:val="none"/>
        </w:rPr>
        <w:t>家用和类似用途剩余电流动作断路器</w:t>
      </w:r>
      <w:r>
        <w:rPr>
          <w:rFonts w:hint="eastAsia" w:ascii="仿宋" w:hAnsi="仿宋" w:eastAsia="仿宋" w:cs="仿宋"/>
          <w:szCs w:val="21"/>
          <w:highlight w:val="none"/>
          <w:lang w:eastAsia="zh-CN"/>
        </w:rPr>
        <w:t>、</w:t>
      </w:r>
      <w:r>
        <w:rPr>
          <w:rFonts w:hint="eastAsia" w:ascii="仿宋" w:hAnsi="仿宋" w:eastAsia="仿宋" w:cs="仿宋"/>
          <w:szCs w:val="21"/>
          <w:highlight w:val="none"/>
        </w:rPr>
        <w:t>塑料外壳式断路器</w:t>
      </w:r>
      <w:r>
        <w:rPr>
          <w:rFonts w:hint="eastAsia" w:ascii="仿宋" w:hAnsi="仿宋" w:eastAsia="仿宋" w:cs="仿宋"/>
          <w:szCs w:val="21"/>
          <w:highlight w:val="none"/>
          <w:lang w:eastAsia="zh-CN"/>
        </w:rPr>
        <w:t>、</w:t>
      </w:r>
      <w:r>
        <w:rPr>
          <w:rFonts w:hint="eastAsia" w:ascii="仿宋" w:hAnsi="仿宋" w:eastAsia="仿宋" w:cs="仿宋"/>
          <w:szCs w:val="21"/>
          <w:highlight w:val="none"/>
        </w:rPr>
        <w:t>万能式断路器</w:t>
      </w:r>
    </w:p>
    <w:p w14:paraId="62C0AD38">
      <w:pPr>
        <w:adjustRightInd w:val="0"/>
        <w:snapToGrid w:val="0"/>
        <w:spacing w:line="288" w:lineRule="auto"/>
        <w:ind w:firstLine="420" w:firstLineChars="200"/>
        <w:rPr>
          <w:rFonts w:hint="eastAsia" w:ascii="仿宋" w:hAnsi="仿宋" w:eastAsia="仿宋" w:cs="仿宋"/>
          <w:szCs w:val="21"/>
          <w:highlight w:val="none"/>
          <w:lang w:val="en-US"/>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对应采购计划文号[2025]30941</w:t>
      </w:r>
    </w:p>
    <w:p w14:paraId="3BC6C150">
      <w:pPr>
        <w:adjustRightInd w:val="0"/>
        <w:snapToGrid w:val="0"/>
        <w:spacing w:line="288" w:lineRule="auto"/>
        <w:ind w:firstLine="420" w:firstLineChars="200"/>
        <w:rPr>
          <w:rFonts w:hint="eastAsia" w:ascii="仿宋" w:hAnsi="仿宋" w:eastAsia="仿宋" w:cs="仿宋"/>
          <w:szCs w:val="21"/>
          <w:highlight w:val="none"/>
        </w:rPr>
      </w:pPr>
    </w:p>
    <w:p w14:paraId="5428C37E">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标项五</w:t>
      </w:r>
    </w:p>
    <w:p w14:paraId="34242D6C">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标项名称：高低压产品（二）</w:t>
      </w:r>
    </w:p>
    <w:p w14:paraId="6A08A506">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w:t>
      </w:r>
    </w:p>
    <w:p w14:paraId="07C40BB1">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600000</w:t>
      </w:r>
    </w:p>
    <w:p w14:paraId="38714E5D">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简要规格描述或项目基本概况介绍、用途：转换开关电器</w:t>
      </w:r>
      <w:r>
        <w:rPr>
          <w:rFonts w:hint="eastAsia" w:ascii="仿宋" w:hAnsi="仿宋" w:eastAsia="仿宋" w:cs="仿宋"/>
          <w:szCs w:val="21"/>
          <w:highlight w:val="none"/>
          <w:lang w:eastAsia="zh-CN"/>
        </w:rPr>
        <w:t>、</w:t>
      </w:r>
      <w:r>
        <w:rPr>
          <w:rFonts w:hint="eastAsia" w:ascii="仿宋" w:hAnsi="仿宋" w:eastAsia="仿宋" w:cs="仿宋"/>
          <w:szCs w:val="21"/>
          <w:highlight w:val="none"/>
        </w:rPr>
        <w:t>电力变压器</w:t>
      </w:r>
      <w:r>
        <w:rPr>
          <w:rFonts w:hint="eastAsia" w:ascii="仿宋" w:hAnsi="仿宋" w:eastAsia="仿宋" w:cs="仿宋"/>
          <w:szCs w:val="21"/>
          <w:highlight w:val="none"/>
          <w:lang w:eastAsia="zh-CN"/>
        </w:rPr>
        <w:t>、</w:t>
      </w:r>
      <w:r>
        <w:rPr>
          <w:rFonts w:hint="eastAsia" w:ascii="仿宋" w:hAnsi="仿宋" w:eastAsia="仿宋" w:cs="仿宋"/>
          <w:szCs w:val="21"/>
          <w:highlight w:val="none"/>
        </w:rPr>
        <w:t>光伏并网逆变器</w:t>
      </w:r>
      <w:r>
        <w:rPr>
          <w:rFonts w:hint="eastAsia" w:ascii="仿宋" w:hAnsi="仿宋" w:eastAsia="仿宋" w:cs="仿宋"/>
          <w:szCs w:val="21"/>
          <w:highlight w:val="none"/>
          <w:lang w:eastAsia="zh-CN"/>
        </w:rPr>
        <w:t>、</w:t>
      </w:r>
      <w:r>
        <w:rPr>
          <w:rFonts w:hint="eastAsia" w:ascii="仿宋" w:hAnsi="仿宋" w:eastAsia="仿宋" w:cs="仿宋"/>
          <w:szCs w:val="21"/>
          <w:highlight w:val="none"/>
        </w:rPr>
        <w:t>交流充电控制器、换电柜、充电柜</w:t>
      </w:r>
      <w:r>
        <w:rPr>
          <w:rFonts w:hint="eastAsia" w:ascii="仿宋" w:hAnsi="仿宋" w:eastAsia="仿宋" w:cs="仿宋"/>
          <w:szCs w:val="21"/>
          <w:highlight w:val="none"/>
          <w:lang w:eastAsia="zh-CN"/>
        </w:rPr>
        <w:t>、</w:t>
      </w:r>
      <w:r>
        <w:rPr>
          <w:rFonts w:hint="eastAsia" w:ascii="仿宋" w:hAnsi="仿宋" w:eastAsia="仿宋" w:cs="仿宋"/>
          <w:szCs w:val="21"/>
          <w:highlight w:val="none"/>
        </w:rPr>
        <w:t>家用及类似场所用过电流保护断路器</w:t>
      </w:r>
    </w:p>
    <w:p w14:paraId="2BED6FE9">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对应采购计划文号[2025]30942</w:t>
      </w:r>
    </w:p>
    <w:p w14:paraId="1717AE10">
      <w:pPr>
        <w:adjustRightInd w:val="0"/>
        <w:snapToGrid w:val="0"/>
        <w:spacing w:line="288" w:lineRule="auto"/>
        <w:ind w:firstLine="420" w:firstLineChars="200"/>
        <w:rPr>
          <w:rFonts w:hint="eastAsia" w:ascii="仿宋" w:hAnsi="仿宋" w:eastAsia="仿宋" w:cs="仿宋"/>
          <w:szCs w:val="21"/>
          <w:highlight w:val="none"/>
        </w:rPr>
      </w:pPr>
    </w:p>
    <w:p w14:paraId="4DB97927">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标项六</w:t>
      </w:r>
    </w:p>
    <w:p w14:paraId="3000EB00">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标项名称：电动器具（一）</w:t>
      </w:r>
    </w:p>
    <w:p w14:paraId="72A2ED4F">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w:t>
      </w:r>
    </w:p>
    <w:p w14:paraId="4FB2FAA8">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550000</w:t>
      </w:r>
    </w:p>
    <w:p w14:paraId="29CAE9C2">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简要规格描述或项目基本概况介绍、用途：电动工具</w:t>
      </w:r>
      <w:r>
        <w:rPr>
          <w:rFonts w:hint="eastAsia" w:ascii="仿宋" w:hAnsi="仿宋" w:eastAsia="仿宋" w:cs="仿宋"/>
          <w:szCs w:val="21"/>
          <w:highlight w:val="none"/>
          <w:lang w:eastAsia="zh-CN"/>
        </w:rPr>
        <w:t>、</w:t>
      </w:r>
      <w:r>
        <w:rPr>
          <w:rFonts w:hint="eastAsia" w:ascii="仿宋" w:hAnsi="仿宋" w:eastAsia="仿宋" w:cs="仿宋"/>
          <w:szCs w:val="21"/>
          <w:highlight w:val="none"/>
        </w:rPr>
        <w:t>小功率电动机</w:t>
      </w:r>
    </w:p>
    <w:p w14:paraId="211D11AD">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对应采购计划文号[2025]30943</w:t>
      </w:r>
    </w:p>
    <w:p w14:paraId="21570F12">
      <w:pPr>
        <w:adjustRightInd w:val="0"/>
        <w:snapToGrid w:val="0"/>
        <w:spacing w:line="288" w:lineRule="auto"/>
        <w:ind w:firstLine="420" w:firstLineChars="200"/>
        <w:rPr>
          <w:rFonts w:hint="eastAsia" w:ascii="仿宋" w:hAnsi="仿宋" w:eastAsia="仿宋" w:cs="仿宋"/>
          <w:szCs w:val="21"/>
          <w:highlight w:val="none"/>
        </w:rPr>
      </w:pPr>
    </w:p>
    <w:p w14:paraId="6CFEEDB9">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标项七</w:t>
      </w:r>
    </w:p>
    <w:p w14:paraId="0EBCDF7A">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标项名称：电动器具（二）</w:t>
      </w:r>
    </w:p>
    <w:p w14:paraId="79F1C3A5">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w:t>
      </w:r>
    </w:p>
    <w:p w14:paraId="20B34029">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350000</w:t>
      </w:r>
    </w:p>
    <w:p w14:paraId="6D2BDE45">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简要规格描述或项目基本概况介绍、用途：三相异步电动机</w:t>
      </w:r>
    </w:p>
    <w:p w14:paraId="702B6DEF">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对应采购计划文号[2025]30944</w:t>
      </w:r>
    </w:p>
    <w:p w14:paraId="7CABBA48">
      <w:pPr>
        <w:adjustRightInd w:val="0"/>
        <w:snapToGrid w:val="0"/>
        <w:spacing w:line="288" w:lineRule="auto"/>
        <w:ind w:firstLine="420" w:firstLineChars="200"/>
        <w:rPr>
          <w:rFonts w:hint="eastAsia" w:ascii="仿宋" w:hAnsi="仿宋" w:eastAsia="仿宋" w:cs="仿宋"/>
          <w:szCs w:val="21"/>
          <w:highlight w:val="none"/>
        </w:rPr>
      </w:pPr>
    </w:p>
    <w:p w14:paraId="201D346F">
      <w:pPr>
        <w:adjustRightInd w:val="0"/>
        <w:snapToGrid w:val="0"/>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标项</w:t>
      </w:r>
      <w:r>
        <w:rPr>
          <w:rFonts w:hint="eastAsia" w:ascii="仿宋" w:hAnsi="仿宋" w:eastAsia="仿宋" w:cs="仿宋"/>
          <w:szCs w:val="21"/>
          <w:highlight w:val="none"/>
          <w:lang w:val="en-US" w:eastAsia="zh-CN"/>
        </w:rPr>
        <w:t>八</w:t>
      </w:r>
    </w:p>
    <w:p w14:paraId="5DB88A84">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标项名称：车辆相关组件</w:t>
      </w:r>
    </w:p>
    <w:p w14:paraId="75DD0862">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w:t>
      </w:r>
    </w:p>
    <w:p w14:paraId="0F65F0A6">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700000</w:t>
      </w:r>
    </w:p>
    <w:p w14:paraId="3D45DC34">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简要规格描述或项目基本概况介绍、用途：电动汽车充电桩</w:t>
      </w:r>
      <w:r>
        <w:rPr>
          <w:rFonts w:hint="eastAsia" w:ascii="仿宋" w:hAnsi="仿宋" w:eastAsia="仿宋" w:cs="仿宋"/>
          <w:szCs w:val="21"/>
          <w:highlight w:val="none"/>
          <w:lang w:eastAsia="zh-CN"/>
        </w:rPr>
        <w:t>、</w:t>
      </w:r>
      <w:r>
        <w:rPr>
          <w:rFonts w:hint="eastAsia" w:ascii="仿宋" w:hAnsi="仿宋" w:eastAsia="仿宋" w:cs="仿宋"/>
          <w:szCs w:val="21"/>
          <w:highlight w:val="none"/>
        </w:rPr>
        <w:t>摩托车制动蹄组件和制动衬组件</w:t>
      </w:r>
      <w:r>
        <w:rPr>
          <w:rFonts w:hint="eastAsia" w:ascii="仿宋" w:hAnsi="仿宋" w:eastAsia="仿宋" w:cs="仿宋"/>
          <w:szCs w:val="21"/>
          <w:highlight w:val="none"/>
          <w:lang w:eastAsia="zh-CN"/>
        </w:rPr>
        <w:t>、</w:t>
      </w:r>
      <w:r>
        <w:rPr>
          <w:rFonts w:hint="eastAsia" w:ascii="仿宋" w:hAnsi="仿宋" w:eastAsia="仿宋" w:cs="仿宋"/>
          <w:szCs w:val="21"/>
          <w:highlight w:val="none"/>
        </w:rPr>
        <w:t>汽车用制动器衬片</w:t>
      </w:r>
      <w:r>
        <w:rPr>
          <w:rFonts w:hint="eastAsia" w:ascii="仿宋" w:hAnsi="仿宋" w:eastAsia="仿宋" w:cs="仿宋"/>
          <w:szCs w:val="21"/>
          <w:highlight w:val="none"/>
          <w:lang w:eastAsia="zh-CN"/>
        </w:rPr>
        <w:t>、</w:t>
      </w:r>
      <w:r>
        <w:rPr>
          <w:rFonts w:hint="eastAsia" w:ascii="仿宋" w:hAnsi="仿宋" w:eastAsia="仿宋" w:cs="仿宋"/>
          <w:szCs w:val="21"/>
          <w:highlight w:val="none"/>
        </w:rPr>
        <w:t>制动软管</w:t>
      </w:r>
      <w:r>
        <w:rPr>
          <w:rFonts w:hint="eastAsia" w:ascii="仿宋" w:hAnsi="仿宋" w:eastAsia="仿宋" w:cs="仿宋"/>
          <w:szCs w:val="21"/>
          <w:highlight w:val="none"/>
          <w:lang w:eastAsia="zh-CN"/>
        </w:rPr>
        <w:t>、</w:t>
      </w:r>
      <w:r>
        <w:rPr>
          <w:rFonts w:hint="eastAsia" w:ascii="仿宋" w:hAnsi="仿宋" w:eastAsia="仿宋" w:cs="仿宋"/>
          <w:szCs w:val="21"/>
          <w:highlight w:val="none"/>
        </w:rPr>
        <w:t>汽车内饰材料</w:t>
      </w:r>
      <w:r>
        <w:rPr>
          <w:rFonts w:hint="eastAsia" w:ascii="仿宋" w:hAnsi="仿宋" w:eastAsia="仿宋" w:cs="仿宋"/>
          <w:szCs w:val="21"/>
          <w:highlight w:val="none"/>
          <w:lang w:eastAsia="zh-CN"/>
        </w:rPr>
        <w:t>、</w:t>
      </w:r>
      <w:r>
        <w:rPr>
          <w:rFonts w:hint="eastAsia" w:ascii="仿宋" w:hAnsi="仿宋" w:eastAsia="仿宋" w:cs="仿宋"/>
          <w:szCs w:val="21"/>
          <w:highlight w:val="none"/>
        </w:rPr>
        <w:t>车载充电器</w:t>
      </w:r>
      <w:r>
        <w:rPr>
          <w:rFonts w:hint="eastAsia" w:ascii="仿宋" w:hAnsi="仿宋" w:eastAsia="仿宋" w:cs="仿宋"/>
          <w:szCs w:val="21"/>
          <w:highlight w:val="none"/>
          <w:lang w:eastAsia="zh-CN"/>
        </w:rPr>
        <w:t>、</w:t>
      </w:r>
      <w:r>
        <w:rPr>
          <w:rFonts w:hint="eastAsia" w:ascii="仿宋" w:hAnsi="仿宋" w:eastAsia="仿宋" w:cs="仿宋"/>
          <w:szCs w:val="21"/>
          <w:highlight w:val="none"/>
        </w:rPr>
        <w:t>行车记录仪</w:t>
      </w:r>
      <w:r>
        <w:rPr>
          <w:rFonts w:hint="eastAsia" w:ascii="仿宋" w:hAnsi="仿宋" w:eastAsia="仿宋" w:cs="仿宋"/>
          <w:szCs w:val="21"/>
          <w:highlight w:val="none"/>
          <w:lang w:eastAsia="zh-CN"/>
        </w:rPr>
        <w:t>、</w:t>
      </w:r>
      <w:r>
        <w:rPr>
          <w:rFonts w:hint="eastAsia" w:ascii="仿宋" w:hAnsi="仿宋" w:eastAsia="仿宋" w:cs="仿宋"/>
          <w:szCs w:val="21"/>
          <w:highlight w:val="none"/>
        </w:rPr>
        <w:t>汽车用锂电池</w:t>
      </w:r>
    </w:p>
    <w:p w14:paraId="4999C467">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对应采购计划文号[2025]30945</w:t>
      </w:r>
    </w:p>
    <w:p w14:paraId="6C0B7682">
      <w:pPr>
        <w:adjustRightInd w:val="0"/>
        <w:snapToGrid w:val="0"/>
        <w:spacing w:line="288" w:lineRule="auto"/>
        <w:ind w:firstLine="420" w:firstLineChars="200"/>
        <w:rPr>
          <w:rFonts w:hint="eastAsia" w:ascii="仿宋" w:hAnsi="仿宋" w:eastAsia="仿宋" w:cs="仿宋"/>
          <w:szCs w:val="21"/>
          <w:highlight w:val="none"/>
        </w:rPr>
      </w:pPr>
    </w:p>
    <w:p w14:paraId="14FFCDC6">
      <w:pPr>
        <w:adjustRightInd w:val="0"/>
        <w:snapToGrid w:val="0"/>
        <w:spacing w:line="288"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标项</w:t>
      </w:r>
      <w:r>
        <w:rPr>
          <w:rFonts w:hint="eastAsia" w:ascii="仿宋" w:hAnsi="仿宋" w:eastAsia="仿宋" w:cs="仿宋"/>
          <w:szCs w:val="21"/>
          <w:highlight w:val="none"/>
          <w:lang w:val="en-US" w:eastAsia="zh-CN"/>
        </w:rPr>
        <w:t>九</w:t>
      </w:r>
    </w:p>
    <w:p w14:paraId="4999C748">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标项名称：工业配件</w:t>
      </w:r>
    </w:p>
    <w:p w14:paraId="371E753D">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w:t>
      </w:r>
    </w:p>
    <w:p w14:paraId="55DD06DA">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500000</w:t>
      </w:r>
    </w:p>
    <w:p w14:paraId="2D3F7B52">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简要规格描述或项目基本概况介绍、用途：阀门</w:t>
      </w:r>
      <w:r>
        <w:rPr>
          <w:rFonts w:hint="eastAsia" w:ascii="仿宋" w:hAnsi="仿宋" w:eastAsia="仿宋" w:cs="仿宋"/>
          <w:szCs w:val="21"/>
          <w:highlight w:val="none"/>
          <w:lang w:eastAsia="zh-CN"/>
        </w:rPr>
        <w:t>、</w:t>
      </w:r>
      <w:r>
        <w:rPr>
          <w:rFonts w:hint="eastAsia" w:ascii="仿宋" w:hAnsi="仿宋" w:eastAsia="仿宋" w:cs="仿宋"/>
          <w:szCs w:val="21"/>
          <w:highlight w:val="none"/>
        </w:rPr>
        <w:t>齿轮</w:t>
      </w:r>
      <w:r>
        <w:rPr>
          <w:rFonts w:hint="eastAsia" w:ascii="仿宋" w:hAnsi="仿宋" w:eastAsia="仿宋" w:cs="仿宋"/>
          <w:szCs w:val="21"/>
          <w:highlight w:val="none"/>
          <w:lang w:eastAsia="zh-CN"/>
        </w:rPr>
        <w:t>、</w:t>
      </w:r>
      <w:r>
        <w:rPr>
          <w:rFonts w:hint="eastAsia" w:ascii="仿宋" w:hAnsi="仿宋" w:eastAsia="仿宋" w:cs="仿宋"/>
          <w:szCs w:val="21"/>
          <w:highlight w:val="none"/>
        </w:rPr>
        <w:t>砂轮</w:t>
      </w:r>
    </w:p>
    <w:p w14:paraId="01F8982E">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对应采购计划文号[2025]30946</w:t>
      </w:r>
    </w:p>
    <w:p w14:paraId="47496D2B">
      <w:pPr>
        <w:adjustRightInd w:val="0"/>
        <w:snapToGrid w:val="0"/>
        <w:spacing w:line="288" w:lineRule="auto"/>
        <w:ind w:firstLine="420" w:firstLineChars="200"/>
        <w:rPr>
          <w:rFonts w:hint="eastAsia" w:ascii="仿宋" w:hAnsi="仿宋" w:eastAsia="仿宋" w:cs="仿宋"/>
          <w:szCs w:val="21"/>
          <w:highlight w:val="none"/>
        </w:rPr>
      </w:pPr>
    </w:p>
    <w:p w14:paraId="1DB0B491">
      <w:pPr>
        <w:adjustRightInd w:val="0"/>
        <w:snapToGrid w:val="0"/>
        <w:spacing w:line="288"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标项</w:t>
      </w:r>
      <w:r>
        <w:rPr>
          <w:rFonts w:hint="eastAsia" w:ascii="仿宋" w:hAnsi="仿宋" w:eastAsia="仿宋" w:cs="仿宋"/>
          <w:szCs w:val="21"/>
          <w:highlight w:val="none"/>
          <w:lang w:val="en-US" w:eastAsia="zh-CN"/>
        </w:rPr>
        <w:t>十</w:t>
      </w:r>
    </w:p>
    <w:p w14:paraId="2280A000">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标项名称：成品油（一）</w:t>
      </w:r>
    </w:p>
    <w:p w14:paraId="00651E0A">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w:t>
      </w:r>
    </w:p>
    <w:p w14:paraId="4E51D3B0">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680000</w:t>
      </w:r>
    </w:p>
    <w:p w14:paraId="3E812B68">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简要规格描述或项目基本概况介绍、用途：与成品油性质相近的化工品（工业白油、工业用裂解碳九、溶剂油、有机热载体、石脑油、工业用润滑油）</w:t>
      </w:r>
      <w:r>
        <w:rPr>
          <w:rFonts w:hint="eastAsia" w:ascii="仿宋" w:hAnsi="仿宋" w:eastAsia="仿宋" w:cs="仿宋"/>
          <w:szCs w:val="21"/>
          <w:highlight w:val="none"/>
          <w:lang w:eastAsia="zh-CN"/>
        </w:rPr>
        <w:t>、</w:t>
      </w:r>
      <w:r>
        <w:rPr>
          <w:rFonts w:hint="eastAsia" w:ascii="仿宋" w:hAnsi="仿宋" w:eastAsia="仿宋" w:cs="仿宋"/>
          <w:szCs w:val="21"/>
          <w:highlight w:val="none"/>
        </w:rPr>
        <w:t>车用汽油清净剂</w:t>
      </w:r>
      <w:r>
        <w:rPr>
          <w:rFonts w:hint="eastAsia" w:ascii="仿宋" w:hAnsi="仿宋" w:eastAsia="仿宋" w:cs="仿宋"/>
          <w:szCs w:val="21"/>
          <w:highlight w:val="none"/>
          <w:lang w:eastAsia="zh-CN"/>
        </w:rPr>
        <w:t>、</w:t>
      </w:r>
      <w:r>
        <w:rPr>
          <w:rFonts w:hint="eastAsia" w:ascii="仿宋" w:hAnsi="仿宋" w:eastAsia="仿宋" w:cs="仿宋"/>
          <w:szCs w:val="21"/>
          <w:highlight w:val="none"/>
        </w:rPr>
        <w:t>燃料油（醇基燃料）</w:t>
      </w:r>
      <w:r>
        <w:rPr>
          <w:rFonts w:hint="eastAsia" w:ascii="仿宋" w:hAnsi="仿宋" w:eastAsia="仿宋" w:cs="仿宋"/>
          <w:szCs w:val="21"/>
          <w:highlight w:val="none"/>
          <w:lang w:eastAsia="zh-CN"/>
        </w:rPr>
        <w:t>、</w:t>
      </w:r>
      <w:r>
        <w:rPr>
          <w:rFonts w:hint="eastAsia" w:ascii="仿宋" w:hAnsi="仿宋" w:eastAsia="仿宋" w:cs="仿宋"/>
          <w:szCs w:val="21"/>
          <w:highlight w:val="none"/>
        </w:rPr>
        <w:t>车用柴油</w:t>
      </w:r>
    </w:p>
    <w:p w14:paraId="53BDC8C0">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对应采购计划文号[2025]30947</w:t>
      </w:r>
    </w:p>
    <w:p w14:paraId="14BF808B">
      <w:pPr>
        <w:adjustRightInd w:val="0"/>
        <w:snapToGrid w:val="0"/>
        <w:spacing w:line="288" w:lineRule="auto"/>
        <w:ind w:firstLine="420" w:firstLineChars="200"/>
        <w:rPr>
          <w:rFonts w:hint="eastAsia" w:ascii="仿宋" w:hAnsi="仿宋" w:eastAsia="仿宋" w:cs="仿宋"/>
          <w:szCs w:val="21"/>
          <w:highlight w:val="none"/>
        </w:rPr>
      </w:pPr>
    </w:p>
    <w:p w14:paraId="1F4FB6F6">
      <w:pPr>
        <w:adjustRightInd w:val="0"/>
        <w:snapToGrid w:val="0"/>
        <w:spacing w:line="288"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标项</w:t>
      </w:r>
      <w:r>
        <w:rPr>
          <w:rFonts w:hint="eastAsia" w:ascii="仿宋" w:hAnsi="仿宋" w:eastAsia="仿宋" w:cs="仿宋"/>
          <w:szCs w:val="21"/>
          <w:highlight w:val="none"/>
          <w:lang w:val="en-US" w:eastAsia="zh-CN"/>
        </w:rPr>
        <w:t>十一</w:t>
      </w:r>
    </w:p>
    <w:p w14:paraId="1CB83844">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标项名称：成品油（</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w:t>
      </w:r>
    </w:p>
    <w:p w14:paraId="11C7D230">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w:t>
      </w:r>
    </w:p>
    <w:p w14:paraId="27F8751A">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600000</w:t>
      </w:r>
    </w:p>
    <w:p w14:paraId="390B9AA4">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简要规格描述或项目基本概况介绍、用途：车用汽油</w:t>
      </w:r>
    </w:p>
    <w:p w14:paraId="3B942AFE">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对应采购计划文号[2025]30948</w:t>
      </w:r>
    </w:p>
    <w:p w14:paraId="216A8CDF">
      <w:pPr>
        <w:adjustRightInd w:val="0"/>
        <w:snapToGrid w:val="0"/>
        <w:spacing w:line="288" w:lineRule="auto"/>
        <w:ind w:firstLine="420" w:firstLineChars="200"/>
        <w:rPr>
          <w:rFonts w:hint="eastAsia" w:ascii="仿宋" w:hAnsi="仿宋" w:eastAsia="仿宋" w:cs="仿宋"/>
          <w:szCs w:val="21"/>
          <w:highlight w:val="none"/>
        </w:rPr>
      </w:pPr>
    </w:p>
    <w:p w14:paraId="357DA2C7">
      <w:pPr>
        <w:adjustRightInd w:val="0"/>
        <w:snapToGrid w:val="0"/>
        <w:spacing w:line="288"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标项</w:t>
      </w:r>
      <w:r>
        <w:rPr>
          <w:rFonts w:hint="eastAsia" w:ascii="仿宋" w:hAnsi="仿宋" w:eastAsia="仿宋" w:cs="仿宋"/>
          <w:szCs w:val="21"/>
          <w:highlight w:val="none"/>
          <w:lang w:val="en-US" w:eastAsia="zh-CN"/>
        </w:rPr>
        <w:t>十二</w:t>
      </w:r>
    </w:p>
    <w:p w14:paraId="51E955C2">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标项名称：成品油（</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rPr>
        <w:t>）</w:t>
      </w:r>
    </w:p>
    <w:p w14:paraId="3CF5A610">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w:t>
      </w:r>
    </w:p>
    <w:p w14:paraId="09803E6D">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560000</w:t>
      </w:r>
    </w:p>
    <w:p w14:paraId="5A80F195">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简要规格描述或项目基本概况介绍、用途：发动机润滑油</w:t>
      </w:r>
      <w:r>
        <w:rPr>
          <w:rFonts w:hint="eastAsia" w:ascii="仿宋" w:hAnsi="仿宋" w:eastAsia="仿宋" w:cs="仿宋"/>
          <w:szCs w:val="21"/>
          <w:highlight w:val="none"/>
          <w:lang w:eastAsia="zh-CN"/>
        </w:rPr>
        <w:t>、</w:t>
      </w:r>
      <w:r>
        <w:rPr>
          <w:rFonts w:hint="eastAsia" w:ascii="仿宋" w:hAnsi="仿宋" w:eastAsia="仿宋" w:cs="仿宋"/>
          <w:szCs w:val="21"/>
          <w:highlight w:val="none"/>
        </w:rPr>
        <w:t>车用尿素水溶液</w:t>
      </w:r>
      <w:r>
        <w:rPr>
          <w:rFonts w:hint="eastAsia" w:ascii="仿宋" w:hAnsi="仿宋" w:eastAsia="仿宋" w:cs="仿宋"/>
          <w:szCs w:val="21"/>
          <w:highlight w:val="none"/>
          <w:lang w:eastAsia="zh-CN"/>
        </w:rPr>
        <w:t>、</w:t>
      </w:r>
      <w:r>
        <w:rPr>
          <w:rFonts w:hint="eastAsia" w:ascii="仿宋" w:hAnsi="仿宋" w:eastAsia="仿宋" w:cs="仿宋"/>
          <w:szCs w:val="21"/>
          <w:highlight w:val="none"/>
        </w:rPr>
        <w:t>燃料油（船用燃料油）</w:t>
      </w:r>
      <w:r>
        <w:rPr>
          <w:rFonts w:hint="eastAsia" w:ascii="仿宋" w:hAnsi="仿宋" w:eastAsia="仿宋" w:cs="仿宋"/>
          <w:szCs w:val="21"/>
          <w:highlight w:val="none"/>
          <w:lang w:eastAsia="zh-CN"/>
        </w:rPr>
        <w:t>、</w:t>
      </w:r>
      <w:r>
        <w:rPr>
          <w:rFonts w:hint="eastAsia" w:ascii="仿宋" w:hAnsi="仿宋" w:eastAsia="仿宋" w:cs="仿宋"/>
          <w:szCs w:val="21"/>
          <w:highlight w:val="none"/>
        </w:rPr>
        <w:t>机动车辆制动液</w:t>
      </w:r>
    </w:p>
    <w:p w14:paraId="1D8FD117">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对应采购计划文号[2025]30949</w:t>
      </w:r>
    </w:p>
    <w:p w14:paraId="7AD4A40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Cs w:val="21"/>
          <w:highlight w:val="none"/>
        </w:rPr>
      </w:pPr>
    </w:p>
    <w:p w14:paraId="2D6D93E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合同履约期限：合同签订后，一年内有效</w:t>
      </w:r>
      <w:r>
        <w:rPr>
          <w:rFonts w:hint="eastAsia" w:ascii="仿宋" w:hAnsi="仿宋" w:eastAsia="仿宋" w:cs="仿宋"/>
          <w:color w:val="auto"/>
          <w:szCs w:val="21"/>
          <w:highlight w:val="none"/>
          <w:lang w:eastAsia="zh-CN"/>
        </w:rPr>
        <w:t>。</w:t>
      </w:r>
    </w:p>
    <w:p w14:paraId="7E47C38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3453CAA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5F0C87F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bookmarkStart w:id="9" w:name="_Toc28359004"/>
      <w:bookmarkStart w:id="10" w:name="_Toc28359081"/>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9D0502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val="en-US" w:eastAsia="zh-CN"/>
        </w:rPr>
        <w:t>无</w:t>
      </w:r>
    </w:p>
    <w:p w14:paraId="30521C8F">
      <w:pPr>
        <w:adjustRightInd w:val="0"/>
        <w:snapToGrid w:val="0"/>
        <w:spacing w:line="288" w:lineRule="auto"/>
        <w:ind w:firstLine="420" w:firstLineChars="200"/>
        <w:rPr>
          <w:rFonts w:hint="eastAsia" w:ascii="仿宋" w:hAnsi="仿宋" w:eastAsia="仿宋" w:cs="仿宋"/>
          <w:szCs w:val="21"/>
          <w:highlight w:val="none"/>
        </w:rPr>
      </w:pPr>
      <w:r>
        <w:rPr>
          <w:rFonts w:hint="eastAsia" w:ascii="仿宋" w:hAnsi="仿宋" w:eastAsia="仿宋" w:cs="仿宋"/>
          <w:color w:val="auto"/>
          <w:szCs w:val="21"/>
          <w:highlight w:val="none"/>
        </w:rPr>
        <w:t>3.本项目的特定资格要求：</w:t>
      </w:r>
      <w:r>
        <w:rPr>
          <w:rFonts w:hint="eastAsia" w:ascii="仿宋" w:hAnsi="仿宋" w:eastAsia="仿宋" w:cs="仿宋"/>
          <w:szCs w:val="21"/>
          <w:highlight w:val="none"/>
        </w:rPr>
        <w:t>具有国家认证认可监督管理委员会或市场监督管理部门颁发的有效期内的检验检测机构资质认定证书（CMA）</w:t>
      </w:r>
    </w:p>
    <w:p w14:paraId="7BCC307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szCs w:val="21"/>
          <w:highlight w:val="none"/>
        </w:rPr>
        <w:t>备注：公益一类事业单位不作为政府购买服务的购买主体和承接主体</w:t>
      </w:r>
    </w:p>
    <w:p w14:paraId="1594AC5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auto"/>
          <w:szCs w:val="21"/>
          <w:highlight w:val="none"/>
        </w:rPr>
      </w:pPr>
      <w:bookmarkStart w:id="11" w:name="_Toc35393792"/>
      <w:bookmarkStart w:id="12" w:name="_Toc35393623"/>
      <w:r>
        <w:rPr>
          <w:rFonts w:hint="eastAsia" w:ascii="仿宋" w:hAnsi="仿宋" w:eastAsia="仿宋" w:cs="仿宋"/>
          <w:b/>
          <w:color w:val="auto"/>
          <w:szCs w:val="21"/>
          <w:highlight w:val="none"/>
        </w:rPr>
        <w:t>三、获取招标文件</w:t>
      </w:r>
      <w:bookmarkEnd w:id="9"/>
      <w:bookmarkEnd w:id="10"/>
      <w:bookmarkEnd w:id="11"/>
      <w:bookmarkEnd w:id="12"/>
    </w:p>
    <w:p w14:paraId="5381F57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bookmarkStart w:id="13" w:name="_Toc35393793"/>
      <w:bookmarkStart w:id="14" w:name="_Toc35393624"/>
      <w:bookmarkStart w:id="15" w:name="_Toc28359082"/>
      <w:bookmarkStart w:id="16" w:name="_Toc28359005"/>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2025年</w:t>
      </w:r>
      <w:r>
        <w:rPr>
          <w:rFonts w:hint="eastAsia" w:ascii="仿宋" w:hAnsi="仿宋" w:eastAsia="仿宋" w:cs="仿宋"/>
          <w:color w:val="auto"/>
          <w:szCs w:val="21"/>
          <w:highlight w:val="none"/>
          <w:lang w:val="en-US" w:eastAsia="zh-CN"/>
        </w:rPr>
        <w:t>06</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23</w:t>
      </w:r>
      <w:r>
        <w:rPr>
          <w:rFonts w:hint="eastAsia" w:ascii="仿宋" w:hAnsi="仿宋" w:eastAsia="仿宋" w:cs="仿宋"/>
          <w:color w:val="auto"/>
          <w:szCs w:val="21"/>
          <w:highlight w:val="none"/>
          <w:lang w:eastAsia="zh-CN"/>
        </w:rPr>
        <w:t>日至2025年07月14日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1BB0506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53023BB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31E06E1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1635750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43E4AE6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2025年07月14日上午09:30:00（北京时间）</w:t>
      </w:r>
    </w:p>
    <w:p w14:paraId="4C84E1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1B5E436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2025年07月14日上午09:30:00（北京时间）</w:t>
      </w:r>
    </w:p>
    <w:p w14:paraId="299F1FC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lang w:eastAsia="zh-CN"/>
        </w:rPr>
        <w:t>楼求是招标会议室</w:t>
      </w:r>
      <w:r>
        <w:rPr>
          <w:rFonts w:hint="eastAsia" w:ascii="仿宋" w:hAnsi="仿宋" w:eastAsia="仿宋" w:cs="仿宋"/>
          <w:color w:val="auto"/>
          <w:szCs w:val="21"/>
          <w:highlight w:val="none"/>
          <w:lang w:val="en-US" w:eastAsia="zh-CN"/>
        </w:rPr>
        <w:t>4</w:t>
      </w:r>
    </w:p>
    <w:bookmarkEnd w:id="17"/>
    <w:p w14:paraId="6359AD5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auto"/>
          <w:szCs w:val="21"/>
          <w:highlight w:val="none"/>
        </w:rPr>
      </w:pPr>
      <w:bookmarkStart w:id="18" w:name="_Toc28359084"/>
      <w:bookmarkStart w:id="19" w:name="_Toc35393794"/>
      <w:bookmarkStart w:id="20" w:name="_Toc35393625"/>
      <w:bookmarkStart w:id="21" w:name="_Toc28359007"/>
      <w:r>
        <w:rPr>
          <w:rFonts w:hint="eastAsia" w:ascii="仿宋" w:hAnsi="仿宋" w:eastAsia="仿宋" w:cs="仿宋"/>
          <w:b/>
          <w:color w:val="auto"/>
          <w:szCs w:val="21"/>
          <w:highlight w:val="none"/>
        </w:rPr>
        <w:t>五、公告期限</w:t>
      </w:r>
      <w:bookmarkEnd w:id="18"/>
      <w:bookmarkEnd w:id="19"/>
      <w:bookmarkEnd w:id="20"/>
      <w:bookmarkEnd w:id="21"/>
    </w:p>
    <w:p w14:paraId="13E5F00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5A71679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14:paraId="350E992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63F49B2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9C24A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5102D31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24245D1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color w:val="auto"/>
          <w:szCs w:val="21"/>
          <w:highlight w:val="none"/>
        </w:rPr>
      </w:pPr>
      <w:bookmarkStart w:id="27" w:name="_Toc28359008"/>
      <w:bookmarkStart w:id="28" w:name="_Toc35393796"/>
      <w:bookmarkStart w:id="29" w:name="_Toc28359085"/>
      <w:bookmarkStart w:id="30" w:name="_Toc35393627"/>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716CDD5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2EED757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浙江省市场监督管理局</w:t>
      </w:r>
    </w:p>
    <w:p w14:paraId="50B438B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地址：杭州市莫干山路77号金汇大厦</w:t>
      </w:r>
    </w:p>
    <w:p w14:paraId="028E94D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1EC8CEF4">
      <w:pPr>
        <w:adjustRightInd w:val="0"/>
        <w:snapToGrid w:val="0"/>
        <w:spacing w:line="288" w:lineRule="auto"/>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t>项目联系人：赵老师</w:t>
      </w:r>
    </w:p>
    <w:p w14:paraId="337ADF42">
      <w:pPr>
        <w:adjustRightInd w:val="0"/>
        <w:snapToGrid w:val="0"/>
        <w:spacing w:line="288" w:lineRule="auto"/>
        <w:ind w:firstLine="630" w:firstLineChars="300"/>
        <w:rPr>
          <w:rFonts w:hint="eastAsia" w:ascii="仿宋" w:hAnsi="仿宋" w:eastAsia="仿宋" w:cs="仿宋"/>
          <w:szCs w:val="21"/>
          <w:highlight w:val="none"/>
          <w:lang w:eastAsia="zh-CN"/>
        </w:rPr>
      </w:pPr>
      <w:r>
        <w:rPr>
          <w:rFonts w:hint="eastAsia" w:ascii="仿宋" w:hAnsi="仿宋" w:eastAsia="仿宋" w:cs="仿宋"/>
          <w:szCs w:val="21"/>
          <w:highlight w:val="none"/>
        </w:rPr>
        <w:t>项目联系方式：0571-8976143</w:t>
      </w:r>
      <w:r>
        <w:rPr>
          <w:rFonts w:hint="eastAsia" w:ascii="仿宋" w:hAnsi="仿宋" w:eastAsia="仿宋" w:cs="仿宋"/>
          <w:szCs w:val="21"/>
          <w:highlight w:val="none"/>
          <w:lang w:val="en-US" w:eastAsia="zh-CN"/>
        </w:rPr>
        <w:t>1</w:t>
      </w:r>
    </w:p>
    <w:p w14:paraId="10119242">
      <w:pPr>
        <w:adjustRightInd w:val="0"/>
        <w:snapToGrid w:val="0"/>
        <w:spacing w:line="288" w:lineRule="auto"/>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t>质疑联系人：刘老师</w:t>
      </w:r>
    </w:p>
    <w:p w14:paraId="06F3B3FD">
      <w:pPr>
        <w:adjustRightInd w:val="0"/>
        <w:snapToGrid w:val="0"/>
        <w:spacing w:line="288" w:lineRule="auto"/>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t>质疑联系方式：0571-89761</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55</w:t>
      </w:r>
    </w:p>
    <w:p w14:paraId="53230A9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367130E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620455D3">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7F32507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20EFEC46">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0C86DAA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杨立凯、冯增伟</w:t>
      </w:r>
    </w:p>
    <w:p w14:paraId="20AC455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4E1200D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4F5ABFB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7BBAD106">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4AABCB9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4FA251A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3.同级政府采购监督管理部门</w:t>
      </w:r>
    </w:p>
    <w:p w14:paraId="235D01D2">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14:paraId="63B618A2">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地址：杭州市上城区清泰街549号城建综合大楼11楼（快递仅限ems或顺丰）</w:t>
      </w:r>
    </w:p>
    <w:p w14:paraId="621EADF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6564501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联系人：朱女士、王女士</w:t>
      </w:r>
    </w:p>
    <w:p w14:paraId="4CE1FABD">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监督投诉电话：0571-87227671,0571-87800218</w:t>
      </w:r>
    </w:p>
    <w:p w14:paraId="10C6BC33">
      <w:pPr>
        <w:pStyle w:val="2"/>
        <w:rPr>
          <w:rFonts w:hint="eastAsia" w:ascii="仿宋" w:hAnsi="仿宋" w:eastAsia="仿宋" w:cs="仿宋"/>
          <w:color w:val="auto"/>
          <w:highlight w:val="none"/>
        </w:rPr>
      </w:pPr>
    </w:p>
    <w:p w14:paraId="503834DE">
      <w:pPr>
        <w:adjustRightInd w:val="0"/>
        <w:snapToGrid w:val="0"/>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1CA9495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14:paraId="3B1171A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19E19B6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2855933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4EE86E84">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E7C145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45BC43AA">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973"/>
        <w:gridCol w:w="5871"/>
      </w:tblGrid>
      <w:tr w14:paraId="76A8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60130BA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2973" w:type="dxa"/>
            <w:vAlign w:val="center"/>
          </w:tcPr>
          <w:p w14:paraId="0EBD022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71" w:type="dxa"/>
            <w:vAlign w:val="center"/>
          </w:tcPr>
          <w:p w14:paraId="7645F0A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2DAA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389559F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973" w:type="dxa"/>
            <w:vAlign w:val="center"/>
          </w:tcPr>
          <w:p w14:paraId="3CF703F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71" w:type="dxa"/>
            <w:vAlign w:val="center"/>
          </w:tcPr>
          <w:p w14:paraId="0B9AE895">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不适用</w:t>
            </w:r>
          </w:p>
        </w:tc>
      </w:tr>
      <w:tr w14:paraId="35E0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3364E9B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973" w:type="dxa"/>
            <w:vAlign w:val="center"/>
          </w:tcPr>
          <w:p w14:paraId="4E26B88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71" w:type="dxa"/>
            <w:vAlign w:val="center"/>
          </w:tcPr>
          <w:p w14:paraId="2181F465">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5F90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4E61167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973" w:type="dxa"/>
            <w:vAlign w:val="center"/>
          </w:tcPr>
          <w:p w14:paraId="2AFE6EC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71" w:type="dxa"/>
            <w:vAlign w:val="center"/>
          </w:tcPr>
          <w:p w14:paraId="57F26941">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40A9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783709E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973" w:type="dxa"/>
            <w:vAlign w:val="center"/>
          </w:tcPr>
          <w:p w14:paraId="6916EAC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政府采购支持创新发展</w:t>
            </w:r>
          </w:p>
        </w:tc>
        <w:tc>
          <w:tcPr>
            <w:tcW w:w="5871" w:type="dxa"/>
            <w:vAlign w:val="center"/>
          </w:tcPr>
          <w:p w14:paraId="59D6B3CD">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14:paraId="6695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0AA9E09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973" w:type="dxa"/>
            <w:vAlign w:val="center"/>
          </w:tcPr>
          <w:p w14:paraId="7DB0692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71" w:type="dxa"/>
            <w:vAlign w:val="center"/>
          </w:tcPr>
          <w:p w14:paraId="47E7535E">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p>
          <w:p w14:paraId="329D8E42">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属性：服务</w:t>
            </w:r>
          </w:p>
          <w:p w14:paraId="01546D40">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采购标的对应的中小企业划分标准所属行业</w:t>
            </w:r>
            <w:r>
              <w:rPr>
                <w:rFonts w:hint="eastAsia" w:ascii="仿宋" w:hAnsi="仿宋" w:eastAsia="仿宋" w:cs="仿宋"/>
                <w:b w:val="0"/>
                <w:bCs w:val="0"/>
                <w:color w:val="auto"/>
                <w:szCs w:val="21"/>
                <w:highlight w:val="none"/>
                <w:lang w:eastAsia="zh-CN"/>
              </w:rPr>
              <w:t>：</w:t>
            </w:r>
            <w:r>
              <w:rPr>
                <w:rFonts w:hint="eastAsia" w:ascii="仿宋" w:hAnsi="仿宋" w:eastAsia="仿宋" w:cs="仿宋"/>
                <w:b/>
                <w:bCs/>
                <w:color w:val="auto"/>
                <w:szCs w:val="21"/>
                <w:highlight w:val="none"/>
              </w:rPr>
              <w:t>其他未列明行业</w:t>
            </w:r>
          </w:p>
          <w:p w14:paraId="09F464EC">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b w:val="0"/>
                <w:bCs w:val="0"/>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0F42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53EBD9E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2973" w:type="dxa"/>
            <w:vAlign w:val="center"/>
          </w:tcPr>
          <w:p w14:paraId="30D30E2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71" w:type="dxa"/>
            <w:vAlign w:val="center"/>
          </w:tcPr>
          <w:p w14:paraId="0E74A80B">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256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9" w:type="dxa"/>
            <w:vAlign w:val="center"/>
          </w:tcPr>
          <w:p w14:paraId="11C826C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2973" w:type="dxa"/>
            <w:vAlign w:val="center"/>
          </w:tcPr>
          <w:p w14:paraId="2F8A85B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71" w:type="dxa"/>
            <w:vAlign w:val="center"/>
          </w:tcPr>
          <w:p w14:paraId="7B10CC47">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216386EC">
      <w:pPr>
        <w:adjustRightInd w:val="0"/>
        <w:snapToGrid w:val="0"/>
        <w:spacing w:line="288" w:lineRule="auto"/>
        <w:rPr>
          <w:rFonts w:hint="eastAsia" w:ascii="仿宋" w:hAnsi="仿宋" w:eastAsia="仿宋" w:cs="仿宋"/>
          <w:b/>
          <w:color w:val="auto"/>
          <w:spacing w:val="-4"/>
          <w:szCs w:val="21"/>
          <w:highlight w:val="none"/>
        </w:rPr>
      </w:pPr>
    </w:p>
    <w:p w14:paraId="0ED444D2">
      <w:pPr>
        <w:adjustRightInd w:val="0"/>
        <w:snapToGrid w:val="0"/>
        <w:spacing w:line="288" w:lineRule="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7"/>
        <w:gridCol w:w="7701"/>
      </w:tblGrid>
      <w:tr w14:paraId="56257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9" w:hRule="atLeast"/>
          <w:jc w:val="center"/>
        </w:trPr>
        <w:tc>
          <w:tcPr>
            <w:tcW w:w="1927" w:type="dxa"/>
            <w:tcBorders>
              <w:top w:val="single" w:color="auto" w:sz="4" w:space="0"/>
              <w:left w:val="single" w:color="auto" w:sz="4" w:space="0"/>
              <w:bottom w:val="single" w:color="auto" w:sz="4" w:space="0"/>
              <w:right w:val="single" w:color="auto" w:sz="4" w:space="0"/>
            </w:tcBorders>
            <w:vAlign w:val="center"/>
          </w:tcPr>
          <w:p w14:paraId="52E4D85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701" w:type="dxa"/>
            <w:tcBorders>
              <w:top w:val="single" w:color="auto" w:sz="4" w:space="0"/>
              <w:left w:val="single" w:color="auto" w:sz="4" w:space="0"/>
              <w:bottom w:val="single" w:color="auto" w:sz="4" w:space="0"/>
              <w:right w:val="single" w:color="auto" w:sz="4" w:space="0"/>
            </w:tcBorders>
            <w:vAlign w:val="center"/>
          </w:tcPr>
          <w:p w14:paraId="3F4E48C8">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50213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27" w:type="dxa"/>
            <w:tcBorders>
              <w:top w:val="single" w:color="auto" w:sz="4" w:space="0"/>
              <w:left w:val="single" w:color="auto" w:sz="4" w:space="0"/>
              <w:bottom w:val="single" w:color="auto" w:sz="4" w:space="0"/>
              <w:right w:val="single" w:color="auto" w:sz="4" w:space="0"/>
            </w:tcBorders>
            <w:vAlign w:val="center"/>
          </w:tcPr>
          <w:p w14:paraId="70B3E498">
            <w:pPr>
              <w:jc w:val="center"/>
              <w:rPr>
                <w:rFonts w:hint="eastAsia" w:ascii="仿宋" w:hAnsi="仿宋" w:eastAsia="仿宋" w:cs="仿宋"/>
                <w:b/>
                <w:bCs/>
                <w:color w:val="auto"/>
                <w:szCs w:val="21"/>
                <w:highlight w:val="none"/>
              </w:rPr>
            </w:pPr>
            <w:r>
              <w:rPr>
                <w:rFonts w:hint="eastAsia" w:ascii="仿宋" w:hAnsi="仿宋" w:eastAsia="仿宋" w:cs="仿宋"/>
                <w:b/>
                <w:bCs/>
                <w:szCs w:val="21"/>
                <w:highlight w:val="none"/>
              </w:rPr>
              <w:t>支付时间及条件</w:t>
            </w:r>
          </w:p>
        </w:tc>
        <w:tc>
          <w:tcPr>
            <w:tcW w:w="7701" w:type="dxa"/>
            <w:tcBorders>
              <w:top w:val="single" w:color="auto" w:sz="4" w:space="0"/>
              <w:left w:val="single" w:color="auto" w:sz="4" w:space="0"/>
              <w:bottom w:val="single" w:color="auto" w:sz="4" w:space="0"/>
              <w:right w:val="single" w:color="auto" w:sz="4" w:space="0"/>
            </w:tcBorders>
            <w:vAlign w:val="center"/>
          </w:tcPr>
          <w:p w14:paraId="1D2FEBB9">
            <w:pPr>
              <w:rPr>
                <w:rFonts w:hint="eastAsia" w:ascii="仿宋" w:hAnsi="仿宋" w:eastAsia="仿宋" w:cs="仿宋"/>
                <w:highlight w:val="none"/>
              </w:rPr>
            </w:pPr>
            <w:r>
              <w:rPr>
                <w:rFonts w:hint="eastAsia" w:ascii="仿宋" w:hAnsi="仿宋" w:eastAsia="仿宋" w:cs="仿宋"/>
                <w:highlight w:val="none"/>
              </w:rPr>
              <w:t>分三期付款：</w:t>
            </w:r>
          </w:p>
          <w:p w14:paraId="731C4B53">
            <w:pPr>
              <w:rPr>
                <w:rFonts w:hint="eastAsia" w:ascii="仿宋" w:hAnsi="仿宋" w:eastAsia="仿宋" w:cs="仿宋"/>
                <w:highlight w:val="none"/>
              </w:rPr>
            </w:pPr>
            <w:r>
              <w:rPr>
                <w:rFonts w:hint="eastAsia" w:ascii="仿宋" w:hAnsi="仿宋" w:eastAsia="仿宋" w:cs="仿宋"/>
                <w:highlight w:val="none"/>
              </w:rPr>
              <w:t>1.第一期支付：合同签订后且收到中标人开具的符合要求的票据之日起七个工作日内，由采购人支付标项预算金额的60%作为预付款。</w:t>
            </w:r>
          </w:p>
          <w:p w14:paraId="483D6052">
            <w:pPr>
              <w:rPr>
                <w:rFonts w:hint="eastAsia" w:ascii="仿宋" w:hAnsi="仿宋" w:eastAsia="仿宋" w:cs="仿宋"/>
                <w:highlight w:val="none"/>
              </w:rPr>
            </w:pPr>
            <w:r>
              <w:rPr>
                <w:rFonts w:hint="eastAsia" w:ascii="仿宋" w:hAnsi="仿宋" w:eastAsia="仿宋" w:cs="仿宋"/>
                <w:highlight w:val="none"/>
              </w:rPr>
              <w:t>2.第二期支付：中标人完成抽样环节的工作时，采购人按预测算的抽检服务经费总额（中标单价×抽样批次数）的30%向中标人支付服务费用。如预测算的抽检服务经费总额在计算后已出现第三期拨付款金额小于零的情况，则不再进行第二期支付，待中标人完成项目验收后与中标人进行尾款结算，支付剩余经费。</w:t>
            </w:r>
          </w:p>
          <w:p w14:paraId="4A7A20DD">
            <w:pPr>
              <w:rPr>
                <w:rFonts w:hint="eastAsia" w:ascii="仿宋" w:hAnsi="仿宋" w:eastAsia="仿宋" w:cs="仿宋"/>
                <w:highlight w:val="none"/>
              </w:rPr>
            </w:pPr>
            <w:r>
              <w:rPr>
                <w:rFonts w:hint="eastAsia" w:ascii="仿宋" w:hAnsi="仿宋" w:eastAsia="仿宋" w:cs="仿宋"/>
                <w:highlight w:val="none"/>
              </w:rPr>
              <w:t>3.第三期支付：项目评审验收通过后，采购人向中标人支付合同的全部尾款，尾款金额=实际应支付的抽检服务经费总额（中标单价×实际抽检批次数）-第一期已付款金额-第二期已付款金额。采购人收到中标人出具符合要求的拨付材料后付清合同的剩余款项。如果计算得出的尾款金额小于零，中标人应当退还采购人预付的相应费用。尾款支付后，如有未完成事项，中标人应按招标文件或本合同约定执行。</w:t>
            </w:r>
          </w:p>
          <w:p w14:paraId="201E2D24">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注:</w:t>
            </w:r>
          </w:p>
          <w:p w14:paraId="576B2CB9">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1.甲方付款前，乙方应开具符合要求的发票，否则甲方有权拒绝付款，且不视为甲方违约；</w:t>
            </w:r>
          </w:p>
          <w:p w14:paraId="314449E8">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2.本项目的每笔款项均以人民币方式支付，支付所需材料按抽样、检验任务布置会要求准备。</w:t>
            </w:r>
          </w:p>
          <w:p w14:paraId="3A2C4676">
            <w:pPr>
              <w:rPr>
                <w:rFonts w:hint="eastAsia" w:ascii="仿宋" w:hAnsi="仿宋" w:eastAsia="仿宋" w:cs="仿宋"/>
                <w:color w:val="auto"/>
                <w:highlight w:val="none"/>
                <w:lang w:val="en-US"/>
              </w:rPr>
            </w:pPr>
            <w:r>
              <w:rPr>
                <w:rFonts w:hint="eastAsia" w:ascii="仿宋" w:hAnsi="仿宋" w:eastAsia="仿宋" w:cs="仿宋"/>
                <w:b/>
                <w:bCs/>
                <w:sz w:val="18"/>
                <w:szCs w:val="18"/>
                <w:highlight w:val="none"/>
              </w:rPr>
              <w:t>3.合同中有联合体等多家单位合作完成的情况，采购人支付款项均支付给联合体牵头单位，相应发票亦由联合体牵头单位开具给采购人。</w:t>
            </w:r>
          </w:p>
        </w:tc>
      </w:tr>
      <w:tr w14:paraId="0A9F7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927" w:type="dxa"/>
            <w:tcBorders>
              <w:top w:val="single" w:color="auto" w:sz="4" w:space="0"/>
              <w:left w:val="single" w:color="auto" w:sz="4" w:space="0"/>
              <w:bottom w:val="single" w:color="auto" w:sz="4" w:space="0"/>
              <w:right w:val="single" w:color="auto" w:sz="4" w:space="0"/>
            </w:tcBorders>
            <w:vAlign w:val="center"/>
          </w:tcPr>
          <w:p w14:paraId="7919FE64">
            <w:pPr>
              <w:jc w:val="center"/>
              <w:rPr>
                <w:rFonts w:hint="eastAsia" w:ascii="仿宋" w:hAnsi="仿宋" w:eastAsia="仿宋" w:cs="仿宋"/>
                <w:b/>
                <w:bCs/>
                <w:color w:val="auto"/>
                <w:szCs w:val="21"/>
                <w:highlight w:val="none"/>
              </w:rPr>
            </w:pPr>
            <w:r>
              <w:rPr>
                <w:rFonts w:hint="eastAsia" w:ascii="仿宋" w:hAnsi="仿宋" w:eastAsia="仿宋" w:cs="仿宋"/>
                <w:b/>
                <w:bCs/>
                <w:szCs w:val="21"/>
                <w:highlight w:val="none"/>
              </w:rPr>
              <w:t>履约保证金</w:t>
            </w:r>
          </w:p>
        </w:tc>
        <w:tc>
          <w:tcPr>
            <w:tcW w:w="7701" w:type="dxa"/>
            <w:tcBorders>
              <w:top w:val="single" w:color="auto" w:sz="4" w:space="0"/>
              <w:left w:val="single" w:color="auto" w:sz="4" w:space="0"/>
              <w:bottom w:val="single" w:color="auto" w:sz="4" w:space="0"/>
              <w:right w:val="single" w:color="auto" w:sz="4" w:space="0"/>
            </w:tcBorders>
            <w:vAlign w:val="center"/>
          </w:tcPr>
          <w:p w14:paraId="3AF35524">
            <w:pPr>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szCs w:val="21"/>
                <w:highlight w:val="none"/>
              </w:rPr>
              <w:t>无</w:t>
            </w:r>
          </w:p>
        </w:tc>
      </w:tr>
    </w:tbl>
    <w:p w14:paraId="01A62EAC">
      <w:pPr>
        <w:adjustRightInd w:val="0"/>
        <w:snapToGrid w:val="0"/>
        <w:spacing w:line="288" w:lineRule="auto"/>
        <w:rPr>
          <w:rFonts w:hint="eastAsia" w:ascii="仿宋" w:hAnsi="仿宋" w:eastAsia="仿宋" w:cs="仿宋"/>
          <w:color w:val="auto"/>
          <w:spacing w:val="-4"/>
          <w:szCs w:val="21"/>
          <w:highlight w:val="none"/>
        </w:rPr>
      </w:pPr>
    </w:p>
    <w:p w14:paraId="305E6B7B">
      <w:pPr>
        <w:adjustRightInd w:val="0"/>
        <w:snapToGrid w:val="0"/>
        <w:spacing w:line="288" w:lineRule="auto"/>
        <w:outlineLvl w:val="1"/>
        <w:rPr>
          <w:rFonts w:hint="eastAsia" w:ascii="仿宋" w:hAnsi="仿宋" w:eastAsia="仿宋" w:cs="仿宋"/>
          <w:b/>
          <w:szCs w:val="21"/>
          <w:highlight w:val="none"/>
        </w:rPr>
      </w:pPr>
      <w:r>
        <w:rPr>
          <w:rFonts w:hint="eastAsia" w:ascii="仿宋" w:hAnsi="仿宋" w:eastAsia="仿宋" w:cs="仿宋"/>
          <w:b/>
          <w:szCs w:val="21"/>
          <w:highlight w:val="none"/>
        </w:rPr>
        <w:t>三、服务要求</w:t>
      </w:r>
    </w:p>
    <w:p w14:paraId="0E5BCF14">
      <w:pPr>
        <w:spacing w:line="288" w:lineRule="auto"/>
        <w:ind w:firstLine="422" w:firstLineChars="200"/>
        <w:rPr>
          <w:rFonts w:hint="eastAsia" w:ascii="仿宋" w:hAnsi="仿宋" w:eastAsia="仿宋" w:cs="仿宋"/>
          <w:szCs w:val="21"/>
          <w:highlight w:val="none"/>
        </w:rPr>
      </w:pPr>
      <w:r>
        <w:rPr>
          <w:rFonts w:hint="eastAsia" w:ascii="仿宋" w:hAnsi="仿宋" w:eastAsia="仿宋" w:cs="仿宋"/>
          <w:b/>
          <w:bCs/>
          <w:szCs w:val="21"/>
          <w:highlight w:val="none"/>
        </w:rPr>
        <w:t>1.需实现的功能或者目标：</w:t>
      </w:r>
      <w:r>
        <w:rPr>
          <w:rFonts w:hint="eastAsia" w:ascii="仿宋" w:hAnsi="仿宋" w:eastAsia="仿宋" w:cs="仿宋"/>
          <w:szCs w:val="21"/>
          <w:highlight w:val="none"/>
        </w:rPr>
        <w:t>完成</w:t>
      </w:r>
      <w:r>
        <w:rPr>
          <w:rFonts w:hint="eastAsia" w:ascii="仿宋" w:hAnsi="仿宋" w:eastAsia="仿宋" w:cs="仿宋"/>
          <w:szCs w:val="21"/>
          <w:highlight w:val="none"/>
          <w:lang w:val="en-US" w:eastAsia="zh-CN"/>
        </w:rPr>
        <w:t>浙江省市场监督管理局</w:t>
      </w:r>
      <w:r>
        <w:rPr>
          <w:rFonts w:hint="eastAsia" w:ascii="仿宋" w:hAnsi="仿宋" w:eastAsia="仿宋" w:cs="仿宋"/>
          <w:color w:val="auto"/>
          <w:szCs w:val="21"/>
          <w:highlight w:val="none"/>
          <w:lang w:eastAsia="zh-CN"/>
        </w:rPr>
        <w:t>2025年度浙江省工业生产资料产品质量监督抽查抽样检验机构技术服务采购项目</w:t>
      </w:r>
      <w:r>
        <w:rPr>
          <w:rFonts w:hint="eastAsia" w:ascii="仿宋" w:hAnsi="仿宋" w:eastAsia="仿宋" w:cs="仿宋"/>
          <w:szCs w:val="21"/>
          <w:highlight w:val="none"/>
        </w:rPr>
        <w:t>；</w:t>
      </w:r>
    </w:p>
    <w:p w14:paraId="04CDED21">
      <w:pPr>
        <w:pStyle w:val="4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2.需满足的服务要求</w:t>
      </w:r>
    </w:p>
    <w:p w14:paraId="76EEF57E">
      <w:pPr>
        <w:spacing w:line="288"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2.1 总体要求</w:t>
      </w:r>
    </w:p>
    <w:p w14:paraId="2BF3F937">
      <w:pPr>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（1）管理能力：投标人具备完善的管理制度，至少涵盖人员工作规范、抽样、检验工作的具体要求，样品管理、处置工作的具体要求以及异议处理、复检及结果上报工作的具体要求；</w:t>
      </w:r>
    </w:p>
    <w:p w14:paraId="29FF9B88">
      <w:pPr>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检验能力：投标人提供的投标技术服务方案应具备全部覆盖所投产品检验项目的检验能力，且检验能力稳定可靠。对于不具有检测能力的产品，本项目允许投标人在中标后对该产品的检测工作进行分包。但投标人应在投标文件技术方案中提供详细的分包方案，包括但不限于：拟实施分包的范围、作为分包人的检测机构具有相应检测能力的证明材料等。投标人应确保分包人在中标后能够以投标人承诺的质量标准实施项目，并对分包人的服务质量负有全部责任。未在投标文件中明确的分包方案，在中标后不得实施。分包人不得转包、二次分包。如发现中标人以转包、分包或挂靠的方式谋取中标，采购人有权对其解除合同、并要求赔偿相关损失。分包最多分包2家，在分包方案中具有2家以上分包人的投标无效。</w:t>
      </w:r>
    </w:p>
    <w:p w14:paraId="2349B0C4">
      <w:pPr>
        <w:spacing w:line="288"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2.</w:t>
      </w:r>
      <w:r>
        <w:rPr>
          <w:rFonts w:hint="eastAsia" w:ascii="仿宋" w:hAnsi="仿宋" w:eastAsia="仿宋" w:cs="仿宋"/>
          <w:b/>
          <w:bCs/>
          <w:szCs w:val="21"/>
          <w:highlight w:val="none"/>
          <w:lang w:val="en-US" w:eastAsia="zh-CN"/>
        </w:rPr>
        <w:t>2</w:t>
      </w:r>
      <w:r>
        <w:rPr>
          <w:rFonts w:hint="eastAsia" w:ascii="仿宋" w:hAnsi="仿宋" w:eastAsia="仿宋" w:cs="仿宋"/>
          <w:b/>
          <w:bCs/>
          <w:szCs w:val="21"/>
          <w:highlight w:val="none"/>
        </w:rPr>
        <w:t xml:space="preserve"> 任务内容及要求</w:t>
      </w:r>
    </w:p>
    <w:p w14:paraId="6CBD180C">
      <w:pPr>
        <w:spacing w:line="288" w:lineRule="auto"/>
        <w:ind w:firstLine="420" w:firstLineChars="200"/>
        <w:rPr>
          <w:rFonts w:hint="eastAsia" w:ascii="仿宋" w:hAnsi="仿宋" w:eastAsia="仿宋" w:cs="仿宋"/>
          <w:b/>
          <w:bCs/>
          <w:sz w:val="18"/>
          <w:szCs w:val="18"/>
          <w:highlight w:val="none"/>
          <w:lang w:eastAsia="zh-CN"/>
        </w:rPr>
      </w:pPr>
      <w:r>
        <w:rPr>
          <w:rFonts w:hint="eastAsia" w:ascii="仿宋" w:hAnsi="仿宋" w:eastAsia="仿宋" w:cs="仿宋"/>
          <w:szCs w:val="21"/>
          <w:highlight w:val="none"/>
        </w:rPr>
        <w:t>（1）本次采购需求目录所列产品为</w:t>
      </w:r>
      <w:r>
        <w:rPr>
          <w:rFonts w:hint="eastAsia" w:ascii="仿宋" w:hAnsi="仿宋" w:eastAsia="仿宋" w:cs="仿宋"/>
          <w:szCs w:val="21"/>
          <w:highlight w:val="none"/>
          <w:lang w:val="en-US" w:eastAsia="zh-CN"/>
        </w:rPr>
        <w:t>浙江省市场监督管理局</w:t>
      </w:r>
      <w:r>
        <w:rPr>
          <w:rFonts w:hint="eastAsia" w:ascii="仿宋" w:hAnsi="仿宋" w:eastAsia="仿宋" w:cs="仿宋"/>
          <w:color w:val="auto"/>
          <w:szCs w:val="21"/>
          <w:highlight w:val="none"/>
          <w:lang w:eastAsia="zh-CN"/>
        </w:rPr>
        <w:t>2025年度浙江省工业生产资料产品质量监督抽查抽样检验机构技术服务采购项目</w:t>
      </w:r>
      <w:r>
        <w:rPr>
          <w:rFonts w:hint="eastAsia" w:ascii="仿宋" w:hAnsi="仿宋" w:eastAsia="仿宋" w:cs="仿宋"/>
          <w:szCs w:val="21"/>
          <w:highlight w:val="none"/>
        </w:rPr>
        <w:t>，抽查产品详见下文采购需求一览表，检验项目及依据见招标公告附件</w:t>
      </w:r>
      <w:r>
        <w:rPr>
          <w:rFonts w:hint="eastAsia" w:ascii="仿宋" w:hAnsi="仿宋" w:eastAsia="仿宋" w:cs="仿宋"/>
          <w:szCs w:val="21"/>
          <w:highlight w:val="none"/>
          <w:lang w:eastAsia="zh-CN"/>
        </w:rPr>
        <w:t>；</w:t>
      </w:r>
    </w:p>
    <w:p w14:paraId="502931DB">
      <w:pPr>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（2）采购人与中标人就项目签订技术服务合同（见第五章 拟签订的合同文本）；</w:t>
      </w:r>
    </w:p>
    <w:p w14:paraId="162A3AB9">
      <w:pPr>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（3）投标人对本项目相关产品的国内产业、行业现状、省内企业数望、产业模式有充分了解；</w:t>
      </w:r>
    </w:p>
    <w:p w14:paraId="24DAC57B">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4）各中标人应在规定的任务时间内，严格按照《中华人民共和国产品质量法》、《产品质量监督抽查管理暂行办法》、《浙江省产品质量监督抽查工作实施办法（试行）》等抽样检验工作任务布置要求开展样品抽取、文书填写、样品收寄、样品检验、数据记录、报告寄送、结果上报、样品处置等工作以及其他</w:t>
      </w:r>
      <w:r>
        <w:rPr>
          <w:rFonts w:hint="eastAsia" w:ascii="仿宋" w:hAnsi="仿宋" w:eastAsia="仿宋" w:cs="仿宋"/>
          <w:szCs w:val="21"/>
          <w:highlight w:val="none"/>
          <w:lang w:val="en-US" w:eastAsia="zh-CN"/>
        </w:rPr>
        <w:t>采购人</w:t>
      </w:r>
      <w:r>
        <w:rPr>
          <w:rFonts w:hint="eastAsia" w:ascii="仿宋" w:hAnsi="仿宋" w:eastAsia="仿宋" w:cs="仿宋"/>
          <w:szCs w:val="21"/>
          <w:highlight w:val="none"/>
        </w:rPr>
        <w:t>要求的数据采集工作</w:t>
      </w:r>
      <w:r>
        <w:rPr>
          <w:rFonts w:hint="eastAsia" w:ascii="仿宋" w:hAnsi="仿宋" w:eastAsia="仿宋" w:cs="仿宋"/>
          <w:szCs w:val="21"/>
          <w:highlight w:val="none"/>
          <w:lang w:eastAsia="zh-CN"/>
        </w:rPr>
        <w:t>；</w:t>
      </w:r>
    </w:p>
    <w:p w14:paraId="6A4DDBAD">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▲（5）中标人要按采购人要求做好样品复检相关工作</w:t>
      </w:r>
      <w:r>
        <w:rPr>
          <w:rFonts w:hint="eastAsia" w:ascii="仿宋" w:hAnsi="仿宋" w:eastAsia="仿宋" w:cs="仿宋"/>
          <w:szCs w:val="21"/>
          <w:highlight w:val="none"/>
          <w:lang w:eastAsia="zh-CN"/>
        </w:rPr>
        <w:t>；</w:t>
      </w:r>
    </w:p>
    <w:p w14:paraId="2843C5DD">
      <w:pPr>
        <w:spacing w:line="288"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▲（6）中标人应配合地方市场监管部门开展本机构检出的不合格产品生产企业整改复查的检验工作</w:t>
      </w:r>
      <w:r>
        <w:rPr>
          <w:rFonts w:hint="eastAsia" w:ascii="仿宋" w:hAnsi="仿宋" w:eastAsia="仿宋" w:cs="仿宋"/>
          <w:szCs w:val="21"/>
          <w:highlight w:val="none"/>
          <w:lang w:eastAsia="zh-CN"/>
        </w:rPr>
        <w:t>；</w:t>
      </w:r>
    </w:p>
    <w:p w14:paraId="4ECA42D3">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▲（7）依据产品所执行的相关标准、相关法律法规及国家有关规定、相关产品的浙江省级监督抽查方案和监督抽查实施细则抽取检验样品</w:t>
      </w:r>
      <w:r>
        <w:rPr>
          <w:rFonts w:hint="eastAsia" w:ascii="仿宋" w:hAnsi="仿宋" w:eastAsia="仿宋" w:cs="仿宋"/>
          <w:szCs w:val="21"/>
          <w:highlight w:val="none"/>
          <w:lang w:eastAsia="zh-CN"/>
        </w:rPr>
        <w:t>；</w:t>
      </w:r>
    </w:p>
    <w:p w14:paraId="53353F79">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8）中标人应在完成检验工作结束后按采购人要求提供抽查结果寄送汇总表、产品质量监督抽查样品处置清单、产品质量监督抽查样品处置审批表、产品质量相关的消费警示及企业帮扶指南等验收材料，并按采购人要求及时将抽样检验相关数据录入采购人指定的信息管理系统（清单、报表格式后续由采购人提供）</w:t>
      </w:r>
      <w:r>
        <w:rPr>
          <w:rFonts w:hint="eastAsia" w:ascii="仿宋" w:hAnsi="仿宋" w:eastAsia="仿宋" w:cs="仿宋"/>
          <w:szCs w:val="21"/>
          <w:highlight w:val="none"/>
          <w:lang w:eastAsia="zh-CN"/>
        </w:rPr>
        <w:t>；</w:t>
      </w:r>
    </w:p>
    <w:p w14:paraId="4B7542D2">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（9）中标人应在完成检验工作结束后按采购人要求提供产业分析报告</w:t>
      </w:r>
      <w:r>
        <w:rPr>
          <w:rFonts w:hint="eastAsia" w:ascii="仿宋" w:hAnsi="仿宋" w:eastAsia="仿宋" w:cs="仿宋"/>
          <w:szCs w:val="21"/>
          <w:highlight w:val="none"/>
          <w:lang w:eastAsia="zh-CN"/>
        </w:rPr>
        <w:t>；</w:t>
      </w:r>
    </w:p>
    <w:p w14:paraId="1ADD66A9">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（10）任务完成后，采购人将组织抽查结果及工作质量验收评审工作，验收评审通过后，采购人会按照技术合同要求对其支付相应费用</w:t>
      </w:r>
      <w:r>
        <w:rPr>
          <w:rFonts w:hint="eastAsia" w:ascii="仿宋" w:hAnsi="仿宋" w:eastAsia="仿宋" w:cs="仿宋"/>
          <w:szCs w:val="21"/>
          <w:highlight w:val="none"/>
          <w:lang w:eastAsia="zh-CN"/>
        </w:rPr>
        <w:t>；</w:t>
      </w:r>
    </w:p>
    <w:p w14:paraId="69F3F776">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（11）根据监督抽查方案、招标文件以及技术服务合同要求，中标人应在规定时间内完成抽检工作。如中标后因中标人自身原因导致抽检任务延期，一切后果由中标人承担</w:t>
      </w:r>
      <w:r>
        <w:rPr>
          <w:rFonts w:hint="eastAsia" w:ascii="仿宋" w:hAnsi="仿宋" w:eastAsia="仿宋" w:cs="仿宋"/>
          <w:szCs w:val="21"/>
          <w:highlight w:val="none"/>
          <w:lang w:eastAsia="zh-CN"/>
        </w:rPr>
        <w:t>；</w:t>
      </w:r>
    </w:p>
    <w:p w14:paraId="438920C1">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12）中标人对其抽取和检验的样品负责，抽取的样品应满足检验需求，检验结果应反映样品的真实状况，若因中标人自身原因造成样品失效、丢失或其他因素造成无法实施检验而影响检验进度的，采购人将追究其相关责任</w:t>
      </w:r>
      <w:r>
        <w:rPr>
          <w:rFonts w:hint="eastAsia" w:ascii="仿宋" w:hAnsi="仿宋" w:eastAsia="仿宋" w:cs="仿宋"/>
          <w:szCs w:val="21"/>
          <w:highlight w:val="none"/>
          <w:lang w:eastAsia="zh-CN"/>
        </w:rPr>
        <w:t>；</w:t>
      </w:r>
    </w:p>
    <w:p w14:paraId="3AFDF46E">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（13）中标人由于虚假、错误检验数据和结论而给被检验人造成损失的，或者给社会带来不良影响的，中标人应当负责赔偿，并承担相应法律责任</w:t>
      </w:r>
      <w:r>
        <w:rPr>
          <w:rFonts w:hint="eastAsia" w:ascii="仿宋" w:hAnsi="仿宋" w:eastAsia="仿宋" w:cs="仿宋"/>
          <w:szCs w:val="21"/>
          <w:highlight w:val="none"/>
          <w:lang w:eastAsia="zh-CN"/>
        </w:rPr>
        <w:t>；</w:t>
      </w:r>
    </w:p>
    <w:p w14:paraId="30245CAB">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（14）中标人及其人员应对在所承担项目中知悉的国家秘密、商业秘密和技术秘密切实做好保密工作，如（但不限于）：承担抽检工作过程中的企业样品信息、检验数据及结果等，不得对外泄露</w:t>
      </w:r>
      <w:r>
        <w:rPr>
          <w:rFonts w:hint="eastAsia" w:ascii="仿宋" w:hAnsi="仿宋" w:eastAsia="仿宋" w:cs="仿宋"/>
          <w:szCs w:val="21"/>
          <w:highlight w:val="none"/>
          <w:lang w:eastAsia="zh-CN"/>
        </w:rPr>
        <w:t>；</w:t>
      </w:r>
    </w:p>
    <w:p w14:paraId="536A479C">
      <w:pPr>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15）如中标人在人员配置、作业管理、质量控制、任务进度等各个方面不能满足招标文件的相关要求或没有实现投标文件中的相关承诺，采购人有权进行通报，并要求中标人限期整改，中标人拒不整改或整改不到位的，采购人有权单方面解除合同，对应费用采购人将不予支付。采购人视情况暂停中标人3年承担浙江省省级产品质量安全监管技术服务资格并保留追究其法律责任的权利。</w:t>
      </w:r>
    </w:p>
    <w:p w14:paraId="053D8CDC">
      <w:pPr>
        <w:spacing w:line="288" w:lineRule="auto"/>
        <w:ind w:firstLine="422" w:firstLineChars="200"/>
        <w:rPr>
          <w:rFonts w:hint="eastAsia" w:ascii="仿宋" w:hAnsi="仿宋" w:eastAsia="仿宋" w:cs="仿宋"/>
          <w:szCs w:val="21"/>
          <w:highlight w:val="none"/>
        </w:rPr>
      </w:pPr>
      <w:r>
        <w:rPr>
          <w:rFonts w:hint="eastAsia" w:ascii="仿宋" w:hAnsi="仿宋" w:eastAsia="仿宋" w:cs="仿宋"/>
          <w:b/>
          <w:bCs/>
          <w:szCs w:val="21"/>
          <w:highlight w:val="none"/>
        </w:rPr>
        <w:t>2.</w:t>
      </w:r>
      <w:r>
        <w:rPr>
          <w:rFonts w:hint="eastAsia" w:ascii="仿宋" w:hAnsi="仿宋" w:eastAsia="仿宋" w:cs="仿宋"/>
          <w:b/>
          <w:bCs/>
          <w:szCs w:val="21"/>
          <w:highlight w:val="none"/>
          <w:lang w:val="en-US" w:eastAsia="zh-CN"/>
        </w:rPr>
        <w:t>3</w:t>
      </w:r>
      <w:r>
        <w:rPr>
          <w:rFonts w:hint="eastAsia" w:ascii="仿宋" w:hAnsi="仿宋" w:eastAsia="仿宋" w:cs="仿宋"/>
          <w:b/>
          <w:bCs/>
          <w:szCs w:val="21"/>
          <w:highlight w:val="none"/>
        </w:rPr>
        <w:t xml:space="preserve"> 应急要求：</w:t>
      </w:r>
      <w:r>
        <w:rPr>
          <w:rFonts w:hint="eastAsia" w:ascii="仿宋" w:hAnsi="仿宋" w:eastAsia="仿宋" w:cs="仿宋"/>
          <w:szCs w:val="21"/>
          <w:highlight w:val="none"/>
        </w:rPr>
        <w:t>中标人应当有专门针对突发事件且符合采购人需求的应急预案，有能应对突发事件的专业人员及专业设备。</w:t>
      </w:r>
    </w:p>
    <w:p w14:paraId="469D686B">
      <w:pPr>
        <w:spacing w:line="288"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2.</w:t>
      </w:r>
      <w:r>
        <w:rPr>
          <w:rFonts w:hint="eastAsia" w:ascii="仿宋" w:hAnsi="仿宋" w:eastAsia="仿宋" w:cs="仿宋"/>
          <w:b/>
          <w:bCs/>
          <w:szCs w:val="21"/>
          <w:highlight w:val="none"/>
          <w:lang w:val="en-US" w:eastAsia="zh-CN"/>
        </w:rPr>
        <w:t>4</w:t>
      </w:r>
      <w:r>
        <w:rPr>
          <w:rFonts w:hint="eastAsia" w:ascii="仿宋" w:hAnsi="仿宋" w:eastAsia="仿宋" w:cs="仿宋"/>
          <w:b/>
          <w:bCs/>
          <w:szCs w:val="21"/>
          <w:highlight w:val="none"/>
        </w:rPr>
        <w:t xml:space="preserve"> 人员配置要求</w:t>
      </w:r>
    </w:p>
    <w:p w14:paraId="662B761F">
      <w:pPr>
        <w:spacing w:line="288" w:lineRule="auto"/>
        <w:ind w:firstLine="420" w:firstLineChars="200"/>
        <w:rPr>
          <w:rFonts w:hint="eastAsia" w:ascii="仿宋" w:hAnsi="仿宋" w:eastAsia="仿宋" w:cs="仿宋"/>
          <w:b w:val="0"/>
          <w:bCs w:val="0"/>
          <w:szCs w:val="21"/>
          <w:highlight w:val="none"/>
          <w:lang w:eastAsia="zh-CN"/>
        </w:rPr>
      </w:pP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1</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rPr>
        <w:t>投标人应提供完整的人员配置方案，至少包括机构人员概况、人员职责分工以及投入该产品抽查任务的人员及分配列表。如中标，人员团队非经采购人同意，不得更换</w:t>
      </w:r>
      <w:r>
        <w:rPr>
          <w:rFonts w:hint="eastAsia" w:ascii="仿宋" w:hAnsi="仿宋" w:eastAsia="仿宋" w:cs="仿宋"/>
          <w:b w:val="0"/>
          <w:bCs w:val="0"/>
          <w:szCs w:val="21"/>
          <w:highlight w:val="none"/>
          <w:lang w:eastAsia="zh-CN"/>
        </w:rPr>
        <w:t>；</w:t>
      </w:r>
    </w:p>
    <w:p w14:paraId="158D4FF4">
      <w:pPr>
        <w:spacing w:line="288" w:lineRule="auto"/>
        <w:ind w:firstLine="420" w:firstLineChars="200"/>
        <w:rPr>
          <w:rFonts w:hint="eastAsia" w:ascii="仿宋" w:hAnsi="仿宋" w:eastAsia="仿宋" w:cs="仿宋"/>
          <w:b w:val="0"/>
          <w:bCs w:val="0"/>
          <w:szCs w:val="21"/>
          <w:highlight w:val="none"/>
          <w:lang w:eastAsia="zh-CN"/>
        </w:rPr>
      </w:pP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2</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rPr>
        <w:t>项目团队成员要求：所投产品的抽检工作项目团队要求岗位配置合理，应包括项目负责人、抽样相关人员、样品接收人员、检验相关人员（包括检测人员、报告审核人员、授权签字人等）；人员分工明确，专业合理、全面，经验丰富</w:t>
      </w:r>
      <w:r>
        <w:rPr>
          <w:rFonts w:hint="eastAsia" w:ascii="仿宋" w:hAnsi="仿宋" w:eastAsia="仿宋" w:cs="仿宋"/>
          <w:b w:val="0"/>
          <w:bCs w:val="0"/>
          <w:szCs w:val="21"/>
          <w:highlight w:val="none"/>
          <w:lang w:eastAsia="zh-CN"/>
        </w:rPr>
        <w:t>；</w:t>
      </w:r>
    </w:p>
    <w:p w14:paraId="7B6B8B3E">
      <w:pPr>
        <w:spacing w:line="288" w:lineRule="auto"/>
        <w:ind w:firstLine="420" w:firstLineChars="200"/>
        <w:rPr>
          <w:rFonts w:hint="eastAsia" w:ascii="仿宋" w:hAnsi="仿宋" w:eastAsia="仿宋" w:cs="仿宋"/>
          <w:b w:val="0"/>
          <w:bCs w:val="0"/>
          <w:szCs w:val="21"/>
          <w:highlight w:val="none"/>
        </w:rPr>
      </w:pP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lang w:val="en-US" w:eastAsia="zh-CN"/>
        </w:rPr>
        <w:t>3</w:t>
      </w:r>
      <w:r>
        <w:rPr>
          <w:rFonts w:hint="eastAsia" w:ascii="仿宋" w:hAnsi="仿宋" w:eastAsia="仿宋" w:cs="仿宋"/>
          <w:b w:val="0"/>
          <w:bCs w:val="0"/>
          <w:szCs w:val="21"/>
          <w:highlight w:val="none"/>
          <w:lang w:eastAsia="zh-CN"/>
        </w:rPr>
        <w:t>）</w:t>
      </w:r>
      <w:r>
        <w:rPr>
          <w:rFonts w:hint="eastAsia" w:ascii="仿宋" w:hAnsi="仿宋" w:eastAsia="仿宋" w:cs="仿宋"/>
          <w:b w:val="0"/>
          <w:bCs w:val="0"/>
          <w:szCs w:val="21"/>
          <w:highlight w:val="none"/>
        </w:rPr>
        <w:t>实际抽样工作中，应按投标材料内容安排相关人员抽样，对存在虚报人员，采购人将视情况解除合同关系。</w:t>
      </w:r>
    </w:p>
    <w:p w14:paraId="1377AE6C">
      <w:pPr>
        <w:spacing w:line="288"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2.</w:t>
      </w:r>
      <w:r>
        <w:rPr>
          <w:rFonts w:hint="eastAsia" w:ascii="仿宋" w:hAnsi="仿宋" w:eastAsia="仿宋" w:cs="仿宋"/>
          <w:b/>
          <w:bCs/>
          <w:szCs w:val="21"/>
          <w:highlight w:val="none"/>
          <w:lang w:val="en-US" w:eastAsia="zh-CN"/>
        </w:rPr>
        <w:t>5</w:t>
      </w:r>
      <w:r>
        <w:rPr>
          <w:rFonts w:hint="eastAsia" w:ascii="仿宋" w:hAnsi="仿宋" w:eastAsia="仿宋" w:cs="仿宋"/>
          <w:b/>
          <w:bCs/>
          <w:szCs w:val="21"/>
          <w:highlight w:val="none"/>
        </w:rPr>
        <w:t xml:space="preserve"> 实验室要求</w:t>
      </w:r>
    </w:p>
    <w:p w14:paraId="17A28197">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投标人应搭建优良的实验室环境，配备完善的检测设备保障本项目高质量有序进行。所配备仪器设备能够有效支撑完成所有检验项目，精度适宜、数量充足。试验场所环境优良、产品检验的环境条件控制充分</w:t>
      </w:r>
      <w:r>
        <w:rPr>
          <w:rFonts w:hint="eastAsia" w:ascii="仿宋" w:hAnsi="仿宋" w:eastAsia="仿宋" w:cs="仿宋"/>
          <w:szCs w:val="21"/>
          <w:highlight w:val="none"/>
          <w:lang w:eastAsia="zh-CN"/>
        </w:rPr>
        <w:t>；</w:t>
      </w:r>
    </w:p>
    <w:p w14:paraId="092C6F55">
      <w:pPr>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投标人配备抽样车辆、抽样现场信息记录仪器，确保完整记录抽样现场有声视频、音频及清晰照片以证明抽样工作的公正、合规的</w:t>
      </w:r>
      <w:r>
        <w:rPr>
          <w:rFonts w:hint="eastAsia" w:ascii="仿宋" w:hAnsi="仿宋" w:eastAsia="仿宋" w:cs="仿宋"/>
          <w:szCs w:val="21"/>
          <w:highlight w:val="none"/>
          <w:lang w:eastAsia="zh-CN"/>
        </w:rPr>
        <w:t>；</w:t>
      </w:r>
    </w:p>
    <w:p w14:paraId="0D836BBD">
      <w:pPr>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w:t>
      </w:r>
      <w:r>
        <w:rPr>
          <w:rFonts w:hint="eastAsia" w:ascii="仿宋" w:hAnsi="仿宋" w:eastAsia="仿宋" w:cs="仿宋"/>
          <w:szCs w:val="21"/>
          <w:highlight w:val="none"/>
        </w:rPr>
        <w:t>投标人应拥有检测及仓储场所，能满足本项目的基本检测与样品存放需要的，承诺检测相关样品可以存放至少两年。</w:t>
      </w:r>
    </w:p>
    <w:p w14:paraId="128C2694">
      <w:pPr>
        <w:spacing w:line="288"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2.</w:t>
      </w:r>
      <w:r>
        <w:rPr>
          <w:rFonts w:hint="eastAsia" w:ascii="仿宋" w:hAnsi="仿宋" w:eastAsia="仿宋" w:cs="仿宋"/>
          <w:b/>
          <w:bCs/>
          <w:szCs w:val="21"/>
          <w:highlight w:val="none"/>
          <w:lang w:val="en-US" w:eastAsia="zh-CN"/>
        </w:rPr>
        <w:t>6</w:t>
      </w:r>
      <w:r>
        <w:rPr>
          <w:rFonts w:hint="eastAsia" w:ascii="仿宋" w:hAnsi="仿宋" w:eastAsia="仿宋" w:cs="仿宋"/>
          <w:b/>
          <w:bCs/>
          <w:szCs w:val="21"/>
          <w:highlight w:val="none"/>
        </w:rPr>
        <w:t xml:space="preserve"> 其他要求</w:t>
      </w:r>
    </w:p>
    <w:p w14:paraId="092B617A">
      <w:pPr>
        <w:spacing w:line="288"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采购人有权在签订合同时对项目方案（非实质性条款）作适当修改。</w:t>
      </w:r>
    </w:p>
    <w:p w14:paraId="359EAB7A">
      <w:pPr>
        <w:pStyle w:val="2"/>
        <w:rPr>
          <w:rFonts w:hint="eastAsia" w:ascii="仿宋" w:hAnsi="仿宋" w:eastAsia="仿宋" w:cs="仿宋"/>
          <w:highlight w:val="none"/>
        </w:rPr>
      </w:pPr>
    </w:p>
    <w:p w14:paraId="22319A19">
      <w:pPr>
        <w:spacing w:line="288" w:lineRule="auto"/>
        <w:ind w:firstLine="420" w:firstLineChars="200"/>
        <w:rPr>
          <w:rFonts w:hint="eastAsia" w:ascii="仿宋" w:hAnsi="仿宋" w:eastAsia="仿宋" w:cs="仿宋"/>
          <w:szCs w:val="21"/>
          <w:highlight w:val="none"/>
        </w:rPr>
        <w:sectPr>
          <w:footerReference r:id="rId5" w:type="default"/>
          <w:pgSz w:w="11906" w:h="16838"/>
          <w:pgMar w:top="1440" w:right="1247" w:bottom="1440" w:left="1247" w:header="283" w:footer="850" w:gutter="0"/>
          <w:pgNumType w:start="1"/>
          <w:cols w:space="0" w:num="1"/>
          <w:docGrid w:linePitch="381" w:charSpace="0"/>
        </w:sectPr>
      </w:pPr>
    </w:p>
    <w:p w14:paraId="09F01A6D">
      <w:pPr>
        <w:spacing w:line="288" w:lineRule="auto"/>
        <w:ind w:firstLine="422" w:firstLineChars="200"/>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rPr>
        <w:t>2.6 采购需求一览表</w:t>
      </w:r>
      <w:r>
        <w:rPr>
          <w:rFonts w:hint="eastAsia" w:ascii="仿宋" w:hAnsi="仿宋" w:eastAsia="仿宋" w:cs="仿宋"/>
          <w:b/>
          <w:bCs/>
          <w:szCs w:val="21"/>
          <w:highlight w:val="none"/>
          <w:lang w:val="en-US" w:eastAsia="zh-CN"/>
        </w:rPr>
        <w:t xml:space="preserve"> </w:t>
      </w:r>
    </w:p>
    <w:tbl>
      <w:tblPr>
        <w:tblStyle w:val="2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5"/>
        <w:gridCol w:w="2729"/>
        <w:gridCol w:w="6229"/>
        <w:gridCol w:w="2008"/>
        <w:gridCol w:w="2003"/>
      </w:tblGrid>
      <w:tr w14:paraId="15B3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E38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标项序号</w:t>
            </w:r>
          </w:p>
        </w:tc>
        <w:tc>
          <w:tcPr>
            <w:tcW w:w="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1FD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标项名称</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40F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产品</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FB2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批次</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4DE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周期（天）</w:t>
            </w:r>
          </w:p>
        </w:tc>
      </w:tr>
      <w:tr w14:paraId="37E0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B0F4">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E6D6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安防用品</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B25C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安全鞋</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8BA9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C00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692D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3DA3">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20378">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B216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安全帽</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9F4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25</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3FC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5A66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652B">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C1C98">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DB3D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人民币鉴别仪</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42B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390E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33D8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090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6C4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光伏组件</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E477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晶体硅太阳能电池组件</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930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15</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3FA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r>
      <w:tr w14:paraId="6417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F3C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43B6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电线电缆</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A67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电力电缆</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B304">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AAC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80</w:t>
            </w:r>
          </w:p>
        </w:tc>
      </w:tr>
      <w:tr w14:paraId="3088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9197">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850C5">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4A3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电线电缆</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0FC8">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344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90</w:t>
            </w:r>
          </w:p>
        </w:tc>
      </w:tr>
      <w:tr w14:paraId="082C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6D94">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D47B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高低压产品（一）</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F7ED">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隔离开关</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327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02EFD">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r>
      <w:tr w14:paraId="356E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1723">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29BE">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204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家用和类似用途剩余电流动作断路器</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211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DE7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80</w:t>
            </w:r>
          </w:p>
        </w:tc>
      </w:tr>
      <w:tr w14:paraId="210A1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CDFB">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1959F">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654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塑料外壳式断路器</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CADD">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0A3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r>
      <w:tr w14:paraId="21F5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A783">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920C1">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7ECE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万能式断路器</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3EA8">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800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73D2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EDF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944B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高低压产品（二）</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E17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转换开关电器</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644C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E56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730E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DD76">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DD82C">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0EE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电力变压器</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05B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15</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1592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3278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474E">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1F203">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0AE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光伏并网逆变器</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91C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0F7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46E6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8028">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B8C67">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35B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交流充电控制器、换电柜、充电柜</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33A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430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79A3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9F32">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D1699">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A4D4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家用及类似场所用过电流保护断路器</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21B64">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10A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80</w:t>
            </w:r>
          </w:p>
        </w:tc>
      </w:tr>
      <w:tr w14:paraId="69CB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8A6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w:t>
            </w:r>
          </w:p>
        </w:tc>
        <w:tc>
          <w:tcPr>
            <w:tcW w:w="962" w:type="pct"/>
            <w:vMerge w:val="restart"/>
            <w:tcBorders>
              <w:top w:val="nil"/>
              <w:left w:val="single" w:color="000000" w:sz="4" w:space="0"/>
              <w:bottom w:val="single" w:color="000000" w:sz="4" w:space="0"/>
              <w:right w:val="single" w:color="000000" w:sz="4" w:space="0"/>
            </w:tcBorders>
            <w:shd w:val="clear" w:color="auto" w:fill="auto"/>
            <w:vAlign w:val="center"/>
          </w:tcPr>
          <w:p w14:paraId="695E559C">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电动器具（一）</w:t>
            </w:r>
          </w:p>
        </w:tc>
        <w:tc>
          <w:tcPr>
            <w:tcW w:w="2219" w:type="pct"/>
            <w:tcBorders>
              <w:top w:val="nil"/>
              <w:left w:val="single" w:color="000000" w:sz="4" w:space="0"/>
              <w:bottom w:val="single" w:color="000000" w:sz="4" w:space="0"/>
              <w:right w:val="single" w:color="000000" w:sz="4" w:space="0"/>
            </w:tcBorders>
            <w:shd w:val="clear" w:color="auto" w:fill="auto"/>
            <w:vAlign w:val="center"/>
          </w:tcPr>
          <w:p w14:paraId="5CCCB3D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电动工具</w:t>
            </w:r>
          </w:p>
        </w:tc>
        <w:tc>
          <w:tcPr>
            <w:tcW w:w="703" w:type="pct"/>
            <w:tcBorders>
              <w:top w:val="nil"/>
              <w:left w:val="single" w:color="000000" w:sz="4" w:space="0"/>
              <w:bottom w:val="single" w:color="000000" w:sz="4" w:space="0"/>
              <w:right w:val="single" w:color="000000" w:sz="4" w:space="0"/>
            </w:tcBorders>
            <w:shd w:val="clear" w:color="auto" w:fill="auto"/>
            <w:vAlign w:val="center"/>
          </w:tcPr>
          <w:p w14:paraId="54456FF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50</w:t>
            </w:r>
          </w:p>
        </w:tc>
        <w:tc>
          <w:tcPr>
            <w:tcW w:w="699" w:type="pct"/>
            <w:tcBorders>
              <w:top w:val="nil"/>
              <w:left w:val="single" w:color="000000" w:sz="4" w:space="0"/>
              <w:bottom w:val="single" w:color="000000" w:sz="4" w:space="0"/>
              <w:right w:val="single" w:color="000000" w:sz="4" w:space="0"/>
            </w:tcBorders>
            <w:shd w:val="clear" w:color="auto" w:fill="auto"/>
            <w:vAlign w:val="center"/>
          </w:tcPr>
          <w:p w14:paraId="48D1F0B4">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80</w:t>
            </w:r>
          </w:p>
        </w:tc>
      </w:tr>
      <w:tr w14:paraId="325F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8F81">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nil"/>
              <w:left w:val="single" w:color="000000" w:sz="4" w:space="0"/>
              <w:bottom w:val="single" w:color="000000" w:sz="4" w:space="0"/>
              <w:right w:val="single" w:color="000000" w:sz="4" w:space="0"/>
            </w:tcBorders>
            <w:shd w:val="clear" w:color="auto" w:fill="auto"/>
            <w:vAlign w:val="center"/>
          </w:tcPr>
          <w:p w14:paraId="5062B9D3">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nil"/>
              <w:right w:val="single" w:color="000000" w:sz="4" w:space="0"/>
            </w:tcBorders>
            <w:shd w:val="clear" w:color="auto" w:fill="auto"/>
            <w:vAlign w:val="center"/>
          </w:tcPr>
          <w:p w14:paraId="0E9BBFC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小功率电动机</w:t>
            </w:r>
          </w:p>
        </w:tc>
        <w:tc>
          <w:tcPr>
            <w:tcW w:w="703" w:type="pct"/>
            <w:tcBorders>
              <w:top w:val="single" w:color="000000" w:sz="4" w:space="0"/>
              <w:left w:val="single" w:color="000000" w:sz="4" w:space="0"/>
              <w:bottom w:val="nil"/>
              <w:right w:val="single" w:color="000000" w:sz="4" w:space="0"/>
            </w:tcBorders>
            <w:shd w:val="clear" w:color="auto" w:fill="auto"/>
            <w:vAlign w:val="center"/>
          </w:tcPr>
          <w:p w14:paraId="7FAAADC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F033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90</w:t>
            </w:r>
          </w:p>
        </w:tc>
      </w:tr>
      <w:tr w14:paraId="65AA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5F2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7</w:t>
            </w:r>
          </w:p>
        </w:tc>
        <w:tc>
          <w:tcPr>
            <w:tcW w:w="962" w:type="pct"/>
            <w:tcBorders>
              <w:top w:val="single" w:color="000000" w:sz="4" w:space="0"/>
              <w:left w:val="single" w:color="000000" w:sz="4" w:space="0"/>
              <w:bottom w:val="nil"/>
              <w:right w:val="single" w:color="000000" w:sz="4" w:space="0"/>
            </w:tcBorders>
            <w:shd w:val="clear" w:color="auto" w:fill="auto"/>
            <w:vAlign w:val="center"/>
          </w:tcPr>
          <w:p w14:paraId="46D6E0A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电动器具（二）</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C3B3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三相异步电动机</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A68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6384">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90</w:t>
            </w:r>
          </w:p>
        </w:tc>
      </w:tr>
      <w:tr w14:paraId="4F1C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5E0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2B83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车辆相关组件</w:t>
            </w:r>
          </w:p>
        </w:tc>
        <w:tc>
          <w:tcPr>
            <w:tcW w:w="2219" w:type="pct"/>
            <w:tcBorders>
              <w:top w:val="nil"/>
              <w:left w:val="single" w:color="000000" w:sz="4" w:space="0"/>
              <w:bottom w:val="single" w:color="000000" w:sz="4" w:space="0"/>
              <w:right w:val="single" w:color="000000" w:sz="4" w:space="0"/>
            </w:tcBorders>
            <w:shd w:val="clear" w:color="auto" w:fill="auto"/>
            <w:vAlign w:val="center"/>
          </w:tcPr>
          <w:p w14:paraId="6A8BD9C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电动汽车充电桩</w:t>
            </w:r>
          </w:p>
        </w:tc>
        <w:tc>
          <w:tcPr>
            <w:tcW w:w="703" w:type="pct"/>
            <w:tcBorders>
              <w:top w:val="nil"/>
              <w:left w:val="single" w:color="000000" w:sz="4" w:space="0"/>
              <w:bottom w:val="single" w:color="000000" w:sz="4" w:space="0"/>
              <w:right w:val="single" w:color="000000" w:sz="4" w:space="0"/>
            </w:tcBorders>
            <w:shd w:val="clear" w:color="auto" w:fill="auto"/>
            <w:vAlign w:val="center"/>
          </w:tcPr>
          <w:p w14:paraId="51C17D2C">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20</w:t>
            </w:r>
          </w:p>
        </w:tc>
        <w:tc>
          <w:tcPr>
            <w:tcW w:w="699" w:type="pct"/>
            <w:tcBorders>
              <w:top w:val="nil"/>
              <w:left w:val="single" w:color="000000" w:sz="4" w:space="0"/>
              <w:bottom w:val="single" w:color="000000" w:sz="4" w:space="0"/>
              <w:right w:val="single" w:color="000000" w:sz="4" w:space="0"/>
            </w:tcBorders>
            <w:shd w:val="clear" w:color="auto" w:fill="auto"/>
            <w:vAlign w:val="center"/>
          </w:tcPr>
          <w:p w14:paraId="1DD2A08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50</w:t>
            </w:r>
          </w:p>
        </w:tc>
      </w:tr>
      <w:tr w14:paraId="0BF5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593F">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A4DAD">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FDAD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摩托车制动蹄组件和制动衬组件</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892C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w:t>
            </w:r>
          </w:p>
        </w:tc>
        <w:tc>
          <w:tcPr>
            <w:tcW w:w="699" w:type="pct"/>
            <w:tcBorders>
              <w:top w:val="nil"/>
              <w:left w:val="single" w:color="000000" w:sz="4" w:space="0"/>
              <w:bottom w:val="single" w:color="000000" w:sz="4" w:space="0"/>
              <w:right w:val="single" w:color="000000" w:sz="4" w:space="0"/>
            </w:tcBorders>
            <w:shd w:val="clear" w:color="auto" w:fill="auto"/>
            <w:vAlign w:val="center"/>
          </w:tcPr>
          <w:p w14:paraId="01DBF15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30</w:t>
            </w:r>
          </w:p>
        </w:tc>
      </w:tr>
      <w:tr w14:paraId="5315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5D4F">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670C5">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AC8F">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汽车用制动器衬片</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65F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40</w:t>
            </w:r>
          </w:p>
        </w:tc>
        <w:tc>
          <w:tcPr>
            <w:tcW w:w="699" w:type="pct"/>
            <w:tcBorders>
              <w:top w:val="nil"/>
              <w:left w:val="single" w:color="000000" w:sz="4" w:space="0"/>
              <w:bottom w:val="single" w:color="000000" w:sz="4" w:space="0"/>
              <w:right w:val="single" w:color="000000" w:sz="4" w:space="0"/>
            </w:tcBorders>
            <w:shd w:val="clear" w:color="auto" w:fill="auto"/>
            <w:vAlign w:val="center"/>
          </w:tcPr>
          <w:p w14:paraId="600EBE48">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r>
      <w:tr w14:paraId="7680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43F9">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4C89A">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0E9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制动软管</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2C3A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25</w:t>
            </w:r>
          </w:p>
        </w:tc>
        <w:tc>
          <w:tcPr>
            <w:tcW w:w="699" w:type="pct"/>
            <w:tcBorders>
              <w:top w:val="nil"/>
              <w:left w:val="single" w:color="000000" w:sz="4" w:space="0"/>
              <w:bottom w:val="single" w:color="000000" w:sz="4" w:space="0"/>
              <w:right w:val="single" w:color="000000" w:sz="4" w:space="0"/>
            </w:tcBorders>
            <w:shd w:val="clear" w:color="auto" w:fill="auto"/>
            <w:vAlign w:val="center"/>
          </w:tcPr>
          <w:p w14:paraId="715879F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r>
      <w:tr w14:paraId="216B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1AC0">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AFD7">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68E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汽车内饰材料</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0FF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w:t>
            </w:r>
          </w:p>
        </w:tc>
        <w:tc>
          <w:tcPr>
            <w:tcW w:w="699" w:type="pct"/>
            <w:tcBorders>
              <w:top w:val="nil"/>
              <w:left w:val="single" w:color="000000" w:sz="4" w:space="0"/>
              <w:bottom w:val="single" w:color="000000" w:sz="4" w:space="0"/>
              <w:right w:val="single" w:color="000000" w:sz="4" w:space="0"/>
            </w:tcBorders>
            <w:shd w:val="clear" w:color="auto" w:fill="auto"/>
            <w:vAlign w:val="center"/>
          </w:tcPr>
          <w:p w14:paraId="0624A47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255D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EA76">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EC236">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E709">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车载充电器</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E4A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699" w:type="pct"/>
            <w:tcBorders>
              <w:top w:val="nil"/>
              <w:left w:val="single" w:color="000000" w:sz="4" w:space="0"/>
              <w:bottom w:val="single" w:color="000000" w:sz="4" w:space="0"/>
              <w:right w:val="single" w:color="000000" w:sz="4" w:space="0"/>
            </w:tcBorders>
            <w:shd w:val="clear" w:color="auto" w:fill="auto"/>
            <w:vAlign w:val="center"/>
          </w:tcPr>
          <w:p w14:paraId="68E4CE8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06B5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8155">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CB6E5">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F2B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行车记录仪</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51D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w:t>
            </w:r>
          </w:p>
        </w:tc>
        <w:tc>
          <w:tcPr>
            <w:tcW w:w="699" w:type="pct"/>
            <w:tcBorders>
              <w:top w:val="nil"/>
              <w:left w:val="single" w:color="000000" w:sz="4" w:space="0"/>
              <w:bottom w:val="single" w:color="000000" w:sz="4" w:space="0"/>
              <w:right w:val="single" w:color="000000" w:sz="4" w:space="0"/>
            </w:tcBorders>
            <w:shd w:val="clear" w:color="auto" w:fill="auto"/>
            <w:vAlign w:val="center"/>
          </w:tcPr>
          <w:p w14:paraId="1211FCA7">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6C91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8C53">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C0505">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A69D">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汽车用锂电池</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C8C6">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7</w:t>
            </w:r>
          </w:p>
        </w:tc>
        <w:tc>
          <w:tcPr>
            <w:tcW w:w="699" w:type="pct"/>
            <w:tcBorders>
              <w:top w:val="nil"/>
              <w:left w:val="single" w:color="000000" w:sz="4" w:space="0"/>
              <w:bottom w:val="single" w:color="000000" w:sz="4" w:space="0"/>
              <w:right w:val="single" w:color="000000" w:sz="4" w:space="0"/>
            </w:tcBorders>
            <w:shd w:val="clear" w:color="auto" w:fill="auto"/>
            <w:vAlign w:val="center"/>
          </w:tcPr>
          <w:p w14:paraId="029F201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45</w:t>
            </w:r>
          </w:p>
        </w:tc>
      </w:tr>
      <w:tr w14:paraId="3BB2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967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9</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818DC">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工业配件</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C1C3D">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阀门</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072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02A2">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100</w:t>
            </w:r>
          </w:p>
        </w:tc>
      </w:tr>
      <w:tr w14:paraId="76B3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4122">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538ED">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98D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齿轮</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F08F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8E2A">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r>
      <w:tr w14:paraId="7BF1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4B33">
            <w:pPr>
              <w:jc w:val="center"/>
              <w:rPr>
                <w:rFonts w:hint="eastAsia" w:ascii="仿宋" w:hAnsi="仿宋" w:eastAsia="仿宋" w:cs="仿宋"/>
                <w:i w:val="0"/>
                <w:iCs w:val="0"/>
                <w:color w:val="000000"/>
                <w:sz w:val="21"/>
                <w:szCs w:val="21"/>
                <w:highlight w:val="none"/>
                <w:u w:val="none"/>
                <w:lang w:val="en-US" w:eastAsia="zh-CN"/>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982C0">
            <w:pPr>
              <w:jc w:val="center"/>
              <w:rPr>
                <w:rFonts w:hint="eastAsia" w:ascii="仿宋" w:hAnsi="仿宋" w:eastAsia="仿宋" w:cs="仿宋"/>
                <w:i w:val="0"/>
                <w:iCs w:val="0"/>
                <w:color w:val="000000"/>
                <w:sz w:val="21"/>
                <w:szCs w:val="21"/>
                <w:highlight w:val="none"/>
                <w:u w:val="none"/>
                <w:lang w:val="en-US" w:eastAsia="zh-CN"/>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D45D">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砂轮</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7AE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F6A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60</w:t>
            </w:r>
          </w:p>
        </w:tc>
      </w:tr>
      <w:tr w14:paraId="6296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D60A">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10</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EE61F">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成品油（一）</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5ED8">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与成品油性质相近的化工品（工业白油、工业用裂解碳九、溶剂油、有机热载体、石脑油、工业用润滑油）</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CBA0">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1B8A">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60</w:t>
            </w:r>
          </w:p>
        </w:tc>
      </w:tr>
      <w:tr w14:paraId="5A1B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6195">
            <w:pPr>
              <w:pStyle w:val="3"/>
              <w:ind w:firstLine="0"/>
              <w:jc w:val="center"/>
              <w:rPr>
                <w:rFonts w:hint="eastAsia" w:ascii="仿宋" w:hAnsi="仿宋" w:eastAsia="仿宋" w:cs="仿宋"/>
                <w:sz w:val="21"/>
                <w:szCs w:val="21"/>
                <w:highlight w:val="none"/>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D9451">
            <w:pPr>
              <w:pStyle w:val="3"/>
              <w:ind w:firstLine="0"/>
              <w:jc w:val="center"/>
              <w:rPr>
                <w:rFonts w:hint="eastAsia" w:ascii="仿宋" w:hAnsi="仿宋" w:eastAsia="仿宋" w:cs="仿宋"/>
                <w:sz w:val="21"/>
                <w:szCs w:val="21"/>
                <w:highlight w:val="none"/>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56055">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车用汽油清净剂</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CAAB">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2412">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45</w:t>
            </w:r>
          </w:p>
        </w:tc>
      </w:tr>
      <w:tr w14:paraId="5A8A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047E">
            <w:pPr>
              <w:pStyle w:val="3"/>
              <w:ind w:firstLine="0"/>
              <w:jc w:val="center"/>
              <w:rPr>
                <w:rFonts w:hint="eastAsia" w:ascii="仿宋" w:hAnsi="仿宋" w:eastAsia="仿宋" w:cs="仿宋"/>
                <w:sz w:val="21"/>
                <w:szCs w:val="21"/>
                <w:highlight w:val="none"/>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A4471">
            <w:pPr>
              <w:pStyle w:val="3"/>
              <w:ind w:firstLine="0"/>
              <w:jc w:val="center"/>
              <w:rPr>
                <w:rFonts w:hint="eastAsia" w:ascii="仿宋" w:hAnsi="仿宋" w:eastAsia="仿宋" w:cs="仿宋"/>
                <w:sz w:val="21"/>
                <w:szCs w:val="21"/>
                <w:highlight w:val="none"/>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E90F6">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燃料油（醇基燃料）</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78E8">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0D06">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45</w:t>
            </w:r>
          </w:p>
        </w:tc>
      </w:tr>
      <w:tr w14:paraId="36458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6F80">
            <w:pPr>
              <w:pStyle w:val="3"/>
              <w:ind w:firstLine="0"/>
              <w:jc w:val="center"/>
              <w:rPr>
                <w:rFonts w:hint="eastAsia" w:ascii="仿宋" w:hAnsi="仿宋" w:eastAsia="仿宋" w:cs="仿宋"/>
                <w:sz w:val="21"/>
                <w:szCs w:val="21"/>
                <w:highlight w:val="none"/>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C1A29">
            <w:pPr>
              <w:pStyle w:val="3"/>
              <w:ind w:firstLine="0"/>
              <w:jc w:val="center"/>
              <w:rPr>
                <w:rFonts w:hint="eastAsia" w:ascii="仿宋" w:hAnsi="仿宋" w:eastAsia="仿宋" w:cs="仿宋"/>
                <w:sz w:val="21"/>
                <w:szCs w:val="21"/>
                <w:highlight w:val="none"/>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2840B">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车用柴油</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F92C">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150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D5904">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80</w:t>
            </w:r>
          </w:p>
        </w:tc>
      </w:tr>
      <w:tr w14:paraId="2F9B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7A7C">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11</w:t>
            </w:r>
          </w:p>
        </w:tc>
        <w:tc>
          <w:tcPr>
            <w:tcW w:w="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1F09">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成品油（二）</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5121">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车用汽油</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8F3D">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150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ECE3">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80</w:t>
            </w:r>
          </w:p>
        </w:tc>
      </w:tr>
      <w:tr w14:paraId="6B12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3973">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w:t>
            </w: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DC554">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成品油（三）</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24C3">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发动机润滑油</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D8D8">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2E2C">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60</w:t>
            </w:r>
          </w:p>
        </w:tc>
      </w:tr>
      <w:tr w14:paraId="1FD5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E0DF">
            <w:pPr>
              <w:pStyle w:val="3"/>
              <w:ind w:firstLine="0"/>
              <w:jc w:val="center"/>
              <w:rPr>
                <w:rFonts w:hint="eastAsia" w:ascii="仿宋" w:hAnsi="仿宋" w:eastAsia="仿宋" w:cs="仿宋"/>
                <w:sz w:val="21"/>
                <w:szCs w:val="21"/>
                <w:highlight w:val="none"/>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AE97D">
            <w:pPr>
              <w:pStyle w:val="3"/>
              <w:ind w:firstLine="0"/>
              <w:jc w:val="center"/>
              <w:rPr>
                <w:rFonts w:hint="eastAsia" w:ascii="仿宋" w:hAnsi="仿宋" w:eastAsia="仿宋" w:cs="仿宋"/>
                <w:sz w:val="21"/>
                <w:szCs w:val="21"/>
                <w:highlight w:val="none"/>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B2490">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车用尿素水溶液</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068F8">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AA67C">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60</w:t>
            </w:r>
          </w:p>
        </w:tc>
      </w:tr>
      <w:tr w14:paraId="5A59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7BD7">
            <w:pPr>
              <w:pStyle w:val="3"/>
              <w:ind w:firstLine="0"/>
              <w:jc w:val="center"/>
              <w:rPr>
                <w:rFonts w:hint="eastAsia" w:ascii="仿宋" w:hAnsi="仿宋" w:eastAsia="仿宋" w:cs="仿宋"/>
                <w:sz w:val="21"/>
                <w:szCs w:val="21"/>
                <w:highlight w:val="none"/>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2524D">
            <w:pPr>
              <w:pStyle w:val="3"/>
              <w:ind w:firstLine="0"/>
              <w:jc w:val="center"/>
              <w:rPr>
                <w:rFonts w:hint="eastAsia" w:ascii="仿宋" w:hAnsi="仿宋" w:eastAsia="仿宋" w:cs="仿宋"/>
                <w:sz w:val="21"/>
                <w:szCs w:val="21"/>
                <w:highlight w:val="none"/>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524B">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燃料油（船用燃料油）</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8572">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0CF3">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80</w:t>
            </w:r>
          </w:p>
        </w:tc>
      </w:tr>
      <w:tr w14:paraId="3CD2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D0F9">
            <w:pPr>
              <w:pStyle w:val="3"/>
              <w:ind w:firstLine="0"/>
              <w:jc w:val="center"/>
              <w:rPr>
                <w:rFonts w:hint="eastAsia" w:ascii="仿宋" w:hAnsi="仿宋" w:eastAsia="仿宋" w:cs="仿宋"/>
                <w:sz w:val="21"/>
                <w:szCs w:val="21"/>
                <w:highlight w:val="none"/>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D399">
            <w:pPr>
              <w:pStyle w:val="3"/>
              <w:ind w:firstLine="0"/>
              <w:jc w:val="center"/>
              <w:rPr>
                <w:rFonts w:hint="eastAsia" w:ascii="仿宋" w:hAnsi="仿宋" w:eastAsia="仿宋" w:cs="仿宋"/>
                <w:sz w:val="21"/>
                <w:szCs w:val="21"/>
                <w:highlight w:val="none"/>
              </w:rPr>
            </w:pP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5868">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机动车辆制动液</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9C31">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904F6">
            <w:pPr>
              <w:pStyle w:val="3"/>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45</w:t>
            </w:r>
          </w:p>
        </w:tc>
      </w:tr>
      <w:tr w14:paraId="2AD0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BF39">
            <w:pPr>
              <w:adjustRightInd w:val="0"/>
              <w:snapToGrid w:val="0"/>
              <w:spacing w:line="288" w:lineRule="auto"/>
              <w:jc w:val="left"/>
              <w:rPr>
                <w:rFonts w:hint="eastAsia" w:ascii="仿宋" w:hAnsi="仿宋" w:eastAsia="仿宋" w:cs="仿宋"/>
                <w:b/>
                <w:bCs/>
                <w:spacing w:val="-20"/>
                <w:kern w:val="0"/>
                <w:sz w:val="21"/>
                <w:szCs w:val="21"/>
                <w:highlight w:val="none"/>
              </w:rPr>
            </w:pPr>
            <w:r>
              <w:rPr>
                <w:rFonts w:hint="eastAsia" w:ascii="仿宋" w:hAnsi="仿宋" w:eastAsia="仿宋" w:cs="仿宋"/>
                <w:b/>
                <w:bCs/>
                <w:spacing w:val="-20"/>
                <w:kern w:val="0"/>
                <w:sz w:val="21"/>
                <w:szCs w:val="21"/>
                <w:highlight w:val="none"/>
              </w:rPr>
              <w:t>备注：</w:t>
            </w:r>
          </w:p>
          <w:p w14:paraId="45115744">
            <w:pPr>
              <w:adjustRightInd w:val="0"/>
              <w:snapToGrid w:val="0"/>
              <w:spacing w:line="288" w:lineRule="auto"/>
              <w:jc w:val="left"/>
              <w:rPr>
                <w:rFonts w:hint="eastAsia" w:ascii="仿宋" w:hAnsi="仿宋" w:eastAsia="仿宋" w:cs="仿宋"/>
                <w:b/>
                <w:bCs/>
                <w:spacing w:val="-20"/>
                <w:kern w:val="0"/>
                <w:sz w:val="21"/>
                <w:szCs w:val="21"/>
                <w:highlight w:val="none"/>
              </w:rPr>
            </w:pPr>
            <w:r>
              <w:rPr>
                <w:rFonts w:hint="eastAsia" w:ascii="仿宋" w:hAnsi="仿宋" w:eastAsia="仿宋" w:cs="仿宋"/>
                <w:b/>
                <w:bCs/>
                <w:spacing w:val="-20"/>
                <w:kern w:val="0"/>
                <w:sz w:val="21"/>
                <w:szCs w:val="21"/>
                <w:highlight w:val="none"/>
              </w:rPr>
              <w:t>1.由于标项</w:t>
            </w:r>
            <w:r>
              <w:rPr>
                <w:rFonts w:hint="eastAsia" w:ascii="仿宋" w:hAnsi="仿宋" w:eastAsia="仿宋" w:cs="仿宋"/>
                <w:b/>
                <w:bCs/>
                <w:spacing w:val="-20"/>
                <w:kern w:val="0"/>
                <w:sz w:val="21"/>
                <w:szCs w:val="21"/>
                <w:highlight w:val="none"/>
                <w:lang w:val="en-US" w:eastAsia="zh-CN"/>
              </w:rPr>
              <w:t>四</w:t>
            </w:r>
            <w:r>
              <w:rPr>
                <w:rFonts w:hint="eastAsia" w:ascii="仿宋" w:hAnsi="仿宋" w:eastAsia="仿宋" w:cs="仿宋"/>
                <w:b/>
                <w:bCs/>
                <w:spacing w:val="-20"/>
                <w:kern w:val="0"/>
                <w:sz w:val="21"/>
                <w:szCs w:val="21"/>
                <w:highlight w:val="none"/>
                <w:lang w:eastAsia="zh-CN"/>
              </w:rPr>
              <w:t>、</w:t>
            </w:r>
            <w:r>
              <w:rPr>
                <w:rFonts w:hint="eastAsia" w:ascii="仿宋" w:hAnsi="仿宋" w:eastAsia="仿宋" w:cs="仿宋"/>
                <w:b/>
                <w:bCs/>
                <w:spacing w:val="-20"/>
                <w:kern w:val="0"/>
                <w:sz w:val="21"/>
                <w:szCs w:val="21"/>
                <w:highlight w:val="none"/>
                <w:lang w:val="en-US" w:eastAsia="zh-CN"/>
              </w:rPr>
              <w:t>五</w:t>
            </w:r>
            <w:r>
              <w:rPr>
                <w:rFonts w:hint="eastAsia" w:ascii="仿宋" w:hAnsi="仿宋" w:eastAsia="仿宋" w:cs="仿宋"/>
                <w:b/>
                <w:bCs/>
                <w:spacing w:val="-20"/>
                <w:kern w:val="0"/>
                <w:sz w:val="21"/>
                <w:szCs w:val="21"/>
                <w:highlight w:val="none"/>
              </w:rPr>
              <w:t>涉及产品种类不同，同一中标人无法保障服务进度及质量，故要求同一投标人在不同标项不能兼中，各标项推荐中标候选人或确定中标人的顺序和规则详见“第三章  投标人须知 六、评  标 （六）排序与推荐”；</w:t>
            </w:r>
          </w:p>
          <w:p w14:paraId="0E2162BC">
            <w:pPr>
              <w:adjustRightInd w:val="0"/>
              <w:snapToGrid w:val="0"/>
              <w:spacing w:line="288" w:lineRule="auto"/>
              <w:jc w:val="left"/>
              <w:rPr>
                <w:rFonts w:hint="eastAsia" w:ascii="仿宋" w:hAnsi="仿宋" w:eastAsia="仿宋" w:cs="仿宋"/>
                <w:b/>
                <w:bCs/>
                <w:spacing w:val="-20"/>
                <w:kern w:val="0"/>
                <w:sz w:val="21"/>
                <w:szCs w:val="21"/>
                <w:highlight w:val="none"/>
              </w:rPr>
            </w:pPr>
            <w:r>
              <w:rPr>
                <w:rFonts w:hint="eastAsia" w:ascii="仿宋" w:hAnsi="仿宋" w:eastAsia="仿宋" w:cs="仿宋"/>
                <w:b/>
                <w:bCs/>
                <w:spacing w:val="-20"/>
                <w:kern w:val="0"/>
                <w:sz w:val="21"/>
                <w:szCs w:val="21"/>
                <w:highlight w:val="none"/>
                <w:lang w:val="en-US" w:eastAsia="zh-CN"/>
              </w:rPr>
              <w:t>2</w:t>
            </w:r>
            <w:r>
              <w:rPr>
                <w:rFonts w:hint="eastAsia" w:ascii="仿宋" w:hAnsi="仿宋" w:eastAsia="仿宋" w:cs="仿宋"/>
                <w:b/>
                <w:bCs/>
                <w:spacing w:val="-20"/>
                <w:kern w:val="0"/>
                <w:sz w:val="21"/>
                <w:szCs w:val="21"/>
                <w:highlight w:val="none"/>
              </w:rPr>
              <w:t>.由于标项</w:t>
            </w:r>
            <w:r>
              <w:rPr>
                <w:rFonts w:hint="eastAsia" w:ascii="仿宋" w:hAnsi="仿宋" w:eastAsia="仿宋" w:cs="仿宋"/>
                <w:b/>
                <w:bCs/>
                <w:spacing w:val="-20"/>
                <w:kern w:val="0"/>
                <w:sz w:val="21"/>
                <w:szCs w:val="21"/>
                <w:highlight w:val="none"/>
                <w:lang w:val="en-US" w:eastAsia="zh-CN"/>
              </w:rPr>
              <w:t>六</w:t>
            </w:r>
            <w:r>
              <w:rPr>
                <w:rFonts w:hint="eastAsia" w:ascii="仿宋" w:hAnsi="仿宋" w:eastAsia="仿宋" w:cs="仿宋"/>
                <w:b/>
                <w:bCs/>
                <w:spacing w:val="-20"/>
                <w:kern w:val="0"/>
                <w:sz w:val="21"/>
                <w:szCs w:val="21"/>
                <w:highlight w:val="none"/>
                <w:lang w:eastAsia="zh-CN"/>
              </w:rPr>
              <w:t>、</w:t>
            </w:r>
            <w:r>
              <w:rPr>
                <w:rFonts w:hint="eastAsia" w:ascii="仿宋" w:hAnsi="仿宋" w:eastAsia="仿宋" w:cs="仿宋"/>
                <w:b/>
                <w:bCs/>
                <w:spacing w:val="-20"/>
                <w:kern w:val="0"/>
                <w:sz w:val="21"/>
                <w:szCs w:val="21"/>
                <w:highlight w:val="none"/>
                <w:lang w:val="en-US" w:eastAsia="zh-CN"/>
              </w:rPr>
              <w:t>七</w:t>
            </w:r>
            <w:r>
              <w:rPr>
                <w:rFonts w:hint="eastAsia" w:ascii="仿宋" w:hAnsi="仿宋" w:eastAsia="仿宋" w:cs="仿宋"/>
                <w:b/>
                <w:bCs/>
                <w:spacing w:val="-20"/>
                <w:kern w:val="0"/>
                <w:sz w:val="21"/>
                <w:szCs w:val="21"/>
                <w:highlight w:val="none"/>
              </w:rPr>
              <w:t>涉及产品种类不同，同一中标人无法保障服务进度及质量，故要求同一投标人在不同标项不能兼中，各标项推荐中标候选人或确定中标人的顺序和规则详见“第三章  投标人须知 六、评  标 （六）排序与推荐”；</w:t>
            </w:r>
          </w:p>
          <w:p w14:paraId="1ED26A0F">
            <w:pPr>
              <w:adjustRightInd w:val="0"/>
              <w:snapToGrid w:val="0"/>
              <w:spacing w:line="288" w:lineRule="auto"/>
              <w:jc w:val="left"/>
              <w:rPr>
                <w:rFonts w:hint="eastAsia" w:ascii="仿宋" w:hAnsi="仿宋" w:eastAsia="仿宋" w:cs="仿宋"/>
                <w:b/>
                <w:bCs/>
                <w:spacing w:val="-20"/>
                <w:kern w:val="0"/>
                <w:sz w:val="21"/>
                <w:szCs w:val="21"/>
                <w:highlight w:val="none"/>
              </w:rPr>
            </w:pPr>
            <w:r>
              <w:rPr>
                <w:rFonts w:hint="eastAsia" w:ascii="仿宋" w:hAnsi="仿宋" w:eastAsia="仿宋" w:cs="仿宋"/>
                <w:b/>
                <w:bCs/>
                <w:spacing w:val="-20"/>
                <w:kern w:val="0"/>
                <w:sz w:val="21"/>
                <w:szCs w:val="21"/>
                <w:highlight w:val="none"/>
                <w:lang w:val="en-US" w:eastAsia="zh-CN"/>
              </w:rPr>
              <w:t>3</w:t>
            </w:r>
            <w:r>
              <w:rPr>
                <w:rFonts w:hint="eastAsia" w:ascii="仿宋" w:hAnsi="仿宋" w:eastAsia="仿宋" w:cs="仿宋"/>
                <w:b/>
                <w:bCs/>
                <w:spacing w:val="-20"/>
                <w:kern w:val="0"/>
                <w:sz w:val="21"/>
                <w:szCs w:val="21"/>
                <w:highlight w:val="none"/>
              </w:rPr>
              <w:t>.由于标项</w:t>
            </w:r>
            <w:r>
              <w:rPr>
                <w:rFonts w:hint="eastAsia" w:ascii="仿宋" w:hAnsi="仿宋" w:eastAsia="仿宋" w:cs="仿宋"/>
                <w:b/>
                <w:bCs/>
                <w:spacing w:val="-20"/>
                <w:kern w:val="0"/>
                <w:sz w:val="21"/>
                <w:szCs w:val="21"/>
                <w:highlight w:val="none"/>
                <w:lang w:val="en-US" w:eastAsia="zh-CN"/>
              </w:rPr>
              <w:t>十、十一、十二</w:t>
            </w:r>
            <w:r>
              <w:rPr>
                <w:rFonts w:hint="eastAsia" w:ascii="仿宋" w:hAnsi="仿宋" w:eastAsia="仿宋" w:cs="仿宋"/>
                <w:b/>
                <w:bCs/>
                <w:spacing w:val="-20"/>
                <w:kern w:val="0"/>
                <w:sz w:val="21"/>
                <w:szCs w:val="21"/>
                <w:highlight w:val="none"/>
              </w:rPr>
              <w:t>涉及产品种类不同，同一中标人无法保障服务进度及质量，故要求同一投标人在不同标项不能兼中，各标项推荐中标候选人或确定中标人的顺序和规则详见“第三章  投标人须知 六、评  标 （六）排序与推荐”；</w:t>
            </w:r>
          </w:p>
          <w:p w14:paraId="7AC19F0B">
            <w:pPr>
              <w:adjustRightInd w:val="0"/>
              <w:snapToGrid w:val="0"/>
              <w:spacing w:line="288" w:lineRule="auto"/>
              <w:jc w:val="left"/>
              <w:rPr>
                <w:rFonts w:hint="eastAsia" w:ascii="仿宋" w:hAnsi="仿宋" w:eastAsia="仿宋" w:cs="仿宋"/>
                <w:b/>
                <w:bCs/>
                <w:spacing w:val="-20"/>
                <w:kern w:val="0"/>
                <w:sz w:val="21"/>
                <w:szCs w:val="21"/>
                <w:highlight w:val="none"/>
                <w:lang w:val="en-US" w:eastAsia="zh-CN"/>
              </w:rPr>
            </w:pPr>
            <w:r>
              <w:rPr>
                <w:rFonts w:hint="eastAsia" w:ascii="仿宋" w:hAnsi="仿宋" w:eastAsia="仿宋" w:cs="仿宋"/>
                <w:b/>
                <w:bCs/>
                <w:spacing w:val="-20"/>
                <w:kern w:val="0"/>
                <w:sz w:val="21"/>
                <w:szCs w:val="21"/>
                <w:highlight w:val="none"/>
                <w:lang w:val="en-US" w:eastAsia="zh-CN"/>
              </w:rPr>
              <w:t>4.投标人应结合自身能力仔细对照 “整体抽检工作完成周期”，预判“最终产品任务批次数”不能满足完成要求者不能应标。</w:t>
            </w:r>
          </w:p>
          <w:p w14:paraId="291000DD">
            <w:pPr>
              <w:adjustRightInd w:val="0"/>
              <w:snapToGrid w:val="0"/>
              <w:spacing w:line="288" w:lineRule="auto"/>
              <w:jc w:val="left"/>
              <w:rPr>
                <w:rFonts w:hint="eastAsia" w:ascii="仿宋" w:hAnsi="仿宋" w:eastAsia="仿宋" w:cs="仿宋"/>
                <w:b/>
                <w:bCs/>
                <w:spacing w:val="-20"/>
                <w:kern w:val="0"/>
                <w:sz w:val="21"/>
                <w:szCs w:val="21"/>
                <w:highlight w:val="none"/>
              </w:rPr>
            </w:pPr>
            <w:r>
              <w:rPr>
                <w:rFonts w:hint="eastAsia" w:ascii="仿宋" w:hAnsi="仿宋" w:eastAsia="仿宋" w:cs="仿宋"/>
                <w:b/>
                <w:bCs/>
                <w:spacing w:val="-20"/>
                <w:kern w:val="0"/>
                <w:sz w:val="21"/>
                <w:szCs w:val="21"/>
                <w:highlight w:val="none"/>
                <w:lang w:val="en-US" w:eastAsia="zh-CN"/>
              </w:rPr>
              <w:t>5</w:t>
            </w:r>
            <w:r>
              <w:rPr>
                <w:rFonts w:hint="eastAsia" w:ascii="仿宋" w:hAnsi="仿宋" w:eastAsia="仿宋" w:cs="仿宋"/>
                <w:b/>
                <w:bCs/>
                <w:spacing w:val="-20"/>
                <w:kern w:val="0"/>
                <w:sz w:val="21"/>
                <w:szCs w:val="21"/>
                <w:highlight w:val="none"/>
              </w:rPr>
              <w:t>.本次招标仅设定单产品最低任务批次要求和产品采购预算，最终产品任务批次数按产品采购预算及单批次中标价格计算后通过任务文件下发；</w:t>
            </w:r>
          </w:p>
          <w:p w14:paraId="06B02B58">
            <w:pPr>
              <w:pStyle w:val="3"/>
              <w:ind w:firstLine="0"/>
              <w:jc w:val="both"/>
              <w:rPr>
                <w:rFonts w:hint="eastAsia" w:ascii="仿宋" w:hAnsi="仿宋" w:eastAsia="仿宋" w:cs="仿宋"/>
                <w:sz w:val="21"/>
                <w:szCs w:val="21"/>
                <w:highlight w:val="none"/>
                <w:lang w:val="en-US" w:eastAsia="zh-CN"/>
              </w:rPr>
            </w:pPr>
            <w:r>
              <w:rPr>
                <w:rFonts w:hint="eastAsia" w:ascii="仿宋" w:hAnsi="仿宋" w:eastAsia="仿宋" w:cs="仿宋"/>
                <w:b/>
                <w:bCs/>
                <w:spacing w:val="-20"/>
                <w:kern w:val="0"/>
                <w:sz w:val="21"/>
                <w:szCs w:val="21"/>
                <w:highlight w:val="none"/>
                <w:lang w:val="en-US" w:eastAsia="zh-CN"/>
              </w:rPr>
              <w:t>6</w:t>
            </w:r>
            <w:r>
              <w:rPr>
                <w:rFonts w:hint="eastAsia" w:ascii="仿宋" w:hAnsi="仿宋" w:eastAsia="仿宋" w:cs="仿宋"/>
                <w:b/>
                <w:bCs/>
                <w:spacing w:val="-20"/>
                <w:kern w:val="0"/>
                <w:sz w:val="21"/>
                <w:szCs w:val="21"/>
                <w:highlight w:val="none"/>
              </w:rPr>
              <w:t xml:space="preserve">.每个标项的具体细则（分类产品名称、检验项目（抽查项目名称）、检验依据、检验方法等）另附（详见招标公告附件）。 </w:t>
            </w:r>
          </w:p>
        </w:tc>
      </w:tr>
    </w:tbl>
    <w:p w14:paraId="5ABF19F9">
      <w:pPr>
        <w:adjustRightInd w:val="0"/>
        <w:snapToGrid w:val="0"/>
        <w:spacing w:line="288" w:lineRule="auto"/>
        <w:jc w:val="center"/>
        <w:outlineLvl w:val="0"/>
        <w:rPr>
          <w:rFonts w:hint="eastAsia" w:ascii="仿宋" w:hAnsi="仿宋" w:eastAsia="仿宋" w:cs="仿宋"/>
          <w:b/>
          <w:sz w:val="32"/>
          <w:szCs w:val="32"/>
          <w:highlight w:val="none"/>
        </w:rPr>
        <w:sectPr>
          <w:pgSz w:w="16838" w:h="11906" w:orient="landscape"/>
          <w:pgMar w:top="1247" w:right="1440" w:bottom="1247" w:left="1440" w:header="283" w:footer="850" w:gutter="0"/>
          <w:cols w:space="0" w:num="1"/>
          <w:docGrid w:linePitch="381" w:charSpace="0"/>
        </w:sectPr>
      </w:pPr>
    </w:p>
    <w:p w14:paraId="64345E5F">
      <w:pPr>
        <w:adjustRightInd w:val="0"/>
        <w:snapToGrid w:val="0"/>
        <w:spacing w:line="288" w:lineRule="auto"/>
        <w:ind w:left="0" w:leftChars="0" w:right="0" w:rightChars="0" w:firstLine="0" w:firstLineChars="0"/>
        <w:jc w:val="center"/>
        <w:outlineLvl w:val="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47D94547">
      <w:pPr>
        <w:adjustRightInd w:val="0"/>
        <w:snapToGrid w:val="0"/>
        <w:spacing w:line="288"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7"/>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741"/>
        <w:gridCol w:w="6983"/>
      </w:tblGrid>
      <w:tr w14:paraId="2152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6E80A1D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905" w:type="pct"/>
            <w:vAlign w:val="center"/>
          </w:tcPr>
          <w:p w14:paraId="2FA146B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630" w:type="pct"/>
            <w:vAlign w:val="center"/>
          </w:tcPr>
          <w:p w14:paraId="1ED80C7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1462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37C9173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905" w:type="pct"/>
            <w:vAlign w:val="center"/>
          </w:tcPr>
          <w:p w14:paraId="54FD5A2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630" w:type="pct"/>
            <w:vAlign w:val="center"/>
          </w:tcPr>
          <w:p w14:paraId="5E158643">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2025年度浙江省工业生产资料产品质量监督抽查抽样检验机构技术服务采购项目</w:t>
            </w:r>
            <w:r>
              <w:rPr>
                <w:rFonts w:hint="eastAsia" w:ascii="仿宋" w:hAnsi="仿宋" w:eastAsia="仿宋" w:cs="仿宋"/>
                <w:color w:val="auto"/>
                <w:sz w:val="18"/>
                <w:szCs w:val="18"/>
                <w:highlight w:val="none"/>
              </w:rPr>
              <w:t>的招标、评标、定标、验收、合同履约、付款等（法律、法规另有规定的，从其规定）</w:t>
            </w:r>
          </w:p>
        </w:tc>
      </w:tr>
      <w:tr w14:paraId="3E3B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52183D2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905" w:type="pct"/>
            <w:vAlign w:val="center"/>
          </w:tcPr>
          <w:p w14:paraId="4A902E1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630" w:type="pct"/>
            <w:vAlign w:val="center"/>
          </w:tcPr>
          <w:p w14:paraId="3D30DF4D">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1075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1BC0DFF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905" w:type="pct"/>
            <w:vAlign w:val="center"/>
          </w:tcPr>
          <w:p w14:paraId="3A2A8C3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630" w:type="pct"/>
            <w:vAlign w:val="center"/>
          </w:tcPr>
          <w:p w14:paraId="14660DB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3D47BEC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4DDAAFE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B478DE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27"/>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901"/>
              <w:gridCol w:w="3483"/>
            </w:tblGrid>
            <w:tr w14:paraId="005966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1901" w:type="dxa"/>
                  <w:tcMar>
                    <w:top w:w="0" w:type="dxa"/>
                    <w:left w:w="108" w:type="dxa"/>
                    <w:bottom w:w="0" w:type="dxa"/>
                    <w:right w:w="108" w:type="dxa"/>
                  </w:tcMar>
                  <w:vAlign w:val="center"/>
                </w:tcPr>
                <w:p w14:paraId="7E13F33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中标金额（万元）</w:t>
                  </w:r>
                </w:p>
              </w:tc>
              <w:tc>
                <w:tcPr>
                  <w:tcW w:w="3483" w:type="dxa"/>
                  <w:tcMar>
                    <w:top w:w="0" w:type="dxa"/>
                    <w:left w:w="108" w:type="dxa"/>
                    <w:bottom w:w="0" w:type="dxa"/>
                    <w:right w:w="108" w:type="dxa"/>
                  </w:tcMar>
                  <w:vAlign w:val="center"/>
                </w:tcPr>
                <w:p w14:paraId="46412F5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收费标准（费率，%）</w:t>
                  </w:r>
                </w:p>
              </w:tc>
            </w:tr>
            <w:tr w14:paraId="73A47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901" w:type="dxa"/>
                  <w:tcMar>
                    <w:top w:w="0" w:type="dxa"/>
                    <w:left w:w="108" w:type="dxa"/>
                    <w:bottom w:w="0" w:type="dxa"/>
                    <w:right w:w="108" w:type="dxa"/>
                  </w:tcMar>
                  <w:vAlign w:val="center"/>
                </w:tcPr>
                <w:p w14:paraId="5F6F5EC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100以下</w:t>
                  </w:r>
                </w:p>
              </w:tc>
              <w:tc>
                <w:tcPr>
                  <w:tcW w:w="3483" w:type="dxa"/>
                  <w:tcMar>
                    <w:top w:w="0" w:type="dxa"/>
                    <w:left w:w="108" w:type="dxa"/>
                    <w:bottom w:w="0" w:type="dxa"/>
                    <w:right w:w="108" w:type="dxa"/>
                  </w:tcMar>
                  <w:vAlign w:val="center"/>
                </w:tcPr>
                <w:p w14:paraId="2EA4AD8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0.9（不足壹仟伍佰元按壹仟伍佰元收取）</w:t>
                  </w:r>
                </w:p>
              </w:tc>
            </w:tr>
          </w:tbl>
          <w:p w14:paraId="5A07BD9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1CF7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08113E0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905" w:type="pct"/>
            <w:vAlign w:val="center"/>
          </w:tcPr>
          <w:p w14:paraId="0E3DCE5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630" w:type="pct"/>
            <w:vAlign w:val="center"/>
          </w:tcPr>
          <w:p w14:paraId="6355000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1A49066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[2025年1月（含）至今任意一月]</w:t>
            </w:r>
            <w:r>
              <w:rPr>
                <w:rFonts w:hint="eastAsia" w:ascii="仿宋" w:hAnsi="仿宋" w:eastAsia="仿宋" w:cs="仿宋"/>
                <w:color w:val="auto"/>
                <w:sz w:val="18"/>
                <w:szCs w:val="18"/>
                <w:highlight w:val="none"/>
              </w:rPr>
              <w:t>证明；</w:t>
            </w:r>
          </w:p>
          <w:p w14:paraId="029204B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1F80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6AA905A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905" w:type="pct"/>
            <w:vAlign w:val="center"/>
          </w:tcPr>
          <w:p w14:paraId="6FDEC20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630" w:type="pct"/>
            <w:vAlign w:val="center"/>
          </w:tcPr>
          <w:p w14:paraId="5119D3A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5F62885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064602F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62A8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0FEDADD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905" w:type="pct"/>
            <w:vAlign w:val="center"/>
          </w:tcPr>
          <w:p w14:paraId="13DD90C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630" w:type="pct"/>
            <w:vAlign w:val="center"/>
          </w:tcPr>
          <w:p w14:paraId="1AE1BFB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54A8049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2.本项目允许分包，可以分包履行的（非主体、非关键性的工作）具体内容、金额或者比例：</w:t>
            </w:r>
            <w:r>
              <w:rPr>
                <w:rFonts w:hint="eastAsia" w:ascii="仿宋" w:hAnsi="仿宋" w:eastAsia="仿宋" w:cs="仿宋"/>
                <w:color w:val="auto"/>
                <w:sz w:val="18"/>
                <w:szCs w:val="18"/>
                <w:highlight w:val="none"/>
                <w:lang w:val="en-US" w:eastAsia="zh-CN"/>
              </w:rPr>
              <w:t>详见第二章 采购需求</w:t>
            </w:r>
            <w:r>
              <w:rPr>
                <w:rFonts w:hint="eastAsia" w:ascii="仿宋" w:hAnsi="仿宋" w:eastAsia="仿宋" w:cs="仿宋"/>
                <w:color w:val="auto"/>
                <w:sz w:val="18"/>
                <w:szCs w:val="18"/>
                <w:highlight w:val="none"/>
              </w:rPr>
              <w:t>。</w:t>
            </w:r>
          </w:p>
          <w:p w14:paraId="4007A30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745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052B256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905" w:type="pct"/>
            <w:vAlign w:val="center"/>
          </w:tcPr>
          <w:p w14:paraId="4C4D0F6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630" w:type="pct"/>
            <w:vAlign w:val="center"/>
          </w:tcPr>
          <w:p w14:paraId="770C1A4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1C4043B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27ED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0168961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905" w:type="pct"/>
            <w:vAlign w:val="center"/>
          </w:tcPr>
          <w:p w14:paraId="033ED29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630" w:type="pct"/>
            <w:vAlign w:val="center"/>
          </w:tcPr>
          <w:p w14:paraId="6A54059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报价应按招标文件要求的格式编制、</w:t>
            </w:r>
            <w:r>
              <w:rPr>
                <w:rFonts w:hint="eastAsia" w:ascii="仿宋" w:hAnsi="仿宋" w:eastAsia="仿宋" w:cs="仿宋"/>
                <w:color w:val="auto"/>
                <w:sz w:val="18"/>
                <w:szCs w:val="18"/>
                <w:highlight w:val="none"/>
                <w:lang w:eastAsia="zh-CN"/>
              </w:rPr>
              <w:t>填写报价内容</w:t>
            </w:r>
            <w:r>
              <w:rPr>
                <w:rFonts w:hint="eastAsia" w:ascii="仿宋" w:hAnsi="仿宋" w:eastAsia="仿宋" w:cs="仿宋"/>
                <w:color w:val="auto"/>
                <w:sz w:val="18"/>
                <w:szCs w:val="18"/>
                <w:highlight w:val="none"/>
              </w:rPr>
              <w:t>，未按招标文件要求编制、填写的投标文件可能被拒绝；</w:t>
            </w:r>
          </w:p>
          <w:p w14:paraId="40DD6A56">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lang w:val="en-US" w:eastAsia="zh-CN"/>
              </w:rPr>
              <w:t>2.以人民币报价；</w:t>
            </w:r>
          </w:p>
          <w:p w14:paraId="20273B1D">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bCs/>
                <w:color w:val="auto"/>
                <w:sz w:val="18"/>
                <w:szCs w:val="18"/>
                <w:highlight w:val="none"/>
                <w:lang w:val="en-US" w:eastAsia="zh-CN"/>
              </w:rPr>
              <w:t>3.</w:t>
            </w:r>
            <w:r>
              <w:rPr>
                <w:rFonts w:hint="eastAsia" w:ascii="仿宋" w:hAnsi="仿宋" w:eastAsia="仿宋" w:cs="仿宋"/>
                <w:bCs/>
                <w:color w:val="auto"/>
                <w:sz w:val="18"/>
                <w:szCs w:val="18"/>
                <w:highlight w:val="none"/>
                <w:lang w:eastAsia="zh-CN"/>
              </w:rPr>
              <w:t>投标报价是履行合同的最终价格，应包含履行所有规定服务所产生的全部费用，包括但不限于采购需求中需投标人承担的费用及潜在可能涉及的完成本项目的其它费用和政策性文件规定及合同包含的所有风险、责任和义务等一切应由采购人支付的费用；总价不为零，分项报价中部分服务单价为零的，视作已包含在总价中。</w:t>
            </w:r>
          </w:p>
          <w:p w14:paraId="03CA9230">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lang w:val="en-US"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采购人将以合同形式</w:t>
            </w:r>
            <w:r>
              <w:rPr>
                <w:rFonts w:hint="eastAsia" w:ascii="仿宋" w:hAnsi="仿宋" w:eastAsia="仿宋" w:cs="仿宋"/>
                <w:color w:val="auto"/>
                <w:sz w:val="18"/>
                <w:szCs w:val="18"/>
                <w:highlight w:val="none"/>
                <w:lang w:eastAsia="zh-CN"/>
              </w:rPr>
              <w:t>有偿取得服务</w:t>
            </w:r>
            <w:r>
              <w:rPr>
                <w:rFonts w:hint="eastAsia" w:ascii="仿宋" w:hAnsi="仿宋" w:eastAsia="仿宋" w:cs="仿宋"/>
                <w:color w:val="auto"/>
                <w:sz w:val="18"/>
                <w:szCs w:val="18"/>
                <w:highlight w:val="none"/>
              </w:rPr>
              <w:t>，不接受投标人给予的赠品、回扣或者与采购无关的其他商品、服务</w:t>
            </w:r>
            <w:r>
              <w:rPr>
                <w:rFonts w:hint="eastAsia" w:ascii="仿宋" w:hAnsi="仿宋" w:eastAsia="仿宋" w:cs="仿宋"/>
                <w:color w:val="auto"/>
                <w:sz w:val="18"/>
                <w:szCs w:val="18"/>
                <w:highlight w:val="none"/>
                <w:lang w:eastAsia="zh-CN"/>
              </w:rPr>
              <w:t>。</w:t>
            </w:r>
          </w:p>
        </w:tc>
      </w:tr>
      <w:tr w14:paraId="6D2A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78BCBE7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905" w:type="pct"/>
            <w:vAlign w:val="center"/>
          </w:tcPr>
          <w:p w14:paraId="3D586F0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630" w:type="pct"/>
            <w:vAlign w:val="center"/>
          </w:tcPr>
          <w:p w14:paraId="1F0DF43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2CC8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695503D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905" w:type="pct"/>
            <w:vAlign w:val="center"/>
          </w:tcPr>
          <w:p w14:paraId="69F2C80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w:t>
            </w:r>
          </w:p>
          <w:p w14:paraId="10BB7E7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资格证明材料</w:t>
            </w:r>
          </w:p>
        </w:tc>
        <w:tc>
          <w:tcPr>
            <w:tcW w:w="3630" w:type="pct"/>
            <w:vAlign w:val="center"/>
          </w:tcPr>
          <w:p w14:paraId="719807F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1492937D">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1）有效的法人或者其他组织的营业执照等证明文件/自然人的身份证明</w:t>
            </w:r>
          </w:p>
          <w:p w14:paraId="2613FCA5">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2）符合参加政府采购活动应当具备的一般条件的承诺函</w:t>
            </w:r>
          </w:p>
          <w:p w14:paraId="37661226">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3）本项目的特定资格要求证明材料</w:t>
            </w:r>
          </w:p>
          <w:p w14:paraId="3C498391">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4）联合协议（若联合体投标）</w:t>
            </w:r>
          </w:p>
          <w:p w14:paraId="0EB948B4">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5）分包意向协议（若中标后以分包方式履行合同）</w:t>
            </w:r>
          </w:p>
          <w:p w14:paraId="2FFB744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sz w:val="18"/>
                <w:szCs w:val="18"/>
                <w:highlight w:val="none"/>
              </w:rPr>
              <w:t>备注：如联合体投标则联合体双方均需满足（1）&amp;（2）&amp;（3）项资格要求</w:t>
            </w:r>
          </w:p>
        </w:tc>
      </w:tr>
      <w:tr w14:paraId="3BD8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0DFDEEF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905" w:type="pct"/>
            <w:vAlign w:val="center"/>
          </w:tcPr>
          <w:p w14:paraId="0FD8C4C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630" w:type="pct"/>
            <w:vAlign w:val="center"/>
          </w:tcPr>
          <w:p w14:paraId="3D09147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24B6C82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2DA0E69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107F218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25447A1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59E47B4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5AD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4E2EC6C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905" w:type="pct"/>
            <w:vAlign w:val="center"/>
          </w:tcPr>
          <w:p w14:paraId="2DECE02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w:t>
            </w:r>
          </w:p>
          <w:p w14:paraId="451BC40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标准</w:t>
            </w:r>
          </w:p>
        </w:tc>
        <w:tc>
          <w:tcPr>
            <w:tcW w:w="3630" w:type="pct"/>
            <w:vAlign w:val="center"/>
          </w:tcPr>
          <w:p w14:paraId="09E52DA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2DEA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67421C0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905" w:type="pct"/>
            <w:vAlign w:val="center"/>
          </w:tcPr>
          <w:p w14:paraId="636B45E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630" w:type="pct"/>
            <w:vAlign w:val="center"/>
          </w:tcPr>
          <w:p w14:paraId="3F74FA6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486F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48DC3BD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905" w:type="pct"/>
            <w:vAlign w:val="center"/>
          </w:tcPr>
          <w:p w14:paraId="6ABF98D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630" w:type="pct"/>
            <w:vAlign w:val="center"/>
          </w:tcPr>
          <w:p w14:paraId="4BC6C5B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538089D8">
      <w:pPr>
        <w:adjustRightInd w:val="0"/>
        <w:snapToGrid w:val="0"/>
        <w:spacing w:line="288" w:lineRule="auto"/>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AA392B2">
      <w:pPr>
        <w:adjustRightInd w:val="0"/>
        <w:snapToGrid w:val="0"/>
        <w:spacing w:line="288" w:lineRule="auto"/>
        <w:ind w:left="0" w:leftChars="0" w:right="0" w:rightChars="0" w:firstLine="0" w:firstLineChars="0"/>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4485515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32"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2"/>
    <w:p w14:paraId="7A4C7B8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602110D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2025年度浙江省工业生产资料产品质量监督抽查抽样检验机构技术服务采购项目</w:t>
      </w:r>
      <w:r>
        <w:rPr>
          <w:rFonts w:hint="eastAsia" w:ascii="仿宋" w:hAnsi="仿宋" w:eastAsia="仿宋" w:cs="仿宋"/>
          <w:color w:val="auto"/>
          <w:spacing w:val="-6"/>
          <w:szCs w:val="21"/>
          <w:highlight w:val="none"/>
        </w:rPr>
        <w:t>的招标、评标、定标、验收、合同履约、付款等（法律、法规另有规定的，从其规定）。</w:t>
      </w:r>
    </w:p>
    <w:p w14:paraId="7D9F2132">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2EEAFA1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浙江省市场监督管理局</w:t>
      </w:r>
      <w:r>
        <w:rPr>
          <w:rFonts w:hint="eastAsia" w:ascii="仿宋" w:hAnsi="仿宋" w:eastAsia="仿宋" w:cs="仿宋"/>
          <w:color w:val="auto"/>
          <w:spacing w:val="-6"/>
          <w:szCs w:val="21"/>
          <w:highlight w:val="none"/>
        </w:rPr>
        <w:t>；</w:t>
      </w:r>
    </w:p>
    <w:p w14:paraId="359E8E3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44F7712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42A7043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78F65524">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3"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3"/>
    <w:p w14:paraId="2E616AC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0698A2BD">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3DB06B1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0E1860C1">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2632732F">
      <w:pPr>
        <w:adjustRightInd w:val="0"/>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0D0712B2">
      <w:pPr>
        <w:adjustRightInd w:val="0"/>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1FD5A566">
      <w:pPr>
        <w:adjustRightInd w:val="0"/>
        <w:snapToGrid w:val="0"/>
        <w:spacing w:line="288"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840B28">
      <w:pPr>
        <w:adjustRightInd w:val="0"/>
        <w:snapToGrid w:val="0"/>
        <w:spacing w:line="288" w:lineRule="auto"/>
        <w:ind w:firstLine="424" w:firstLineChars="202"/>
        <w:jc w:val="lef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27"/>
        <w:tblW w:w="58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69"/>
        <w:gridCol w:w="3956"/>
      </w:tblGrid>
      <w:tr w14:paraId="1582F6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69" w:type="dxa"/>
            <w:tcMar>
              <w:top w:w="0" w:type="dxa"/>
              <w:left w:w="108" w:type="dxa"/>
              <w:bottom w:w="0" w:type="dxa"/>
              <w:right w:w="108" w:type="dxa"/>
            </w:tcMar>
            <w:vAlign w:val="center"/>
          </w:tcPr>
          <w:p w14:paraId="735CC629">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中标</w:t>
            </w:r>
            <w:r>
              <w:rPr>
                <w:rFonts w:hint="eastAsia" w:ascii="仿宋" w:hAnsi="仿宋" w:eastAsia="仿宋" w:cs="仿宋"/>
                <w:b/>
                <w:bCs/>
                <w:color w:val="auto"/>
                <w:szCs w:val="21"/>
                <w:highlight w:val="none"/>
              </w:rPr>
              <w:t>金额（万元）</w:t>
            </w:r>
          </w:p>
        </w:tc>
        <w:tc>
          <w:tcPr>
            <w:tcW w:w="3956" w:type="dxa"/>
            <w:tcMar>
              <w:top w:w="0" w:type="dxa"/>
              <w:left w:w="108" w:type="dxa"/>
              <w:bottom w:w="0" w:type="dxa"/>
              <w:right w:w="108" w:type="dxa"/>
            </w:tcMar>
            <w:vAlign w:val="center"/>
          </w:tcPr>
          <w:p w14:paraId="4BC8DE1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233A39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1869" w:type="dxa"/>
            <w:tcMar>
              <w:top w:w="0" w:type="dxa"/>
              <w:left w:w="108" w:type="dxa"/>
              <w:bottom w:w="0" w:type="dxa"/>
              <w:right w:w="108" w:type="dxa"/>
            </w:tcMar>
            <w:vAlign w:val="center"/>
          </w:tcPr>
          <w:p w14:paraId="7F2FA6B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100以下</w:t>
            </w:r>
          </w:p>
        </w:tc>
        <w:tc>
          <w:tcPr>
            <w:tcW w:w="3956" w:type="dxa"/>
            <w:tcMar>
              <w:top w:w="0" w:type="dxa"/>
              <w:left w:w="108" w:type="dxa"/>
              <w:bottom w:w="0" w:type="dxa"/>
              <w:right w:w="108" w:type="dxa"/>
            </w:tcMar>
            <w:vAlign w:val="center"/>
          </w:tcPr>
          <w:p w14:paraId="0C3D4D5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0.9（不足壹仟伍佰元按壹仟伍佰元收取）</w:t>
            </w:r>
          </w:p>
        </w:tc>
      </w:tr>
    </w:tbl>
    <w:p w14:paraId="3D9D2345">
      <w:pPr>
        <w:adjustRightInd w:val="0"/>
        <w:snapToGrid w:val="0"/>
        <w:spacing w:line="288" w:lineRule="auto"/>
        <w:ind w:firstLine="399" w:firstLineChars="202"/>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2FE5D82E">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09F76D74">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300F1BC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[2025年1月（含）至今任意一月]</w:t>
      </w:r>
      <w:r>
        <w:rPr>
          <w:rFonts w:hint="eastAsia" w:ascii="仿宋" w:hAnsi="仿宋" w:eastAsia="仿宋" w:cs="仿宋"/>
          <w:color w:val="auto"/>
          <w:spacing w:val="-6"/>
          <w:szCs w:val="21"/>
          <w:highlight w:val="none"/>
        </w:rPr>
        <w:t>证明；</w:t>
      </w:r>
    </w:p>
    <w:p w14:paraId="686E97D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0A9F571C">
      <w:pPr>
        <w:adjustRightInd w:val="0"/>
        <w:snapToGrid w:val="0"/>
        <w:spacing w:line="288" w:lineRule="auto"/>
        <w:outlineLvl w:val="2"/>
        <w:rPr>
          <w:rFonts w:hint="eastAsia"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3CD7D79C">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5A7DC187">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50ADB8F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6AD1F0C">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27974E67">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1.本项目不允许转包；</w:t>
      </w:r>
    </w:p>
    <w:p w14:paraId="22F4250E">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rPr>
        <w:t>2.本项目允许分包，可以分包履行的（非主体、非关键性的工作）具体内容、金额或者比例：</w:t>
      </w:r>
      <w:r>
        <w:rPr>
          <w:rFonts w:hint="eastAsia" w:ascii="仿宋" w:hAnsi="仿宋" w:eastAsia="仿宋" w:cs="仿宋"/>
          <w:b w:val="0"/>
          <w:bCs w:val="0"/>
          <w:color w:val="auto"/>
          <w:spacing w:val="-6"/>
          <w:szCs w:val="21"/>
          <w:highlight w:val="none"/>
          <w:lang w:val="en-US" w:eastAsia="zh-CN"/>
        </w:rPr>
        <w:t>详见第二章 采购需求</w:t>
      </w:r>
      <w:r>
        <w:rPr>
          <w:rFonts w:hint="eastAsia" w:ascii="仿宋" w:hAnsi="仿宋" w:eastAsia="仿宋" w:cs="仿宋"/>
          <w:b w:val="0"/>
          <w:bCs w:val="0"/>
          <w:color w:val="auto"/>
          <w:spacing w:val="-6"/>
          <w:szCs w:val="21"/>
          <w:highlight w:val="none"/>
        </w:rPr>
        <w:t>。</w:t>
      </w:r>
    </w:p>
    <w:p w14:paraId="54A1B482">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8698470">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1F094FB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34"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4"/>
    <w:p w14:paraId="745EA4A1">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4AC66F7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2AEF556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7F5E37B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063405B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2C19B29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311452C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7B902BA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6AB1552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7937FF6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4A4C412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482128A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22DA0E3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1FF2BDA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2BD57033">
      <w:pPr>
        <w:adjustRightInd w:val="0"/>
        <w:snapToGrid w:val="0"/>
        <w:spacing w:line="288" w:lineRule="auto"/>
        <w:outlineLvl w:val="2"/>
        <w:rPr>
          <w:rFonts w:hint="eastAsia" w:ascii="仿宋" w:hAnsi="仿宋" w:eastAsia="仿宋" w:cs="仿宋"/>
          <w:color w:val="auto"/>
          <w:szCs w:val="21"/>
          <w:highlight w:val="none"/>
        </w:rPr>
      </w:pPr>
      <w:bookmarkStart w:id="35" w:name="_Hlk92273111"/>
      <w:bookmarkStart w:id="36"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5"/>
    <w:p w14:paraId="0A3E531D">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1.进口产品</w:t>
      </w:r>
    </w:p>
    <w:p w14:paraId="11E2E671">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1FCE4F4B">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0BD2AC74">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8163789">
      <w:pPr>
        <w:adjustRightInd w:val="0"/>
        <w:snapToGrid w:val="0"/>
        <w:spacing w:line="288" w:lineRule="auto"/>
        <w:ind w:firstLine="398"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348A7C19">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23527D6B">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▲采购人拟采购产品属于节能产品政府采购清单规定必须强制采购的，将在招标文件中明确载明，供应商相应的投标产品须提供国家确定的认证机构出具的、处于有效期之内的节能产品认证证书。</w:t>
      </w:r>
    </w:p>
    <w:p w14:paraId="2F82EB49">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3414444C">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rPr>
        <w:t>首台套、“制造精品”、“专精特新”等创新产品按规定享受政府采购支持政策。</w:t>
      </w:r>
    </w:p>
    <w:p w14:paraId="6C4E087C">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支持中小企业发展</w:t>
      </w:r>
      <w:bookmarkStart w:id="49" w:name="_GoBack"/>
      <w:bookmarkEnd w:id="49"/>
    </w:p>
    <w:p w14:paraId="0B03A6B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0BF386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D3A27C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3D3C434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中小企业享受扶持政策获得政府采购合同的，小微企业不得将合同分包给大中型企业，中型企业不得将合同分包给大型企业。</w:t>
      </w:r>
    </w:p>
    <w:p w14:paraId="53F5EE2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.4 以联合体形式参加政府采购活动，联合体各方均为中小企业的，联合体视同中小企业。其中，联合体各方均为小微企业的，联合体视同小微企业。</w:t>
      </w:r>
    </w:p>
    <w:p w14:paraId="2F58171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50E93BE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组成联合体或者接受分包合同的中小企业与联合体内其他企业、分包企业之间不得存在直接控股、管理关系。</w:t>
      </w:r>
    </w:p>
    <w:p w14:paraId="0001148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专门面向中小企业采购的项目或者采购包，不再执行价格评审优惠的扶持政策。</w:t>
      </w:r>
    </w:p>
    <w:p w14:paraId="34B620F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DE978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.7 中小企业参加政府采购活动，应当出具办法规定的《中小企业声明函》，否则不得享受相关中小企业扶持政策。</w:t>
      </w:r>
    </w:p>
    <w:p w14:paraId="6BA5395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DB058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.8 供应商提供《中小企业声明函》内容不实的，属于提供虚假材料谋取中标，依照《中华人民共和国政府采购法》等国家有关规定追究相应责任。</w:t>
      </w:r>
    </w:p>
    <w:p w14:paraId="53DA72C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.9 供应商提供的《中小企业声明函》中，企业数据（如从业人员</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营业收入</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资产总额）有误的，采购</w:t>
      </w:r>
      <w:r>
        <w:rPr>
          <w:rFonts w:hint="eastAsia" w:ascii="仿宋" w:hAnsi="仿宋" w:eastAsia="仿宋" w:cs="仿宋"/>
          <w:color w:val="auto"/>
          <w:spacing w:val="-6"/>
          <w:szCs w:val="21"/>
          <w:highlight w:val="none"/>
          <w:lang w:val="en-US" w:eastAsia="zh-CN"/>
        </w:rPr>
        <w:t>代理</w:t>
      </w:r>
      <w:r>
        <w:rPr>
          <w:rFonts w:hint="eastAsia" w:ascii="仿宋" w:hAnsi="仿宋" w:eastAsia="仿宋" w:cs="仿宋"/>
          <w:color w:val="auto"/>
          <w:spacing w:val="-6"/>
          <w:szCs w:val="21"/>
          <w:highlight w:val="none"/>
        </w:rPr>
        <w:t>机构或评标委员会可以要求供应商进行澄清、说明。但《中小企业声明函》出现下列情形的，《中小企业声明函》无效，不享受《政府采购促进中小企业发展管理办法》规定的中小企业扶持政策：</w:t>
      </w:r>
    </w:p>
    <w:p w14:paraId="5BA94ED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（1）内容未包括全部采购标的；</w:t>
      </w:r>
    </w:p>
    <w:p w14:paraId="3B89962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（2）未填写标的所属行业，或者填写的所属行业与</w:t>
      </w:r>
      <w:r>
        <w:rPr>
          <w:rFonts w:hint="eastAsia" w:ascii="仿宋" w:hAnsi="仿宋" w:eastAsia="仿宋" w:cs="仿宋"/>
          <w:color w:val="auto"/>
          <w:spacing w:val="-6"/>
          <w:szCs w:val="21"/>
          <w:highlight w:val="none"/>
          <w:lang w:val="en-US" w:eastAsia="zh-CN"/>
        </w:rPr>
        <w:t>招标</w:t>
      </w:r>
      <w:r>
        <w:rPr>
          <w:rFonts w:hint="eastAsia" w:ascii="仿宋" w:hAnsi="仿宋" w:eastAsia="仿宋" w:cs="仿宋"/>
          <w:color w:val="auto"/>
          <w:spacing w:val="-6"/>
          <w:szCs w:val="21"/>
          <w:highlight w:val="none"/>
        </w:rPr>
        <w:t>文件明确的所属行业不一致；</w:t>
      </w:r>
    </w:p>
    <w:p w14:paraId="65E6EBC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（3）未填写企业类型、填写的企业类型不明确或填写的企业类型与实际不符（即：企业类型（中型企业、小型企业或微型企业）填写错误）。</w:t>
      </w:r>
    </w:p>
    <w:p w14:paraId="261BE81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供应商声明的类型获得了本不应获得的利益（价格扣除或者资格审查通过），属于提供虚假材料。构成“提供虚假材料谋取中标的”，依法承担法律责任。</w:t>
      </w:r>
    </w:p>
    <w:p w14:paraId="0E37B353">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政府采购支持监狱企业发展</w:t>
      </w:r>
    </w:p>
    <w:p w14:paraId="0354D92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3D9114C">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6.</w:t>
      </w:r>
      <w:r>
        <w:rPr>
          <w:rFonts w:hint="eastAsia" w:ascii="仿宋" w:hAnsi="仿宋" w:eastAsia="仿宋" w:cs="仿宋"/>
          <w:b/>
          <w:bCs/>
          <w:color w:val="auto"/>
          <w:spacing w:val="-6"/>
          <w:szCs w:val="21"/>
          <w:highlight w:val="none"/>
        </w:rPr>
        <w:t>政府采购促进残疾人就业</w:t>
      </w:r>
    </w:p>
    <w:p w14:paraId="7C2DA8D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符合《关于促进残疾人就业政府采购政策的通知》（财库[2017]141号）规定的条件并提供《残疾人福利性单位声明函》的残疾人福利性单位视同小型、微型企业。</w:t>
      </w:r>
    </w:p>
    <w:p w14:paraId="0F91E752">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p>
    <w:p w14:paraId="5857DCD5">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6"/>
    <w:p w14:paraId="01BE6743">
      <w:pPr>
        <w:adjustRightInd w:val="0"/>
        <w:snapToGrid w:val="0"/>
        <w:spacing w:line="288" w:lineRule="auto"/>
        <w:ind w:left="0" w:leftChars="0" w:right="0" w:rightChars="0" w:firstLine="0" w:firstLineChars="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D8EFCCF">
      <w:pPr>
        <w:adjustRightInd w:val="0"/>
        <w:snapToGrid w:val="0"/>
        <w:spacing w:line="288" w:lineRule="auto"/>
        <w:ind w:left="0" w:leftChars="0" w:right="0" w:rightChars="0" w:firstLine="0" w:firstLineChars="0"/>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53661029">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03804E01">
      <w:pPr>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6212414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5F0F222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7E465CA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646F8B93">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3492D6B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4A6591E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410AFD8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4FDD9D1E">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2921769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717504F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02DC1D3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4244988B">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7D39E91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697AA6C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057D854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37"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467E90D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7"/>
    <w:p w14:paraId="4EA9F7A7">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0B1BEDE7">
      <w:pPr>
        <w:adjustRightInd w:val="0"/>
        <w:snapToGrid w:val="0"/>
        <w:spacing w:line="288" w:lineRule="auto"/>
        <w:ind w:firstLine="396" w:firstLineChars="200"/>
        <w:jc w:val="left"/>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01D8AC7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38" w:name="_Hlk96329183"/>
      <w:r>
        <w:rPr>
          <w:rFonts w:hint="eastAsia" w:ascii="仿宋" w:hAnsi="仿宋" w:eastAsia="仿宋" w:cs="仿宋"/>
          <w:color w:val="auto"/>
          <w:spacing w:val="-6"/>
          <w:szCs w:val="21"/>
          <w:highlight w:val="none"/>
        </w:rPr>
        <w:t>加盖公章</w:t>
      </w:r>
      <w:bookmarkEnd w:id="38"/>
      <w:r>
        <w:rPr>
          <w:rFonts w:hint="eastAsia" w:ascii="仿宋" w:hAnsi="仿宋" w:eastAsia="仿宋" w:cs="仿宋"/>
          <w:color w:val="auto"/>
          <w:spacing w:val="-6"/>
          <w:szCs w:val="21"/>
          <w:highlight w:val="none"/>
        </w:rPr>
        <w:t>，投标人应写全称；</w:t>
      </w:r>
    </w:p>
    <w:p w14:paraId="553023E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12A4643B">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3BA8B409">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31068153">
      <w:pPr>
        <w:adjustRightInd w:val="0"/>
        <w:snapToGrid w:val="0"/>
        <w:spacing w:line="288" w:lineRule="auto"/>
        <w:ind w:firstLine="422"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1F226E30">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1CEAA71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56C577D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71CBC50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6D20F684">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4751D62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63A01C5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188B3A7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5D7DD15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39" w:name="_Hlk94018616"/>
      <w:r>
        <w:rPr>
          <w:rFonts w:hint="eastAsia" w:ascii="仿宋" w:hAnsi="仿宋" w:eastAsia="仿宋" w:cs="仿宋"/>
          <w:color w:val="auto"/>
          <w:spacing w:val="-6"/>
          <w:szCs w:val="21"/>
          <w:highlight w:val="none"/>
          <w:lang w:eastAsia="zh-CN"/>
        </w:rPr>
        <w:t>；</w:t>
      </w:r>
    </w:p>
    <w:p w14:paraId="00DE59F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39"/>
    <w:p w14:paraId="5086122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73ED9100">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3C4FC2E2">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50AB098D">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"https://edu.zcygov.cn/luban/e-biding" </w:instrText>
      </w:r>
      <w:r>
        <w:rPr>
          <w:rFonts w:hint="eastAsia" w:ascii="仿宋" w:hAnsi="仿宋" w:eastAsia="仿宋" w:cs="仿宋"/>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71B64CDE">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07E3F2B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55D378E0">
      <w:pPr>
        <w:adjustRightInd w:val="0"/>
        <w:snapToGrid w:val="0"/>
        <w:spacing w:line="288" w:lineRule="auto"/>
        <w:jc w:val="left"/>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3EAE37D1">
      <w:pPr>
        <w:adjustRightInd w:val="0"/>
        <w:snapToGrid w:val="0"/>
        <w:spacing w:line="288" w:lineRule="auto"/>
        <w:ind w:firstLine="396" w:firstLineChars="200"/>
        <w:jc w:val="left"/>
        <w:rPr>
          <w:rFonts w:hint="eastAsia" w:ascii="仿宋" w:hAnsi="仿宋" w:eastAsia="仿宋" w:cs="仿宋"/>
          <w:color w:val="auto"/>
          <w:spacing w:val="-6"/>
          <w:sz w:val="21"/>
          <w:szCs w:val="21"/>
          <w:highlight w:val="none"/>
          <w:lang w:val="en-US" w:eastAsia="zh-CN"/>
        </w:rPr>
      </w:pPr>
      <w:bookmarkStart w:id="40" w:name="_Hlk94018664"/>
      <w:r>
        <w:rPr>
          <w:rFonts w:hint="eastAsia" w:ascii="仿宋" w:hAnsi="仿宋" w:eastAsia="仿宋" w:cs="仿宋"/>
          <w:color w:val="auto"/>
          <w:spacing w:val="-6"/>
          <w:sz w:val="21"/>
          <w:szCs w:val="21"/>
          <w:highlight w:val="none"/>
          <w:lang w:val="en-US" w:eastAsia="zh-CN"/>
        </w:rPr>
        <w:t>1.报价应按招标文件要求的格式编制、填写报价内容，未按招标文件要求编制、填写的投标文件可能被拒绝；</w:t>
      </w:r>
    </w:p>
    <w:p w14:paraId="178946C3">
      <w:pPr>
        <w:adjustRightInd w:val="0"/>
        <w:snapToGrid w:val="0"/>
        <w:spacing w:line="288" w:lineRule="auto"/>
        <w:ind w:firstLine="396"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2.以人民币报价；</w:t>
      </w:r>
    </w:p>
    <w:p w14:paraId="22A99E96">
      <w:pPr>
        <w:adjustRightInd w:val="0"/>
        <w:snapToGrid w:val="0"/>
        <w:spacing w:line="288" w:lineRule="auto"/>
        <w:ind w:firstLine="396"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3.投标报价是履行合同的最终价格，应包含履行所有规定服务所产生的全部费用，包括但不限于采购需求中需投标人承担的费用及潜在可能涉及的完成本项目的其它费用和政策性文件规定及合同包含的所有风险、责任和义务等一切应由采购人支付的费用；总价不为零，分项报价中部分服务单价为零的，视作已包含在总价中。</w:t>
      </w:r>
    </w:p>
    <w:p w14:paraId="36A6888B">
      <w:pPr>
        <w:adjustRightInd w:val="0"/>
        <w:snapToGrid w:val="0"/>
        <w:spacing w:line="288" w:lineRule="auto"/>
        <w:ind w:firstLine="396"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lang w:val="en-US" w:eastAsia="zh-CN"/>
        </w:rPr>
        <w:t>▲4.采购人将以合同形式有偿取得服务，不接受投标人给予的赠品、回扣或者与采购无关的其他商品、服务。</w:t>
      </w:r>
    </w:p>
    <w:bookmarkEnd w:id="40"/>
    <w:p w14:paraId="3E226DB7">
      <w:pPr>
        <w:adjustRightInd w:val="0"/>
        <w:snapToGrid w:val="0"/>
        <w:spacing w:line="288" w:lineRule="auto"/>
        <w:jc w:val="left"/>
        <w:outlineLvl w:val="2"/>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r>
        <w:rPr>
          <w:rFonts w:hint="eastAsia" w:ascii="仿宋" w:hAnsi="仿宋" w:eastAsia="仿宋" w:cs="仿宋"/>
          <w:b/>
          <w:color w:val="auto"/>
          <w:spacing w:val="-6"/>
          <w:szCs w:val="21"/>
          <w:highlight w:val="none"/>
          <w:lang w:val="en-US" w:eastAsia="zh-CN"/>
        </w:rPr>
        <w:tab/>
      </w:r>
    </w:p>
    <w:p w14:paraId="6AA45033">
      <w:pPr>
        <w:pStyle w:val="10"/>
        <w:adjustRightInd w:val="0"/>
        <w:snapToGrid w:val="0"/>
        <w:spacing w:before="0" w:beforeLines="0" w:after="0" w:afterLines="0" w:line="288" w:lineRule="auto"/>
        <w:ind w:firstLine="396"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031F4629">
      <w:pPr>
        <w:widowControl/>
        <w:ind w:left="0" w:leftChars="0" w:right="0" w:rightChars="0" w:firstLine="0" w:firstLineChars="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0CFBB8E">
      <w:pPr>
        <w:adjustRightInd w:val="0"/>
        <w:snapToGrid w:val="0"/>
        <w:spacing w:line="288" w:lineRule="auto"/>
        <w:ind w:left="0" w:leftChars="0" w:right="0" w:rightChars="0" w:firstLine="0" w:firstLineChars="0"/>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6E367E1E">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21563A9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59E35BE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4F85EED0">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4AAC4E21">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21A2D9D7">
      <w:pPr>
        <w:adjustRightInd w:val="0"/>
        <w:snapToGrid w:val="0"/>
        <w:spacing w:line="288" w:lineRule="auto"/>
        <w:ind w:firstLine="398" w:firstLineChars="200"/>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7DA5845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24D280D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749B7EA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5C60346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14:paraId="5E9BC317">
      <w:pPr>
        <w:adjustRightInd w:val="0"/>
        <w:snapToGrid w:val="0"/>
        <w:spacing w:line="288" w:lineRule="auto"/>
        <w:ind w:firstLine="396" w:firstLineChars="200"/>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5.服务响应负偏离达到评分标准中规定数量</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2AF0259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0710A829">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7.投标服务</w:t>
      </w:r>
      <w:r>
        <w:rPr>
          <w:rFonts w:hint="eastAsia" w:ascii="仿宋" w:hAnsi="仿宋" w:eastAsia="仿宋" w:cs="仿宋"/>
          <w:color w:val="auto"/>
          <w:spacing w:val="-6"/>
          <w:szCs w:val="21"/>
          <w:highlight w:val="none"/>
        </w:rPr>
        <w:t>方案不明确（存在一个或一个以上备选/替代</w:t>
      </w:r>
      <w:r>
        <w:rPr>
          <w:rFonts w:hint="eastAsia" w:ascii="仿宋" w:hAnsi="仿宋" w:eastAsia="仿宋" w:cs="仿宋"/>
          <w:color w:val="auto"/>
          <w:spacing w:val="-6"/>
          <w:szCs w:val="21"/>
          <w:highlight w:val="none"/>
          <w:lang w:val="en-US" w:eastAsia="zh-CN"/>
        </w:rPr>
        <w:t>投标服务</w:t>
      </w:r>
      <w:r>
        <w:rPr>
          <w:rFonts w:hint="eastAsia" w:ascii="仿宋" w:hAnsi="仿宋" w:eastAsia="仿宋" w:cs="仿宋"/>
          <w:color w:val="auto"/>
          <w:spacing w:val="-6"/>
          <w:szCs w:val="21"/>
          <w:highlight w:val="none"/>
        </w:rPr>
        <w:t>方案）的</w:t>
      </w:r>
    </w:p>
    <w:p w14:paraId="02C3FC0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投标文件含有采购人不能接受的附加条件的</w:t>
      </w:r>
    </w:p>
    <w:p w14:paraId="7789DC1C">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法律、法规和招标文件规定的其他无效情形</w:t>
      </w:r>
    </w:p>
    <w:p w14:paraId="00971719">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1DA63D3F">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33B7E7E9">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形式</w:t>
      </w:r>
      <w:r>
        <w:rPr>
          <w:rFonts w:hint="eastAsia" w:ascii="仿宋" w:hAnsi="仿宋" w:eastAsia="仿宋" w:cs="仿宋"/>
          <w:color w:val="auto"/>
          <w:spacing w:val="-6"/>
          <w:szCs w:val="21"/>
          <w:highlight w:val="none"/>
        </w:rPr>
        <w:t>报价的</w:t>
      </w:r>
    </w:p>
    <w:p w14:paraId="1158928E">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462BCEB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w:t>
      </w:r>
      <w:r>
        <w:rPr>
          <w:rFonts w:hint="eastAsia" w:ascii="仿宋" w:hAnsi="仿宋" w:eastAsia="仿宋" w:cs="仿宋"/>
          <w:color w:val="auto"/>
          <w:spacing w:val="-6"/>
          <w:szCs w:val="21"/>
          <w:highlight w:val="none"/>
        </w:rPr>
        <w:t>的</w:t>
      </w:r>
    </w:p>
    <w:p w14:paraId="31AB794E">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0CCAC660">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1B5396A9">
      <w:pPr>
        <w:widowControl/>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bookmarkStart w:id="41"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w:t>
      </w:r>
      <w:r>
        <w:rPr>
          <w:rFonts w:hint="eastAsia" w:ascii="仿宋" w:hAnsi="仿宋" w:eastAsia="仿宋" w:cs="仿宋"/>
          <w:b/>
          <w:bCs/>
          <w:color w:val="auto"/>
          <w:spacing w:val="-6"/>
          <w:szCs w:val="21"/>
          <w:highlight w:val="none"/>
          <w:lang w:eastAsia="zh-CN"/>
        </w:rPr>
        <w:t>服务质量</w:t>
      </w:r>
      <w:r>
        <w:rPr>
          <w:rFonts w:hint="eastAsia" w:ascii="仿宋" w:hAnsi="仿宋" w:eastAsia="仿宋" w:cs="仿宋"/>
          <w:b/>
          <w:bCs/>
          <w:color w:val="auto"/>
          <w:spacing w:val="-6"/>
          <w:szCs w:val="21"/>
          <w:highlight w:val="none"/>
        </w:rPr>
        <w:t>或者不能诚信履约的，应当要求其在评标现场合理的时间内提供书面说明，必要时提交相关证明材料；投标人不能证明其报价合理性的，评标委员会应当将其作为无效投标处理。</w:t>
      </w:r>
    </w:p>
    <w:bookmarkEnd w:id="41"/>
    <w:p w14:paraId="47D91082">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03CDF6E5">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0A79BF5B">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0D35F877">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5F9F604D">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6F259C57">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725DC850">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）参与同一个采购包（标项）的投标人存在下列情形之一且无法合理解释的，其投标文件无效：</w:t>
      </w:r>
    </w:p>
    <w:p w14:paraId="540B6A25">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不同供应商的电子投标文件上传计算机的网卡MAC地址或硬盘序列号等硬件信息相同的；</w:t>
      </w:r>
    </w:p>
    <w:p w14:paraId="30A245FE">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上传的电子投标文件若出现使用本项目其他投标供应商的数字证书加密的，或者加盖本项目其他投标供应商的电子印章的；</w:t>
      </w:r>
    </w:p>
    <w:p w14:paraId="6C5E076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不同供应商的投标文件的内容存在3处（含）以上错误一致的；</w:t>
      </w:r>
    </w:p>
    <w:p w14:paraId="493969FA">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不同供应商联系人为同一人或不同联系人的联系电话一致的。</w:t>
      </w:r>
    </w:p>
    <w:p w14:paraId="681897C2">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66F31FF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2BD9A228">
      <w:pPr>
        <w:pStyle w:val="104"/>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color w:val="auto"/>
          <w:szCs w:val="21"/>
          <w:highlight w:val="none"/>
        </w:rPr>
      </w:pPr>
      <w:bookmarkStart w:id="42" w:name="_Hlk94018775"/>
      <w:r>
        <w:rPr>
          <w:rFonts w:hint="eastAsia" w:ascii="仿宋" w:hAnsi="仿宋" w:eastAsia="仿宋" w:cs="仿宋"/>
          <w:b/>
          <w:color w:val="auto"/>
          <w:szCs w:val="21"/>
          <w:highlight w:val="none"/>
        </w:rPr>
        <w:t>（一）开标</w:t>
      </w:r>
    </w:p>
    <w:p w14:paraId="136E67CB">
      <w:pPr>
        <w:pStyle w:val="104"/>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610D12A3">
      <w:pPr>
        <w:pStyle w:val="104"/>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273B6206">
      <w:pPr>
        <w:adjustRightInd w:val="0"/>
        <w:snapToGrid w:val="0"/>
        <w:spacing w:line="288"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714EAB71">
      <w:pPr>
        <w:pStyle w:val="104"/>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4037FD16">
      <w:pPr>
        <w:adjustRightInd w:val="0"/>
        <w:snapToGrid w:val="0"/>
        <w:spacing w:line="288" w:lineRule="auto"/>
        <w:ind w:firstLine="422" w:firstLineChars="201"/>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2BD1E527">
      <w:pPr>
        <w:pStyle w:val="103"/>
        <w:adjustRightInd w:val="0"/>
        <w:snapToGrid w:val="0"/>
        <w:spacing w:before="0" w:line="288" w:lineRule="auto"/>
        <w:ind w:firstLine="422" w:firstLineChars="20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5C9D6FD5">
      <w:pPr>
        <w:pStyle w:val="103"/>
        <w:adjustRightInd w:val="0"/>
        <w:snapToGrid w:val="0"/>
        <w:spacing w:before="0" w:line="288" w:lineRule="auto"/>
        <w:ind w:firstLine="422" w:firstLineChars="20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0B94D655">
      <w:pPr>
        <w:pStyle w:val="104"/>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6C231CE0">
      <w:pPr>
        <w:pStyle w:val="103"/>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70203949">
      <w:pPr>
        <w:pStyle w:val="103"/>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0BB02214">
      <w:pPr>
        <w:pStyle w:val="103"/>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69DF7652">
      <w:pPr>
        <w:pStyle w:val="103"/>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3A705E87">
      <w:pPr>
        <w:pStyle w:val="103"/>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39C1B467">
      <w:pPr>
        <w:pStyle w:val="103"/>
        <w:adjustRightInd w:val="0"/>
        <w:snapToGrid w:val="0"/>
        <w:spacing w:before="0" w:line="288" w:lineRule="auto"/>
        <w:ind w:firstLine="424" w:firstLineChars="201"/>
        <w:rPr>
          <w:rFonts w:hint="eastAsia"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298533">
      <w:pPr>
        <w:adjustRightInd w:val="0"/>
        <w:snapToGrid w:val="0"/>
        <w:spacing w:line="288" w:lineRule="auto"/>
        <w:ind w:firstLine="398" w:firstLineChars="200"/>
        <w:rPr>
          <w:rFonts w:hint="eastAsia" w:ascii="仿宋" w:hAnsi="仿宋" w:eastAsia="仿宋" w:cs="仿宋"/>
          <w:b/>
          <w:bCs/>
          <w:color w:val="auto"/>
          <w:spacing w:val="-6"/>
          <w:szCs w:val="21"/>
          <w:highlight w:val="none"/>
        </w:rPr>
      </w:pPr>
    </w:p>
    <w:p w14:paraId="4D09801F">
      <w:pPr>
        <w:adjustRightInd w:val="0"/>
        <w:snapToGrid w:val="0"/>
        <w:spacing w:line="288" w:lineRule="auto"/>
        <w:ind w:firstLine="398" w:firstLineChars="200"/>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2"/>
    <w:p w14:paraId="76D2843A">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730F935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08EF90F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kern w:val="0"/>
          <w:szCs w:val="21"/>
          <w:highlight w:val="none"/>
        </w:rPr>
      </w:pPr>
      <w:bookmarkStart w:id="43"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7628DA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3"/>
    <w:p w14:paraId="256F826C">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bookmarkStart w:id="44" w:name="_Hlk94019000"/>
      <w:r>
        <w:rPr>
          <w:rFonts w:hint="eastAsia" w:ascii="仿宋" w:hAnsi="仿宋" w:eastAsia="仿宋" w:cs="仿宋"/>
          <w:b/>
          <w:color w:val="auto"/>
          <w:kern w:val="0"/>
          <w:szCs w:val="21"/>
          <w:highlight w:val="none"/>
        </w:rPr>
        <w:t>（一）符合性审查</w:t>
      </w:r>
    </w:p>
    <w:p w14:paraId="20ACEB69">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65AA9664">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17061C8F">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w:t>
      </w:r>
      <w:r>
        <w:rPr>
          <w:rFonts w:hint="eastAsia" w:ascii="仿宋" w:hAnsi="仿宋" w:eastAsia="仿宋" w:cs="仿宋"/>
          <w:color w:val="auto"/>
          <w:kern w:val="0"/>
          <w:szCs w:val="21"/>
          <w:highlight w:val="none"/>
          <w:lang w:val="en-US" w:eastAsia="zh-CN"/>
        </w:rPr>
        <w:t>按照标项一、二、三、四、五、六、七、八、九、十、十一、十二顺序依次</w:t>
      </w:r>
      <w:r>
        <w:rPr>
          <w:rFonts w:hint="eastAsia" w:ascii="仿宋" w:hAnsi="仿宋" w:eastAsia="仿宋" w:cs="仿宋"/>
          <w:color w:val="auto"/>
          <w:kern w:val="0"/>
          <w:szCs w:val="21"/>
          <w:highlight w:val="none"/>
        </w:rPr>
        <w:t>对符合性审查合格的投标文件进行商务和技术评估，综合比较与评价。</w:t>
      </w:r>
    </w:p>
    <w:p w14:paraId="411D02E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8F4191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4BCD4C9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5E10E50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5D4D237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623A0CF4">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1C84E568">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17A96CA2">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0FCC8099">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50F9DEB1">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1C619729">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5"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5"/>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0AC88BA0">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hint="eastAsia" w:ascii="仿宋" w:hAnsi="仿宋" w:eastAsia="仿宋" w:cs="仿宋"/>
          <w:b/>
          <w:color w:val="auto"/>
          <w:kern w:val="0"/>
          <w:szCs w:val="21"/>
          <w:highlight w:val="none"/>
          <w:lang w:val="en-US" w:eastAsia="zh-CN"/>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003A35C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9"/>
        <w:rPr>
          <w:rFonts w:hint="eastAsia" w:ascii="仿宋" w:hAnsi="仿宋" w:eastAsia="仿宋" w:cs="仿宋"/>
          <w:b/>
          <w:color w:val="auto"/>
          <w:kern w:val="0"/>
          <w:szCs w:val="21"/>
          <w:highlight w:val="none"/>
          <w:lang w:val="en-US" w:eastAsia="zh-CN"/>
        </w:rPr>
      </w:pPr>
      <w:r>
        <w:rPr>
          <w:rFonts w:hint="eastAsia" w:ascii="仿宋" w:hAnsi="仿宋" w:eastAsia="仿宋" w:cs="仿宋"/>
          <w:b/>
          <w:color w:val="auto"/>
          <w:kern w:val="0"/>
          <w:szCs w:val="21"/>
          <w:highlight w:val="none"/>
          <w:lang w:val="en-US" w:eastAsia="zh-CN"/>
        </w:rPr>
        <w:t>评审中出现下列情形之一的，评标委员会应当启动异常低价投标审查程序：</w:t>
      </w:r>
    </w:p>
    <w:p w14:paraId="1801F1EF">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outlineLvl w:val="9"/>
        <w:rPr>
          <w:rFonts w:hint="eastAsia" w:ascii="仿宋" w:hAnsi="仿宋" w:eastAsia="仿宋" w:cs="仿宋"/>
          <w:b w:val="0"/>
          <w:bCs/>
          <w:color w:val="auto"/>
          <w:kern w:val="0"/>
          <w:szCs w:val="21"/>
          <w:highlight w:val="none"/>
          <w:lang w:val="en-US" w:eastAsia="zh-CN"/>
        </w:rPr>
      </w:pPr>
      <w:r>
        <w:rPr>
          <w:rFonts w:hint="eastAsia" w:ascii="仿宋" w:hAnsi="仿宋" w:eastAsia="仿宋" w:cs="仿宋"/>
          <w:b w:val="0"/>
          <w:bCs/>
          <w:color w:val="auto"/>
          <w:kern w:val="0"/>
          <w:szCs w:val="21"/>
          <w:highlight w:val="none"/>
          <w:lang w:val="en-US" w:eastAsia="zh-CN"/>
        </w:rPr>
        <w:t>（一）投标报价低于全部通过符合性审查供应商投标报价平均值50%的，即投标报价&lt;全部通过符合性审查供应商投标报价平均值×50%；</w:t>
      </w:r>
    </w:p>
    <w:p w14:paraId="604D7BA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outlineLvl w:val="9"/>
        <w:rPr>
          <w:rFonts w:hint="eastAsia" w:ascii="仿宋" w:hAnsi="仿宋" w:eastAsia="仿宋" w:cs="仿宋"/>
          <w:b w:val="0"/>
          <w:bCs/>
          <w:color w:val="auto"/>
          <w:kern w:val="0"/>
          <w:szCs w:val="21"/>
          <w:highlight w:val="none"/>
          <w:lang w:val="en-US" w:eastAsia="zh-CN"/>
        </w:rPr>
      </w:pPr>
      <w:r>
        <w:rPr>
          <w:rFonts w:hint="eastAsia" w:ascii="仿宋" w:hAnsi="仿宋" w:eastAsia="仿宋" w:cs="仿宋"/>
          <w:b w:val="0"/>
          <w:bCs/>
          <w:color w:val="auto"/>
          <w:kern w:val="0"/>
          <w:szCs w:val="21"/>
          <w:highlight w:val="none"/>
          <w:lang w:val="en-US" w:eastAsia="zh-CN"/>
        </w:rPr>
        <w:t>（二）投标报价低于通过符合性审查且报价次低供应商投标报价50%的，即投标报价&lt;通过符合性审查且报价次低供应商投标报价×50%；</w:t>
      </w:r>
    </w:p>
    <w:p w14:paraId="06797FF1">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outlineLvl w:val="9"/>
        <w:rPr>
          <w:rFonts w:hint="eastAsia" w:ascii="仿宋" w:hAnsi="仿宋" w:eastAsia="仿宋" w:cs="仿宋"/>
          <w:b w:val="0"/>
          <w:bCs/>
          <w:color w:val="auto"/>
          <w:kern w:val="0"/>
          <w:szCs w:val="21"/>
          <w:highlight w:val="none"/>
          <w:lang w:val="en-US" w:eastAsia="zh-CN"/>
        </w:rPr>
      </w:pPr>
      <w:r>
        <w:rPr>
          <w:rFonts w:hint="eastAsia" w:ascii="仿宋" w:hAnsi="仿宋" w:eastAsia="仿宋" w:cs="仿宋"/>
          <w:b w:val="0"/>
          <w:bCs/>
          <w:color w:val="auto"/>
          <w:kern w:val="0"/>
          <w:szCs w:val="21"/>
          <w:highlight w:val="none"/>
          <w:lang w:val="en-US" w:eastAsia="zh-CN"/>
        </w:rPr>
        <w:t>（三）投标报价低于采购项目最高限价45%的，即投标报价&lt;采购项目最高限价×45%；</w:t>
      </w:r>
    </w:p>
    <w:p w14:paraId="5760373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outlineLvl w:val="9"/>
        <w:rPr>
          <w:rFonts w:hint="eastAsia" w:ascii="仿宋" w:hAnsi="仿宋" w:eastAsia="仿宋" w:cs="仿宋"/>
          <w:b w:val="0"/>
          <w:bCs/>
          <w:color w:val="auto"/>
          <w:kern w:val="0"/>
          <w:szCs w:val="21"/>
          <w:highlight w:val="none"/>
          <w:lang w:val="en-US" w:eastAsia="zh-CN"/>
        </w:rPr>
      </w:pPr>
      <w:r>
        <w:rPr>
          <w:rFonts w:hint="eastAsia" w:ascii="仿宋" w:hAnsi="仿宋" w:eastAsia="仿宋" w:cs="仿宋"/>
          <w:b w:val="0"/>
          <w:bCs/>
          <w:color w:val="auto"/>
          <w:kern w:val="0"/>
          <w:szCs w:val="21"/>
          <w:highlight w:val="none"/>
          <w:lang w:val="en-US" w:eastAsia="zh-CN"/>
        </w:rPr>
        <w:t>（四）其他评标委员会认为供应商报价过低，有可能影响产品质量或者不能诚信履约的情形。</w:t>
      </w:r>
    </w:p>
    <w:p w14:paraId="4CCA192E">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outlineLvl w:val="9"/>
        <w:rPr>
          <w:rFonts w:hint="eastAsia" w:ascii="仿宋" w:hAnsi="仿宋" w:eastAsia="仿宋" w:cs="仿宋"/>
          <w:b w:val="0"/>
          <w:bCs/>
          <w:color w:val="auto"/>
          <w:kern w:val="0"/>
          <w:szCs w:val="21"/>
          <w:highlight w:val="none"/>
          <w:lang w:val="en-US" w:eastAsia="zh-CN"/>
        </w:rPr>
      </w:pPr>
      <w:r>
        <w:rPr>
          <w:rFonts w:hint="eastAsia" w:ascii="仿宋" w:hAnsi="仿宋" w:eastAsia="仿宋" w:cs="仿宋"/>
          <w:b w:val="0"/>
          <w:bCs/>
          <w:color w:val="auto"/>
          <w:kern w:val="0"/>
          <w:szCs w:val="21"/>
          <w:highlight w:val="none"/>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5ADF786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outlineLvl w:val="9"/>
        <w:rPr>
          <w:rFonts w:hint="eastAsia" w:ascii="仿宋" w:hAnsi="仿宋" w:eastAsia="仿宋" w:cs="仿宋"/>
          <w:b/>
          <w:color w:val="auto"/>
          <w:kern w:val="0"/>
          <w:szCs w:val="21"/>
          <w:highlight w:val="none"/>
        </w:rPr>
      </w:pPr>
      <w:r>
        <w:rPr>
          <w:rFonts w:hint="eastAsia" w:ascii="仿宋" w:hAnsi="仿宋" w:eastAsia="仿宋" w:cs="仿宋"/>
          <w:b w:val="0"/>
          <w:bCs/>
          <w:color w:val="auto"/>
          <w:kern w:val="0"/>
          <w:szCs w:val="21"/>
          <w:highlight w:val="none"/>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审报告中记录。</w:t>
      </w:r>
    </w:p>
    <w:p w14:paraId="43C20A84">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007FB030">
      <w:pPr>
        <w:pStyle w:val="103"/>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69BE0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5876DB8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69B5D231">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1A23696F">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 w:hAnsi="仿宋" w:eastAsia="仿宋" w:cs="仿宋"/>
          <w:bCs/>
          <w:color w:val="auto"/>
          <w:spacing w:val="-6"/>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r>
        <w:rPr>
          <w:rFonts w:hint="eastAsia" w:ascii="仿宋" w:hAnsi="仿宋" w:eastAsia="仿宋" w:cs="仿宋"/>
          <w:bCs/>
          <w:color w:val="auto"/>
          <w:spacing w:val="-6"/>
          <w:szCs w:val="21"/>
          <w:highlight w:val="none"/>
          <w:lang w:val="en-US" w:eastAsia="zh-CN"/>
        </w:rPr>
        <w:t>/标项</w:t>
      </w:r>
      <w:r>
        <w:rPr>
          <w:rFonts w:hint="eastAsia" w:ascii="仿宋" w:hAnsi="仿宋" w:eastAsia="仿宋" w:cs="仿宋"/>
          <w:bCs/>
          <w:color w:val="auto"/>
          <w:spacing w:val="-6"/>
          <w:szCs w:val="21"/>
          <w:highlight w:val="none"/>
        </w:rPr>
        <w:t>。</w:t>
      </w:r>
    </w:p>
    <w:p w14:paraId="40062138">
      <w:pPr>
        <w:adjustRightInd w:val="0"/>
        <w:snapToGrid w:val="0"/>
        <w:spacing w:line="288" w:lineRule="auto"/>
        <w:ind w:firstLine="402" w:firstLineChars="202"/>
        <w:rPr>
          <w:rFonts w:hint="eastAsia" w:ascii="仿宋" w:hAnsi="仿宋" w:eastAsia="仿宋" w:cs="仿宋"/>
          <w:b/>
          <w:color w:val="auto"/>
          <w:kern w:val="0"/>
          <w:szCs w:val="21"/>
          <w:highlight w:val="none"/>
        </w:rPr>
      </w:pPr>
      <w:r>
        <w:rPr>
          <w:rFonts w:hint="eastAsia" w:ascii="仿宋" w:hAnsi="仿宋" w:eastAsia="仿宋" w:cs="仿宋"/>
          <w:b/>
          <w:color w:val="auto"/>
          <w:spacing w:val="-6"/>
          <w:szCs w:val="21"/>
          <w:highlight w:val="none"/>
        </w:rPr>
        <w:t>标项</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rPr>
        <w:t>采用兼投兼评不兼中的方式，投标人可参加标项</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rPr>
        <w:t>标项的投标、评标，但最多只能成为标项</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五中</w:t>
      </w:r>
      <w:r>
        <w:rPr>
          <w:rFonts w:hint="eastAsia" w:ascii="仿宋" w:hAnsi="仿宋" w:eastAsia="仿宋" w:cs="仿宋"/>
          <w:b/>
          <w:color w:val="auto"/>
          <w:spacing w:val="-6"/>
          <w:szCs w:val="21"/>
          <w:highlight w:val="none"/>
        </w:rPr>
        <w:t>一个标项的中标人。即1个投标人同时为2个及以上标项排名第一的中标候选人时根据标项顺序确定其中标的标项（在标项</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rPr>
        <w:t>剩余标项中上述投标人不作为中标候选人），剩余标项的中标人由对应标项排名第二的</w:t>
      </w:r>
      <w:r>
        <w:rPr>
          <w:rFonts w:hint="eastAsia" w:ascii="仿宋" w:hAnsi="仿宋" w:eastAsia="仿宋" w:cs="仿宋"/>
          <w:b/>
          <w:color w:val="auto"/>
          <w:spacing w:val="-6"/>
          <w:szCs w:val="21"/>
          <w:highlight w:val="none"/>
          <w:lang w:val="en-US" w:eastAsia="zh-CN"/>
        </w:rPr>
        <w:t>投标人</w:t>
      </w:r>
      <w:r>
        <w:rPr>
          <w:rFonts w:hint="eastAsia" w:ascii="仿宋" w:hAnsi="仿宋" w:eastAsia="仿宋" w:cs="仿宋"/>
          <w:b/>
          <w:color w:val="auto"/>
          <w:spacing w:val="-6"/>
          <w:szCs w:val="21"/>
          <w:highlight w:val="none"/>
        </w:rPr>
        <w:t>递补，依此类推直至所有标项中标人产生为止。</w:t>
      </w:r>
    </w:p>
    <w:p w14:paraId="5A067258">
      <w:pPr>
        <w:adjustRightInd w:val="0"/>
        <w:snapToGrid w:val="0"/>
        <w:spacing w:line="288" w:lineRule="auto"/>
        <w:ind w:firstLine="402" w:firstLineChars="202"/>
        <w:rPr>
          <w:rFonts w:hint="eastAsia" w:ascii="仿宋" w:hAnsi="仿宋" w:eastAsia="仿宋" w:cs="仿宋"/>
          <w:b/>
          <w:color w:val="auto"/>
          <w:kern w:val="0"/>
          <w:szCs w:val="21"/>
          <w:highlight w:val="none"/>
        </w:rPr>
      </w:pPr>
      <w:r>
        <w:rPr>
          <w:rFonts w:hint="eastAsia" w:ascii="仿宋" w:hAnsi="仿宋" w:eastAsia="仿宋" w:cs="仿宋"/>
          <w:b/>
          <w:color w:val="auto"/>
          <w:spacing w:val="-6"/>
          <w:szCs w:val="21"/>
          <w:highlight w:val="none"/>
        </w:rPr>
        <w:t>标项</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rPr>
        <w:t>采用兼投兼评不兼中的方式，投标人可参加标项</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rPr>
        <w:t>的投标、评标，但最多只能成为标项</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七中</w:t>
      </w:r>
      <w:r>
        <w:rPr>
          <w:rFonts w:hint="eastAsia" w:ascii="仿宋" w:hAnsi="仿宋" w:eastAsia="仿宋" w:cs="仿宋"/>
          <w:b/>
          <w:color w:val="auto"/>
          <w:spacing w:val="-6"/>
          <w:szCs w:val="21"/>
          <w:highlight w:val="none"/>
        </w:rPr>
        <w:t>一个标项的中标人。即1个投标人同时为2个及以上标项排名第一的中标候选人时根据标项顺序确定其中标的标项（在标项</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rPr>
        <w:t>剩余标项中上述投标人不作为中标候选人），剩余标项的中标人由对应标项排名第二的</w:t>
      </w:r>
      <w:r>
        <w:rPr>
          <w:rFonts w:hint="eastAsia" w:ascii="仿宋" w:hAnsi="仿宋" w:eastAsia="仿宋" w:cs="仿宋"/>
          <w:b/>
          <w:color w:val="auto"/>
          <w:spacing w:val="-6"/>
          <w:szCs w:val="21"/>
          <w:highlight w:val="none"/>
          <w:lang w:val="en-US" w:eastAsia="zh-CN"/>
        </w:rPr>
        <w:t>投标人</w:t>
      </w:r>
      <w:r>
        <w:rPr>
          <w:rFonts w:hint="eastAsia" w:ascii="仿宋" w:hAnsi="仿宋" w:eastAsia="仿宋" w:cs="仿宋"/>
          <w:b/>
          <w:color w:val="auto"/>
          <w:spacing w:val="-6"/>
          <w:szCs w:val="21"/>
          <w:highlight w:val="none"/>
        </w:rPr>
        <w:t>递补，依此类推直至所有标项中标人产生为止。</w:t>
      </w:r>
    </w:p>
    <w:p w14:paraId="130A6342">
      <w:pPr>
        <w:adjustRightInd w:val="0"/>
        <w:snapToGrid w:val="0"/>
        <w:spacing w:line="288" w:lineRule="auto"/>
        <w:ind w:firstLine="402" w:firstLineChars="202"/>
        <w:rPr>
          <w:rFonts w:hint="eastAsia" w:ascii="仿宋" w:hAnsi="仿宋" w:eastAsia="仿宋" w:cs="仿宋"/>
          <w:b/>
          <w:color w:val="auto"/>
          <w:kern w:val="0"/>
          <w:szCs w:val="21"/>
          <w:highlight w:val="none"/>
        </w:rPr>
      </w:pPr>
      <w:r>
        <w:rPr>
          <w:rFonts w:hint="eastAsia" w:ascii="仿宋" w:hAnsi="仿宋" w:eastAsia="仿宋" w:cs="仿宋"/>
          <w:b/>
          <w:color w:val="auto"/>
          <w:spacing w:val="-6"/>
          <w:szCs w:val="21"/>
          <w:highlight w:val="none"/>
        </w:rPr>
        <w:t>标项</w:t>
      </w:r>
      <w:r>
        <w:rPr>
          <w:rFonts w:hint="eastAsia" w:ascii="仿宋" w:hAnsi="仿宋" w:eastAsia="仿宋" w:cs="仿宋"/>
          <w:b/>
          <w:color w:val="auto"/>
          <w:spacing w:val="-6"/>
          <w:szCs w:val="21"/>
          <w:highlight w:val="none"/>
          <w:lang w:val="en-US" w:eastAsia="zh-CN"/>
        </w:rPr>
        <w:t>十</w:t>
      </w: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十一、十二</w:t>
      </w:r>
      <w:r>
        <w:rPr>
          <w:rFonts w:hint="eastAsia" w:ascii="仿宋" w:hAnsi="仿宋" w:eastAsia="仿宋" w:cs="仿宋"/>
          <w:b/>
          <w:color w:val="auto"/>
          <w:spacing w:val="-6"/>
          <w:szCs w:val="21"/>
          <w:highlight w:val="none"/>
        </w:rPr>
        <w:t>采用兼投兼评不兼中的方式，投标人可参加标项</w:t>
      </w:r>
      <w:r>
        <w:rPr>
          <w:rFonts w:hint="eastAsia" w:ascii="仿宋" w:hAnsi="仿宋" w:eastAsia="仿宋" w:cs="仿宋"/>
          <w:b/>
          <w:color w:val="auto"/>
          <w:spacing w:val="-6"/>
          <w:szCs w:val="21"/>
          <w:highlight w:val="none"/>
          <w:lang w:val="en-US" w:eastAsia="zh-CN"/>
        </w:rPr>
        <w:t>十</w:t>
      </w: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十一、十二</w:t>
      </w:r>
      <w:r>
        <w:rPr>
          <w:rFonts w:hint="eastAsia" w:ascii="仿宋" w:hAnsi="仿宋" w:eastAsia="仿宋" w:cs="仿宋"/>
          <w:b/>
          <w:color w:val="auto"/>
          <w:spacing w:val="-6"/>
          <w:szCs w:val="21"/>
          <w:highlight w:val="none"/>
        </w:rPr>
        <w:t>的投标、评标，但最多只能成为标</w:t>
      </w:r>
      <w:r>
        <w:rPr>
          <w:rFonts w:hint="eastAsia" w:ascii="仿宋" w:hAnsi="仿宋" w:eastAsia="仿宋" w:cs="仿宋"/>
          <w:b/>
          <w:color w:val="auto"/>
          <w:spacing w:val="-6"/>
          <w:szCs w:val="21"/>
          <w:highlight w:val="none"/>
          <w:lang w:val="en-US" w:eastAsia="zh-CN"/>
        </w:rPr>
        <w:t>十</w:t>
      </w: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十一、十二中</w:t>
      </w:r>
      <w:r>
        <w:rPr>
          <w:rFonts w:hint="eastAsia" w:ascii="仿宋" w:hAnsi="仿宋" w:eastAsia="仿宋" w:cs="仿宋"/>
          <w:b/>
          <w:color w:val="auto"/>
          <w:spacing w:val="-6"/>
          <w:szCs w:val="21"/>
          <w:highlight w:val="none"/>
        </w:rPr>
        <w:t>一个标项的中标人。即1个投标人同时为2个及以上标项排名第一的中标候选人时根据标项顺序确定其中标的标项（在标项</w:t>
      </w:r>
      <w:r>
        <w:rPr>
          <w:rFonts w:hint="eastAsia" w:ascii="仿宋" w:hAnsi="仿宋" w:eastAsia="仿宋" w:cs="仿宋"/>
          <w:b/>
          <w:color w:val="auto"/>
          <w:spacing w:val="-6"/>
          <w:szCs w:val="21"/>
          <w:highlight w:val="none"/>
          <w:lang w:val="en-US" w:eastAsia="zh-CN"/>
        </w:rPr>
        <w:t>十</w:t>
      </w:r>
      <w:r>
        <w:rPr>
          <w:rFonts w:hint="eastAsia" w:ascii="仿宋" w:hAnsi="仿宋" w:eastAsia="仿宋" w:cs="仿宋"/>
          <w:b/>
          <w:color w:val="auto"/>
          <w:spacing w:val="-6"/>
          <w:szCs w:val="21"/>
          <w:highlight w:val="none"/>
        </w:rPr>
        <w:t>、</w:t>
      </w:r>
      <w:r>
        <w:rPr>
          <w:rFonts w:hint="eastAsia" w:ascii="仿宋" w:hAnsi="仿宋" w:eastAsia="仿宋" w:cs="仿宋"/>
          <w:b/>
          <w:color w:val="auto"/>
          <w:spacing w:val="-6"/>
          <w:szCs w:val="21"/>
          <w:highlight w:val="none"/>
          <w:lang w:val="en-US" w:eastAsia="zh-CN"/>
        </w:rPr>
        <w:t>十一、十二</w:t>
      </w:r>
      <w:r>
        <w:rPr>
          <w:rFonts w:hint="eastAsia" w:ascii="仿宋" w:hAnsi="仿宋" w:eastAsia="仿宋" w:cs="仿宋"/>
          <w:b/>
          <w:color w:val="auto"/>
          <w:spacing w:val="-6"/>
          <w:szCs w:val="21"/>
          <w:highlight w:val="none"/>
        </w:rPr>
        <w:t>剩余标项中上述投标人不作为中标候选人），剩余标项的中标人由对应标项排名第二的</w:t>
      </w:r>
      <w:r>
        <w:rPr>
          <w:rFonts w:hint="eastAsia" w:ascii="仿宋" w:hAnsi="仿宋" w:eastAsia="仿宋" w:cs="仿宋"/>
          <w:b/>
          <w:color w:val="auto"/>
          <w:spacing w:val="-6"/>
          <w:szCs w:val="21"/>
          <w:highlight w:val="none"/>
          <w:lang w:val="en-US" w:eastAsia="zh-CN"/>
        </w:rPr>
        <w:t>投标人</w:t>
      </w:r>
      <w:r>
        <w:rPr>
          <w:rFonts w:hint="eastAsia" w:ascii="仿宋" w:hAnsi="仿宋" w:eastAsia="仿宋" w:cs="仿宋"/>
          <w:b/>
          <w:color w:val="auto"/>
          <w:spacing w:val="-6"/>
          <w:szCs w:val="21"/>
          <w:highlight w:val="none"/>
        </w:rPr>
        <w:t>递补，依此类推直至所有标项中标人产生为止。</w:t>
      </w:r>
    </w:p>
    <w:p w14:paraId="6AD4BD98">
      <w:pPr>
        <w:adjustRightInd w:val="0"/>
        <w:snapToGrid w:val="0"/>
        <w:spacing w:line="288" w:lineRule="auto"/>
        <w:ind w:firstLine="426" w:firstLineChars="202"/>
        <w:rPr>
          <w:rFonts w:hint="eastAsia" w:ascii="仿宋" w:hAnsi="仿宋" w:eastAsia="仿宋" w:cs="仿宋"/>
          <w:color w:val="auto"/>
          <w:kern w:val="0"/>
          <w:szCs w:val="21"/>
          <w:highlight w:val="none"/>
          <w:lang w:val="en-US" w:eastAsia="zh-CN"/>
        </w:rPr>
      </w:pPr>
      <w:r>
        <w:rPr>
          <w:rFonts w:hint="eastAsia" w:ascii="仿宋" w:hAnsi="仿宋" w:eastAsia="仿宋" w:cs="仿宋"/>
          <w:b/>
          <w:color w:val="auto"/>
          <w:kern w:val="0"/>
          <w:szCs w:val="21"/>
          <w:highlight w:val="none"/>
        </w:rPr>
        <w:t>说明：</w:t>
      </w:r>
      <w:r>
        <w:rPr>
          <w:rFonts w:hint="eastAsia" w:ascii="仿宋" w:hAnsi="仿宋" w:eastAsia="仿宋" w:cs="仿宋"/>
          <w:b/>
          <w:color w:val="auto"/>
          <w:kern w:val="0"/>
          <w:szCs w:val="21"/>
          <w:highlight w:val="none"/>
          <w:lang w:val="en-US" w:eastAsia="zh-CN"/>
        </w:rPr>
        <w:t>在对应采用</w:t>
      </w:r>
      <w:r>
        <w:rPr>
          <w:rFonts w:hint="eastAsia" w:ascii="仿宋" w:hAnsi="仿宋" w:eastAsia="仿宋" w:cs="仿宋"/>
          <w:b/>
          <w:color w:val="auto"/>
          <w:spacing w:val="-6"/>
          <w:szCs w:val="21"/>
          <w:highlight w:val="none"/>
        </w:rPr>
        <w:t>兼投兼评不兼中</w:t>
      </w:r>
      <w:r>
        <w:rPr>
          <w:rFonts w:hint="eastAsia" w:ascii="仿宋" w:hAnsi="仿宋" w:eastAsia="仿宋" w:cs="仿宋"/>
          <w:b/>
          <w:color w:val="auto"/>
          <w:spacing w:val="-6"/>
          <w:szCs w:val="21"/>
          <w:highlight w:val="none"/>
          <w:lang w:val="en-US" w:eastAsia="zh-CN"/>
        </w:rPr>
        <w:t>的标项中，</w:t>
      </w:r>
      <w:r>
        <w:rPr>
          <w:rFonts w:hint="eastAsia" w:ascii="仿宋" w:hAnsi="仿宋" w:eastAsia="仿宋" w:cs="仿宋"/>
          <w:b/>
          <w:color w:val="auto"/>
          <w:kern w:val="0"/>
          <w:szCs w:val="21"/>
          <w:highlight w:val="none"/>
        </w:rPr>
        <w:t>如N个（N≥2）标项排名第一的</w:t>
      </w:r>
      <w:r>
        <w:rPr>
          <w:rFonts w:hint="eastAsia" w:ascii="仿宋" w:hAnsi="仿宋" w:eastAsia="仿宋" w:cs="仿宋"/>
          <w:b/>
          <w:color w:val="auto"/>
          <w:spacing w:val="-6"/>
          <w:szCs w:val="21"/>
          <w:highlight w:val="none"/>
        </w:rPr>
        <w:t>中标候选人为同一家，则排序在后的标项有效投标人须≥N+2家（例：N=2则标项</w:t>
      </w:r>
      <w:r>
        <w:rPr>
          <w:rFonts w:hint="eastAsia" w:ascii="仿宋" w:hAnsi="仿宋" w:eastAsia="仿宋" w:cs="仿宋"/>
          <w:b/>
          <w:color w:val="auto"/>
          <w:spacing w:val="-6"/>
          <w:szCs w:val="21"/>
          <w:highlight w:val="none"/>
          <w:lang w:val="en-US" w:eastAsia="zh-CN"/>
        </w:rPr>
        <w:t>十一</w:t>
      </w:r>
      <w:r>
        <w:rPr>
          <w:rFonts w:hint="eastAsia" w:ascii="仿宋" w:hAnsi="仿宋" w:eastAsia="仿宋" w:cs="仿宋"/>
          <w:b/>
          <w:color w:val="auto"/>
          <w:spacing w:val="-6"/>
          <w:szCs w:val="21"/>
          <w:highlight w:val="none"/>
        </w:rPr>
        <w:t>有效投标人须≥4家、N=3则标项</w:t>
      </w:r>
      <w:r>
        <w:rPr>
          <w:rFonts w:hint="eastAsia" w:ascii="仿宋" w:hAnsi="仿宋" w:eastAsia="仿宋" w:cs="仿宋"/>
          <w:b/>
          <w:color w:val="auto"/>
          <w:spacing w:val="-6"/>
          <w:szCs w:val="21"/>
          <w:highlight w:val="none"/>
          <w:lang w:val="en-US" w:eastAsia="zh-CN"/>
        </w:rPr>
        <w:t>十二</w:t>
      </w:r>
      <w:r>
        <w:rPr>
          <w:rFonts w:hint="eastAsia" w:ascii="仿宋" w:hAnsi="仿宋" w:eastAsia="仿宋" w:cs="仿宋"/>
          <w:b/>
          <w:color w:val="auto"/>
          <w:spacing w:val="-6"/>
          <w:szCs w:val="21"/>
          <w:highlight w:val="none"/>
        </w:rPr>
        <w:t>有效投标人须≥5家），有效投标人不足则该标项废标。</w:t>
      </w:r>
    </w:p>
    <w:p w14:paraId="469FCC8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3AB23E3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4"/>
    <w:p w14:paraId="3CC8502C">
      <w:pPr>
        <w:widowControl/>
        <w:adjustRightInd w:val="0"/>
        <w:snapToGrid w:val="0"/>
        <w:spacing w:line="288" w:lineRule="auto"/>
        <w:ind w:left="0" w:leftChars="0" w:right="0" w:rightChars="0" w:firstLine="0" w:firstLineChars="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73BCAFE">
      <w:pPr>
        <w:adjustRightInd w:val="0"/>
        <w:snapToGrid w:val="0"/>
        <w:spacing w:line="288" w:lineRule="auto"/>
        <w:ind w:left="0" w:leftChars="0" w:right="0" w:rightChars="0" w:firstLine="0" w:firstLineChars="0"/>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6D830774">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51B33BB9">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48020433">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14:paraId="614766A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53691114">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50257A8C">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D43683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C4F5AC7">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28C1AB8">
      <w:pPr>
        <w:adjustRightInd w:val="0"/>
        <w:snapToGrid w:val="0"/>
        <w:spacing w:line="288" w:lineRule="auto"/>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10535B9F">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E22B178">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22F826C5">
      <w:pPr>
        <w:tabs>
          <w:tab w:val="left" w:pos="0"/>
        </w:tabs>
        <w:adjustRightInd w:val="0"/>
        <w:snapToGrid w:val="0"/>
        <w:spacing w:line="288" w:lineRule="auto"/>
        <w:ind w:firstLine="422" w:firstLineChars="201"/>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612B42">
      <w:pPr>
        <w:tabs>
          <w:tab w:val="left" w:pos="0"/>
        </w:tabs>
        <w:adjustRightInd w:val="0"/>
        <w:snapToGrid w:val="0"/>
        <w:spacing w:line="288" w:lineRule="auto"/>
        <w:ind w:firstLine="422" w:firstLineChars="201"/>
        <w:rPr>
          <w:rFonts w:hint="eastAsia"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131DF1A">
      <w:pPr>
        <w:adjustRightInd w:val="0"/>
        <w:snapToGrid w:val="0"/>
        <w:spacing w:line="288" w:lineRule="auto"/>
        <w:ind w:firstLine="398" w:firstLineChars="20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541FF6E">
      <w:pPr>
        <w:adjustRightInd w:val="0"/>
        <w:snapToGrid w:val="0"/>
        <w:spacing w:line="288" w:lineRule="auto"/>
        <w:jc w:val="center"/>
        <w:outlineLvl w:val="1"/>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7933946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7FF45CD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4284CF49">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4993016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7208632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240BD77C">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7A8ED7EA">
      <w:pPr>
        <w:adjustRightInd w:val="0"/>
        <w:snapToGrid w:val="0"/>
        <w:spacing w:line="288" w:lineRule="auto"/>
        <w:ind w:firstLine="396" w:firstLineChars="200"/>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F508B12">
      <w:pPr>
        <w:adjustRightInd w:val="0"/>
        <w:snapToGrid w:val="0"/>
        <w:spacing w:line="288" w:lineRule="auto"/>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A6E121C">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2868B607">
      <w:pPr>
        <w:adjustRightInd w:val="0"/>
        <w:snapToGrid w:val="0"/>
        <w:spacing w:line="288" w:lineRule="auto"/>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053BC6C7">
      <w:pPr>
        <w:adjustRightInd w:val="0"/>
        <w:snapToGrid w:val="0"/>
        <w:spacing w:line="288" w:lineRule="auto"/>
        <w:ind w:firstLine="396" w:firstLineChars="200"/>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7616FDDF">
      <w:pPr>
        <w:adjustRightInd w:val="0"/>
        <w:snapToGrid w:val="0"/>
        <w:spacing w:line="288" w:lineRule="auto"/>
        <w:ind w:firstLine="396" w:firstLineChars="200"/>
        <w:rPr>
          <w:rFonts w:hint="eastAsia"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4907464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2B58B956">
      <w:pPr>
        <w:adjustRightInd w:val="0"/>
        <w:snapToGrid w:val="0"/>
        <w:spacing w:line="288" w:lineRule="auto"/>
        <w:outlineLvl w:val="1"/>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7"/>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660"/>
        <w:gridCol w:w="7723"/>
      </w:tblGrid>
      <w:tr w14:paraId="6488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Align w:val="center"/>
          </w:tcPr>
          <w:p w14:paraId="35BFB10A">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评审因素</w:t>
            </w:r>
          </w:p>
        </w:tc>
        <w:tc>
          <w:tcPr>
            <w:tcW w:w="660" w:type="dxa"/>
            <w:vAlign w:val="center"/>
          </w:tcPr>
          <w:p w14:paraId="436B0F8D">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分值</w:t>
            </w:r>
          </w:p>
        </w:tc>
        <w:tc>
          <w:tcPr>
            <w:tcW w:w="7723" w:type="dxa"/>
            <w:vAlign w:val="center"/>
          </w:tcPr>
          <w:p w14:paraId="771D6ABC">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评分标准</w:t>
            </w:r>
          </w:p>
        </w:tc>
      </w:tr>
      <w:tr w14:paraId="419B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2" w:type="dxa"/>
            <w:gridSpan w:val="3"/>
            <w:vAlign w:val="center"/>
          </w:tcPr>
          <w:p w14:paraId="787C3B2C">
            <w:pPr>
              <w:jc w:val="center"/>
              <w:rPr>
                <w:rFonts w:hint="eastAsia" w:ascii="仿宋" w:hAnsi="仿宋" w:eastAsia="仿宋" w:cs="仿宋"/>
                <w:szCs w:val="21"/>
                <w:highlight w:val="none"/>
              </w:rPr>
            </w:pPr>
            <w:r>
              <w:rPr>
                <w:rFonts w:hint="eastAsia" w:ascii="仿宋" w:hAnsi="仿宋" w:eastAsia="仿宋" w:cs="仿宋"/>
                <w:b/>
                <w:bCs/>
                <w:szCs w:val="21"/>
                <w:highlight w:val="none"/>
              </w:rPr>
              <w:t>价格分</w:t>
            </w:r>
          </w:p>
        </w:tc>
      </w:tr>
      <w:tr w14:paraId="5002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14:paraId="24AC005C">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投标报价</w:t>
            </w:r>
          </w:p>
        </w:tc>
        <w:tc>
          <w:tcPr>
            <w:tcW w:w="660" w:type="dxa"/>
            <w:tcBorders>
              <w:top w:val="single" w:color="auto" w:sz="4" w:space="0"/>
              <w:left w:val="single" w:color="auto" w:sz="4" w:space="0"/>
              <w:bottom w:val="single" w:color="auto" w:sz="4" w:space="0"/>
              <w:right w:val="single" w:color="auto" w:sz="4" w:space="0"/>
            </w:tcBorders>
            <w:vAlign w:val="center"/>
          </w:tcPr>
          <w:p w14:paraId="2A64F07C">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10</w:t>
            </w:r>
          </w:p>
        </w:tc>
        <w:tc>
          <w:tcPr>
            <w:tcW w:w="7723" w:type="dxa"/>
            <w:tcBorders>
              <w:top w:val="single" w:color="auto" w:sz="4" w:space="0"/>
              <w:left w:val="single" w:color="auto" w:sz="4" w:space="0"/>
              <w:bottom w:val="single" w:color="auto" w:sz="4" w:space="0"/>
              <w:right w:val="single" w:color="auto" w:sz="4" w:space="0"/>
            </w:tcBorders>
            <w:vAlign w:val="center"/>
          </w:tcPr>
          <w:p w14:paraId="5E28A83D">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价格分采用低价优先法计算，即满足招标文件要求且投标价格最低的投标报价为评标基准价，其价格分为满分。其他投标人的价格分按照下列公式计算：</w:t>
            </w:r>
          </w:p>
          <w:p w14:paraId="07FAB774">
            <w:pPr>
              <w:keepNext w:val="0"/>
              <w:keepLines w:val="0"/>
              <w:suppressLineNumbers w:val="0"/>
              <w:spacing w:before="0" w:beforeAutospacing="0" w:after="0" w:afterAutospacing="0"/>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价格分=（评标基准价/投标报价）</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100</w:t>
            </w:r>
          </w:p>
          <w:p w14:paraId="7203BA7D">
            <w:pPr>
              <w:rPr>
                <w:rFonts w:hint="eastAsia" w:ascii="仿宋" w:hAnsi="仿宋" w:eastAsia="仿宋" w:cs="仿宋"/>
                <w:szCs w:val="21"/>
                <w:highlight w:val="none"/>
              </w:rPr>
            </w:pPr>
            <w:r>
              <w:rPr>
                <w:rFonts w:hint="eastAsia" w:ascii="仿宋" w:hAnsi="仿宋" w:eastAsia="仿宋" w:cs="仿宋"/>
                <w:b/>
                <w:bCs/>
                <w:color w:val="auto"/>
                <w:sz w:val="18"/>
                <w:szCs w:val="18"/>
                <w:highlight w:val="none"/>
                <w:lang w:val="en-US" w:eastAsia="zh-CN"/>
              </w:rPr>
              <w:t xml:space="preserve">注：本项目对符合规定的小微企业报价给予【10】%的扣除后计算价格得分。对于联合协议或者分包意向协议约定小微企业的合同份额占到合同总金额30%以上的，对联合体或者大中型企业的报价给予【4】%的扣除，用扣除后的价格参加评审。 </w:t>
            </w:r>
          </w:p>
        </w:tc>
      </w:tr>
      <w:tr w14:paraId="12DC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2" w:type="dxa"/>
            <w:gridSpan w:val="3"/>
            <w:vAlign w:val="center"/>
          </w:tcPr>
          <w:p w14:paraId="01178B46">
            <w:pPr>
              <w:jc w:val="center"/>
              <w:rPr>
                <w:rFonts w:hint="eastAsia" w:ascii="仿宋" w:hAnsi="仿宋" w:eastAsia="仿宋" w:cs="仿宋"/>
                <w:szCs w:val="21"/>
                <w:highlight w:val="none"/>
              </w:rPr>
            </w:pPr>
            <w:r>
              <w:rPr>
                <w:rFonts w:hint="eastAsia" w:ascii="仿宋" w:hAnsi="仿宋" w:eastAsia="仿宋" w:cs="仿宋"/>
                <w:b/>
                <w:bCs/>
                <w:szCs w:val="21"/>
                <w:highlight w:val="none"/>
              </w:rPr>
              <w:t>商务分</w:t>
            </w:r>
          </w:p>
        </w:tc>
      </w:tr>
      <w:tr w14:paraId="7789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Align w:val="center"/>
          </w:tcPr>
          <w:p w14:paraId="0BEB47BC">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业绩</w:t>
            </w:r>
          </w:p>
        </w:tc>
        <w:tc>
          <w:tcPr>
            <w:tcW w:w="660" w:type="dxa"/>
            <w:vAlign w:val="center"/>
          </w:tcPr>
          <w:p w14:paraId="0B8BA062">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1</w:t>
            </w:r>
          </w:p>
        </w:tc>
        <w:tc>
          <w:tcPr>
            <w:tcW w:w="7723" w:type="dxa"/>
            <w:vAlign w:val="center"/>
          </w:tcPr>
          <w:p w14:paraId="3AA7D6A2">
            <w:pPr>
              <w:rPr>
                <w:rFonts w:hint="eastAsia"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投标人自202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年1月1日以来</w:t>
            </w:r>
            <w:r>
              <w:rPr>
                <w:rFonts w:hint="eastAsia" w:ascii="仿宋" w:hAnsi="仿宋" w:eastAsia="仿宋" w:cs="仿宋"/>
                <w:szCs w:val="21"/>
                <w:highlight w:val="none"/>
                <w:lang w:val="en-US" w:eastAsia="zh-CN"/>
              </w:rPr>
              <w:t>相关</w:t>
            </w:r>
            <w:r>
              <w:rPr>
                <w:rFonts w:hint="eastAsia" w:ascii="仿宋" w:hAnsi="仿宋" w:eastAsia="仿宋" w:cs="仿宋"/>
                <w:szCs w:val="21"/>
                <w:highlight w:val="none"/>
              </w:rPr>
              <w:t>产品质量监督抽查工作经历（最高1分）：1分/份</w:t>
            </w:r>
            <w:r>
              <w:rPr>
                <w:rFonts w:hint="eastAsia" w:ascii="仿宋" w:hAnsi="仿宋" w:eastAsia="仿宋" w:cs="仿宋"/>
                <w:b/>
                <w:bCs/>
                <w:szCs w:val="21"/>
                <w:highlight w:val="none"/>
              </w:rPr>
              <w:t>（以提供的相应文件或委托合同等扫描件为准）</w:t>
            </w:r>
          </w:p>
        </w:tc>
      </w:tr>
      <w:tr w14:paraId="5020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Align w:val="center"/>
          </w:tcPr>
          <w:p w14:paraId="5DD9884B">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履约信用</w:t>
            </w:r>
          </w:p>
        </w:tc>
        <w:tc>
          <w:tcPr>
            <w:tcW w:w="660" w:type="dxa"/>
            <w:vAlign w:val="center"/>
          </w:tcPr>
          <w:p w14:paraId="50FA797E">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3</w:t>
            </w:r>
          </w:p>
        </w:tc>
        <w:tc>
          <w:tcPr>
            <w:tcW w:w="7723" w:type="dxa"/>
            <w:vAlign w:val="center"/>
          </w:tcPr>
          <w:p w14:paraId="1462B9CE">
            <w:pPr>
              <w:rPr>
                <w:rFonts w:hint="eastAsia"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投标人自202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年1月1日以来在市场监管领域</w:t>
            </w:r>
            <w:r>
              <w:rPr>
                <w:rFonts w:hint="eastAsia" w:ascii="仿宋" w:hAnsi="仿宋" w:eastAsia="仿宋" w:cs="仿宋"/>
                <w:szCs w:val="21"/>
                <w:highlight w:val="none"/>
                <w:lang w:val="en-US" w:eastAsia="zh-CN"/>
              </w:rPr>
              <w:t>相关</w:t>
            </w:r>
            <w:r>
              <w:rPr>
                <w:rFonts w:hint="eastAsia" w:ascii="仿宋" w:hAnsi="仿宋" w:eastAsia="仿宋" w:cs="仿宋"/>
                <w:szCs w:val="21"/>
                <w:highlight w:val="none"/>
              </w:rPr>
              <w:t>产品质量监督抽查任务中没有因工作质量问题被通报的：3分</w:t>
            </w:r>
            <w:r>
              <w:rPr>
                <w:rFonts w:hint="eastAsia" w:ascii="仿宋" w:hAnsi="仿宋" w:eastAsia="仿宋" w:cs="仿宋"/>
                <w:b/>
                <w:bCs/>
                <w:szCs w:val="21"/>
                <w:highlight w:val="none"/>
              </w:rPr>
              <w:t>（需提供承诺函，否则不得分）</w:t>
            </w:r>
          </w:p>
          <w:p w14:paraId="5393A587">
            <w:pPr>
              <w:rPr>
                <w:rFonts w:hint="eastAsia" w:ascii="仿宋" w:hAnsi="仿宋" w:eastAsia="仿宋" w:cs="仿宋"/>
                <w:b/>
                <w:bCs/>
                <w:szCs w:val="21"/>
                <w:highlight w:val="none"/>
              </w:rPr>
            </w:pPr>
            <w:r>
              <w:rPr>
                <w:rFonts w:hint="eastAsia" w:ascii="仿宋" w:hAnsi="仿宋" w:eastAsia="仿宋" w:cs="仿宋"/>
                <w:szCs w:val="21"/>
                <w:highlight w:val="none"/>
              </w:rPr>
              <w:t>注：若投标人自202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年1月1日在市场监管领域无产品质量监督抽查任务的，视为无工作质量问题：3分</w:t>
            </w:r>
            <w:r>
              <w:rPr>
                <w:rFonts w:hint="eastAsia" w:ascii="仿宋" w:hAnsi="仿宋" w:eastAsia="仿宋" w:cs="仿宋"/>
                <w:b/>
                <w:bCs/>
                <w:szCs w:val="21"/>
                <w:highlight w:val="none"/>
              </w:rPr>
              <w:t>（需提供书面说明，否则不得分）</w:t>
            </w:r>
          </w:p>
        </w:tc>
      </w:tr>
      <w:tr w14:paraId="66F8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2" w:type="dxa"/>
            <w:gridSpan w:val="3"/>
            <w:vAlign w:val="center"/>
          </w:tcPr>
          <w:p w14:paraId="00731FAC">
            <w:pPr>
              <w:jc w:val="center"/>
              <w:rPr>
                <w:rFonts w:hint="eastAsia" w:ascii="仿宋" w:hAnsi="仿宋" w:eastAsia="仿宋" w:cs="仿宋"/>
                <w:b/>
                <w:bCs/>
                <w:sz w:val="18"/>
                <w:szCs w:val="18"/>
                <w:highlight w:val="none"/>
              </w:rPr>
            </w:pPr>
            <w:r>
              <w:rPr>
                <w:rFonts w:hint="eastAsia" w:ascii="仿宋" w:hAnsi="仿宋" w:eastAsia="仿宋" w:cs="仿宋"/>
                <w:b/>
                <w:bCs/>
                <w:szCs w:val="21"/>
                <w:highlight w:val="none"/>
              </w:rPr>
              <w:t>技术分</w:t>
            </w:r>
          </w:p>
        </w:tc>
      </w:tr>
      <w:tr w14:paraId="4015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Align w:val="center"/>
          </w:tcPr>
          <w:p w14:paraId="3DF0B6B8">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服务响应</w:t>
            </w:r>
          </w:p>
        </w:tc>
        <w:tc>
          <w:tcPr>
            <w:tcW w:w="660" w:type="dxa"/>
            <w:vAlign w:val="center"/>
          </w:tcPr>
          <w:p w14:paraId="3FDB20DF">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28</w:t>
            </w:r>
          </w:p>
        </w:tc>
        <w:tc>
          <w:tcPr>
            <w:tcW w:w="7723" w:type="dxa"/>
            <w:vAlign w:val="center"/>
          </w:tcPr>
          <w:p w14:paraId="7414931C">
            <w:pPr>
              <w:rPr>
                <w:rFonts w:hint="eastAsia" w:ascii="仿宋" w:hAnsi="仿宋" w:eastAsia="仿宋" w:cs="仿宋"/>
                <w:b/>
                <w:bCs/>
                <w:sz w:val="18"/>
                <w:szCs w:val="18"/>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满足或明显优于招标文件明确的全部服务条款要求得28分，低于服务要求（负偏离）扣4分/项（28分起扣），负偏离≥8项投标无效。</w:t>
            </w:r>
          </w:p>
        </w:tc>
      </w:tr>
      <w:tr w14:paraId="4696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39" w:type="dxa"/>
            <w:vMerge w:val="restart"/>
            <w:vAlign w:val="center"/>
          </w:tcPr>
          <w:p w14:paraId="2A91527C">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服务方案</w:t>
            </w:r>
          </w:p>
        </w:tc>
        <w:tc>
          <w:tcPr>
            <w:tcW w:w="660" w:type="dxa"/>
            <w:vAlign w:val="center"/>
          </w:tcPr>
          <w:p w14:paraId="308597AB">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3</w:t>
            </w:r>
          </w:p>
        </w:tc>
        <w:tc>
          <w:tcPr>
            <w:tcW w:w="7723" w:type="dxa"/>
            <w:vAlign w:val="center"/>
          </w:tcPr>
          <w:p w14:paraId="2AFAFFFD">
            <w:pPr>
              <w:rPr>
                <w:rFonts w:hint="eastAsia"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所投项目相关产品国内产业、行业现状介绍、省内企业数量、产业模式的报告：报告全面、充分、针对采购需求及实际特点、有利于采购标的实现及合同履约</w:t>
            </w:r>
            <w:r>
              <w:rPr>
                <w:rFonts w:hint="eastAsia" w:ascii="仿宋" w:hAnsi="仿宋" w:eastAsia="仿宋" w:cs="仿宋"/>
                <w:b/>
                <w:bCs/>
                <w:szCs w:val="21"/>
                <w:highlight w:val="none"/>
              </w:rPr>
              <w:t>（评分范围：3,2,1,0）</w:t>
            </w:r>
          </w:p>
        </w:tc>
      </w:tr>
      <w:tr w14:paraId="0F03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4CCB243A">
            <w:pPr>
              <w:jc w:val="center"/>
              <w:rPr>
                <w:rFonts w:hint="eastAsia" w:ascii="仿宋" w:hAnsi="仿宋" w:eastAsia="仿宋" w:cs="仿宋"/>
                <w:b/>
                <w:bCs/>
                <w:szCs w:val="21"/>
                <w:highlight w:val="none"/>
              </w:rPr>
            </w:pPr>
          </w:p>
        </w:tc>
        <w:tc>
          <w:tcPr>
            <w:tcW w:w="660" w:type="dxa"/>
            <w:vAlign w:val="center"/>
          </w:tcPr>
          <w:p w14:paraId="423338BD">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6</w:t>
            </w:r>
          </w:p>
        </w:tc>
        <w:tc>
          <w:tcPr>
            <w:tcW w:w="7723" w:type="dxa"/>
            <w:vAlign w:val="center"/>
          </w:tcPr>
          <w:p w14:paraId="27573EEB">
            <w:pPr>
              <w:rPr>
                <w:rFonts w:hint="eastAsia"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管理制度及质量管理体系：全面、充分、针对采购需求及实际特点、有利于采购标的实现及合同履约</w:t>
            </w:r>
          </w:p>
          <w:p w14:paraId="58621911">
            <w:pPr>
              <w:rPr>
                <w:rFonts w:hint="eastAsia" w:ascii="仿宋" w:hAnsi="仿宋" w:eastAsia="仿宋" w:cs="仿宋"/>
                <w:szCs w:val="21"/>
                <w:highlight w:val="none"/>
              </w:rPr>
            </w:pPr>
            <w:r>
              <w:rPr>
                <w:rFonts w:hint="eastAsia" w:ascii="仿宋" w:hAnsi="仿宋" w:eastAsia="仿宋" w:cs="仿宋"/>
                <w:szCs w:val="21"/>
                <w:highlight w:val="none"/>
              </w:rPr>
              <w:t>1.管理制度健全程度</w:t>
            </w:r>
            <w:r>
              <w:rPr>
                <w:rFonts w:hint="eastAsia" w:ascii="仿宋" w:hAnsi="仿宋" w:eastAsia="仿宋" w:cs="仿宋"/>
                <w:b/>
                <w:bCs/>
                <w:szCs w:val="21"/>
                <w:highlight w:val="none"/>
              </w:rPr>
              <w:t>（评分范围：3,2,1,0）</w:t>
            </w:r>
          </w:p>
          <w:p w14:paraId="7BB224AC">
            <w:pPr>
              <w:rPr>
                <w:rFonts w:hint="eastAsia" w:ascii="仿宋" w:hAnsi="仿宋" w:eastAsia="仿宋" w:cs="仿宋"/>
                <w:b/>
                <w:bCs/>
                <w:szCs w:val="21"/>
                <w:highlight w:val="none"/>
              </w:rPr>
            </w:pPr>
            <w:r>
              <w:rPr>
                <w:rFonts w:hint="eastAsia" w:ascii="仿宋" w:hAnsi="仿宋" w:eastAsia="仿宋" w:cs="仿宋"/>
                <w:szCs w:val="21"/>
                <w:highlight w:val="none"/>
              </w:rPr>
              <w:t>2.质量管理体系完善程度</w:t>
            </w:r>
            <w:r>
              <w:rPr>
                <w:rFonts w:hint="eastAsia" w:ascii="仿宋" w:hAnsi="仿宋" w:eastAsia="仿宋" w:cs="仿宋"/>
                <w:b/>
                <w:bCs/>
                <w:szCs w:val="21"/>
                <w:highlight w:val="none"/>
              </w:rPr>
              <w:t>（评分范围：3,2,1,0）</w:t>
            </w:r>
          </w:p>
        </w:tc>
      </w:tr>
      <w:tr w14:paraId="7EAE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233D6FD5">
            <w:pPr>
              <w:jc w:val="center"/>
              <w:rPr>
                <w:rFonts w:hint="eastAsia" w:ascii="仿宋" w:hAnsi="仿宋" w:eastAsia="仿宋" w:cs="仿宋"/>
                <w:b/>
                <w:bCs/>
                <w:szCs w:val="21"/>
                <w:highlight w:val="none"/>
              </w:rPr>
            </w:pPr>
          </w:p>
        </w:tc>
        <w:tc>
          <w:tcPr>
            <w:tcW w:w="660" w:type="dxa"/>
            <w:vAlign w:val="center"/>
          </w:tcPr>
          <w:p w14:paraId="73D1F96F">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20</w:t>
            </w:r>
          </w:p>
        </w:tc>
        <w:tc>
          <w:tcPr>
            <w:tcW w:w="7723" w:type="dxa"/>
            <w:vAlign w:val="center"/>
          </w:tcPr>
          <w:p w14:paraId="425F349B">
            <w:pPr>
              <w:rPr>
                <w:rFonts w:hint="eastAsia"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具体实施方案：专业、全面、针对采购需求及实际特点、有利于采购标的实现及合同履约</w:t>
            </w:r>
          </w:p>
          <w:p w14:paraId="2E532D69">
            <w:pPr>
              <w:rPr>
                <w:rFonts w:hint="eastAsia" w:ascii="仿宋" w:hAnsi="仿宋" w:eastAsia="仿宋" w:cs="仿宋"/>
                <w:szCs w:val="21"/>
                <w:highlight w:val="none"/>
              </w:rPr>
            </w:pPr>
            <w:r>
              <w:rPr>
                <w:rFonts w:hint="eastAsia" w:ascii="仿宋" w:hAnsi="仿宋" w:eastAsia="仿宋" w:cs="仿宋"/>
                <w:szCs w:val="21"/>
                <w:highlight w:val="none"/>
              </w:rPr>
              <w:t>1.抽查时间进度计划及安排</w:t>
            </w:r>
            <w:r>
              <w:rPr>
                <w:rFonts w:hint="eastAsia" w:ascii="仿宋" w:hAnsi="仿宋" w:eastAsia="仿宋" w:cs="仿宋"/>
                <w:b/>
                <w:bCs/>
                <w:szCs w:val="21"/>
                <w:highlight w:val="none"/>
              </w:rPr>
              <w:t>（评分范围：3,2,1,0）</w:t>
            </w:r>
          </w:p>
          <w:p w14:paraId="71C698CD">
            <w:pPr>
              <w:rPr>
                <w:rFonts w:hint="eastAsia" w:ascii="仿宋" w:hAnsi="仿宋" w:eastAsia="仿宋" w:cs="仿宋"/>
                <w:szCs w:val="21"/>
                <w:highlight w:val="none"/>
              </w:rPr>
            </w:pPr>
            <w:r>
              <w:rPr>
                <w:rFonts w:hint="eastAsia" w:ascii="仿宋" w:hAnsi="仿宋" w:eastAsia="仿宋" w:cs="仿宋"/>
                <w:szCs w:val="21"/>
                <w:highlight w:val="none"/>
              </w:rPr>
              <w:t>2.抽样安排</w:t>
            </w:r>
            <w:r>
              <w:rPr>
                <w:rFonts w:hint="eastAsia" w:ascii="仿宋" w:hAnsi="仿宋" w:eastAsia="仿宋" w:cs="仿宋"/>
                <w:b/>
                <w:bCs/>
                <w:szCs w:val="21"/>
                <w:highlight w:val="none"/>
              </w:rPr>
              <w:t>（评分范围：3,2,1,0）</w:t>
            </w:r>
          </w:p>
          <w:p w14:paraId="5AF4B1A7">
            <w:pPr>
              <w:rPr>
                <w:rFonts w:hint="eastAsia" w:ascii="仿宋" w:hAnsi="仿宋" w:eastAsia="仿宋" w:cs="仿宋"/>
                <w:b/>
                <w:bCs/>
                <w:szCs w:val="21"/>
                <w:highlight w:val="none"/>
              </w:rPr>
            </w:pPr>
            <w:r>
              <w:rPr>
                <w:rFonts w:hint="eastAsia" w:ascii="仿宋" w:hAnsi="仿宋" w:eastAsia="仿宋" w:cs="仿宋"/>
                <w:szCs w:val="21"/>
                <w:highlight w:val="none"/>
              </w:rPr>
              <w:t>3.样品物流安排</w:t>
            </w:r>
            <w:r>
              <w:rPr>
                <w:rFonts w:hint="eastAsia" w:ascii="仿宋" w:hAnsi="仿宋" w:eastAsia="仿宋" w:cs="仿宋"/>
                <w:b/>
                <w:bCs/>
                <w:szCs w:val="21"/>
                <w:highlight w:val="none"/>
              </w:rPr>
              <w:t>（评分范围：3,2,1,0）</w:t>
            </w:r>
          </w:p>
          <w:p w14:paraId="2C8FDBC9">
            <w:pPr>
              <w:rPr>
                <w:rFonts w:hint="eastAsia" w:ascii="仿宋" w:hAnsi="仿宋" w:eastAsia="仿宋" w:cs="仿宋"/>
                <w:b/>
                <w:bCs/>
                <w:szCs w:val="21"/>
                <w:highlight w:val="none"/>
              </w:rPr>
            </w:pPr>
            <w:r>
              <w:rPr>
                <w:rFonts w:hint="eastAsia" w:ascii="仿宋" w:hAnsi="仿宋" w:eastAsia="仿宋" w:cs="仿宋"/>
                <w:szCs w:val="21"/>
                <w:highlight w:val="none"/>
              </w:rPr>
              <w:t>4.检验工作安排</w:t>
            </w:r>
            <w:r>
              <w:rPr>
                <w:rFonts w:hint="eastAsia" w:ascii="仿宋" w:hAnsi="仿宋" w:eastAsia="仿宋" w:cs="仿宋"/>
                <w:b/>
                <w:bCs/>
                <w:szCs w:val="21"/>
                <w:highlight w:val="none"/>
              </w:rPr>
              <w:t>（评分范围：3,2,1,0）</w:t>
            </w:r>
          </w:p>
          <w:p w14:paraId="6828DB9C">
            <w:pPr>
              <w:rPr>
                <w:rFonts w:hint="eastAsia" w:ascii="仿宋" w:hAnsi="仿宋" w:eastAsia="仿宋" w:cs="仿宋"/>
                <w:b/>
                <w:bCs/>
                <w:szCs w:val="21"/>
                <w:highlight w:val="none"/>
              </w:rPr>
            </w:pPr>
            <w:r>
              <w:rPr>
                <w:rFonts w:hint="eastAsia" w:ascii="仿宋" w:hAnsi="仿宋" w:eastAsia="仿宋" w:cs="仿宋"/>
                <w:szCs w:val="21"/>
                <w:highlight w:val="none"/>
              </w:rPr>
              <w:t>5.检验结果报送</w:t>
            </w:r>
            <w:r>
              <w:rPr>
                <w:rFonts w:hint="eastAsia" w:ascii="仿宋" w:hAnsi="仿宋" w:eastAsia="仿宋" w:cs="仿宋"/>
                <w:b/>
                <w:bCs/>
                <w:szCs w:val="21"/>
                <w:highlight w:val="none"/>
              </w:rPr>
              <w:t>（评分范围：3,2,1,0）</w:t>
            </w:r>
          </w:p>
          <w:p w14:paraId="4A34A5B3">
            <w:pPr>
              <w:rPr>
                <w:rFonts w:hint="eastAsia" w:ascii="仿宋" w:hAnsi="仿宋" w:eastAsia="仿宋" w:cs="仿宋"/>
                <w:b/>
                <w:bCs/>
                <w:szCs w:val="21"/>
                <w:highlight w:val="none"/>
              </w:rPr>
            </w:pPr>
            <w:r>
              <w:rPr>
                <w:rFonts w:hint="eastAsia" w:ascii="仿宋" w:hAnsi="仿宋" w:eastAsia="仿宋" w:cs="仿宋"/>
                <w:szCs w:val="21"/>
                <w:highlight w:val="none"/>
              </w:rPr>
              <w:t>6.异议复检安排</w:t>
            </w:r>
            <w:r>
              <w:rPr>
                <w:rFonts w:hint="eastAsia" w:ascii="仿宋" w:hAnsi="仿宋" w:eastAsia="仿宋" w:cs="仿宋"/>
                <w:b/>
                <w:bCs/>
                <w:szCs w:val="21"/>
                <w:highlight w:val="none"/>
              </w:rPr>
              <w:t>（评分范围：2,1,0）</w:t>
            </w:r>
          </w:p>
          <w:p w14:paraId="2661DAF6">
            <w:pPr>
              <w:rPr>
                <w:rFonts w:hint="eastAsia" w:ascii="仿宋" w:hAnsi="仿宋" w:eastAsia="仿宋" w:cs="仿宋"/>
                <w:b/>
                <w:bCs/>
                <w:szCs w:val="21"/>
                <w:highlight w:val="none"/>
              </w:rPr>
            </w:pPr>
            <w:r>
              <w:rPr>
                <w:rFonts w:hint="eastAsia" w:ascii="仿宋" w:hAnsi="仿宋" w:eastAsia="仿宋" w:cs="仿宋"/>
                <w:szCs w:val="21"/>
                <w:highlight w:val="none"/>
              </w:rPr>
              <w:t>7.样品保存、处置具体方案</w:t>
            </w:r>
            <w:r>
              <w:rPr>
                <w:rFonts w:hint="eastAsia" w:ascii="仿宋" w:hAnsi="仿宋" w:eastAsia="仿宋" w:cs="仿宋"/>
                <w:b/>
                <w:bCs/>
                <w:szCs w:val="21"/>
                <w:highlight w:val="none"/>
              </w:rPr>
              <w:t>（评分范围：3,2,1,0）</w:t>
            </w:r>
          </w:p>
        </w:tc>
      </w:tr>
      <w:tr w14:paraId="641F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659A82A7">
            <w:pPr>
              <w:jc w:val="center"/>
              <w:rPr>
                <w:rFonts w:hint="eastAsia" w:ascii="仿宋" w:hAnsi="仿宋" w:eastAsia="仿宋" w:cs="仿宋"/>
                <w:b/>
                <w:bCs/>
                <w:szCs w:val="21"/>
                <w:highlight w:val="none"/>
              </w:rPr>
            </w:pPr>
          </w:p>
        </w:tc>
        <w:tc>
          <w:tcPr>
            <w:tcW w:w="660" w:type="dxa"/>
            <w:vAlign w:val="center"/>
          </w:tcPr>
          <w:p w14:paraId="0C12D0C6">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13</w:t>
            </w:r>
          </w:p>
        </w:tc>
        <w:tc>
          <w:tcPr>
            <w:tcW w:w="7723" w:type="dxa"/>
            <w:vAlign w:val="center"/>
          </w:tcPr>
          <w:p w14:paraId="46C42029">
            <w:pPr>
              <w:rPr>
                <w:rFonts w:hint="eastAsia" w:ascii="仿宋" w:hAnsi="仿宋" w:eastAsia="仿宋" w:cs="仿宋"/>
                <w:szCs w:val="21"/>
                <w:highlight w:val="none"/>
              </w:rPr>
            </w:pPr>
            <w:r>
              <w:rPr>
                <w:rFonts w:hint="eastAsia" w:ascii="仿宋" w:hAnsi="仿宋" w:eastAsia="仿宋" w:cs="仿宋"/>
                <w:szCs w:val="21"/>
                <w:highlight w:val="none"/>
              </w:rPr>
              <w:t>场地、设备配置</w:t>
            </w:r>
          </w:p>
          <w:p w14:paraId="4DB6DFA3">
            <w:pPr>
              <w:rPr>
                <w:rFonts w:hint="eastAsia" w:ascii="仿宋" w:hAnsi="仿宋" w:eastAsia="仿宋" w:cs="仿宋"/>
                <w:b/>
                <w:bCs/>
                <w:szCs w:val="21"/>
                <w:highlight w:val="none"/>
              </w:rPr>
            </w:pPr>
            <w:r>
              <w:rPr>
                <w:rFonts w:hint="eastAsia" w:ascii="仿宋" w:hAnsi="仿宋" w:eastAsia="仿宋" w:cs="仿宋"/>
                <w:b/>
                <w:bCs/>
                <w:szCs w:val="21"/>
                <w:highlight w:val="none"/>
              </w:rPr>
              <w:t>[主观分]1.</w:t>
            </w:r>
            <w:r>
              <w:rPr>
                <w:rFonts w:hint="eastAsia" w:ascii="仿宋" w:hAnsi="仿宋" w:eastAsia="仿宋" w:cs="仿宋"/>
                <w:szCs w:val="21"/>
                <w:highlight w:val="none"/>
              </w:rPr>
              <w:t>配备检测设备：专业、完整、覆盖所承担项目需要及满足大批量样品检测需要、有利于采购标的实现及合同履约</w:t>
            </w:r>
            <w:r>
              <w:rPr>
                <w:rFonts w:hint="eastAsia" w:ascii="仿宋" w:hAnsi="仿宋" w:eastAsia="仿宋" w:cs="仿宋"/>
                <w:b/>
                <w:bCs/>
                <w:szCs w:val="21"/>
                <w:highlight w:val="none"/>
              </w:rPr>
              <w:t>（评分范围：3,2,1,0）</w:t>
            </w:r>
            <w:r>
              <w:rPr>
                <w:rFonts w:hint="eastAsia" w:ascii="仿宋" w:hAnsi="仿宋" w:eastAsia="仿宋" w:cs="仿宋"/>
                <w:szCs w:val="21"/>
                <w:highlight w:val="none"/>
              </w:rPr>
              <w:t>（以提供的设备清单、照片、购置合同或购置发票、校准报告、检定证书等相关证明材料为准，在计量检定（校准）有效期内）</w:t>
            </w:r>
          </w:p>
          <w:p w14:paraId="00FDD640">
            <w:pPr>
              <w:rPr>
                <w:rFonts w:hint="eastAsia" w:ascii="仿宋" w:hAnsi="仿宋" w:eastAsia="仿宋" w:cs="仿宋"/>
                <w:szCs w:val="21"/>
                <w:highlight w:val="none"/>
              </w:rPr>
            </w:pPr>
            <w:r>
              <w:rPr>
                <w:rFonts w:hint="eastAsia" w:ascii="仿宋" w:hAnsi="仿宋" w:eastAsia="仿宋" w:cs="仿宋"/>
                <w:b/>
                <w:bCs/>
                <w:szCs w:val="21"/>
                <w:highlight w:val="none"/>
              </w:rPr>
              <w:t>[主观分]2.</w:t>
            </w:r>
            <w:r>
              <w:rPr>
                <w:rFonts w:hint="eastAsia" w:ascii="仿宋" w:hAnsi="仿宋" w:eastAsia="仿宋" w:cs="仿宋"/>
                <w:szCs w:val="21"/>
                <w:highlight w:val="none"/>
              </w:rPr>
              <w:t>配备抽样现场信息记录仪器：专业、完整记录抽样现场有声视频、音频及清晰照片、有利于采购标的实现及合同履约</w:t>
            </w:r>
            <w:r>
              <w:rPr>
                <w:rFonts w:hint="eastAsia" w:ascii="仿宋" w:hAnsi="仿宋" w:eastAsia="仿宋" w:cs="仿宋"/>
                <w:b/>
                <w:bCs/>
                <w:szCs w:val="21"/>
                <w:highlight w:val="none"/>
              </w:rPr>
              <w:t>（评分范围：3,2,1,0）</w:t>
            </w:r>
            <w:r>
              <w:rPr>
                <w:rFonts w:hint="eastAsia" w:ascii="仿宋" w:hAnsi="仿宋" w:eastAsia="仿宋" w:cs="仿宋"/>
                <w:szCs w:val="21"/>
                <w:highlight w:val="none"/>
              </w:rPr>
              <w:t>（以提供的设备清单、照片、购置合同或购置发票等相关证明材料为准）</w:t>
            </w:r>
          </w:p>
          <w:p w14:paraId="3AC1E759">
            <w:pPr>
              <w:rPr>
                <w:rFonts w:hint="eastAsia" w:ascii="仿宋" w:hAnsi="仿宋" w:eastAsia="仿宋" w:cs="仿宋"/>
                <w:szCs w:val="21"/>
                <w:highlight w:val="none"/>
              </w:rPr>
            </w:pPr>
            <w:r>
              <w:rPr>
                <w:rFonts w:hint="eastAsia" w:ascii="仿宋" w:hAnsi="仿宋" w:eastAsia="仿宋" w:cs="仿宋"/>
                <w:b/>
                <w:bCs/>
                <w:szCs w:val="21"/>
                <w:highlight w:val="none"/>
              </w:rPr>
              <w:t>[主观分]3.</w:t>
            </w:r>
            <w:r>
              <w:rPr>
                <w:rFonts w:hint="eastAsia" w:ascii="仿宋" w:hAnsi="仿宋" w:eastAsia="仿宋" w:cs="仿宋"/>
                <w:szCs w:val="21"/>
                <w:highlight w:val="none"/>
              </w:rPr>
              <w:t>拟投入项目专用采样车：专业、全面、针对采购需求及实际特点、有利于采购标的实现及合同履约</w:t>
            </w:r>
            <w:r>
              <w:rPr>
                <w:rFonts w:hint="eastAsia" w:ascii="仿宋" w:hAnsi="仿宋" w:eastAsia="仿宋" w:cs="仿宋"/>
                <w:b/>
                <w:bCs/>
                <w:szCs w:val="21"/>
                <w:highlight w:val="none"/>
              </w:rPr>
              <w:t>（评分范围：3,2,1,0）</w:t>
            </w:r>
            <w:r>
              <w:rPr>
                <w:rFonts w:hint="eastAsia" w:ascii="仿宋" w:hAnsi="仿宋" w:eastAsia="仿宋" w:cs="仿宋"/>
                <w:szCs w:val="21"/>
                <w:highlight w:val="none"/>
              </w:rPr>
              <w:t>（允许租用，以提供的车辆信息及照片、租赁证明或行驶证、保险复印件等相关证明材料为准）</w:t>
            </w:r>
          </w:p>
          <w:p w14:paraId="1F740C63">
            <w:pPr>
              <w:rPr>
                <w:rFonts w:hint="eastAsia" w:ascii="仿宋" w:hAnsi="仿宋" w:eastAsia="仿宋" w:cs="仿宋"/>
                <w:szCs w:val="21"/>
                <w:highlight w:val="none"/>
              </w:rPr>
            </w:pPr>
            <w:r>
              <w:rPr>
                <w:rFonts w:hint="eastAsia" w:ascii="仿宋" w:hAnsi="仿宋" w:eastAsia="仿宋" w:cs="仿宋"/>
                <w:b/>
                <w:bCs/>
                <w:szCs w:val="21"/>
                <w:highlight w:val="none"/>
              </w:rPr>
              <w:t>[客观分]4.</w:t>
            </w:r>
            <w:r>
              <w:rPr>
                <w:rFonts w:hint="eastAsia" w:ascii="仿宋" w:hAnsi="仿宋" w:eastAsia="仿宋" w:cs="仿宋"/>
                <w:szCs w:val="21"/>
                <w:highlight w:val="none"/>
              </w:rPr>
              <w:t>具有独立、固定的检测及仓储场所：</w:t>
            </w:r>
            <w:r>
              <w:rPr>
                <w:rFonts w:hint="eastAsia" w:ascii="仿宋" w:hAnsi="仿宋" w:eastAsia="仿宋" w:cs="仿宋"/>
                <w:b/>
                <w:bCs/>
                <w:szCs w:val="21"/>
                <w:highlight w:val="none"/>
              </w:rPr>
              <w:t>2分</w:t>
            </w:r>
            <w:r>
              <w:rPr>
                <w:rFonts w:hint="eastAsia" w:ascii="仿宋" w:hAnsi="仿宋" w:eastAsia="仿宋" w:cs="仿宋"/>
                <w:szCs w:val="21"/>
                <w:highlight w:val="none"/>
              </w:rPr>
              <w:t>（以提供的场所产权证明或有效租赁合同等相关证明材料为准）</w:t>
            </w:r>
          </w:p>
          <w:p w14:paraId="62943666">
            <w:pPr>
              <w:rPr>
                <w:rFonts w:hint="eastAsia" w:ascii="仿宋" w:hAnsi="仿宋" w:eastAsia="仿宋" w:cs="仿宋"/>
                <w:szCs w:val="21"/>
                <w:highlight w:val="none"/>
              </w:rPr>
            </w:pPr>
            <w:r>
              <w:rPr>
                <w:rFonts w:hint="eastAsia" w:ascii="仿宋" w:hAnsi="仿宋" w:eastAsia="仿宋" w:cs="仿宋"/>
                <w:b/>
                <w:bCs/>
                <w:szCs w:val="21"/>
                <w:highlight w:val="none"/>
              </w:rPr>
              <w:t>[主观分]5.</w:t>
            </w:r>
            <w:r>
              <w:rPr>
                <w:rFonts w:hint="eastAsia" w:ascii="仿宋" w:hAnsi="仿宋" w:eastAsia="仿宋" w:cs="仿宋"/>
                <w:szCs w:val="21"/>
                <w:highlight w:val="none"/>
              </w:rPr>
              <w:t>检测及仓储场所布置：合理、规范、专业、针对采购需求及实际特点、有利于采购标的实现及合同履约</w:t>
            </w:r>
            <w:r>
              <w:rPr>
                <w:rFonts w:hint="eastAsia" w:ascii="仿宋" w:hAnsi="仿宋" w:eastAsia="仿宋" w:cs="仿宋"/>
                <w:b/>
                <w:bCs/>
                <w:szCs w:val="21"/>
                <w:highlight w:val="none"/>
              </w:rPr>
              <w:t>（评分范围：2,1,0）</w:t>
            </w:r>
          </w:p>
        </w:tc>
      </w:tr>
      <w:tr w14:paraId="093B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2C49890D">
            <w:pPr>
              <w:jc w:val="center"/>
              <w:rPr>
                <w:rFonts w:hint="eastAsia" w:ascii="仿宋" w:hAnsi="仿宋" w:eastAsia="仿宋" w:cs="仿宋"/>
                <w:b/>
                <w:bCs/>
                <w:szCs w:val="21"/>
                <w:highlight w:val="none"/>
              </w:rPr>
            </w:pPr>
          </w:p>
        </w:tc>
        <w:tc>
          <w:tcPr>
            <w:tcW w:w="660" w:type="dxa"/>
            <w:vAlign w:val="center"/>
          </w:tcPr>
          <w:p w14:paraId="00A44607">
            <w:pPr>
              <w:snapToGrid w:val="0"/>
              <w:jc w:val="center"/>
              <w:rPr>
                <w:rFonts w:hint="eastAsia" w:ascii="仿宋" w:hAnsi="仿宋" w:eastAsia="仿宋" w:cs="仿宋"/>
                <w:b/>
                <w:bCs/>
                <w:szCs w:val="21"/>
                <w:highlight w:val="none"/>
              </w:rPr>
            </w:pPr>
            <w:r>
              <w:rPr>
                <w:rFonts w:hint="eastAsia" w:ascii="仿宋" w:hAnsi="仿宋" w:eastAsia="仿宋" w:cs="仿宋"/>
                <w:b/>
                <w:bCs/>
                <w:szCs w:val="21"/>
                <w:highlight w:val="none"/>
              </w:rPr>
              <w:t>3</w:t>
            </w:r>
          </w:p>
        </w:tc>
        <w:tc>
          <w:tcPr>
            <w:tcW w:w="7723" w:type="dxa"/>
            <w:vAlign w:val="center"/>
          </w:tcPr>
          <w:p w14:paraId="085816AA">
            <w:pPr>
              <w:snapToGrid w:val="0"/>
              <w:rPr>
                <w:rFonts w:hint="eastAsia"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突发事件应急保障及响应方案（包括但不仅限于产品质量突发性、应急性等事件,应对机构、人员、响应具体时间及具体措施）：专业、全面、针对采购需求及实际特点、有利于采购标的实现及合同履约</w:t>
            </w:r>
            <w:r>
              <w:rPr>
                <w:rFonts w:hint="eastAsia" w:ascii="仿宋" w:hAnsi="仿宋" w:eastAsia="仿宋" w:cs="仿宋"/>
                <w:b/>
                <w:bCs/>
                <w:szCs w:val="21"/>
                <w:highlight w:val="none"/>
              </w:rPr>
              <w:t>（评分范围：3,2,1,0）</w:t>
            </w:r>
          </w:p>
        </w:tc>
      </w:tr>
      <w:tr w14:paraId="1CC6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restart"/>
            <w:vAlign w:val="center"/>
          </w:tcPr>
          <w:p w14:paraId="37B2CC34">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服务团队</w:t>
            </w:r>
          </w:p>
        </w:tc>
        <w:tc>
          <w:tcPr>
            <w:tcW w:w="660" w:type="dxa"/>
            <w:vAlign w:val="center"/>
          </w:tcPr>
          <w:p w14:paraId="3E3C99C5">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3</w:t>
            </w:r>
          </w:p>
        </w:tc>
        <w:tc>
          <w:tcPr>
            <w:tcW w:w="7723" w:type="dxa"/>
            <w:vAlign w:val="center"/>
          </w:tcPr>
          <w:p w14:paraId="7C7AA7AE">
            <w:pPr>
              <w:rPr>
                <w:rFonts w:hint="eastAsia"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服务团队人员组织结构：</w:t>
            </w:r>
            <w:r>
              <w:rPr>
                <w:rFonts w:hint="eastAsia" w:ascii="仿宋" w:hAnsi="仿宋" w:eastAsia="仿宋" w:cs="仿宋"/>
                <w:szCs w:val="21"/>
                <w:highlight w:val="none"/>
                <w:lang w:val="en-US" w:eastAsia="zh-CN"/>
              </w:rPr>
              <w:t>完整</w:t>
            </w:r>
            <w:r>
              <w:rPr>
                <w:rFonts w:hint="eastAsia" w:ascii="仿宋" w:hAnsi="仿宋" w:eastAsia="仿宋" w:cs="仿宋"/>
                <w:szCs w:val="21"/>
                <w:highlight w:val="none"/>
              </w:rPr>
              <w:t>、合理、针对采购需求及实际特点、有利于采购标的实现及合同履约</w:t>
            </w:r>
            <w:r>
              <w:rPr>
                <w:rFonts w:hint="eastAsia" w:ascii="仿宋" w:hAnsi="仿宋" w:eastAsia="仿宋" w:cs="仿宋"/>
                <w:b/>
                <w:bCs/>
                <w:szCs w:val="21"/>
                <w:highlight w:val="none"/>
              </w:rPr>
              <w:t>（评分范围：3,2,1,0）</w:t>
            </w:r>
          </w:p>
        </w:tc>
      </w:tr>
      <w:tr w14:paraId="2EFF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69C13F78">
            <w:pPr>
              <w:jc w:val="center"/>
              <w:rPr>
                <w:rFonts w:hint="eastAsia" w:ascii="仿宋" w:hAnsi="仿宋" w:eastAsia="仿宋" w:cs="仿宋"/>
                <w:b/>
                <w:bCs/>
                <w:szCs w:val="21"/>
                <w:highlight w:val="none"/>
              </w:rPr>
            </w:pPr>
          </w:p>
        </w:tc>
        <w:tc>
          <w:tcPr>
            <w:tcW w:w="660" w:type="dxa"/>
            <w:vAlign w:val="center"/>
          </w:tcPr>
          <w:p w14:paraId="6F72F942">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2</w:t>
            </w:r>
          </w:p>
        </w:tc>
        <w:tc>
          <w:tcPr>
            <w:tcW w:w="7723" w:type="dxa"/>
            <w:vAlign w:val="center"/>
          </w:tcPr>
          <w:p w14:paraId="3D3E37B6">
            <w:pPr>
              <w:rPr>
                <w:rFonts w:hint="eastAsia"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实施人员抽检分离的相关制度：全面、专业、针对采购需求及实际特点、有利于采购标的实现及合同履约</w:t>
            </w:r>
            <w:r>
              <w:rPr>
                <w:rFonts w:hint="eastAsia" w:ascii="仿宋" w:hAnsi="仿宋" w:eastAsia="仿宋" w:cs="仿宋"/>
                <w:b/>
                <w:bCs/>
                <w:szCs w:val="21"/>
                <w:highlight w:val="none"/>
              </w:rPr>
              <w:t>（评分范围：2,1,0）</w:t>
            </w:r>
          </w:p>
        </w:tc>
      </w:tr>
      <w:tr w14:paraId="7C5C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4F3B966D">
            <w:pPr>
              <w:jc w:val="center"/>
              <w:rPr>
                <w:rFonts w:hint="eastAsia" w:ascii="仿宋" w:hAnsi="仿宋" w:eastAsia="仿宋" w:cs="仿宋"/>
                <w:b/>
                <w:bCs/>
                <w:szCs w:val="21"/>
                <w:highlight w:val="none"/>
              </w:rPr>
            </w:pPr>
          </w:p>
        </w:tc>
        <w:tc>
          <w:tcPr>
            <w:tcW w:w="660" w:type="dxa"/>
            <w:vAlign w:val="center"/>
          </w:tcPr>
          <w:p w14:paraId="0FB541AB">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4</w:t>
            </w:r>
          </w:p>
        </w:tc>
        <w:tc>
          <w:tcPr>
            <w:tcW w:w="7723" w:type="dxa"/>
            <w:vAlign w:val="center"/>
          </w:tcPr>
          <w:p w14:paraId="0157D208">
            <w:pPr>
              <w:rPr>
                <w:rFonts w:hint="eastAsia"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项目负责人</w:t>
            </w:r>
          </w:p>
          <w:p w14:paraId="7F6453B0">
            <w:pPr>
              <w:rPr>
                <w:rFonts w:hint="eastAsia" w:ascii="仿宋" w:hAnsi="仿宋" w:eastAsia="仿宋" w:cs="仿宋"/>
                <w:szCs w:val="21"/>
                <w:highlight w:val="none"/>
              </w:rPr>
            </w:pPr>
            <w:r>
              <w:rPr>
                <w:rFonts w:hint="eastAsia" w:ascii="仿宋" w:hAnsi="仿宋" w:eastAsia="仿宋" w:cs="仿宋"/>
                <w:szCs w:val="21"/>
                <w:highlight w:val="none"/>
              </w:rPr>
              <w:t>1.检验工作经历（以提供的工作年限证明或说明或相关合同等证明材料为准）：＜3年0分、[3,10)年1分、≥10年2分</w:t>
            </w:r>
          </w:p>
          <w:p w14:paraId="7A0DC606">
            <w:pPr>
              <w:rPr>
                <w:rFonts w:hint="eastAsia" w:ascii="仿宋" w:hAnsi="仿宋" w:eastAsia="仿宋" w:cs="仿宋"/>
                <w:b/>
                <w:bCs/>
                <w:szCs w:val="21"/>
                <w:highlight w:val="none"/>
              </w:rPr>
            </w:pPr>
            <w:r>
              <w:rPr>
                <w:rFonts w:hint="eastAsia" w:ascii="仿宋" w:hAnsi="仿宋" w:eastAsia="仿宋" w:cs="仿宋"/>
                <w:szCs w:val="21"/>
                <w:highlight w:val="none"/>
              </w:rPr>
              <w:t>2.项目实施相关专业技术职称（以提供的职称证书扫描件为准）：中级1分、副高级或以上2分</w:t>
            </w:r>
          </w:p>
        </w:tc>
      </w:tr>
      <w:tr w14:paraId="53D8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1F4461FB">
            <w:pPr>
              <w:jc w:val="center"/>
              <w:rPr>
                <w:rFonts w:hint="eastAsia" w:ascii="仿宋" w:hAnsi="仿宋" w:eastAsia="仿宋" w:cs="仿宋"/>
                <w:b/>
                <w:bCs/>
                <w:szCs w:val="21"/>
                <w:highlight w:val="none"/>
              </w:rPr>
            </w:pPr>
          </w:p>
        </w:tc>
        <w:tc>
          <w:tcPr>
            <w:tcW w:w="660" w:type="dxa"/>
            <w:vAlign w:val="center"/>
          </w:tcPr>
          <w:p w14:paraId="08A50ED3">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2</w:t>
            </w:r>
          </w:p>
        </w:tc>
        <w:tc>
          <w:tcPr>
            <w:tcW w:w="7723" w:type="dxa"/>
            <w:vAlign w:val="center"/>
          </w:tcPr>
          <w:p w14:paraId="44E6E53A">
            <w:pPr>
              <w:rPr>
                <w:rFonts w:hint="eastAsia"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检验团队（含项目负责人）项目实施相关专业中级或以上技术职称人员数量（以提供的职称证书扫描件为准）：＜4人0分、[4,7]人1分、≥8人2分</w:t>
            </w:r>
          </w:p>
        </w:tc>
      </w:tr>
      <w:tr w14:paraId="34E0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vMerge w:val="continue"/>
            <w:vAlign w:val="center"/>
          </w:tcPr>
          <w:p w14:paraId="54616B73">
            <w:pPr>
              <w:jc w:val="center"/>
              <w:rPr>
                <w:rFonts w:hint="eastAsia" w:ascii="仿宋" w:hAnsi="仿宋" w:eastAsia="仿宋" w:cs="仿宋"/>
                <w:b/>
                <w:bCs/>
                <w:szCs w:val="21"/>
                <w:highlight w:val="none"/>
              </w:rPr>
            </w:pPr>
          </w:p>
        </w:tc>
        <w:tc>
          <w:tcPr>
            <w:tcW w:w="660" w:type="dxa"/>
            <w:vAlign w:val="center"/>
          </w:tcPr>
          <w:p w14:paraId="4FF9BEA5">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2</w:t>
            </w:r>
          </w:p>
        </w:tc>
        <w:tc>
          <w:tcPr>
            <w:tcW w:w="7723" w:type="dxa"/>
            <w:vAlign w:val="center"/>
          </w:tcPr>
          <w:p w14:paraId="329552D7">
            <w:pPr>
              <w:rPr>
                <w:rFonts w:hint="eastAsia"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抽样团队人员数量：＜4人0分、[4,6)人1分、≥6人2分</w:t>
            </w:r>
          </w:p>
        </w:tc>
      </w:tr>
    </w:tbl>
    <w:p w14:paraId="337D0F0D">
      <w:pPr>
        <w:widowControl/>
        <w:adjustRightInd w:val="0"/>
        <w:snapToGrid w:val="0"/>
        <w:spacing w:line="288" w:lineRule="auto"/>
        <w:ind w:left="0" w:leftChars="0" w:right="0" w:rightChars="0" w:firstLine="0" w:firstLineChars="0"/>
        <w:jc w:val="cente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4ADDA09A">
      <w:pPr>
        <w:adjustRightInd w:val="0"/>
        <w:snapToGrid w:val="0"/>
        <w:spacing w:line="288" w:lineRule="auto"/>
        <w:ind w:left="0" w:leftChars="0" w:right="0" w:rightChars="0" w:firstLine="0" w:firstLineChars="0"/>
        <w:jc w:val="center"/>
        <w:outlineLvl w:val="0"/>
        <w:rPr>
          <w:rFonts w:hint="eastAsia"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63E5A8BF">
      <w:pPr>
        <w:spacing w:line="288" w:lineRule="auto"/>
        <w:jc w:val="center"/>
        <w:outlineLvl w:val="1"/>
        <w:rPr>
          <w:rFonts w:hint="eastAsia" w:ascii="仿宋" w:hAnsi="仿宋" w:eastAsia="仿宋" w:cs="仿宋"/>
          <w:b/>
          <w:sz w:val="24"/>
          <w:szCs w:val="24"/>
          <w:highlight w:val="none"/>
        </w:rPr>
      </w:pPr>
      <w:bookmarkStart w:id="46" w:name="_Toc496796639"/>
      <w:r>
        <w:rPr>
          <w:rFonts w:hint="eastAsia" w:ascii="仿宋" w:hAnsi="仿宋" w:eastAsia="仿宋" w:cs="仿宋"/>
          <w:b/>
          <w:sz w:val="24"/>
          <w:szCs w:val="24"/>
          <w:highlight w:val="none"/>
        </w:rPr>
        <w:t>浙江省市场监督管理局产品质量安全监管技术服务采购合同</w:t>
      </w:r>
      <w:bookmarkEnd w:id="46"/>
    </w:p>
    <w:p w14:paraId="45491D55">
      <w:pPr>
        <w:snapToGrid w:val="0"/>
        <w:spacing w:line="288" w:lineRule="auto"/>
        <w:ind w:left="0" w:leftChars="0" w:firstLine="6300" w:firstLineChars="30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政采云合同编号</w:t>
      </w:r>
      <w:r>
        <w:rPr>
          <w:rFonts w:hint="eastAsia" w:ascii="仿宋" w:hAnsi="仿宋" w:eastAsia="仿宋" w:cs="仿宋"/>
          <w:snapToGrid w:val="0"/>
          <w:szCs w:val="21"/>
          <w:highlight w:val="none"/>
          <w:lang w:eastAsia="zh-CN"/>
        </w:rPr>
        <w:t>：</w:t>
      </w:r>
      <w:r>
        <w:rPr>
          <w:rFonts w:hint="eastAsia" w:ascii="仿宋" w:hAnsi="仿宋" w:eastAsia="仿宋" w:cs="仿宋"/>
          <w:snapToGrid w:val="0"/>
          <w:szCs w:val="21"/>
          <w:highlight w:val="none"/>
          <w:lang w:val="en-US" w:eastAsia="zh-CN"/>
        </w:rPr>
        <w:t xml:space="preserve">                        </w:t>
      </w:r>
    </w:p>
    <w:p w14:paraId="42746366">
      <w:pPr>
        <w:snapToGrid w:val="0"/>
        <w:spacing w:line="288" w:lineRule="auto"/>
        <w:ind w:left="0" w:leftChars="0" w:firstLine="6300" w:firstLineChars="3000"/>
        <w:rPr>
          <w:rFonts w:hint="eastAsia" w:ascii="仿宋" w:hAnsi="仿宋" w:eastAsia="仿宋" w:cs="仿宋"/>
          <w:snapToGrid w:val="0"/>
          <w:szCs w:val="21"/>
          <w:highlight w:val="none"/>
          <w:lang w:val="en-US" w:eastAsia="zh-CN"/>
        </w:rPr>
      </w:pPr>
      <w:r>
        <w:rPr>
          <w:rFonts w:hint="eastAsia" w:ascii="仿宋" w:hAnsi="仿宋" w:eastAsia="仿宋" w:cs="仿宋"/>
          <w:snapToGrid w:val="0"/>
          <w:szCs w:val="21"/>
          <w:highlight w:val="none"/>
        </w:rPr>
        <w:t>合同编号：</w:t>
      </w:r>
      <w:r>
        <w:rPr>
          <w:rFonts w:hint="eastAsia" w:ascii="仿宋" w:hAnsi="仿宋" w:eastAsia="仿宋" w:cs="仿宋"/>
          <w:snapToGrid w:val="0"/>
          <w:szCs w:val="21"/>
          <w:highlight w:val="none"/>
          <w:lang w:val="en-US" w:eastAsia="zh-CN"/>
        </w:rPr>
        <w:t xml:space="preserve">                        </w:t>
      </w:r>
    </w:p>
    <w:p w14:paraId="4B0B8A44">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甲方（采购人）：浙江省市场监督管理局</w:t>
      </w:r>
    </w:p>
    <w:p w14:paraId="18094157">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乙方（服务方）：</w:t>
      </w:r>
    </w:p>
    <w:p w14:paraId="76F60B44">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napToGrid w:val="0"/>
          <w:sz w:val="21"/>
          <w:szCs w:val="21"/>
          <w:highlight w:val="none"/>
        </w:rPr>
      </w:pPr>
      <w:r>
        <w:rPr>
          <w:rFonts w:hint="eastAsia" w:ascii="仿宋" w:hAnsi="仿宋" w:eastAsia="仿宋" w:cs="仿宋"/>
          <w:snapToGrid w:val="0"/>
          <w:szCs w:val="21"/>
          <w:highlight w:val="none"/>
        </w:rPr>
        <w:t>依照《中华人民共和国政府采购法》《中华人民共和国民法典》等有关法律法规的规定，浙江省市场监督管理局委托</w:t>
      </w:r>
      <w:r>
        <w:rPr>
          <w:rFonts w:hint="eastAsia" w:ascii="仿宋" w:hAnsi="仿宋" w:eastAsia="仿宋" w:cs="仿宋"/>
          <w:snapToGrid w:val="0"/>
          <w:szCs w:val="21"/>
          <w:highlight w:val="none"/>
          <w:u w:val="single"/>
          <w:lang w:val="en-US" w:eastAsia="zh-CN"/>
        </w:rPr>
        <w:t xml:space="preserve"> 浙江求是招标代理有限公司 </w:t>
      </w:r>
      <w:r>
        <w:rPr>
          <w:rFonts w:hint="eastAsia" w:ascii="仿宋" w:hAnsi="仿宋" w:eastAsia="仿宋" w:cs="仿宋"/>
          <w:snapToGrid w:val="0"/>
          <w:szCs w:val="21"/>
          <w:highlight w:val="none"/>
        </w:rPr>
        <w:t>就其关于项目编号为</w:t>
      </w:r>
      <w:r>
        <w:rPr>
          <w:rFonts w:hint="eastAsia" w:ascii="仿宋" w:hAnsi="仿宋" w:eastAsia="仿宋" w:cs="仿宋"/>
          <w:snapToGrid w:val="0"/>
          <w:szCs w:val="21"/>
          <w:highlight w:val="none"/>
          <w:u w:val="single"/>
          <w:lang w:val="en-US" w:eastAsia="zh-CN"/>
        </w:rPr>
        <w:t xml:space="preserve"> QSZB-Z(F)-H25107(GK) </w:t>
      </w:r>
      <w:r>
        <w:rPr>
          <w:rFonts w:hint="eastAsia" w:ascii="仿宋" w:hAnsi="仿宋" w:eastAsia="仿宋" w:cs="仿宋"/>
          <w:snapToGrid w:val="0"/>
          <w:szCs w:val="21"/>
          <w:highlight w:val="none"/>
        </w:rPr>
        <w:t>的产品质量安全监管技术服务采购项目进行招标采购，确定乙方为</w:t>
      </w:r>
      <w:r>
        <w:rPr>
          <w:rFonts w:hint="eastAsia" w:ascii="仿宋" w:hAnsi="仿宋" w:eastAsia="仿宋" w:cs="仿宋"/>
          <w:snapToGrid w:val="0"/>
          <w:szCs w:val="21"/>
          <w:highlight w:val="none"/>
          <w:u w:val="single"/>
          <w:lang w:val="en-US" w:eastAsia="zh-CN"/>
        </w:rPr>
        <w:t xml:space="preserve">          </w:t>
      </w:r>
      <w:r>
        <w:rPr>
          <w:rFonts w:hint="eastAsia" w:ascii="仿宋" w:hAnsi="仿宋" w:eastAsia="仿宋" w:cs="仿宋"/>
          <w:snapToGrid w:val="0"/>
          <w:szCs w:val="21"/>
          <w:highlight w:val="none"/>
        </w:rPr>
        <w:t>的服务单位，经双方协商，达成以</w:t>
      </w:r>
      <w:r>
        <w:rPr>
          <w:rFonts w:hint="eastAsia" w:ascii="仿宋" w:hAnsi="仿宋" w:eastAsia="仿宋" w:cs="仿宋"/>
          <w:snapToGrid w:val="0"/>
          <w:sz w:val="21"/>
          <w:szCs w:val="21"/>
          <w:highlight w:val="none"/>
        </w:rPr>
        <w:t>下条款。具体如下：</w:t>
      </w:r>
    </w:p>
    <w:p w14:paraId="6C6F6919">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第一条 委托业务内容</w:t>
      </w:r>
    </w:p>
    <w:p w14:paraId="7B00606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b/>
          <w:bCs/>
          <w:sz w:val="21"/>
          <w:szCs w:val="21"/>
          <w:highlight w:val="none"/>
        </w:rPr>
      </w:pPr>
      <w:r>
        <w:rPr>
          <w:rFonts w:hint="eastAsia" w:ascii="仿宋" w:hAnsi="仿宋" w:eastAsia="仿宋" w:cs="仿宋"/>
          <w:kern w:val="0"/>
          <w:sz w:val="21"/>
          <w:szCs w:val="21"/>
          <w:highlight w:val="none"/>
        </w:rPr>
        <w:t>甲方委托乙方进行委托业务的内容如下：</w:t>
      </w:r>
    </w:p>
    <w:p w14:paraId="45A0610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在甲方要求的时间内，按照《产品质量监督抽查管理暂行办法》《浙江省产品质量监督抽查工作实施办法（试行）》，相关的监督抽查方案、判定依据（实施细则）要求，完成抽样、检验、抽检结果寄送并通过“浙江省产品质量智慧监管平台”完成结果数据上报等工作。</w:t>
      </w:r>
    </w:p>
    <w:p w14:paraId="1F1C16A9">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2.在甲方要求的时间内，按甲方要求完成产品质量检情分析报告、抽查结果寄送汇总表、产业情况分析报告等相关工作。</w:t>
      </w:r>
    </w:p>
    <w:p w14:paraId="2DEE8B4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iCs/>
          <w:kern w:val="0"/>
          <w:sz w:val="21"/>
          <w:szCs w:val="21"/>
          <w:highlight w:val="none"/>
        </w:rPr>
      </w:pPr>
      <w:r>
        <w:rPr>
          <w:rFonts w:hint="eastAsia" w:ascii="仿宋" w:hAnsi="仿宋" w:eastAsia="仿宋" w:cs="仿宋"/>
          <w:iCs/>
          <w:kern w:val="0"/>
          <w:sz w:val="21"/>
          <w:szCs w:val="21"/>
          <w:highlight w:val="none"/>
        </w:rPr>
        <w:t>3.按甲方要求完成异议复检、</w:t>
      </w:r>
      <w:r>
        <w:rPr>
          <w:rFonts w:hint="eastAsia" w:ascii="仿宋" w:hAnsi="仿宋" w:eastAsia="仿宋" w:cs="仿宋"/>
          <w:kern w:val="28"/>
          <w:sz w:val="21"/>
          <w:szCs w:val="21"/>
          <w:highlight w:val="none"/>
        </w:rPr>
        <w:t>整改复查</w:t>
      </w:r>
      <w:r>
        <w:rPr>
          <w:rFonts w:hint="eastAsia" w:ascii="仿宋" w:hAnsi="仿宋" w:eastAsia="仿宋" w:cs="仿宋"/>
          <w:iCs/>
          <w:kern w:val="0"/>
          <w:sz w:val="21"/>
          <w:szCs w:val="21"/>
          <w:highlight w:val="none"/>
        </w:rPr>
        <w:t>，不合格产品整改复查及样品保存、处置工作。</w:t>
      </w:r>
    </w:p>
    <w:p w14:paraId="16D2ED29">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第二条 甲方的权利与义务</w:t>
      </w:r>
    </w:p>
    <w:p w14:paraId="612DF26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1.负责任务的下达。根据任务安排下达任务文件，明确工作时限、内容、要求及纪律；提供抽查工作所需相关文书，为乙方提供相关业务咨询。</w:t>
      </w:r>
    </w:p>
    <w:p w14:paraId="0F4AC7C6">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2.维护并完善监督抽查信息化系统。</w:t>
      </w:r>
    </w:p>
    <w:p w14:paraId="26DB3DB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3.甲方有权随时向乙方了解项目进度，并要求乙方提供项目相关资料。</w:t>
      </w:r>
    </w:p>
    <w:p w14:paraId="15FE7184">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5CDE518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5.甲方有权在乙方履行合同过程中出现损害或可能损害公共利益、公共安全情形时终止本合同。</w:t>
      </w:r>
    </w:p>
    <w:p w14:paraId="3F17889B">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6.甲方有权根据国家政策或法律法规的变动对服务项目的需求标准和质量要求作出相应变动或者取消项目。</w:t>
      </w:r>
    </w:p>
    <w:p w14:paraId="5A36B9FF">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7.甲方应当按照合同验收结果及时向乙方支付相关服务费用。甲方有权对项目资金使用情况进行监督、检查，并要求乙方提供相关资料。</w:t>
      </w:r>
    </w:p>
    <w:p w14:paraId="1C7C5DBE">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8.甲方有权将乙方履行合同情况及不符合政府购买服务管理规定情况，向相关部门报告并纳入不良信用记录、年检（报）、评估、执法等监管体系中。</w:t>
      </w:r>
    </w:p>
    <w:p w14:paraId="2F88D87D">
      <w:pPr>
        <w:pStyle w:val="2"/>
        <w:keepNext w:val="0"/>
        <w:keepLines w:val="0"/>
        <w:pageBreakBefore w:val="0"/>
        <w:kinsoku/>
        <w:wordWrap/>
        <w:overflowPunct/>
        <w:topLinePunct w:val="0"/>
        <w:autoSpaceDE/>
        <w:autoSpaceDN/>
        <w:bidi w:val="0"/>
        <w:snapToGrid w:val="0"/>
        <w:spacing w:line="288" w:lineRule="auto"/>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9.</w:t>
      </w:r>
      <w:r>
        <w:rPr>
          <w:rFonts w:hint="eastAsia" w:ascii="仿宋" w:hAnsi="仿宋" w:eastAsia="仿宋" w:cs="仿宋"/>
          <w:sz w:val="21"/>
          <w:szCs w:val="21"/>
          <w:highlight w:val="none"/>
          <w:lang w:val="zh-CN"/>
        </w:rPr>
        <w:t>甲方有权根据客观事实及工作实际要求对本合同进行调整和变更，调整和变更情况应当及时告知乙方，乙方如有不同意见应及时书面反馈，最终变更结果以双方商定结果为准。</w:t>
      </w:r>
    </w:p>
    <w:p w14:paraId="1C20C0EF">
      <w:pPr>
        <w:pStyle w:val="2"/>
        <w:keepNext w:val="0"/>
        <w:keepLines w:val="0"/>
        <w:pageBreakBefore w:val="0"/>
        <w:kinsoku/>
        <w:wordWrap/>
        <w:overflowPunct/>
        <w:topLinePunct w:val="0"/>
        <w:autoSpaceDE/>
        <w:autoSpaceDN/>
        <w:bidi w:val="0"/>
        <w:snapToGrid w:val="0"/>
        <w:spacing w:line="288"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10.尾款支付后，乙方未按甲方要求履行合同要求的整改复查及样品保存、处置等工作，甲方有权进行通报批评。</w:t>
      </w:r>
    </w:p>
    <w:p w14:paraId="4D2AAD6B">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第三条 乙方的权利与义务</w:t>
      </w:r>
    </w:p>
    <w:p w14:paraId="13BD7A16">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1.乙方应按照相关法律法规，部门规章，招标文件、本合同约定等要求完成项目。</w:t>
      </w:r>
    </w:p>
    <w:p w14:paraId="63C59D18">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2.乙方应全面履行本项目实施过程中的相关安全管理职责，因乙方未尽到管理职责发生安全事故的，由乙方承担相应的法律责任。</w:t>
      </w:r>
    </w:p>
    <w:p w14:paraId="280617B4">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3.乙方承诺根据本合同提供的服务及相关的软件和技术资料，均已取得有关知识产权的权利人的合法授权。如发生涉及到专利权、著作权、商标权等争议，乙方负责处理并承担由此引起的全部法律及经济责任。</w:t>
      </w:r>
    </w:p>
    <w:p w14:paraId="1C3CF8F9">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4.乙方应对项目资金进行规范的财务管理和会计核算，加强自身监督，确保资金规范管理和使用。</w:t>
      </w:r>
    </w:p>
    <w:p w14:paraId="1FC3F4B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600FF88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乙方应建立抽样人员随机选派制度和相应的随机选派的工作机制，按照甲方的有关规定合理安排抽样检验进度，保证抽检工作质量和效率。及时报送甲方所需材料，对于无法按时上报的情况应事先向甲方书面说明情况。</w:t>
      </w:r>
    </w:p>
    <w:p w14:paraId="0812B94C">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7.乙方应建立健全财务管理与报告制度，按要求向甲方提供资金的使用情况、项目执行情况、成果总结等材料，并配合甲方及甲方组织的监督检查或绩效评价。</w:t>
      </w:r>
    </w:p>
    <w:p w14:paraId="56436ECF">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8.乙方在规定期限内且不影响整体检验进度的前提下，若所抽样品不符合抽样检验要求或者因包装邮寄过失等造成样品失效，无法完成检验的，要及时与被抽查企业沟通，完成退样和补抽的工作，由此产生的费用由乙方承担。</w:t>
      </w:r>
    </w:p>
    <w:p w14:paraId="167CDD9D">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9.严格遵守国家法律、法规的规定和抽检工作有关纪律要求。按财政和甲方关于经费使用的各项规定进行经费管理；接受并配合甲方对抽检工作质量考核、任务完成情况及经费使用情况的检查，对于甲方指出的问题，应及时作出合理解释或予以纠正。</w:t>
      </w:r>
    </w:p>
    <w:p w14:paraId="0EB21BE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10</w:t>
      </w:r>
      <w:r>
        <w:rPr>
          <w:rFonts w:hint="eastAsia" w:ascii="仿宋" w:hAnsi="仿宋" w:eastAsia="仿宋" w:cs="仿宋"/>
          <w:sz w:val="21"/>
          <w:szCs w:val="21"/>
          <w:highlight w:val="none"/>
          <w:lang w:val="zh-CN"/>
        </w:rPr>
        <w:t>.乙方在实施承担任务过程中如取得重大进展、重要突破或发生其他重大事项，应及时向甲方报告；如因遭遇不可抗力或其他因素影响项目任务的正常执行进度，致使承担任务需要调整时，乙方应当及时向甲方提交书面报告，经甲方确定处理意见后执行。</w:t>
      </w:r>
    </w:p>
    <w:p w14:paraId="58F5D8A5">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11.尾款支付后，乙方仍应当按合同及甲方的要求履行本次任务涉及产品的整改复查及样品处置工作。</w:t>
      </w:r>
    </w:p>
    <w:p w14:paraId="5B0B3049">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12.如有联合体等多家单位合作完成的情况，联合体各方应对本合同项下的义务承担连带责任。如果一方未能履行义务，则另一方需履行另一方不履行的义务。</w:t>
      </w:r>
    </w:p>
    <w:p w14:paraId="675BDD1E">
      <w:pPr>
        <w:keepNext w:val="0"/>
        <w:keepLines w:val="0"/>
        <w:pageBreakBefore w:val="0"/>
        <w:kinsoku/>
        <w:wordWrap/>
        <w:overflowPunct/>
        <w:topLinePunct w:val="0"/>
        <w:autoSpaceDE/>
        <w:autoSpaceDN/>
        <w:bidi w:val="0"/>
        <w:snapToGrid w:val="0"/>
        <w:spacing w:line="288" w:lineRule="auto"/>
        <w:ind w:firstLine="398" w:firstLineChars="189"/>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第四条 验收方与验收标准</w:t>
      </w:r>
    </w:p>
    <w:p w14:paraId="76D7F39F">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1.甲方或甲方委托的其他机构应及时对乙方提供的服务进行验收。验收时乙方应派员参加，共同对验收结果进行确认，并承担相关责任。</w:t>
      </w:r>
    </w:p>
    <w:p w14:paraId="41FBC706">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2.验收程序及标准：</w:t>
      </w:r>
    </w:p>
    <w:p w14:paraId="7E4D7FE6">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（1）验收程序</w:t>
      </w:r>
    </w:p>
    <w:p w14:paraId="06A0576C">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甲方或甲方依法委托的其他机构组织验收小组，原则上应由三人以上单数组成，并明确负责人。还可以邀请政府采购专家等熟悉掌握政府采购事项的人员组成。</w:t>
      </w:r>
    </w:p>
    <w:p w14:paraId="2A0A2718">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验收小组负责验收方案的制定、验收工作的安排以及验收人员的组织工作、验收单或验收报告的编制工作。其工作情况代表采购人履行验收工作职责。验收小组的负责人视具体情况也可根据其他成员的建议决定召集成员并布置任务。</w:t>
      </w:r>
    </w:p>
    <w:p w14:paraId="17340E33">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验收小组成员应当在实施验收前完全掌握验收合同服务项目质量标准要求和乙方的响应承诺情况，并完成实施验收所需要的其他准备工作。</w:t>
      </w:r>
    </w:p>
    <w:p w14:paraId="10D77BEB">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验收小组完成验收后，应当出具验收报告。验收报告的内容应包括：实施验收过程基本情况陈述，采购项目验收情况介绍，对乙方履约情况与政府采购合同、采购文件规定要求以及乙方投标文件响应承诺情况进行比较，最后得出验收结论性意见。</w:t>
      </w:r>
    </w:p>
    <w:p w14:paraId="27B0B63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验收小组完成验收后应出具验收单，验收小组成员要在验收单上签署验收意见。</w:t>
      </w:r>
    </w:p>
    <w:p w14:paraId="1BE40531">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乙方凭验收报告（或验收单）向甲方申请付款，甲方根据验收结论，确定是否可以付款。</w:t>
      </w:r>
    </w:p>
    <w:p w14:paraId="597F8418">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1）乙方完全符合甲方需求，验收结果为A类的，甲方按合同约定的付款方式，支付合同价款；</w:t>
      </w:r>
    </w:p>
    <w:p w14:paraId="1A63BEE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2）乙方工作存在问题，能及时整改并符合甲方需求的，验收结果为B类的，甲方按合同约定的付款方式，支付合同价款。</w:t>
      </w:r>
    </w:p>
    <w:p w14:paraId="56B5E286">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3）乙方工作存在问题，无法符合甲方需求，验收结果为C类的，甲方按合同约定的付款方式时，酌情扣除相应费用</w:t>
      </w:r>
      <w:bookmarkStart w:id="47" w:name="_Hlk168579318"/>
      <w:r>
        <w:rPr>
          <w:rFonts w:hint="eastAsia" w:ascii="仿宋" w:hAnsi="仿宋" w:eastAsia="仿宋" w:cs="仿宋"/>
          <w:sz w:val="21"/>
          <w:szCs w:val="21"/>
          <w:highlight w:val="none"/>
        </w:rPr>
        <w:t>（包含已支付服务费用）</w:t>
      </w:r>
      <w:bookmarkEnd w:id="47"/>
      <w:r>
        <w:rPr>
          <w:rFonts w:hint="eastAsia" w:ascii="仿宋" w:hAnsi="仿宋" w:eastAsia="仿宋" w:cs="仿宋"/>
          <w:sz w:val="21"/>
          <w:szCs w:val="21"/>
          <w:highlight w:val="none"/>
        </w:rPr>
        <w:t>，并视情况对乙方通报批评。</w:t>
      </w:r>
    </w:p>
    <w:p w14:paraId="09D612D1">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4）乙方工作存在严重质量问题，验收结果为D类的，甲方不予付款，乙方需退回第一期、第二期支付的服务费用。甲方并给予乙方通报批评。给甲方造成损失的，乙方应当承担赔偿责任。</w:t>
      </w:r>
    </w:p>
    <w:p w14:paraId="0C40241A">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验收标准：根据效力从高到低分别为：国家法律法规条例、国家强制性标准要求、政府采购合同约定、投标文件承诺、评标过程中形成的文字资料、询标纪要、招标文件。当两个或以上部分标准不一致时，以效力高的为准。具体由验收小组制定验收方案时另行确定。</w:t>
      </w:r>
    </w:p>
    <w:p w14:paraId="031304F0">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第五条 服务期限</w:t>
      </w:r>
    </w:p>
    <w:p w14:paraId="493025CA">
      <w:pPr>
        <w:pStyle w:val="2"/>
        <w:keepNext w:val="0"/>
        <w:keepLines w:val="0"/>
        <w:pageBreakBefore w:val="0"/>
        <w:kinsoku/>
        <w:wordWrap/>
        <w:overflowPunct/>
        <w:topLinePunct w:val="0"/>
        <w:autoSpaceDE/>
        <w:autoSpaceDN/>
        <w:bidi w:val="0"/>
        <w:snapToGrid w:val="0"/>
        <w:spacing w:line="288" w:lineRule="auto"/>
        <w:textAlignment w:val="auto"/>
        <w:rPr>
          <w:rFonts w:hint="eastAsia" w:ascii="仿宋" w:hAnsi="仿宋" w:eastAsia="仿宋" w:cs="仿宋"/>
          <w:sz w:val="21"/>
          <w:szCs w:val="21"/>
          <w:highlight w:val="none"/>
        </w:rPr>
      </w:pPr>
      <w:r>
        <w:rPr>
          <w:rFonts w:hint="eastAsia" w:ascii="仿宋" w:hAnsi="仿宋" w:eastAsia="仿宋" w:cs="仿宋"/>
          <w:iCs/>
          <w:kern w:val="0"/>
          <w:sz w:val="21"/>
          <w:szCs w:val="21"/>
          <w:highlight w:val="none"/>
        </w:rPr>
        <w:t>乙方服务期限：合同签订之日起至</w:t>
      </w:r>
      <w:r>
        <w:rPr>
          <w:rFonts w:hint="eastAsia" w:ascii="仿宋" w:hAnsi="仿宋" w:eastAsia="仿宋" w:cs="仿宋"/>
          <w:iCs/>
          <w:kern w:val="0"/>
          <w:sz w:val="21"/>
          <w:szCs w:val="21"/>
          <w:highlight w:val="none"/>
          <w:lang w:val="en-US" w:eastAsia="zh-CN"/>
        </w:rPr>
        <w:t xml:space="preserve">  </w:t>
      </w:r>
      <w:r>
        <w:rPr>
          <w:rFonts w:hint="eastAsia" w:ascii="仿宋" w:hAnsi="仿宋" w:eastAsia="仿宋" w:cs="仿宋"/>
          <w:iCs/>
          <w:kern w:val="0"/>
          <w:sz w:val="21"/>
          <w:szCs w:val="21"/>
          <w:highlight w:val="none"/>
        </w:rPr>
        <w:t>年</w:t>
      </w:r>
      <w:r>
        <w:rPr>
          <w:rFonts w:hint="eastAsia" w:ascii="仿宋" w:hAnsi="仿宋" w:eastAsia="仿宋" w:cs="仿宋"/>
          <w:iCs/>
          <w:kern w:val="0"/>
          <w:sz w:val="21"/>
          <w:szCs w:val="21"/>
          <w:highlight w:val="none"/>
          <w:lang w:val="en-US" w:eastAsia="zh-CN"/>
        </w:rPr>
        <w:t xml:space="preserve">  </w:t>
      </w:r>
      <w:r>
        <w:rPr>
          <w:rFonts w:hint="eastAsia" w:ascii="仿宋" w:hAnsi="仿宋" w:eastAsia="仿宋" w:cs="仿宋"/>
          <w:iCs/>
          <w:kern w:val="0"/>
          <w:sz w:val="21"/>
          <w:szCs w:val="21"/>
          <w:highlight w:val="none"/>
        </w:rPr>
        <w:t>月</w:t>
      </w:r>
      <w:r>
        <w:rPr>
          <w:rFonts w:hint="eastAsia" w:ascii="仿宋" w:hAnsi="仿宋" w:eastAsia="仿宋" w:cs="仿宋"/>
          <w:iCs/>
          <w:kern w:val="0"/>
          <w:sz w:val="21"/>
          <w:szCs w:val="21"/>
          <w:highlight w:val="none"/>
          <w:lang w:val="en-US" w:eastAsia="zh-CN"/>
        </w:rPr>
        <w:t xml:space="preserve">  </w:t>
      </w:r>
      <w:r>
        <w:rPr>
          <w:rFonts w:hint="eastAsia" w:ascii="仿宋" w:hAnsi="仿宋" w:eastAsia="仿宋" w:cs="仿宋"/>
          <w:iCs/>
          <w:kern w:val="0"/>
          <w:sz w:val="21"/>
          <w:szCs w:val="21"/>
          <w:highlight w:val="none"/>
        </w:rPr>
        <w:t>日。</w:t>
      </w:r>
    </w:p>
    <w:p w14:paraId="7D100580">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第六条 费用与支付方式</w:t>
      </w:r>
    </w:p>
    <w:p w14:paraId="27F4EA45">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1.抽检服务费用：</w:t>
      </w:r>
      <w:r>
        <w:rPr>
          <w:rFonts w:hint="eastAsia" w:ascii="仿宋" w:hAnsi="仿宋" w:eastAsia="仿宋" w:cs="仿宋"/>
          <w:snapToGrid w:val="0"/>
          <w:sz w:val="21"/>
          <w:szCs w:val="21"/>
          <w:highlight w:val="none"/>
        </w:rPr>
        <w:t>签约服务经费</w:t>
      </w:r>
      <w:r>
        <w:rPr>
          <w:rFonts w:hint="eastAsia" w:ascii="仿宋" w:hAnsi="仿宋" w:eastAsia="仿宋" w:cs="仿宋"/>
          <w:sz w:val="21"/>
          <w:szCs w:val="21"/>
          <w:highlight w:val="none"/>
        </w:rPr>
        <w:t>中标单价为</w:t>
      </w:r>
      <w:r>
        <w:rPr>
          <w:rFonts w:hint="eastAsia" w:ascii="仿宋" w:hAnsi="仿宋" w:eastAsia="仿宋" w:cs="仿宋"/>
          <w:sz w:val="21"/>
          <w:szCs w:val="21"/>
          <w:highlight w:val="none"/>
          <w:lang w:val="en-US" w:eastAsia="zh-CN"/>
        </w:rPr>
        <w:t xml:space="preserve">  元</w:t>
      </w:r>
      <w:r>
        <w:rPr>
          <w:rFonts w:hint="eastAsia" w:ascii="仿宋" w:hAnsi="仿宋" w:eastAsia="仿宋" w:cs="仿宋"/>
          <w:sz w:val="21"/>
          <w:szCs w:val="21"/>
          <w:highlight w:val="none"/>
        </w:rPr>
        <w:t>/批次（大写：</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项目</w:t>
      </w:r>
      <w:r>
        <w:rPr>
          <w:rFonts w:hint="eastAsia" w:ascii="仿宋" w:hAnsi="仿宋" w:eastAsia="仿宋" w:cs="仿宋"/>
          <w:sz w:val="21"/>
          <w:szCs w:val="21"/>
          <w:highlight w:val="none"/>
        </w:rPr>
        <w:t>服务费</w:t>
      </w:r>
      <w:r>
        <w:rPr>
          <w:rFonts w:hint="eastAsia" w:ascii="仿宋" w:hAnsi="仿宋" w:eastAsia="仿宋" w:cs="仿宋"/>
          <w:snapToGrid w:val="0"/>
          <w:sz w:val="21"/>
          <w:szCs w:val="21"/>
          <w:highlight w:val="none"/>
        </w:rPr>
        <w:t>总</w:t>
      </w:r>
      <w:r>
        <w:rPr>
          <w:rFonts w:hint="eastAsia" w:ascii="仿宋" w:hAnsi="仿宋" w:eastAsia="仿宋" w:cs="仿宋"/>
          <w:sz w:val="21"/>
          <w:szCs w:val="21"/>
          <w:highlight w:val="none"/>
        </w:rPr>
        <w:t>额暂定为人民币</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元（大写：</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），最终</w:t>
      </w:r>
      <w:r>
        <w:rPr>
          <w:rFonts w:hint="eastAsia" w:ascii="仿宋" w:hAnsi="仿宋" w:eastAsia="仿宋" w:cs="仿宋"/>
          <w:sz w:val="21"/>
          <w:szCs w:val="21"/>
          <w:highlight w:val="none"/>
          <w:lang w:val="zh-CN"/>
        </w:rPr>
        <w:t>结算总价</w:t>
      </w:r>
      <w:r>
        <w:rPr>
          <w:rFonts w:hint="eastAsia" w:ascii="仿宋" w:hAnsi="仿宋" w:eastAsia="仿宋" w:cs="仿宋"/>
          <w:sz w:val="21"/>
          <w:szCs w:val="21"/>
          <w:highlight w:val="none"/>
        </w:rPr>
        <w:t>根据实际检验批次据实结算，但不高于人民币</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元（大写：</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zh-CN"/>
        </w:rPr>
        <w:t>。</w:t>
      </w:r>
    </w:p>
    <w:p w14:paraId="66F67001">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合同中有联合体等多家单位合作完成的情况，根据联合体合作单位商定，【  】承担   等产品相关工作，上述产品所涉及的服务费总额暂定为人民币  元（大写：   ），最终</w:t>
      </w:r>
      <w:r>
        <w:rPr>
          <w:rFonts w:hint="eastAsia" w:ascii="仿宋" w:hAnsi="仿宋" w:eastAsia="仿宋" w:cs="仿宋"/>
          <w:sz w:val="21"/>
          <w:szCs w:val="21"/>
          <w:highlight w:val="none"/>
          <w:lang w:val="zh-CN" w:eastAsia="zh-CN"/>
        </w:rPr>
        <w:t>结算总价</w:t>
      </w:r>
      <w:r>
        <w:rPr>
          <w:rFonts w:hint="eastAsia" w:ascii="仿宋" w:hAnsi="仿宋" w:eastAsia="仿宋" w:cs="仿宋"/>
          <w:sz w:val="21"/>
          <w:szCs w:val="21"/>
          <w:highlight w:val="none"/>
          <w:lang w:val="en-US" w:eastAsia="zh-CN"/>
        </w:rPr>
        <w:t>根据实际检验批次据实结算，但不高于人民币  元（大写：  ）；【  】承担  产品相关工作，上述产品所涉及的服务费总额暂定为人民币  元（大写：  ），最终</w:t>
      </w:r>
      <w:r>
        <w:rPr>
          <w:rFonts w:hint="eastAsia" w:ascii="仿宋" w:hAnsi="仿宋" w:eastAsia="仿宋" w:cs="仿宋"/>
          <w:sz w:val="21"/>
          <w:szCs w:val="21"/>
          <w:highlight w:val="none"/>
          <w:lang w:val="zh-CN" w:eastAsia="zh-CN"/>
        </w:rPr>
        <w:t>结算总价</w:t>
      </w:r>
      <w:r>
        <w:rPr>
          <w:rFonts w:hint="eastAsia" w:ascii="仿宋" w:hAnsi="仿宋" w:eastAsia="仿宋" w:cs="仿宋"/>
          <w:sz w:val="21"/>
          <w:szCs w:val="21"/>
          <w:highlight w:val="none"/>
          <w:lang w:val="en-US" w:eastAsia="zh-CN"/>
        </w:rPr>
        <w:t>根据实际检验批次据实结算，但不高于人民币  元（大写：  ）。</w:t>
      </w:r>
    </w:p>
    <w:p w14:paraId="7C1C393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备注：</w:t>
      </w:r>
    </w:p>
    <w:p w14:paraId="3FD2BA93">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eastAsia="zh-CN"/>
        </w:rPr>
        <w:t>）实际工作中，实际应支付的抽检服务经费总额=中标单价×实际抽检批次数，双方核对确认后出具费用明细表。</w:t>
      </w:r>
    </w:p>
    <w:p w14:paraId="15B2E36D">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zh-CN"/>
        </w:rPr>
        <w:t>中标单价已包含</w:t>
      </w:r>
      <w:r>
        <w:rPr>
          <w:rFonts w:hint="eastAsia" w:ascii="仿宋" w:hAnsi="仿宋" w:eastAsia="仿宋" w:cs="仿宋"/>
          <w:sz w:val="21"/>
          <w:szCs w:val="21"/>
          <w:highlight w:val="none"/>
          <w:lang w:val="en-US" w:eastAsia="zh-CN"/>
        </w:rPr>
        <w:t>样品费用（含复检样品费用）</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检验费用、</w:t>
      </w:r>
      <w:r>
        <w:rPr>
          <w:rFonts w:hint="eastAsia" w:ascii="仿宋" w:hAnsi="仿宋" w:eastAsia="仿宋" w:cs="仿宋"/>
          <w:sz w:val="21"/>
          <w:szCs w:val="21"/>
          <w:highlight w:val="none"/>
          <w:lang w:val="zh-CN"/>
        </w:rPr>
        <w:t>复检费用、结果处置复查检验费用、样品处置费用、</w:t>
      </w:r>
      <w:r>
        <w:rPr>
          <w:rFonts w:hint="eastAsia" w:ascii="仿宋" w:hAnsi="仿宋" w:eastAsia="仿宋" w:cs="仿宋"/>
          <w:sz w:val="21"/>
          <w:szCs w:val="21"/>
          <w:highlight w:val="none"/>
        </w:rPr>
        <w:t>税金</w:t>
      </w:r>
      <w:r>
        <w:rPr>
          <w:rFonts w:hint="eastAsia" w:ascii="仿宋" w:hAnsi="仿宋" w:eastAsia="仿宋" w:cs="仿宋"/>
          <w:sz w:val="21"/>
          <w:szCs w:val="21"/>
          <w:highlight w:val="none"/>
          <w:lang w:val="zh-CN"/>
        </w:rPr>
        <w:t>等与本合同项下委托事项实施相关的全部费用，除双方另有约定，乙方不得再以其他任何理由向甲方主张其他费用。</w:t>
      </w:r>
    </w:p>
    <w:p w14:paraId="4F19855A">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2.支付方式：</w:t>
      </w:r>
      <w:r>
        <w:rPr>
          <w:rFonts w:hint="eastAsia" w:ascii="仿宋" w:hAnsi="仿宋" w:eastAsia="仿宋" w:cs="仿宋"/>
          <w:sz w:val="21"/>
          <w:szCs w:val="21"/>
          <w:highlight w:val="none"/>
          <w:lang w:val="zh-CN"/>
        </w:rPr>
        <w:t>分</w:t>
      </w:r>
      <w:r>
        <w:rPr>
          <w:rFonts w:hint="eastAsia" w:ascii="仿宋" w:hAnsi="仿宋" w:eastAsia="仿宋" w:cs="仿宋"/>
          <w:sz w:val="21"/>
          <w:szCs w:val="21"/>
          <w:highlight w:val="none"/>
        </w:rPr>
        <w:t>三</w:t>
      </w:r>
      <w:r>
        <w:rPr>
          <w:rFonts w:hint="eastAsia" w:ascii="仿宋" w:hAnsi="仿宋" w:eastAsia="仿宋" w:cs="仿宋"/>
          <w:sz w:val="21"/>
          <w:szCs w:val="21"/>
          <w:highlight w:val="none"/>
          <w:lang w:val="zh-CN"/>
        </w:rPr>
        <w:t>期付款。</w:t>
      </w:r>
    </w:p>
    <w:p w14:paraId="3F5E21B5">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1）第一期支付：</w:t>
      </w:r>
      <w:r>
        <w:rPr>
          <w:rFonts w:hint="eastAsia" w:ascii="仿宋" w:hAnsi="仿宋" w:eastAsia="仿宋" w:cs="仿宋"/>
          <w:sz w:val="21"/>
          <w:szCs w:val="21"/>
          <w:highlight w:val="none"/>
          <w:lang w:val="zh-CN"/>
        </w:rPr>
        <w:t>合同签订后七个工作日内由甲方支付签约服务经费总额的</w:t>
      </w:r>
      <w:r>
        <w:rPr>
          <w:rFonts w:hint="eastAsia" w:ascii="仿宋" w:hAnsi="仿宋" w:eastAsia="仿宋" w:cs="仿宋"/>
          <w:sz w:val="21"/>
          <w:szCs w:val="21"/>
          <w:highlight w:val="none"/>
        </w:rPr>
        <w:t>60</w:t>
      </w:r>
      <w:r>
        <w:rPr>
          <w:rFonts w:hint="eastAsia" w:ascii="仿宋" w:hAnsi="仿宋" w:eastAsia="仿宋" w:cs="仿宋"/>
          <w:sz w:val="21"/>
          <w:szCs w:val="21"/>
          <w:highlight w:val="none"/>
          <w:lang w:val="zh-CN"/>
        </w:rPr>
        <w:t>%作为首期款。乙方需先行出具符合要求的正规发票给甲方，甲方收到乙方票据之日作为付款期限起算日。</w:t>
      </w:r>
    </w:p>
    <w:p w14:paraId="779E687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zh-CN"/>
        </w:rPr>
        <w:t>第</w:t>
      </w:r>
      <w:r>
        <w:rPr>
          <w:rFonts w:hint="eastAsia" w:ascii="仿宋" w:hAnsi="仿宋" w:eastAsia="仿宋" w:cs="仿宋"/>
          <w:sz w:val="21"/>
          <w:szCs w:val="21"/>
          <w:highlight w:val="none"/>
        </w:rPr>
        <w:t>二</w:t>
      </w:r>
      <w:r>
        <w:rPr>
          <w:rFonts w:hint="eastAsia" w:ascii="仿宋" w:hAnsi="仿宋" w:eastAsia="仿宋" w:cs="仿宋"/>
          <w:sz w:val="21"/>
          <w:szCs w:val="21"/>
          <w:highlight w:val="none"/>
          <w:lang w:val="zh-CN"/>
        </w:rPr>
        <w:t>期支付：</w:t>
      </w:r>
      <w:r>
        <w:rPr>
          <w:rFonts w:hint="eastAsia" w:ascii="仿宋" w:hAnsi="仿宋" w:eastAsia="仿宋" w:cs="仿宋"/>
          <w:sz w:val="21"/>
          <w:szCs w:val="21"/>
          <w:highlight w:val="none"/>
        </w:rPr>
        <w:t>乙方完成抽样环节的工作</w:t>
      </w:r>
      <w:r>
        <w:rPr>
          <w:rFonts w:hint="eastAsia" w:ascii="仿宋" w:hAnsi="仿宋" w:eastAsia="仿宋" w:cs="仿宋"/>
          <w:sz w:val="21"/>
          <w:szCs w:val="21"/>
          <w:highlight w:val="none"/>
          <w:lang w:val="zh-CN"/>
        </w:rPr>
        <w:t>时，甲方按</w:t>
      </w:r>
      <w:r>
        <w:rPr>
          <w:rFonts w:hint="eastAsia" w:ascii="仿宋" w:hAnsi="仿宋" w:eastAsia="仿宋" w:cs="仿宋"/>
          <w:sz w:val="21"/>
          <w:szCs w:val="21"/>
          <w:highlight w:val="none"/>
        </w:rPr>
        <w:t>预测算的抽检服务经费总额（中标单价×抽样批次数）的30%向乙方支付服务费用。如预测算的抽检服务经费总额在计算后已出现第三期拨付款金额小于零的情况，则不再进行第二期支付，待乙方完成项目验收后与乙方进行尾款结算，支付剩余经费。</w:t>
      </w:r>
    </w:p>
    <w:p w14:paraId="4CF0512A">
      <w:pPr>
        <w:pStyle w:val="2"/>
        <w:keepNext w:val="0"/>
        <w:keepLines w:val="0"/>
        <w:pageBreakBefore w:val="0"/>
        <w:kinsoku/>
        <w:wordWrap/>
        <w:overflowPunct/>
        <w:topLinePunct w:val="0"/>
        <w:autoSpaceDE/>
        <w:autoSpaceDN/>
        <w:bidi w:val="0"/>
        <w:snapToGrid w:val="0"/>
        <w:spacing w:line="288" w:lineRule="auto"/>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3）第三期支付：</w:t>
      </w:r>
      <w:r>
        <w:rPr>
          <w:rFonts w:hint="eastAsia" w:ascii="仿宋" w:hAnsi="仿宋" w:eastAsia="仿宋" w:cs="仿宋"/>
          <w:sz w:val="21"/>
          <w:szCs w:val="21"/>
          <w:highlight w:val="none"/>
          <w:lang w:val="zh-CN"/>
        </w:rPr>
        <w:t>项目评审验收通过后，甲方向乙方支付合同的全部尾款，尾款</w:t>
      </w:r>
      <w:r>
        <w:rPr>
          <w:rFonts w:hint="eastAsia" w:ascii="仿宋" w:hAnsi="仿宋" w:eastAsia="仿宋" w:cs="仿宋"/>
          <w:sz w:val="21"/>
          <w:szCs w:val="21"/>
          <w:highlight w:val="none"/>
        </w:rPr>
        <w:t>金额=实际应支付的抽检服务经费总额（中标单价×实际抽检批次数）-第一</w:t>
      </w:r>
      <w:r>
        <w:rPr>
          <w:rFonts w:hint="eastAsia" w:ascii="仿宋" w:hAnsi="仿宋" w:eastAsia="仿宋" w:cs="仿宋"/>
          <w:sz w:val="21"/>
          <w:szCs w:val="21"/>
          <w:highlight w:val="none"/>
          <w:lang w:val="zh-CN"/>
        </w:rPr>
        <w:t>期已付款金额</w:t>
      </w:r>
      <w:r>
        <w:rPr>
          <w:rFonts w:hint="eastAsia" w:ascii="仿宋" w:hAnsi="仿宋" w:eastAsia="仿宋" w:cs="仿宋"/>
          <w:sz w:val="21"/>
          <w:szCs w:val="21"/>
          <w:highlight w:val="none"/>
        </w:rPr>
        <w:t>-第二</w:t>
      </w:r>
      <w:r>
        <w:rPr>
          <w:rFonts w:hint="eastAsia" w:ascii="仿宋" w:hAnsi="仿宋" w:eastAsia="仿宋" w:cs="仿宋"/>
          <w:sz w:val="21"/>
          <w:szCs w:val="21"/>
          <w:highlight w:val="none"/>
          <w:lang w:val="zh-CN"/>
        </w:rPr>
        <w:t>期已付款金额。甲方收到乙方出具符合要求的拨付材料后付清合同的剩余款项。如果计算得出的尾款金额小于零，乙方应当退还甲方预付的相应费用。尾款支付后，如有未完成事项，乙方应按招标文件或本合同约定执行。</w:t>
      </w:r>
    </w:p>
    <w:p w14:paraId="7A5309EC">
      <w:pPr>
        <w:pStyle w:val="2"/>
        <w:keepNext w:val="0"/>
        <w:keepLines w:val="0"/>
        <w:pageBreakBefore w:val="0"/>
        <w:kinsoku/>
        <w:wordWrap/>
        <w:overflowPunct/>
        <w:topLinePunct w:val="0"/>
        <w:autoSpaceDE/>
        <w:autoSpaceDN/>
        <w:bidi w:val="0"/>
        <w:snapToGrid w:val="0"/>
        <w:spacing w:line="288" w:lineRule="auto"/>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（4）甲方付款前，乙方应开具符合要求的发票，否则甲方有权拒绝付款，且不视为甲方违约。</w:t>
      </w:r>
    </w:p>
    <w:p w14:paraId="23520119">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lang w:val="zh-CN"/>
        </w:rPr>
      </w:pPr>
      <w:r>
        <w:rPr>
          <w:rFonts w:hint="eastAsia" w:ascii="仿宋" w:hAnsi="仿宋" w:eastAsia="仿宋" w:cs="仿宋"/>
          <w:b/>
          <w:bCs/>
          <w:kern w:val="0"/>
          <w:sz w:val="21"/>
          <w:szCs w:val="21"/>
          <w:highlight w:val="none"/>
          <w:lang w:val="zh-CN"/>
        </w:rPr>
        <w:t>第七条</w:t>
      </w:r>
      <w:r>
        <w:rPr>
          <w:rFonts w:hint="eastAsia" w:ascii="仿宋" w:hAnsi="仿宋" w:eastAsia="仿宋" w:cs="仿宋"/>
          <w:b/>
          <w:bCs/>
          <w:kern w:val="0"/>
          <w:sz w:val="21"/>
          <w:szCs w:val="21"/>
          <w:highlight w:val="none"/>
        </w:rPr>
        <w:t xml:space="preserve"> </w:t>
      </w:r>
      <w:r>
        <w:rPr>
          <w:rFonts w:hint="eastAsia" w:ascii="仿宋" w:hAnsi="仿宋" w:eastAsia="仿宋" w:cs="仿宋"/>
          <w:b/>
          <w:bCs/>
          <w:kern w:val="0"/>
          <w:sz w:val="21"/>
          <w:szCs w:val="21"/>
          <w:highlight w:val="none"/>
          <w:lang w:val="zh-CN"/>
        </w:rPr>
        <w:t>违约责任及纠纷解决</w:t>
      </w:r>
    </w:p>
    <w:p w14:paraId="6B6D52A8">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乙方应本着科学性、准确性和真实性原则执行项目任务；并按合同书约定的时间向甲方提交技术服务完成成果。如乙方未按时提交技术服务成果，或技术服务成果不符合甲方要求，影响甲方采用的，甲方有权单方面解除合同，过程中所产生的费用甲方将不予支付，并视情况进行通报。甲方视情况暂停乙方3年承担浙江省省级产品质量安全监管技术服务资格。甲方保留追究其法律责任的权利。</w:t>
      </w:r>
    </w:p>
    <w:p w14:paraId="6068AAAF">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2.因乙方虚假承诺而造成甲方损失或影响采购人整体抽样工作的，甲方有权单方面解除合同，过程中所产生的费用甲方将不予支付，禁止其3年内承担浙江省监督抽查任务，并保留追究其法律责任的权利。</w:t>
      </w:r>
    </w:p>
    <w:p w14:paraId="1F16CFA0">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zh-CN"/>
        </w:rPr>
        <w:t>乙方未在规定期限内完成任务的，向甲方支付合同金额的</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zh-CN"/>
        </w:rPr>
        <w:t>0%的违约金并视情况通报。</w:t>
      </w:r>
    </w:p>
    <w:p w14:paraId="5F69CFB3">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4.乙方提交的材料不符合甲方要求或者虚报数据，向甲方支付合同金额的</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zh-CN"/>
        </w:rPr>
        <w:t>0%的违约金并视情况通报。</w:t>
      </w:r>
    </w:p>
    <w:p w14:paraId="03CC0FA9">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5.乙方应严格按照投标文件中人员配置方案进行人员安排，未经甲方同意不得擅</w:t>
      </w:r>
      <w:r>
        <w:rPr>
          <w:rFonts w:hint="eastAsia" w:ascii="仿宋" w:hAnsi="仿宋" w:eastAsia="仿宋" w:cs="仿宋"/>
          <w:sz w:val="21"/>
          <w:szCs w:val="21"/>
          <w:highlight w:val="none"/>
        </w:rPr>
        <w:t>自更换人员。对存在虚报人员或者未经甲方同意擅自更换人员的，甲方将视情况解除合同关系。</w:t>
      </w:r>
    </w:p>
    <w:p w14:paraId="4D4BF0F6">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6.乙方如出现出具虚假、错误检测数据或检验报告的，甲方将扣除相应的批次经费，乙方需承担后续可能出现的赔偿责任，并由相关部门对乙方上述行为依法进行处置。</w:t>
      </w:r>
    </w:p>
    <w:p w14:paraId="7A2E3199">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7</w:t>
      </w:r>
      <w:r>
        <w:rPr>
          <w:rFonts w:hint="eastAsia" w:ascii="仿宋" w:hAnsi="仿宋" w:eastAsia="仿宋" w:cs="仿宋"/>
          <w:sz w:val="21"/>
          <w:szCs w:val="21"/>
          <w:highlight w:val="none"/>
          <w:lang w:val="zh-CN"/>
        </w:rPr>
        <w:t>.任何一方如有违反上述条款的行为，按有关法规处理，严重的应追究有关人员的法律责任。</w:t>
      </w:r>
    </w:p>
    <w:p w14:paraId="1FA43609">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8.未在投标文件中明确的分包方案，乙方不得实施。分包人不得转包、二次分包。如乙方违反上述约定，甲方有权解除合同，乙方退还甲方</w:t>
      </w:r>
      <w:r>
        <w:rPr>
          <w:rFonts w:hint="eastAsia" w:ascii="仿宋" w:hAnsi="仿宋" w:eastAsia="仿宋" w:cs="仿宋"/>
          <w:sz w:val="21"/>
          <w:szCs w:val="21"/>
          <w:highlight w:val="none"/>
        </w:rPr>
        <w:t>先行支付的服务费用</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第一期、第二期支付的服务费用</w:t>
      </w:r>
      <w:r>
        <w:rPr>
          <w:rFonts w:hint="eastAsia" w:ascii="仿宋" w:hAnsi="仿宋" w:eastAsia="仿宋" w:cs="仿宋"/>
          <w:sz w:val="21"/>
          <w:szCs w:val="21"/>
          <w:highlight w:val="none"/>
          <w:lang w:val="zh-CN"/>
        </w:rPr>
        <w:t>），甲方不再支付剩余合同款项。乙方还需承担其他相应法律责任。</w:t>
      </w:r>
    </w:p>
    <w:p w14:paraId="6634E94A">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color w:val="auto"/>
          <w:sz w:val="21"/>
          <w:szCs w:val="21"/>
          <w:highlight w:val="none"/>
          <w:lang w:val="zh-CN"/>
        </w:rPr>
      </w:pPr>
      <w:r>
        <w:rPr>
          <w:rFonts w:hint="eastAsia" w:ascii="仿宋" w:hAnsi="仿宋" w:eastAsia="仿宋" w:cs="仿宋"/>
          <w:sz w:val="21"/>
          <w:szCs w:val="21"/>
          <w:highlight w:val="none"/>
          <w:lang w:val="zh-CN"/>
        </w:rPr>
        <w:t>9.因乙方工作差错造成的样品损坏、检验结果偏差等工作质量问题导致撤销批次情况发生，甲方不支付撤销批次的相关费用，甲方视情况通报，</w:t>
      </w:r>
      <w:r>
        <w:rPr>
          <w:rFonts w:hint="eastAsia" w:ascii="仿宋" w:hAnsi="仿宋" w:eastAsia="仿宋" w:cs="仿宋"/>
          <w:color w:val="auto"/>
          <w:sz w:val="21"/>
          <w:szCs w:val="21"/>
          <w:highlight w:val="none"/>
          <w:lang w:val="zh-CN"/>
        </w:rPr>
        <w:t>乙方还需承担其他相应法律责任。</w:t>
      </w:r>
    </w:p>
    <w:p w14:paraId="32D6C6F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10.其他违约责任，违约方应按违约行为对守约方造成的实际损失（包括但不限于守约方主张权利所支付的诉讼费、律师费等）进行赔偿。</w:t>
      </w:r>
    </w:p>
    <w:p w14:paraId="27F5B971">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lang w:val="zh-CN"/>
        </w:rPr>
      </w:pPr>
      <w:r>
        <w:rPr>
          <w:rFonts w:hint="eastAsia" w:ascii="仿宋" w:hAnsi="仿宋" w:eastAsia="仿宋" w:cs="仿宋"/>
          <w:b/>
          <w:bCs/>
          <w:kern w:val="0"/>
          <w:sz w:val="21"/>
          <w:szCs w:val="21"/>
          <w:highlight w:val="none"/>
          <w:lang w:val="zh-CN"/>
        </w:rPr>
        <w:t>第八条</w:t>
      </w:r>
      <w:r>
        <w:rPr>
          <w:rFonts w:hint="eastAsia" w:ascii="仿宋" w:hAnsi="仿宋" w:eastAsia="仿宋" w:cs="仿宋"/>
          <w:b/>
          <w:bCs/>
          <w:kern w:val="0"/>
          <w:sz w:val="21"/>
          <w:szCs w:val="21"/>
          <w:highlight w:val="none"/>
        </w:rPr>
        <w:t xml:space="preserve"> </w:t>
      </w:r>
      <w:r>
        <w:rPr>
          <w:rFonts w:hint="eastAsia" w:ascii="仿宋" w:hAnsi="仿宋" w:eastAsia="仿宋" w:cs="仿宋"/>
          <w:b/>
          <w:bCs/>
          <w:kern w:val="0"/>
          <w:sz w:val="21"/>
          <w:szCs w:val="21"/>
          <w:highlight w:val="none"/>
          <w:lang w:val="zh-CN"/>
        </w:rPr>
        <w:t>保密条款</w:t>
      </w:r>
    </w:p>
    <w:p w14:paraId="6C9316DC">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zh-CN"/>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7043A44A">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2</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zh-CN"/>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29BF106C">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第九条 不可抗力事件处理</w:t>
      </w:r>
    </w:p>
    <w:p w14:paraId="4E298FBD">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在合同有效期内，任何一方因不可抗力事件导致不能履行合同，则合同履行期可延长，其延长期与不可抗力影响期相同。</w:t>
      </w:r>
    </w:p>
    <w:p w14:paraId="23C429B4">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不可抗力事件发生后，应立即通知对方，并寄送有关权威机构出具的证明。</w:t>
      </w:r>
    </w:p>
    <w:p w14:paraId="64CE6C17">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不可抗力事件延续120天以上，双方应通过友好协商，确定是否继续履行合同。</w:t>
      </w:r>
    </w:p>
    <w:p w14:paraId="003D8668">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lang w:val="zh-CN"/>
        </w:rPr>
      </w:pPr>
      <w:r>
        <w:rPr>
          <w:rFonts w:hint="eastAsia" w:ascii="仿宋" w:hAnsi="仿宋" w:eastAsia="仿宋" w:cs="仿宋"/>
          <w:b/>
          <w:bCs/>
          <w:kern w:val="0"/>
          <w:sz w:val="21"/>
          <w:szCs w:val="21"/>
          <w:highlight w:val="none"/>
          <w:lang w:val="zh-CN"/>
        </w:rPr>
        <w:t>第十条 其他事项</w:t>
      </w:r>
    </w:p>
    <w:p w14:paraId="4A4EC5FC">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因乙方工作过失造成不良后果的，将由乙方承担相关法律责任。若有其他本协议未</w:t>
      </w:r>
      <w:r>
        <w:rPr>
          <w:rFonts w:hint="eastAsia" w:ascii="仿宋" w:hAnsi="仿宋" w:eastAsia="仿宋" w:cs="仿宋"/>
          <w:sz w:val="21"/>
          <w:szCs w:val="21"/>
          <w:highlight w:val="none"/>
        </w:rPr>
        <w:t>规定</w:t>
      </w:r>
      <w:r>
        <w:rPr>
          <w:rFonts w:hint="eastAsia" w:ascii="仿宋" w:hAnsi="仿宋" w:eastAsia="仿宋" w:cs="仿宋"/>
          <w:sz w:val="21"/>
          <w:szCs w:val="21"/>
          <w:highlight w:val="none"/>
          <w:lang w:val="zh-CN"/>
        </w:rPr>
        <w:t>或特殊事项，可通过补充协议予以明确，未在本协议及补充协议中明确的事项，由双方协商确定。因履行本合同引起的或与本合同有关的任何争议，应提请杭州市西湖区人民法院通过诉讼解决。</w:t>
      </w:r>
    </w:p>
    <w:p w14:paraId="4D55559E">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第十一条 合同的生效</w:t>
      </w:r>
    </w:p>
    <w:p w14:paraId="5E652A3A">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1.本协议经甲方和乙方法定代表人或其委托人签字并加盖双方公章后生效。</w:t>
      </w:r>
    </w:p>
    <w:p w14:paraId="403CC0B1">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2.招标文件、投标文件及评审过程中形成的磋商文件等文字资料、询标纪要均作为本合同的组成部分，具有同等效力。本合同未尽事宜，遵照《中华人民共和国民法典》有关条文执行，双方可以签订补充协议，补充协议与本协议有同等效力。</w:t>
      </w:r>
    </w:p>
    <w:p w14:paraId="483820F3">
      <w:pPr>
        <w:keepNext w:val="0"/>
        <w:keepLines w:val="0"/>
        <w:pageBreakBefore w:val="0"/>
        <w:kinsoku/>
        <w:wordWrap/>
        <w:overflowPunct/>
        <w:topLinePunct w:val="0"/>
        <w:autoSpaceDE/>
        <w:autoSpaceDN/>
        <w:bidi w:val="0"/>
        <w:snapToGrid w:val="0"/>
        <w:spacing w:line="288" w:lineRule="auto"/>
        <w:ind w:firstLine="396" w:firstLineChars="189"/>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3.本合同一式</w:t>
      </w:r>
      <w:r>
        <w:rPr>
          <w:rFonts w:hint="eastAsia" w:ascii="仿宋" w:hAnsi="仿宋" w:eastAsia="仿宋" w:cs="仿宋"/>
          <w:sz w:val="21"/>
          <w:szCs w:val="21"/>
          <w:highlight w:val="none"/>
          <w:lang w:val="en-US" w:eastAsia="zh-CN"/>
        </w:rPr>
        <w:t>五</w:t>
      </w:r>
      <w:r>
        <w:rPr>
          <w:rFonts w:hint="eastAsia" w:ascii="仿宋" w:hAnsi="仿宋" w:eastAsia="仿宋" w:cs="仿宋"/>
          <w:sz w:val="21"/>
          <w:szCs w:val="21"/>
          <w:highlight w:val="none"/>
          <w:lang w:val="zh-CN"/>
        </w:rPr>
        <w:t>份，甲方执</w:t>
      </w:r>
      <w:r>
        <w:rPr>
          <w:rFonts w:hint="eastAsia" w:ascii="仿宋" w:hAnsi="仿宋" w:eastAsia="仿宋" w:cs="仿宋"/>
          <w:sz w:val="21"/>
          <w:szCs w:val="21"/>
          <w:highlight w:val="none"/>
        </w:rPr>
        <w:t>四</w:t>
      </w:r>
      <w:r>
        <w:rPr>
          <w:rFonts w:hint="eastAsia" w:ascii="仿宋" w:hAnsi="仿宋" w:eastAsia="仿宋" w:cs="仿宋"/>
          <w:sz w:val="21"/>
          <w:szCs w:val="21"/>
          <w:highlight w:val="none"/>
          <w:lang w:val="zh-CN"/>
        </w:rPr>
        <w:t>份、乙方各执一份。</w:t>
      </w:r>
    </w:p>
    <w:p w14:paraId="6194182C">
      <w:pPr>
        <w:snapToGrid w:val="0"/>
        <w:spacing w:line="288" w:lineRule="auto"/>
        <w:ind w:firstLine="420" w:firstLineChars="200"/>
        <w:rPr>
          <w:rFonts w:hint="eastAsia" w:ascii="仿宋" w:hAnsi="仿宋" w:eastAsia="仿宋" w:cs="仿宋"/>
          <w:snapToGrid w:val="0"/>
          <w:szCs w:val="21"/>
          <w:highlight w:val="none"/>
        </w:rPr>
      </w:pPr>
    </w:p>
    <w:p w14:paraId="5B60CF28">
      <w:pPr>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br w:type="page"/>
      </w:r>
    </w:p>
    <w:p w14:paraId="58B3FA1F">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甲  方（盖章）：浙江省市场监督管理局   乙方（盖章）：</w:t>
      </w:r>
    </w:p>
    <w:p w14:paraId="635D13E2">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法定代表人或受委托人                   法定代表人或受委托人</w:t>
      </w:r>
    </w:p>
    <w:p w14:paraId="380B60B9">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（签字）：                            （签字）：</w:t>
      </w:r>
    </w:p>
    <w:p w14:paraId="53700A04">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 xml:space="preserve">地  址：杭州市莫干山路77号            地 址： </w:t>
      </w:r>
    </w:p>
    <w:p w14:paraId="48D7BCC0">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 xml:space="preserve">                                       开户银行：</w:t>
      </w:r>
    </w:p>
    <w:p w14:paraId="48399B47">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 xml:space="preserve">                                       </w:t>
      </w:r>
      <w:r>
        <w:rPr>
          <w:rFonts w:hint="eastAsia" w:ascii="仿宋" w:hAnsi="仿宋" w:eastAsia="仿宋" w:cs="仿宋"/>
          <w:snapToGrid w:val="0"/>
          <w:szCs w:val="21"/>
          <w:highlight w:val="none"/>
          <w:lang w:val="en-US" w:eastAsia="zh-CN"/>
        </w:rPr>
        <w:t>账</w:t>
      </w:r>
      <w:r>
        <w:rPr>
          <w:rFonts w:hint="eastAsia" w:ascii="仿宋" w:hAnsi="仿宋" w:eastAsia="仿宋" w:cs="仿宋"/>
          <w:snapToGrid w:val="0"/>
          <w:szCs w:val="21"/>
          <w:highlight w:val="none"/>
        </w:rPr>
        <w:t xml:space="preserve">  号：</w:t>
      </w:r>
    </w:p>
    <w:p w14:paraId="1E122AC5">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 xml:space="preserve">                                       乙方（盖章）：</w:t>
      </w:r>
    </w:p>
    <w:p w14:paraId="1BD6FCF9">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 xml:space="preserve">                                       法定代表人或受委托人</w:t>
      </w:r>
    </w:p>
    <w:p w14:paraId="7D49629E">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 xml:space="preserve">                                       （签字）：</w:t>
      </w:r>
    </w:p>
    <w:p w14:paraId="7327FA5B">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 xml:space="preserve">                                       地 址： </w:t>
      </w:r>
    </w:p>
    <w:p w14:paraId="4627B729">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 xml:space="preserve">                                       开户银行：</w:t>
      </w:r>
    </w:p>
    <w:p w14:paraId="1E9F52CA">
      <w:pPr>
        <w:snapToGrid w:val="0"/>
        <w:spacing w:line="288" w:lineRule="auto"/>
        <w:ind w:firstLine="420" w:firstLineChars="200"/>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 xml:space="preserve">                                       </w:t>
      </w:r>
      <w:r>
        <w:rPr>
          <w:rFonts w:hint="eastAsia" w:ascii="仿宋" w:hAnsi="仿宋" w:eastAsia="仿宋" w:cs="仿宋"/>
          <w:snapToGrid w:val="0"/>
          <w:szCs w:val="21"/>
          <w:highlight w:val="none"/>
          <w:lang w:val="en-US" w:eastAsia="zh-CN"/>
        </w:rPr>
        <w:t>账</w:t>
      </w:r>
      <w:r>
        <w:rPr>
          <w:rFonts w:hint="eastAsia" w:ascii="仿宋" w:hAnsi="仿宋" w:eastAsia="仿宋" w:cs="仿宋"/>
          <w:snapToGrid w:val="0"/>
          <w:szCs w:val="21"/>
          <w:highlight w:val="none"/>
        </w:rPr>
        <w:t xml:space="preserve">  号：</w:t>
      </w:r>
    </w:p>
    <w:p w14:paraId="370E4B79">
      <w:pPr>
        <w:snapToGrid w:val="0"/>
        <w:spacing w:line="288" w:lineRule="auto"/>
        <w:ind w:firstLine="420" w:firstLineChars="200"/>
        <w:jc w:val="right"/>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 xml:space="preserve">                签约时间：</w:t>
      </w:r>
      <w:r>
        <w:rPr>
          <w:rFonts w:hint="eastAsia" w:ascii="仿宋" w:hAnsi="仿宋" w:eastAsia="仿宋" w:cs="仿宋"/>
          <w:snapToGrid w:val="0"/>
          <w:szCs w:val="21"/>
          <w:highlight w:val="none"/>
          <w:lang w:val="en-US" w:eastAsia="zh-CN"/>
        </w:rPr>
        <w:t xml:space="preserve">  </w:t>
      </w:r>
      <w:r>
        <w:rPr>
          <w:rFonts w:hint="eastAsia" w:ascii="仿宋" w:hAnsi="仿宋" w:eastAsia="仿宋" w:cs="仿宋"/>
          <w:snapToGrid w:val="0"/>
          <w:szCs w:val="21"/>
          <w:highlight w:val="none"/>
        </w:rPr>
        <w:t>年</w:t>
      </w:r>
      <w:r>
        <w:rPr>
          <w:rFonts w:hint="eastAsia" w:ascii="仿宋" w:hAnsi="仿宋" w:eastAsia="仿宋" w:cs="仿宋"/>
          <w:snapToGrid w:val="0"/>
          <w:szCs w:val="21"/>
          <w:highlight w:val="none"/>
          <w:lang w:val="en-US" w:eastAsia="zh-CN"/>
        </w:rPr>
        <w:t xml:space="preserve">  </w:t>
      </w:r>
      <w:r>
        <w:rPr>
          <w:rFonts w:hint="eastAsia" w:ascii="仿宋" w:hAnsi="仿宋" w:eastAsia="仿宋" w:cs="仿宋"/>
          <w:snapToGrid w:val="0"/>
          <w:szCs w:val="21"/>
          <w:highlight w:val="none"/>
        </w:rPr>
        <w:t>月</w:t>
      </w:r>
      <w:r>
        <w:rPr>
          <w:rFonts w:hint="eastAsia" w:ascii="仿宋" w:hAnsi="仿宋" w:eastAsia="仿宋" w:cs="仿宋"/>
          <w:snapToGrid w:val="0"/>
          <w:szCs w:val="21"/>
          <w:highlight w:val="none"/>
          <w:lang w:val="en-US" w:eastAsia="zh-CN"/>
        </w:rPr>
        <w:t xml:space="preserve">  </w:t>
      </w:r>
      <w:r>
        <w:rPr>
          <w:rFonts w:hint="eastAsia" w:ascii="仿宋" w:hAnsi="仿宋" w:eastAsia="仿宋" w:cs="仿宋"/>
          <w:snapToGrid w:val="0"/>
          <w:szCs w:val="21"/>
          <w:highlight w:val="none"/>
        </w:rPr>
        <w:t>日</w:t>
      </w:r>
    </w:p>
    <w:p w14:paraId="605003E2">
      <w:pPr>
        <w:snapToGrid w:val="0"/>
        <w:spacing w:line="288" w:lineRule="auto"/>
        <w:ind w:firstLine="420" w:firstLineChars="200"/>
        <w:jc w:val="right"/>
        <w:rPr>
          <w:rFonts w:hint="eastAsia" w:ascii="仿宋" w:hAnsi="仿宋" w:eastAsia="仿宋" w:cs="仿宋"/>
          <w:snapToGrid w:val="0"/>
          <w:szCs w:val="21"/>
          <w:highlight w:val="none"/>
        </w:rPr>
      </w:pPr>
      <w:r>
        <w:rPr>
          <w:rFonts w:hint="eastAsia" w:ascii="仿宋" w:hAnsi="仿宋" w:eastAsia="仿宋" w:cs="仿宋"/>
          <w:snapToGrid w:val="0"/>
          <w:szCs w:val="21"/>
          <w:highlight w:val="none"/>
        </w:rPr>
        <w:t xml:space="preserve">             签约地点：浙江杭州</w:t>
      </w:r>
    </w:p>
    <w:p w14:paraId="4919EC17">
      <w:pPr>
        <w:snapToGrid w:val="0"/>
        <w:spacing w:line="288" w:lineRule="auto"/>
        <w:ind w:firstLine="420" w:firstLineChars="200"/>
        <w:rPr>
          <w:rFonts w:hint="eastAsia" w:ascii="仿宋" w:hAnsi="仿宋" w:eastAsia="仿宋" w:cs="仿宋"/>
          <w:snapToGrid w:val="0"/>
          <w:szCs w:val="21"/>
          <w:highlight w:val="none"/>
        </w:rPr>
      </w:pPr>
    </w:p>
    <w:p w14:paraId="209D6668">
      <w:pPr>
        <w:pStyle w:val="10"/>
        <w:snapToGrid w:val="0"/>
        <w:spacing w:beforeLines="0" w:afterLines="0" w:line="288" w:lineRule="auto"/>
        <w:rPr>
          <w:rFonts w:hint="eastAsia" w:ascii="仿宋" w:hAnsi="仿宋" w:eastAsia="仿宋" w:cs="仿宋"/>
          <w:b/>
          <w:color w:val="auto"/>
          <w:sz w:val="32"/>
          <w:szCs w:val="32"/>
          <w:highlight w:val="none"/>
        </w:rPr>
      </w:pPr>
      <w:r>
        <w:rPr>
          <w:rFonts w:hint="eastAsia" w:ascii="仿宋" w:hAnsi="仿宋" w:eastAsia="仿宋" w:cs="仿宋"/>
          <w:b/>
          <w:color w:val="auto"/>
          <w:spacing w:val="-6"/>
          <w:sz w:val="24"/>
          <w:highlight w:val="none"/>
        </w:rPr>
        <w:br w:type="page"/>
      </w:r>
    </w:p>
    <w:p w14:paraId="5CB14A89">
      <w:pPr>
        <w:adjustRightInd w:val="0"/>
        <w:snapToGrid w:val="0"/>
        <w:spacing w:line="288" w:lineRule="auto"/>
        <w:jc w:val="center"/>
        <w:outlineLvl w:val="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46970C35">
      <w:pPr>
        <w:adjustRightInd w:val="0"/>
        <w:snapToGrid w:val="0"/>
        <w:spacing w:line="360" w:lineRule="auto"/>
        <w:rPr>
          <w:rFonts w:hint="eastAsia" w:ascii="仿宋" w:hAnsi="仿宋" w:eastAsia="仿宋" w:cs="仿宋"/>
          <w:b/>
          <w:bCs/>
          <w:color w:val="auto"/>
          <w:spacing w:val="-6"/>
          <w:sz w:val="24"/>
          <w:szCs w:val="24"/>
          <w:highlight w:val="none"/>
        </w:rPr>
      </w:pPr>
    </w:p>
    <w:p w14:paraId="73956E61">
      <w:pPr>
        <w:adjustRightInd w:val="0"/>
        <w:snapToGrid w:val="0"/>
        <w:spacing w:line="360" w:lineRule="auto"/>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71E16161">
      <w:pPr>
        <w:adjustRightInd w:val="0"/>
        <w:snapToGrid w:val="0"/>
        <w:spacing w:line="360" w:lineRule="auto"/>
        <w:rPr>
          <w:rFonts w:hint="eastAsia" w:ascii="仿宋" w:hAnsi="仿宋" w:eastAsia="仿宋" w:cs="仿宋"/>
          <w:b/>
          <w:bCs/>
          <w:color w:val="auto"/>
          <w:spacing w:val="-6"/>
          <w:sz w:val="24"/>
          <w:szCs w:val="24"/>
          <w:highlight w:val="none"/>
        </w:rPr>
      </w:pPr>
    </w:p>
    <w:p w14:paraId="7157401D">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14:paraId="1F6B8245">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4BA544A4">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14:paraId="2B1127D4">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14:paraId="175AD804">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3）本项目的特定资格要求证明材料</w:t>
      </w:r>
    </w:p>
    <w:p w14:paraId="03078BED">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4）联合协议（若联合体投标）</w:t>
      </w:r>
    </w:p>
    <w:p w14:paraId="204E7A7A">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5）分包意向协议（若中标后以分包方式履行合同）</w:t>
      </w:r>
    </w:p>
    <w:p w14:paraId="33B3E7EF">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3）</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11B3AAAA">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146F7C5B">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14:paraId="4BE49EE6">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781AF909">
      <w:pPr>
        <w:adjustRightInd w:val="0"/>
        <w:snapToGrid w:val="0"/>
        <w:spacing w:line="360" w:lineRule="auto"/>
        <w:ind w:firstLine="735" w:firstLineChars="350"/>
        <w:jc w:val="lef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2025年1月（含）至今任意一月</w:t>
      </w:r>
      <w:r>
        <w:rPr>
          <w:rFonts w:hint="eastAsia" w:ascii="仿宋" w:hAnsi="仿宋" w:eastAsia="仿宋" w:cs="仿宋"/>
          <w:color w:val="auto"/>
          <w:spacing w:val="-6"/>
          <w:szCs w:val="21"/>
          <w:highlight w:val="none"/>
        </w:rPr>
        <w:t>投标授权代表社保缴纳证明</w:t>
      </w:r>
    </w:p>
    <w:p w14:paraId="2660B810">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14:paraId="754AC61A">
      <w:pPr>
        <w:adjustRightInd w:val="0"/>
        <w:snapToGrid w:val="0"/>
        <w:spacing w:line="360" w:lineRule="auto"/>
        <w:ind w:firstLine="396" w:firstLineChars="200"/>
        <w:jc w:val="left"/>
        <w:rPr>
          <w:rFonts w:hint="eastAsia" w:ascii="仿宋" w:hAnsi="仿宋" w:eastAsia="仿宋" w:cs="仿宋"/>
          <w:b w:val="0"/>
          <w:bCs/>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b w:val="0"/>
          <w:bCs/>
          <w:color w:val="auto"/>
          <w:spacing w:val="-6"/>
          <w:szCs w:val="21"/>
          <w:highlight w:val="none"/>
          <w:lang w:val="en-US" w:eastAsia="zh-CN"/>
        </w:rPr>
        <w:t>4</w:t>
      </w:r>
      <w:r>
        <w:rPr>
          <w:rFonts w:hint="eastAsia" w:ascii="仿宋" w:hAnsi="仿宋" w:eastAsia="仿宋" w:cs="仿宋"/>
          <w:b w:val="0"/>
          <w:bCs/>
          <w:color w:val="auto"/>
          <w:spacing w:val="-6"/>
          <w:szCs w:val="21"/>
          <w:highlight w:val="none"/>
        </w:rPr>
        <w:t>）投标人同类合同实施情况一览表</w:t>
      </w:r>
    </w:p>
    <w:p w14:paraId="7792C2FB">
      <w:pPr>
        <w:adjustRightInd w:val="0"/>
        <w:snapToGrid w:val="0"/>
        <w:spacing w:line="360" w:lineRule="auto"/>
        <w:ind w:firstLine="396" w:firstLineChars="200"/>
        <w:jc w:val="left"/>
        <w:rPr>
          <w:rFonts w:hint="eastAsia"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lang w:eastAsia="zh-CN"/>
        </w:rPr>
        <w:t>（</w:t>
      </w:r>
      <w:r>
        <w:rPr>
          <w:rFonts w:hint="eastAsia" w:ascii="仿宋" w:hAnsi="仿宋" w:eastAsia="仿宋" w:cs="仿宋"/>
          <w:b w:val="0"/>
          <w:bCs w:val="0"/>
          <w:color w:val="auto"/>
          <w:spacing w:val="-6"/>
          <w:szCs w:val="21"/>
          <w:highlight w:val="none"/>
        </w:rPr>
        <w:t>5）商务分评审相关证明材料</w:t>
      </w:r>
    </w:p>
    <w:p w14:paraId="533A781A">
      <w:pPr>
        <w:adjustRightInd w:val="0"/>
        <w:snapToGrid w:val="0"/>
        <w:spacing w:line="360" w:lineRule="auto"/>
        <w:ind w:firstLine="396" w:firstLineChars="200"/>
        <w:jc w:val="left"/>
        <w:rPr>
          <w:rFonts w:hint="eastAsia"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lang w:eastAsia="zh-CN"/>
        </w:rPr>
        <w:t>（</w:t>
      </w:r>
      <w:r>
        <w:rPr>
          <w:rFonts w:hint="eastAsia" w:ascii="仿宋" w:hAnsi="仿宋" w:eastAsia="仿宋" w:cs="仿宋"/>
          <w:b w:val="0"/>
          <w:bCs w:val="0"/>
          <w:color w:val="auto"/>
          <w:spacing w:val="-6"/>
          <w:szCs w:val="21"/>
          <w:highlight w:val="none"/>
        </w:rPr>
        <w:t>6）服务方案</w:t>
      </w:r>
    </w:p>
    <w:p w14:paraId="0BF1CC85">
      <w:pPr>
        <w:adjustRightInd w:val="0"/>
        <w:snapToGrid w:val="0"/>
        <w:spacing w:line="360" w:lineRule="auto"/>
        <w:ind w:firstLine="396" w:firstLineChars="200"/>
        <w:jc w:val="left"/>
        <w:rPr>
          <w:rFonts w:hint="eastAsia"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lang w:eastAsia="zh-CN"/>
        </w:rPr>
        <w:t>（</w:t>
      </w:r>
      <w:r>
        <w:rPr>
          <w:rFonts w:hint="eastAsia" w:ascii="仿宋" w:hAnsi="仿宋" w:eastAsia="仿宋" w:cs="仿宋"/>
          <w:b w:val="0"/>
          <w:bCs w:val="0"/>
          <w:color w:val="auto"/>
          <w:spacing w:val="-6"/>
          <w:szCs w:val="21"/>
          <w:highlight w:val="none"/>
        </w:rPr>
        <w:t>7）服务团队人员一览表</w:t>
      </w:r>
    </w:p>
    <w:p w14:paraId="59E363D4">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63D46FB1">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14:paraId="0C0D3A15">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投标报价明细表</w:t>
      </w:r>
    </w:p>
    <w:p w14:paraId="6722A10B">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2）中小企业声明函（若属于中小企业）</w:t>
      </w:r>
    </w:p>
    <w:p w14:paraId="20A301AD">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3）属于监狱企业的证明文件（若属于监狱企业）</w:t>
      </w:r>
    </w:p>
    <w:p w14:paraId="4171A3F5">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4）残疾人福利性单位声明函（若属于残疾人福利性单位）</w:t>
      </w:r>
    </w:p>
    <w:p w14:paraId="3B7D9D9B">
      <w:pPr>
        <w:widowControl/>
        <w:adjustRightInd w:val="0"/>
        <w:snapToGrid w:val="0"/>
        <w:spacing w:line="288" w:lineRule="auto"/>
        <w:ind w:left="0" w:leftChars="0" w:right="0" w:rightChars="0" w:firstLine="0" w:firstLineChars="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F059EAC">
      <w:pPr>
        <w:adjustRightInd w:val="0"/>
        <w:snapToGrid w:val="0"/>
        <w:spacing w:line="288" w:lineRule="auto"/>
        <w:jc w:val="center"/>
        <w:rPr>
          <w:rFonts w:hint="eastAsia" w:ascii="仿宋" w:hAnsi="仿宋" w:eastAsia="仿宋" w:cs="仿宋"/>
          <w:b/>
          <w:bCs/>
          <w:color w:val="auto"/>
          <w:sz w:val="84"/>
          <w:szCs w:val="84"/>
          <w:highlight w:val="none"/>
        </w:rPr>
      </w:pPr>
    </w:p>
    <w:p w14:paraId="41948766">
      <w:pPr>
        <w:adjustRightInd w:val="0"/>
        <w:snapToGrid w:val="0"/>
        <w:spacing w:line="288" w:lineRule="auto"/>
        <w:jc w:val="center"/>
        <w:rPr>
          <w:rFonts w:hint="eastAsia" w:ascii="仿宋" w:hAnsi="仿宋" w:eastAsia="仿宋" w:cs="仿宋"/>
          <w:b/>
          <w:bCs/>
          <w:color w:val="auto"/>
          <w:sz w:val="84"/>
          <w:szCs w:val="84"/>
          <w:highlight w:val="none"/>
        </w:rPr>
      </w:pPr>
    </w:p>
    <w:p w14:paraId="6F39B3F9">
      <w:pPr>
        <w:adjustRightInd w:val="0"/>
        <w:snapToGrid w:val="0"/>
        <w:spacing w:line="288" w:lineRule="auto"/>
        <w:jc w:val="center"/>
        <w:rPr>
          <w:rFonts w:hint="eastAsia" w:ascii="仿宋" w:hAnsi="仿宋" w:eastAsia="仿宋" w:cs="仿宋"/>
          <w:b/>
          <w:bCs/>
          <w:color w:val="auto"/>
          <w:sz w:val="84"/>
          <w:szCs w:val="84"/>
          <w:highlight w:val="none"/>
        </w:rPr>
      </w:pPr>
    </w:p>
    <w:p w14:paraId="77E9D047">
      <w:pPr>
        <w:adjustRightInd w:val="0"/>
        <w:snapToGrid w:val="0"/>
        <w:spacing w:line="288" w:lineRule="auto"/>
        <w:jc w:val="center"/>
        <w:rPr>
          <w:rFonts w:hint="eastAsia" w:ascii="仿宋" w:hAnsi="仿宋" w:eastAsia="仿宋" w:cs="仿宋"/>
          <w:b/>
          <w:bCs/>
          <w:color w:val="auto"/>
          <w:sz w:val="84"/>
          <w:szCs w:val="84"/>
          <w:highlight w:val="none"/>
        </w:rPr>
      </w:pPr>
    </w:p>
    <w:p w14:paraId="7F972EAE">
      <w:pPr>
        <w:adjustRightInd w:val="0"/>
        <w:snapToGrid w:val="0"/>
        <w:spacing w:line="288" w:lineRule="auto"/>
        <w:jc w:val="center"/>
        <w:outlineLvl w:val="1"/>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7DD5FAA9">
      <w:pPr>
        <w:adjustRightInd w:val="0"/>
        <w:snapToGrid w:val="0"/>
        <w:spacing w:line="288" w:lineRule="auto"/>
        <w:jc w:val="center"/>
        <w:rPr>
          <w:rFonts w:hint="eastAsia" w:ascii="仿宋" w:hAnsi="仿宋" w:eastAsia="仿宋" w:cs="仿宋"/>
          <w:b/>
          <w:bCs/>
          <w:color w:val="auto"/>
          <w:sz w:val="84"/>
          <w:szCs w:val="84"/>
          <w:highlight w:val="none"/>
        </w:rPr>
      </w:pPr>
    </w:p>
    <w:p w14:paraId="694C690E">
      <w:pPr>
        <w:adjustRightInd w:val="0"/>
        <w:snapToGrid w:val="0"/>
        <w:spacing w:line="288" w:lineRule="auto"/>
        <w:jc w:val="center"/>
        <w:rPr>
          <w:rFonts w:hint="eastAsia"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14:paraId="2315A42C">
      <w:pPr>
        <w:widowControl/>
        <w:adjustRightInd w:val="0"/>
        <w:snapToGrid w:val="0"/>
        <w:spacing w:line="288" w:lineRule="auto"/>
        <w:ind w:left="0" w:leftChars="0" w:right="0" w:rightChars="0" w:firstLine="0" w:firstLineChars="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16A3DEC">
      <w:pPr>
        <w:adjustRightInd w:val="0"/>
        <w:snapToGrid w:val="0"/>
        <w:spacing w:line="360" w:lineRule="auto"/>
        <w:jc w:val="center"/>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24D49F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60C0B3AF">
      <w:pPr>
        <w:adjustRightInd w:val="0"/>
        <w:snapToGrid w:val="0"/>
        <w:spacing w:line="360" w:lineRule="auto"/>
        <w:rPr>
          <w:rFonts w:hint="eastAsia" w:ascii="仿宋" w:hAnsi="仿宋" w:eastAsia="仿宋" w:cs="仿宋"/>
          <w:color w:val="auto"/>
          <w:szCs w:val="21"/>
          <w:highlight w:val="none"/>
        </w:rPr>
      </w:pPr>
    </w:p>
    <w:p w14:paraId="3F86BB9D">
      <w:pPr>
        <w:adjustRightInd w:val="0"/>
        <w:snapToGrid w:val="0"/>
        <w:spacing w:line="360" w:lineRule="auto"/>
        <w:rPr>
          <w:rFonts w:hint="eastAsia" w:ascii="仿宋" w:hAnsi="仿宋" w:eastAsia="仿宋" w:cs="仿宋"/>
          <w:color w:val="auto"/>
          <w:szCs w:val="21"/>
          <w:highlight w:val="none"/>
        </w:rPr>
      </w:pPr>
    </w:p>
    <w:p w14:paraId="07F8773F">
      <w:pPr>
        <w:adjustRightInd w:val="0"/>
        <w:snapToGrid w:val="0"/>
        <w:spacing w:line="360" w:lineRule="auto"/>
        <w:rPr>
          <w:rFonts w:hint="eastAsia" w:ascii="仿宋" w:hAnsi="仿宋" w:eastAsia="仿宋" w:cs="仿宋"/>
          <w:b/>
          <w:bCs/>
          <w:color w:val="auto"/>
          <w:szCs w:val="21"/>
          <w:highlight w:val="none"/>
        </w:rPr>
      </w:pPr>
    </w:p>
    <w:p w14:paraId="709965F9">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4DE542C0">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3774095D">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2DA19B16">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567DEA71">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46D70CC6">
      <w:pPr>
        <w:adjustRightInd w:val="0"/>
        <w:snapToGrid w:val="0"/>
        <w:spacing w:line="360" w:lineRule="auto"/>
        <w:rPr>
          <w:rFonts w:hint="eastAsia"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6CE5242D">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441F1A8B">
      <w:pPr>
        <w:adjustRightInd w:val="0"/>
        <w:snapToGrid w:val="0"/>
        <w:spacing w:line="360" w:lineRule="auto"/>
        <w:jc w:val="center"/>
        <w:outlineLvl w:val="2"/>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23825D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1AA9CA09">
      <w:pPr>
        <w:adjustRightInd w:val="0"/>
        <w:snapToGrid w:val="0"/>
        <w:spacing w:line="360" w:lineRule="auto"/>
        <w:rPr>
          <w:rFonts w:hint="eastAsia"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浙江省市场监督管理局</w:t>
      </w:r>
      <w:r>
        <w:rPr>
          <w:rFonts w:hint="eastAsia" w:ascii="仿宋" w:hAnsi="仿宋" w:eastAsia="仿宋" w:cs="仿宋"/>
          <w:b/>
          <w:bCs/>
          <w:color w:val="auto"/>
          <w:spacing w:val="-6"/>
          <w:szCs w:val="21"/>
          <w:highlight w:val="none"/>
        </w:rPr>
        <w:t>、浙江求是招标代理有限公司</w:t>
      </w:r>
    </w:p>
    <w:p w14:paraId="3C6BFA3C">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2025年度浙江省工业生产资料产品质量监督抽查抽样检验机构技术服务采购项目</w:t>
      </w:r>
      <w:r>
        <w:rPr>
          <w:rFonts w:hint="eastAsia" w:ascii="仿宋" w:hAnsi="仿宋" w:eastAsia="仿宋" w:cs="仿宋"/>
          <w:color w:val="auto"/>
          <w:spacing w:val="-6"/>
          <w:szCs w:val="21"/>
          <w:highlight w:val="none"/>
        </w:rPr>
        <w:t>的采购活动并承诺如下：</w:t>
      </w:r>
    </w:p>
    <w:p w14:paraId="1EAAA15E">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7F5AE736">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0E6A4435">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1A0C7CA9">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00F8B8E5">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62F70EB3">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4660186E">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21F59C0F">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5D2B11F0">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08854CA3">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33D32273">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62900C7F">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609D159F">
      <w:pPr>
        <w:adjustRightInd w:val="0"/>
        <w:snapToGrid w:val="0"/>
        <w:spacing w:line="360" w:lineRule="auto"/>
        <w:rPr>
          <w:rFonts w:hint="eastAsia" w:ascii="仿宋" w:hAnsi="仿宋" w:eastAsia="仿宋" w:cs="仿宋"/>
          <w:color w:val="auto"/>
          <w:szCs w:val="21"/>
          <w:highlight w:val="none"/>
        </w:rPr>
      </w:pPr>
    </w:p>
    <w:p w14:paraId="3C9FEDEC">
      <w:pPr>
        <w:adjustRightInd w:val="0"/>
        <w:snapToGrid w:val="0"/>
        <w:spacing w:line="360" w:lineRule="auto"/>
        <w:rPr>
          <w:rFonts w:hint="eastAsia" w:ascii="仿宋" w:hAnsi="仿宋" w:eastAsia="仿宋" w:cs="仿宋"/>
          <w:b/>
          <w:bCs/>
          <w:color w:val="auto"/>
          <w:spacing w:val="-6"/>
          <w:szCs w:val="21"/>
          <w:highlight w:val="none"/>
        </w:rPr>
      </w:pPr>
    </w:p>
    <w:p w14:paraId="44306C10">
      <w:pPr>
        <w:adjustRightInd w:val="0"/>
        <w:snapToGrid w:val="0"/>
        <w:spacing w:line="360" w:lineRule="auto"/>
        <w:rPr>
          <w:rFonts w:hint="eastAsia" w:ascii="仿宋" w:hAnsi="仿宋" w:eastAsia="仿宋" w:cs="仿宋"/>
          <w:b/>
          <w:bCs/>
          <w:color w:val="auto"/>
          <w:spacing w:val="-6"/>
          <w:szCs w:val="21"/>
          <w:highlight w:val="none"/>
        </w:rPr>
      </w:pPr>
    </w:p>
    <w:p w14:paraId="4D5243A1">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2DF9EA4">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61F6AE7C">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57225F38">
      <w:pPr>
        <w:adjustRightInd w:val="0"/>
        <w:snapToGrid w:val="0"/>
        <w:spacing w:line="360" w:lineRule="auto"/>
        <w:jc w:val="center"/>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本项目的特定资格要求证明材料</w:t>
      </w:r>
    </w:p>
    <w:p w14:paraId="5828B196">
      <w:pPr>
        <w:spacing w:line="360" w:lineRule="auto"/>
        <w:jc w:val="center"/>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t>国家认证认可监督管理委员会或市场监督管理部门颁发的有效期内的检验检测机构资质认定证书（CMA）</w:t>
      </w:r>
    </w:p>
    <w:p w14:paraId="29E64AFC">
      <w:pPr>
        <w:spacing w:line="360" w:lineRule="auto"/>
        <w:jc w:val="center"/>
        <w:rPr>
          <w:rFonts w:hint="eastAsia" w:ascii="仿宋" w:hAnsi="仿宋" w:eastAsia="仿宋" w:cs="仿宋"/>
          <w:b/>
          <w:bCs/>
          <w:spacing w:val="-6"/>
          <w:szCs w:val="21"/>
          <w:highlight w:val="none"/>
        </w:rPr>
      </w:pPr>
      <w:r>
        <w:rPr>
          <w:rFonts w:hint="eastAsia" w:ascii="仿宋" w:hAnsi="仿宋" w:eastAsia="仿宋" w:cs="仿宋"/>
          <w:b/>
          <w:bCs/>
          <w:color w:val="auto"/>
          <w:sz w:val="18"/>
          <w:szCs w:val="18"/>
          <w:highlight w:val="none"/>
          <w:lang w:val="en-US" w:eastAsia="zh-CN"/>
        </w:rPr>
        <w:t>（联合体投标的，联合体各方均需提供）</w:t>
      </w:r>
    </w:p>
    <w:p w14:paraId="704499CF">
      <w:pPr>
        <w:spacing w:line="360" w:lineRule="auto"/>
        <w:rPr>
          <w:rFonts w:hint="eastAsia" w:ascii="仿宋" w:hAnsi="仿宋" w:eastAsia="仿宋" w:cs="仿宋"/>
          <w:b/>
          <w:spacing w:val="-6"/>
          <w:sz w:val="24"/>
          <w:highlight w:val="none"/>
          <w:lang w:val="zh-CN"/>
        </w:rPr>
      </w:pPr>
    </w:p>
    <w:p w14:paraId="5A0A6E11">
      <w:pPr>
        <w:adjustRightInd w:val="0"/>
        <w:snapToGrid w:val="0"/>
        <w:spacing w:line="360" w:lineRule="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说明：</w:t>
      </w:r>
    </w:p>
    <w:p w14:paraId="5BF7374B">
      <w:pPr>
        <w:adjustRightInd w:val="0"/>
        <w:snapToGrid w:val="0"/>
        <w:spacing w:line="360" w:lineRule="auto"/>
        <w:rPr>
          <w:rFonts w:hint="eastAsia" w:ascii="仿宋" w:hAnsi="仿宋" w:eastAsia="仿宋" w:cs="仿宋"/>
          <w:b/>
          <w:bCs/>
          <w:sz w:val="18"/>
          <w:szCs w:val="18"/>
          <w:highlight w:val="none"/>
          <w:lang w:val="zh-CN"/>
        </w:rPr>
      </w:pPr>
      <w:r>
        <w:rPr>
          <w:rFonts w:hint="eastAsia" w:ascii="仿宋" w:hAnsi="仿宋" w:eastAsia="仿宋" w:cs="仿宋"/>
          <w:b/>
          <w:bCs/>
          <w:sz w:val="18"/>
          <w:szCs w:val="18"/>
          <w:highlight w:val="none"/>
          <w:lang w:val="zh-CN"/>
        </w:rPr>
        <w:t>国家质检中心或质检站承担检验工作的，可提供国家质检中心或质检站有效期内的检验检测机构资质认定证书（CMA）。</w:t>
      </w:r>
    </w:p>
    <w:p w14:paraId="5B59CF75">
      <w:pPr>
        <w:spacing w:line="360" w:lineRule="auto"/>
        <w:rPr>
          <w:rFonts w:hint="eastAsia" w:ascii="仿宋" w:hAnsi="仿宋" w:eastAsia="仿宋" w:cs="仿宋"/>
          <w:b/>
          <w:spacing w:val="-6"/>
          <w:sz w:val="24"/>
          <w:highlight w:val="none"/>
          <w:lang w:val="zh-CN"/>
        </w:rPr>
      </w:pPr>
      <w:r>
        <w:rPr>
          <w:rFonts w:hint="eastAsia" w:ascii="仿宋" w:hAnsi="仿宋" w:eastAsia="仿宋" w:cs="仿宋"/>
          <w:b/>
          <w:spacing w:val="-6"/>
          <w:sz w:val="24"/>
          <w:highlight w:val="none"/>
          <w:lang w:val="zh-CN"/>
        </w:rPr>
        <w:br w:type="page"/>
      </w:r>
    </w:p>
    <w:p w14:paraId="4A8917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305A5F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43B1E5C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0E6749B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说明：格式见附件2</w:t>
      </w:r>
    </w:p>
    <w:p w14:paraId="08ED9C18">
      <w:pPr>
        <w:adjustRightInd w:val="0"/>
        <w:snapToGrid w:val="0"/>
        <w:spacing w:line="360" w:lineRule="auto"/>
        <w:jc w:val="center"/>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pacing w:val="-6"/>
          <w:szCs w:val="21"/>
          <w:highlight w:val="none"/>
          <w:lang w:val="en-US" w:eastAsia="zh-CN"/>
        </w:rPr>
        <w:br w:type="page"/>
      </w:r>
      <w:r>
        <w:rPr>
          <w:rFonts w:hint="eastAsia" w:ascii="仿宋" w:hAnsi="仿宋" w:eastAsia="仿宋" w:cs="仿宋"/>
          <w:b/>
          <w:bCs/>
          <w:sz w:val="24"/>
          <w:szCs w:val="24"/>
          <w:highlight w:val="none"/>
          <w:lang w:val="zh-CN"/>
        </w:rPr>
        <w:t>分包意向协议</w:t>
      </w:r>
    </w:p>
    <w:p w14:paraId="52ECF1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w:t>
      </w:r>
      <w:r>
        <w:rPr>
          <w:rFonts w:hint="eastAsia" w:ascii="仿宋" w:hAnsi="仿宋" w:eastAsia="仿宋" w:cs="仿宋"/>
          <w:b/>
          <w:bCs/>
          <w:sz w:val="18"/>
          <w:szCs w:val="18"/>
          <w:highlight w:val="none"/>
        </w:rPr>
        <w:t>中标后以分包方式履行合同的提供分包意向协议，采购人不同意分包或中标后不以分包方式履行合同的则不需要提供</w:t>
      </w:r>
      <w:r>
        <w:rPr>
          <w:rFonts w:hint="eastAsia" w:ascii="仿宋" w:hAnsi="仿宋" w:eastAsia="仿宋" w:cs="仿宋"/>
          <w:b/>
          <w:color w:val="auto"/>
          <w:spacing w:val="-6"/>
          <w:sz w:val="18"/>
          <w:szCs w:val="18"/>
          <w:highlight w:val="none"/>
          <w:lang w:val="en-US" w:eastAsia="zh-CN"/>
        </w:rPr>
        <w:t>）</w:t>
      </w:r>
    </w:p>
    <w:p w14:paraId="33A78C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60719E7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说明：格式见附件3</w:t>
      </w:r>
    </w:p>
    <w:p w14:paraId="6AE43CD1">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14:paraId="58AC0C48">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p>
    <w:p w14:paraId="30ACA33C">
      <w:pPr>
        <w:adjustRightInd w:val="0"/>
        <w:snapToGrid w:val="0"/>
        <w:spacing w:line="288" w:lineRule="auto"/>
        <w:jc w:val="center"/>
        <w:rPr>
          <w:rFonts w:hint="eastAsia" w:ascii="仿宋" w:hAnsi="仿宋" w:eastAsia="仿宋" w:cs="仿宋"/>
          <w:b/>
          <w:bCs/>
          <w:color w:val="auto"/>
          <w:sz w:val="84"/>
          <w:szCs w:val="84"/>
          <w:highlight w:val="none"/>
        </w:rPr>
      </w:pPr>
    </w:p>
    <w:p w14:paraId="1C8B2AEC">
      <w:pPr>
        <w:adjustRightInd w:val="0"/>
        <w:snapToGrid w:val="0"/>
        <w:spacing w:line="288" w:lineRule="auto"/>
        <w:jc w:val="center"/>
        <w:rPr>
          <w:rFonts w:hint="eastAsia" w:ascii="仿宋" w:hAnsi="仿宋" w:eastAsia="仿宋" w:cs="仿宋"/>
          <w:b/>
          <w:bCs/>
          <w:color w:val="auto"/>
          <w:sz w:val="84"/>
          <w:szCs w:val="84"/>
          <w:highlight w:val="none"/>
        </w:rPr>
      </w:pPr>
    </w:p>
    <w:p w14:paraId="077BC86E">
      <w:pPr>
        <w:adjustRightInd w:val="0"/>
        <w:snapToGrid w:val="0"/>
        <w:spacing w:line="288" w:lineRule="auto"/>
        <w:jc w:val="center"/>
        <w:rPr>
          <w:rFonts w:hint="eastAsia" w:ascii="仿宋" w:hAnsi="仿宋" w:eastAsia="仿宋" w:cs="仿宋"/>
          <w:b/>
          <w:bCs/>
          <w:color w:val="auto"/>
          <w:sz w:val="84"/>
          <w:szCs w:val="84"/>
          <w:highlight w:val="none"/>
        </w:rPr>
      </w:pPr>
    </w:p>
    <w:p w14:paraId="32463174">
      <w:pPr>
        <w:adjustRightInd w:val="0"/>
        <w:snapToGrid w:val="0"/>
        <w:spacing w:line="288" w:lineRule="auto"/>
        <w:jc w:val="center"/>
        <w:rPr>
          <w:rFonts w:hint="eastAsia" w:ascii="仿宋" w:hAnsi="仿宋" w:eastAsia="仿宋" w:cs="仿宋"/>
          <w:b/>
          <w:bCs/>
          <w:color w:val="auto"/>
          <w:sz w:val="84"/>
          <w:szCs w:val="84"/>
          <w:highlight w:val="none"/>
        </w:rPr>
      </w:pPr>
    </w:p>
    <w:p w14:paraId="21FE4C2A">
      <w:pPr>
        <w:overflowPunct w:val="0"/>
        <w:adjustRightInd w:val="0"/>
        <w:snapToGrid w:val="0"/>
        <w:spacing w:line="288" w:lineRule="auto"/>
        <w:jc w:val="center"/>
        <w:outlineLvl w:val="1"/>
        <w:rPr>
          <w:rFonts w:hint="eastAsia"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039E0411">
      <w:pPr>
        <w:widowControl/>
        <w:adjustRightInd w:val="0"/>
        <w:snapToGrid w:val="0"/>
        <w:spacing w:line="288" w:lineRule="auto"/>
        <w:ind w:left="0" w:leftChars="0" w:right="0" w:rightChars="0" w:firstLine="0" w:firstLineChars="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D30E9CE">
      <w:pPr>
        <w:adjustRightInd w:val="0"/>
        <w:snapToGrid w:val="0"/>
        <w:spacing w:line="360" w:lineRule="auto"/>
        <w:jc w:val="center"/>
        <w:outlineLvl w:val="2"/>
        <w:rPr>
          <w:rFonts w:hint="eastAsia"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0D7C1021">
      <w:pPr>
        <w:adjustRightInd w:val="0"/>
        <w:snapToGrid w:val="0"/>
        <w:spacing w:line="360" w:lineRule="auto"/>
        <w:rPr>
          <w:rFonts w:hint="eastAsia"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浙江省市场监督管理局</w:t>
      </w:r>
      <w:r>
        <w:rPr>
          <w:rFonts w:hint="eastAsia" w:ascii="仿宋" w:hAnsi="仿宋" w:eastAsia="仿宋" w:cs="仿宋"/>
          <w:b/>
          <w:bCs/>
          <w:color w:val="auto"/>
          <w:spacing w:val="-6"/>
          <w:szCs w:val="21"/>
          <w:highlight w:val="none"/>
        </w:rPr>
        <w:t>、浙江求是招标代理有限公司</w:t>
      </w:r>
    </w:p>
    <w:p w14:paraId="58D43715">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2025年度浙江省工业生产资料产品质量监督抽查抽样检验机构技术服务采购项目</w:t>
      </w:r>
      <w:r>
        <w:rPr>
          <w:rFonts w:hint="eastAsia" w:ascii="仿宋" w:hAnsi="仿宋" w:eastAsia="仿宋" w:cs="仿宋"/>
          <w:bCs/>
          <w:color w:val="auto"/>
          <w:spacing w:val="-6"/>
          <w:szCs w:val="21"/>
          <w:highlight w:val="none"/>
          <w:lang w:val="en-US" w:eastAsia="zh-CN"/>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QSZB-Z(F)-H25107(GK)]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4DCB513D">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0F63CD6D">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400DABD6">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453315AA">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1B3BC029">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7770F71E">
      <w:pPr>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0768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35FEE1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7BFFB946">
            <w:pPr>
              <w:jc w:val="center"/>
              <w:rPr>
                <w:rFonts w:hint="eastAsia" w:ascii="仿宋" w:hAnsi="仿宋" w:eastAsia="仿宋" w:cs="仿宋"/>
                <w:color w:val="auto"/>
                <w:szCs w:val="21"/>
                <w:highlight w:val="none"/>
              </w:rPr>
            </w:pPr>
          </w:p>
        </w:tc>
      </w:tr>
      <w:tr w14:paraId="01DF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B7A78B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477A5088">
            <w:pPr>
              <w:jc w:val="center"/>
              <w:rPr>
                <w:rFonts w:hint="eastAsia" w:ascii="仿宋" w:hAnsi="仿宋" w:eastAsia="仿宋" w:cs="仿宋"/>
                <w:color w:val="auto"/>
                <w:szCs w:val="21"/>
                <w:highlight w:val="none"/>
              </w:rPr>
            </w:pPr>
          </w:p>
        </w:tc>
      </w:tr>
      <w:tr w14:paraId="3A61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31784D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15C943EF">
            <w:pPr>
              <w:jc w:val="center"/>
              <w:rPr>
                <w:rFonts w:hint="eastAsia" w:ascii="仿宋" w:hAnsi="仿宋" w:eastAsia="仿宋" w:cs="仿宋"/>
                <w:color w:val="auto"/>
                <w:szCs w:val="21"/>
                <w:highlight w:val="none"/>
              </w:rPr>
            </w:pPr>
          </w:p>
        </w:tc>
      </w:tr>
      <w:tr w14:paraId="774A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6AA9FD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4A7FF600">
            <w:pPr>
              <w:jc w:val="center"/>
              <w:rPr>
                <w:rFonts w:hint="eastAsia" w:ascii="仿宋" w:hAnsi="仿宋" w:eastAsia="仿宋" w:cs="仿宋"/>
                <w:color w:val="auto"/>
                <w:szCs w:val="21"/>
                <w:highlight w:val="none"/>
              </w:rPr>
            </w:pPr>
          </w:p>
        </w:tc>
      </w:tr>
      <w:tr w14:paraId="4BA3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2A1B1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78ED483E">
            <w:pPr>
              <w:jc w:val="center"/>
              <w:rPr>
                <w:rFonts w:hint="eastAsia" w:ascii="仿宋" w:hAnsi="仿宋" w:eastAsia="仿宋" w:cs="仿宋"/>
                <w:color w:val="auto"/>
                <w:szCs w:val="21"/>
                <w:highlight w:val="none"/>
              </w:rPr>
            </w:pPr>
          </w:p>
        </w:tc>
      </w:tr>
      <w:tr w14:paraId="4663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DB0C02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13491B91">
            <w:pPr>
              <w:jc w:val="center"/>
              <w:rPr>
                <w:rFonts w:hint="eastAsia" w:ascii="仿宋" w:hAnsi="仿宋" w:eastAsia="仿宋" w:cs="仿宋"/>
                <w:color w:val="auto"/>
                <w:szCs w:val="21"/>
                <w:highlight w:val="none"/>
              </w:rPr>
            </w:pPr>
          </w:p>
        </w:tc>
      </w:tr>
      <w:tr w14:paraId="4C18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F59B70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3760EBB6">
            <w:pPr>
              <w:jc w:val="center"/>
              <w:rPr>
                <w:rFonts w:hint="eastAsia" w:ascii="仿宋" w:hAnsi="仿宋" w:eastAsia="仿宋" w:cs="仿宋"/>
                <w:color w:val="auto"/>
                <w:szCs w:val="21"/>
                <w:highlight w:val="none"/>
              </w:rPr>
            </w:pPr>
          </w:p>
        </w:tc>
      </w:tr>
    </w:tbl>
    <w:p w14:paraId="6A892DB9">
      <w:pPr>
        <w:adjustRightInd w:val="0"/>
        <w:snapToGrid w:val="0"/>
        <w:spacing w:line="360" w:lineRule="auto"/>
        <w:rPr>
          <w:rFonts w:hint="eastAsia" w:ascii="仿宋" w:hAnsi="仿宋" w:eastAsia="仿宋" w:cs="仿宋"/>
          <w:color w:val="auto"/>
          <w:spacing w:val="-6"/>
          <w:szCs w:val="21"/>
          <w:highlight w:val="none"/>
        </w:rPr>
      </w:pPr>
    </w:p>
    <w:p w14:paraId="5D96FF52">
      <w:pPr>
        <w:adjustRightInd w:val="0"/>
        <w:snapToGrid w:val="0"/>
        <w:spacing w:line="360" w:lineRule="auto"/>
        <w:rPr>
          <w:rFonts w:hint="eastAsia" w:ascii="仿宋" w:hAnsi="仿宋" w:eastAsia="仿宋" w:cs="仿宋"/>
          <w:color w:val="auto"/>
          <w:spacing w:val="-6"/>
          <w:szCs w:val="21"/>
          <w:highlight w:val="none"/>
        </w:rPr>
      </w:pPr>
    </w:p>
    <w:p w14:paraId="11E29CC1">
      <w:pPr>
        <w:adjustRightInd w:val="0"/>
        <w:snapToGrid w:val="0"/>
        <w:spacing w:line="360" w:lineRule="auto"/>
        <w:rPr>
          <w:rFonts w:hint="eastAsia" w:ascii="仿宋" w:hAnsi="仿宋" w:eastAsia="仿宋" w:cs="仿宋"/>
          <w:b/>
          <w:bCs/>
          <w:color w:val="auto"/>
          <w:spacing w:val="-6"/>
          <w:szCs w:val="21"/>
          <w:highlight w:val="none"/>
        </w:rPr>
      </w:pPr>
    </w:p>
    <w:p w14:paraId="2137B2FB">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29AE198">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58779136">
      <w:pPr>
        <w:widowControl/>
        <w:adjustRightInd w:val="0"/>
        <w:snapToGrid w:val="0"/>
        <w:spacing w:line="288" w:lineRule="auto"/>
        <w:ind w:left="0" w:leftChars="0" w:right="0" w:rightChars="0" w:firstLine="0" w:firstLineChars="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41F47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648757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03F9575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3547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21B82804">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215CEB54">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535C30DB">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48C285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6B9C34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699A87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浙江省市场监督管理局</w:t>
      </w:r>
      <w:r>
        <w:rPr>
          <w:rFonts w:hint="eastAsia" w:ascii="仿宋" w:hAnsi="仿宋" w:eastAsia="仿宋" w:cs="仿宋"/>
          <w:b/>
          <w:color w:val="auto"/>
          <w:spacing w:val="-6"/>
          <w:szCs w:val="21"/>
          <w:highlight w:val="none"/>
        </w:rPr>
        <w:t>、浙江求是招标代理有限公司</w:t>
      </w:r>
    </w:p>
    <w:p w14:paraId="5D8CF17A">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2025年度浙江省工业生产资料产品质量监督抽查抽样检验机构技术服务采购项目</w:t>
      </w:r>
      <w:r>
        <w:rPr>
          <w:rFonts w:hint="eastAsia" w:ascii="仿宋" w:hAnsi="仿宋" w:eastAsia="仿宋" w:cs="仿宋"/>
          <w:bCs/>
          <w:color w:val="auto"/>
          <w:spacing w:val="-6"/>
          <w:szCs w:val="21"/>
          <w:highlight w:val="none"/>
          <w:lang w:val="en-US" w:eastAsia="zh-CN"/>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QSZB-Z(F)-H25107(GK)]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1C741294">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44B34DC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06A2B008">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0ABB05C5">
      <w:pPr>
        <w:adjustRightInd w:val="0"/>
        <w:snapToGrid w:val="0"/>
        <w:spacing w:line="360" w:lineRule="auto"/>
        <w:rPr>
          <w:rFonts w:hint="eastAsia" w:ascii="仿宋" w:hAnsi="仿宋" w:eastAsia="仿宋" w:cs="仿宋"/>
          <w:color w:val="auto"/>
          <w:szCs w:val="21"/>
          <w:highlight w:val="none"/>
        </w:rPr>
      </w:pPr>
    </w:p>
    <w:p w14:paraId="53BDE5CD">
      <w:pPr>
        <w:adjustRightInd w:val="0"/>
        <w:snapToGrid w:val="0"/>
        <w:spacing w:line="360" w:lineRule="auto"/>
        <w:rPr>
          <w:rFonts w:hint="eastAsia" w:ascii="仿宋" w:hAnsi="仿宋" w:eastAsia="仿宋" w:cs="仿宋"/>
          <w:b/>
          <w:bCs/>
          <w:color w:val="auto"/>
          <w:spacing w:val="-6"/>
          <w:szCs w:val="21"/>
          <w:highlight w:val="none"/>
        </w:rPr>
      </w:pPr>
    </w:p>
    <w:p w14:paraId="1AAE9022">
      <w:pPr>
        <w:adjustRightInd w:val="0"/>
        <w:snapToGrid w:val="0"/>
        <w:spacing w:line="360" w:lineRule="auto"/>
        <w:rPr>
          <w:rFonts w:hint="eastAsia" w:ascii="仿宋" w:hAnsi="仿宋" w:eastAsia="仿宋" w:cs="仿宋"/>
          <w:b/>
          <w:bCs/>
          <w:color w:val="auto"/>
          <w:spacing w:val="-6"/>
          <w:szCs w:val="21"/>
          <w:highlight w:val="none"/>
        </w:rPr>
      </w:pPr>
    </w:p>
    <w:p w14:paraId="34C5E1E9">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FF005EC">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0482E292">
      <w:pPr>
        <w:ind w:left="0" w:leftChars="0" w:right="0" w:rightChars="0" w:firstLine="0" w:firstLineChars="0"/>
        <w:jc w:val="both"/>
        <w:rPr>
          <w:rFonts w:hint="eastAsia" w:ascii="仿宋" w:hAnsi="仿宋" w:eastAsia="仿宋" w:cs="仿宋"/>
          <w:b/>
          <w:bCs/>
          <w:color w:val="auto"/>
          <w:sz w:val="24"/>
          <w:szCs w:val="24"/>
          <w:highlight w:val="none"/>
        </w:rPr>
      </w:pPr>
    </w:p>
    <w:p w14:paraId="05BE372F">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53522BCF">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5F5A17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hint="eastAsia"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2025年1月（含）至今任意一月</w:t>
      </w:r>
      <w:r>
        <w:rPr>
          <w:rFonts w:hint="eastAsia" w:ascii="仿宋" w:hAnsi="仿宋" w:eastAsia="仿宋" w:cs="仿宋"/>
          <w:b/>
          <w:bCs/>
          <w:color w:val="auto"/>
          <w:sz w:val="24"/>
          <w:szCs w:val="24"/>
          <w:highlight w:val="none"/>
        </w:rPr>
        <w:t>投标授权代表社保缴纳证明</w:t>
      </w:r>
    </w:p>
    <w:p w14:paraId="69F26E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4C0F0A48">
      <w:pPr>
        <w:adjustRightInd w:val="0"/>
        <w:snapToGrid w:val="0"/>
        <w:spacing w:line="360" w:lineRule="auto"/>
        <w:jc w:val="both"/>
        <w:rPr>
          <w:rFonts w:hint="eastAsia"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59104450">
      <w:pPr>
        <w:adjustRightInd w:val="0"/>
        <w:snapToGrid w:val="0"/>
        <w:spacing w:line="288"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F62FF74">
      <w:pPr>
        <w:adjustRightInd w:val="0"/>
        <w:snapToGrid w:val="0"/>
        <w:spacing w:line="360" w:lineRule="auto"/>
        <w:jc w:val="center"/>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05F6DE7C">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浙江省市场监督管理局</w:t>
      </w:r>
    </w:p>
    <w:p w14:paraId="70834E07">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2025年度浙江省工业生产资料产品质量监督抽查抽样检验机构技术服务采购项目</w:t>
      </w:r>
    </w:p>
    <w:p w14:paraId="30B3B02E">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QSZB-Z(F)-H25107(GK)</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4648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B61AE3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14:paraId="6053107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14:paraId="02F81B1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14:paraId="0E084757">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14:paraId="05E9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B0EC21A">
            <w:pP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采购资金的支付方式、时间、条件（具体条款详见“第二章  采购需求”中相关内容）</w:t>
            </w:r>
          </w:p>
        </w:tc>
      </w:tr>
      <w:tr w14:paraId="1C57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993798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6DF45D1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支付方式</w:t>
            </w:r>
          </w:p>
        </w:tc>
        <w:tc>
          <w:tcPr>
            <w:tcW w:w="2911" w:type="dxa"/>
            <w:vAlign w:val="center"/>
          </w:tcPr>
          <w:p w14:paraId="51394D65">
            <w:pPr>
              <w:rPr>
                <w:rFonts w:hint="eastAsia" w:ascii="仿宋" w:hAnsi="仿宋" w:eastAsia="仿宋" w:cs="仿宋"/>
                <w:color w:val="auto"/>
                <w:szCs w:val="21"/>
                <w:highlight w:val="none"/>
              </w:rPr>
            </w:pPr>
          </w:p>
        </w:tc>
        <w:tc>
          <w:tcPr>
            <w:tcW w:w="2407" w:type="dxa"/>
            <w:vAlign w:val="center"/>
          </w:tcPr>
          <w:p w14:paraId="7FA2D3C4">
            <w:pPr>
              <w:rPr>
                <w:rFonts w:hint="eastAsia" w:ascii="仿宋" w:hAnsi="仿宋" w:eastAsia="仿宋" w:cs="仿宋"/>
                <w:color w:val="auto"/>
                <w:szCs w:val="21"/>
                <w:highlight w:val="none"/>
              </w:rPr>
            </w:pPr>
          </w:p>
        </w:tc>
      </w:tr>
      <w:tr w14:paraId="1A4F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ED3B52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6495ED74">
            <w:pPr>
              <w:jc w:val="center"/>
              <w:rPr>
                <w:rFonts w:hint="eastAsia" w:ascii="仿宋" w:hAnsi="仿宋" w:eastAsia="仿宋" w:cs="仿宋"/>
                <w:color w:val="auto"/>
                <w:szCs w:val="21"/>
                <w:highlight w:val="none"/>
              </w:rPr>
            </w:pPr>
            <w:r>
              <w:rPr>
                <w:rFonts w:hint="eastAsia" w:ascii="仿宋" w:hAnsi="仿宋" w:eastAsia="仿宋" w:cs="仿宋"/>
                <w:b/>
                <w:bCs/>
                <w:szCs w:val="21"/>
                <w:highlight w:val="none"/>
              </w:rPr>
              <w:t>支付时间及条件</w:t>
            </w:r>
          </w:p>
        </w:tc>
        <w:tc>
          <w:tcPr>
            <w:tcW w:w="2911" w:type="dxa"/>
            <w:vAlign w:val="center"/>
          </w:tcPr>
          <w:p w14:paraId="47800512">
            <w:pPr>
              <w:rPr>
                <w:rFonts w:hint="eastAsia" w:ascii="仿宋" w:hAnsi="仿宋" w:eastAsia="仿宋" w:cs="仿宋"/>
                <w:color w:val="auto"/>
                <w:szCs w:val="21"/>
                <w:highlight w:val="none"/>
              </w:rPr>
            </w:pPr>
          </w:p>
        </w:tc>
        <w:tc>
          <w:tcPr>
            <w:tcW w:w="2407" w:type="dxa"/>
            <w:vAlign w:val="center"/>
          </w:tcPr>
          <w:p w14:paraId="7A3EE202">
            <w:pPr>
              <w:rPr>
                <w:rFonts w:hint="eastAsia" w:ascii="仿宋" w:hAnsi="仿宋" w:eastAsia="仿宋" w:cs="仿宋"/>
                <w:color w:val="auto"/>
                <w:szCs w:val="21"/>
                <w:highlight w:val="none"/>
              </w:rPr>
            </w:pPr>
          </w:p>
        </w:tc>
      </w:tr>
      <w:tr w14:paraId="3807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7C1376D">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3480" w:type="dxa"/>
            <w:vAlign w:val="center"/>
          </w:tcPr>
          <w:p w14:paraId="4537B664">
            <w:pPr>
              <w:jc w:val="center"/>
              <w:rPr>
                <w:rFonts w:hint="eastAsia" w:ascii="仿宋" w:hAnsi="仿宋" w:eastAsia="仿宋" w:cs="仿宋"/>
                <w:color w:val="auto"/>
                <w:szCs w:val="21"/>
                <w:highlight w:val="none"/>
              </w:rPr>
            </w:pPr>
            <w:r>
              <w:rPr>
                <w:rFonts w:hint="eastAsia" w:ascii="仿宋" w:hAnsi="仿宋" w:eastAsia="仿宋" w:cs="仿宋"/>
                <w:b/>
                <w:bCs/>
                <w:szCs w:val="21"/>
                <w:highlight w:val="none"/>
              </w:rPr>
              <w:t>履约保证金</w:t>
            </w:r>
          </w:p>
        </w:tc>
        <w:tc>
          <w:tcPr>
            <w:tcW w:w="2911" w:type="dxa"/>
            <w:vAlign w:val="center"/>
          </w:tcPr>
          <w:p w14:paraId="56A1D85B">
            <w:pPr>
              <w:rPr>
                <w:rFonts w:hint="eastAsia" w:ascii="仿宋" w:hAnsi="仿宋" w:eastAsia="仿宋" w:cs="仿宋"/>
                <w:color w:val="auto"/>
                <w:szCs w:val="21"/>
                <w:highlight w:val="none"/>
              </w:rPr>
            </w:pPr>
          </w:p>
        </w:tc>
        <w:tc>
          <w:tcPr>
            <w:tcW w:w="2407" w:type="dxa"/>
            <w:vAlign w:val="center"/>
          </w:tcPr>
          <w:p w14:paraId="55C6875F">
            <w:pPr>
              <w:rPr>
                <w:rFonts w:hint="eastAsia" w:ascii="仿宋" w:hAnsi="仿宋" w:eastAsia="仿宋" w:cs="仿宋"/>
                <w:color w:val="auto"/>
                <w:szCs w:val="21"/>
                <w:highlight w:val="none"/>
              </w:rPr>
            </w:pPr>
          </w:p>
        </w:tc>
      </w:tr>
      <w:tr w14:paraId="212A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71CE01A">
            <w:pP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服务要求（具体条款详见“第二章  采购需求”中相关内容）</w:t>
            </w:r>
          </w:p>
        </w:tc>
      </w:tr>
      <w:tr w14:paraId="57C9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0F5501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0A4EB4C2">
            <w:pPr>
              <w:jc w:val="center"/>
              <w:rPr>
                <w:rFonts w:hint="eastAsia" w:ascii="仿宋" w:hAnsi="仿宋" w:eastAsia="仿宋" w:cs="仿宋"/>
                <w:color w:val="auto"/>
                <w:szCs w:val="21"/>
                <w:highlight w:val="none"/>
              </w:rPr>
            </w:pPr>
            <w:r>
              <w:rPr>
                <w:rFonts w:hint="eastAsia" w:ascii="仿宋" w:hAnsi="仿宋" w:eastAsia="仿宋" w:cs="仿宋"/>
                <w:b/>
                <w:bCs/>
                <w:szCs w:val="21"/>
                <w:highlight w:val="none"/>
              </w:rPr>
              <w:t>需实现的功能或者目标</w:t>
            </w:r>
          </w:p>
        </w:tc>
        <w:tc>
          <w:tcPr>
            <w:tcW w:w="2911" w:type="dxa"/>
            <w:vAlign w:val="center"/>
          </w:tcPr>
          <w:p w14:paraId="5623E96B">
            <w:pPr>
              <w:rPr>
                <w:rFonts w:hint="eastAsia" w:ascii="仿宋" w:hAnsi="仿宋" w:eastAsia="仿宋" w:cs="仿宋"/>
                <w:color w:val="auto"/>
                <w:szCs w:val="21"/>
                <w:highlight w:val="none"/>
              </w:rPr>
            </w:pPr>
          </w:p>
        </w:tc>
        <w:tc>
          <w:tcPr>
            <w:tcW w:w="2407" w:type="dxa"/>
            <w:vAlign w:val="center"/>
          </w:tcPr>
          <w:p w14:paraId="26253480">
            <w:pPr>
              <w:rPr>
                <w:rFonts w:hint="eastAsia" w:ascii="仿宋" w:hAnsi="仿宋" w:eastAsia="仿宋" w:cs="仿宋"/>
                <w:color w:val="auto"/>
                <w:szCs w:val="21"/>
                <w:highlight w:val="none"/>
              </w:rPr>
            </w:pPr>
          </w:p>
        </w:tc>
      </w:tr>
      <w:tr w14:paraId="5EEF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E4B214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374A97DF">
            <w:pPr>
              <w:jc w:val="center"/>
              <w:rPr>
                <w:rFonts w:hint="eastAsia" w:ascii="仿宋" w:hAnsi="仿宋" w:eastAsia="仿宋" w:cs="仿宋"/>
                <w:color w:val="auto"/>
                <w:szCs w:val="21"/>
                <w:highlight w:val="none"/>
              </w:rPr>
            </w:pPr>
            <w:r>
              <w:rPr>
                <w:rFonts w:hint="eastAsia" w:ascii="仿宋" w:hAnsi="仿宋" w:eastAsia="仿宋" w:cs="仿宋"/>
                <w:b/>
                <w:bCs/>
                <w:color w:val="auto"/>
                <w:sz w:val="21"/>
                <w:szCs w:val="21"/>
                <w:highlight w:val="none"/>
              </w:rPr>
              <w:t>需满足的服务要求</w:t>
            </w:r>
          </w:p>
        </w:tc>
        <w:tc>
          <w:tcPr>
            <w:tcW w:w="2911" w:type="dxa"/>
            <w:vAlign w:val="center"/>
          </w:tcPr>
          <w:p w14:paraId="055905DD">
            <w:pPr>
              <w:rPr>
                <w:rFonts w:hint="eastAsia" w:ascii="仿宋" w:hAnsi="仿宋" w:eastAsia="仿宋" w:cs="仿宋"/>
                <w:color w:val="auto"/>
                <w:szCs w:val="21"/>
                <w:highlight w:val="none"/>
              </w:rPr>
            </w:pPr>
          </w:p>
        </w:tc>
        <w:tc>
          <w:tcPr>
            <w:tcW w:w="2407" w:type="dxa"/>
            <w:vAlign w:val="center"/>
          </w:tcPr>
          <w:p w14:paraId="5945B61E">
            <w:pPr>
              <w:rPr>
                <w:rFonts w:hint="eastAsia" w:ascii="仿宋" w:hAnsi="仿宋" w:eastAsia="仿宋" w:cs="仿宋"/>
                <w:color w:val="auto"/>
                <w:szCs w:val="21"/>
                <w:highlight w:val="none"/>
              </w:rPr>
            </w:pPr>
          </w:p>
        </w:tc>
      </w:tr>
      <w:tr w14:paraId="373B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2C33B1F">
            <w:pP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合同条款（具体条款详见“第五章  拟签订的合同文本”中相关内容）</w:t>
            </w:r>
          </w:p>
        </w:tc>
      </w:tr>
      <w:tr w14:paraId="73F8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861710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31D93C31">
            <w:pPr>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拟签订的合同文本中所有内容</w:t>
            </w:r>
          </w:p>
        </w:tc>
        <w:tc>
          <w:tcPr>
            <w:tcW w:w="2911" w:type="dxa"/>
            <w:vAlign w:val="center"/>
          </w:tcPr>
          <w:p w14:paraId="7ED0DEF0">
            <w:pPr>
              <w:rPr>
                <w:rFonts w:hint="eastAsia" w:ascii="仿宋" w:hAnsi="仿宋" w:eastAsia="仿宋" w:cs="仿宋"/>
                <w:color w:val="auto"/>
                <w:szCs w:val="21"/>
                <w:highlight w:val="none"/>
              </w:rPr>
            </w:pPr>
          </w:p>
        </w:tc>
        <w:tc>
          <w:tcPr>
            <w:tcW w:w="2407" w:type="dxa"/>
            <w:vAlign w:val="center"/>
          </w:tcPr>
          <w:p w14:paraId="6F4FDF94">
            <w:pPr>
              <w:rPr>
                <w:rFonts w:hint="eastAsia" w:ascii="仿宋" w:hAnsi="仿宋" w:eastAsia="仿宋" w:cs="仿宋"/>
                <w:color w:val="auto"/>
                <w:szCs w:val="21"/>
                <w:highlight w:val="none"/>
              </w:rPr>
            </w:pPr>
          </w:p>
        </w:tc>
      </w:tr>
    </w:tbl>
    <w:p w14:paraId="78169E48">
      <w:pPr>
        <w:adjustRightInd w:val="0"/>
        <w:snapToGrid w:val="0"/>
        <w:spacing w:line="360" w:lineRule="auto"/>
        <w:rPr>
          <w:rFonts w:hint="eastAsia" w:ascii="仿宋" w:hAnsi="仿宋" w:eastAsia="仿宋" w:cs="仿宋"/>
          <w:color w:val="auto"/>
          <w:szCs w:val="21"/>
          <w:highlight w:val="none"/>
        </w:rPr>
      </w:pPr>
    </w:p>
    <w:p w14:paraId="0575B552">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4FD501D7">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45A46583">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4AF20BF8">
      <w:pPr>
        <w:adjustRightInd w:val="0"/>
        <w:snapToGrid w:val="0"/>
        <w:spacing w:line="360" w:lineRule="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0DF91FEE">
      <w:pPr>
        <w:adjustRightInd w:val="0"/>
        <w:snapToGrid w:val="0"/>
        <w:spacing w:line="360" w:lineRule="auto"/>
        <w:rPr>
          <w:rFonts w:hint="eastAsia" w:ascii="仿宋" w:hAnsi="仿宋" w:eastAsia="仿宋" w:cs="仿宋"/>
          <w:color w:val="auto"/>
          <w:szCs w:val="21"/>
          <w:highlight w:val="none"/>
        </w:rPr>
      </w:pPr>
    </w:p>
    <w:p w14:paraId="625B2C6F">
      <w:pPr>
        <w:adjustRightInd w:val="0"/>
        <w:snapToGrid w:val="0"/>
        <w:spacing w:line="360" w:lineRule="auto"/>
        <w:rPr>
          <w:rFonts w:hint="eastAsia" w:ascii="仿宋" w:hAnsi="仿宋" w:eastAsia="仿宋" w:cs="仿宋"/>
          <w:color w:val="auto"/>
          <w:szCs w:val="21"/>
          <w:highlight w:val="none"/>
        </w:rPr>
      </w:pPr>
    </w:p>
    <w:p w14:paraId="70441CEC">
      <w:pPr>
        <w:adjustRightInd w:val="0"/>
        <w:snapToGrid w:val="0"/>
        <w:spacing w:line="360" w:lineRule="auto"/>
        <w:rPr>
          <w:rFonts w:hint="eastAsia" w:ascii="仿宋" w:hAnsi="仿宋" w:eastAsia="仿宋" w:cs="仿宋"/>
          <w:color w:val="auto"/>
          <w:szCs w:val="21"/>
          <w:highlight w:val="none"/>
        </w:rPr>
      </w:pPr>
    </w:p>
    <w:p w14:paraId="47A7197F">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C4E6EEF">
      <w:pPr>
        <w:pStyle w:val="2"/>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3E3796DC">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0B92BCD">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795FE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17DC6A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01AE13F">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35C583BD">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8A8E90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3E7813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629282E5">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C8789A1">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47EB2D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4B96A5C7">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73FACA6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7951C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D6F180F">
            <w:pPr>
              <w:jc w:val="center"/>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5C13451">
            <w:pPr>
              <w:jc w:val="center"/>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CD26F50">
            <w:pPr>
              <w:jc w:val="center"/>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10391C1">
            <w:pPr>
              <w:jc w:val="center"/>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4EAEBAE">
            <w:pPr>
              <w:jc w:val="center"/>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2CE87DA">
            <w:pPr>
              <w:jc w:val="center"/>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7D9000B">
            <w:pPr>
              <w:jc w:val="center"/>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4BCD020">
            <w:pPr>
              <w:jc w:val="center"/>
              <w:rPr>
                <w:rFonts w:hint="eastAsia" w:ascii="仿宋" w:hAnsi="仿宋" w:eastAsia="仿宋" w:cs="仿宋"/>
                <w:b/>
                <w:bCs/>
                <w:color w:val="auto"/>
                <w:szCs w:val="21"/>
                <w:highlight w:val="none"/>
              </w:rPr>
            </w:pPr>
          </w:p>
        </w:tc>
      </w:tr>
      <w:tr w14:paraId="32BF8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F14502D">
            <w:pPr>
              <w:jc w:val="center"/>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0FC2DDC">
            <w:pPr>
              <w:jc w:val="center"/>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4022E0C">
            <w:pPr>
              <w:jc w:val="center"/>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CD8546A">
            <w:pPr>
              <w:jc w:val="center"/>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6AF1CEB">
            <w:pPr>
              <w:jc w:val="center"/>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D7EAD24">
            <w:pPr>
              <w:jc w:val="center"/>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57FA0FA">
            <w:pPr>
              <w:jc w:val="center"/>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84B67E2">
            <w:pPr>
              <w:jc w:val="center"/>
              <w:rPr>
                <w:rFonts w:hint="eastAsia" w:ascii="仿宋" w:hAnsi="仿宋" w:eastAsia="仿宋" w:cs="仿宋"/>
                <w:b/>
                <w:bCs/>
                <w:color w:val="auto"/>
                <w:szCs w:val="21"/>
                <w:highlight w:val="none"/>
              </w:rPr>
            </w:pPr>
          </w:p>
        </w:tc>
      </w:tr>
      <w:tr w14:paraId="6BB2D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E15B373">
            <w:pPr>
              <w:jc w:val="center"/>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BFB480">
            <w:pPr>
              <w:jc w:val="center"/>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7281277">
            <w:pPr>
              <w:jc w:val="center"/>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D1012FA">
            <w:pPr>
              <w:jc w:val="center"/>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661BDED">
            <w:pPr>
              <w:jc w:val="center"/>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F434D30">
            <w:pPr>
              <w:jc w:val="center"/>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E353E5E">
            <w:pPr>
              <w:jc w:val="center"/>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BC89662">
            <w:pPr>
              <w:jc w:val="center"/>
              <w:rPr>
                <w:rFonts w:hint="eastAsia" w:ascii="仿宋" w:hAnsi="仿宋" w:eastAsia="仿宋" w:cs="仿宋"/>
                <w:b/>
                <w:bCs/>
                <w:color w:val="auto"/>
                <w:szCs w:val="21"/>
                <w:highlight w:val="none"/>
              </w:rPr>
            </w:pPr>
          </w:p>
        </w:tc>
      </w:tr>
      <w:tr w14:paraId="32620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B3D9941">
            <w:pPr>
              <w:jc w:val="center"/>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E99CD80">
            <w:pPr>
              <w:jc w:val="center"/>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429684">
            <w:pPr>
              <w:jc w:val="center"/>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A8A6ECB">
            <w:pPr>
              <w:jc w:val="center"/>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659E3F0">
            <w:pPr>
              <w:jc w:val="center"/>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58316C8">
            <w:pPr>
              <w:jc w:val="center"/>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86FB7F0">
            <w:pPr>
              <w:jc w:val="center"/>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3E5F226">
            <w:pPr>
              <w:jc w:val="center"/>
              <w:rPr>
                <w:rFonts w:hint="eastAsia" w:ascii="仿宋" w:hAnsi="仿宋" w:eastAsia="仿宋" w:cs="仿宋"/>
                <w:b/>
                <w:bCs/>
                <w:color w:val="auto"/>
                <w:szCs w:val="21"/>
                <w:highlight w:val="none"/>
              </w:rPr>
            </w:pPr>
          </w:p>
        </w:tc>
      </w:tr>
      <w:tr w14:paraId="55D05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340B79A">
            <w:pPr>
              <w:jc w:val="center"/>
              <w:rPr>
                <w:rFonts w:hint="eastAsia"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45E0603">
            <w:pPr>
              <w:jc w:val="center"/>
              <w:rPr>
                <w:rFonts w:hint="eastAsia"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C59CA5D">
            <w:pPr>
              <w:jc w:val="center"/>
              <w:rPr>
                <w:rFonts w:hint="eastAsia"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BF98A1A">
            <w:pPr>
              <w:jc w:val="center"/>
              <w:rPr>
                <w:rFonts w:hint="eastAsia"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9356354">
            <w:pPr>
              <w:jc w:val="center"/>
              <w:rPr>
                <w:rFonts w:hint="eastAsia"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CFC48C4">
            <w:pPr>
              <w:jc w:val="center"/>
              <w:rPr>
                <w:rFonts w:hint="eastAsia"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64983D9">
            <w:pPr>
              <w:jc w:val="center"/>
              <w:rPr>
                <w:rFonts w:hint="eastAsia"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35521E36">
            <w:pPr>
              <w:jc w:val="center"/>
              <w:rPr>
                <w:rFonts w:hint="eastAsia" w:ascii="仿宋" w:hAnsi="仿宋" w:eastAsia="仿宋" w:cs="仿宋"/>
                <w:b/>
                <w:bCs/>
                <w:color w:val="auto"/>
                <w:szCs w:val="21"/>
                <w:highlight w:val="none"/>
              </w:rPr>
            </w:pPr>
          </w:p>
        </w:tc>
      </w:tr>
    </w:tbl>
    <w:p w14:paraId="21D5D379">
      <w:pPr>
        <w:pStyle w:val="23"/>
        <w:spacing w:line="360" w:lineRule="auto"/>
        <w:ind w:left="420" w:hanging="420"/>
        <w:rPr>
          <w:rFonts w:hint="eastAsia" w:ascii="仿宋" w:hAnsi="仿宋" w:eastAsia="仿宋" w:cs="仿宋"/>
          <w:color w:val="auto"/>
          <w:sz w:val="21"/>
          <w:szCs w:val="21"/>
          <w:highlight w:val="none"/>
        </w:rPr>
      </w:pPr>
    </w:p>
    <w:p w14:paraId="7EB947BB">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7B2BB06E">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1.投标人须提供上述业绩相应文件或委托合同；</w:t>
      </w:r>
    </w:p>
    <w:p w14:paraId="5232916C">
      <w:pPr>
        <w:spacing w:line="360" w:lineRule="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54F3FC8A">
      <w:pPr>
        <w:adjustRightInd w:val="0"/>
        <w:snapToGrid w:val="0"/>
        <w:spacing w:line="360" w:lineRule="auto"/>
        <w:rPr>
          <w:rFonts w:hint="eastAsia"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1C5D9D4B">
      <w:pPr>
        <w:adjustRightInd w:val="0"/>
        <w:snapToGrid w:val="0"/>
        <w:spacing w:line="360" w:lineRule="auto"/>
        <w:rPr>
          <w:rFonts w:hint="eastAsia" w:ascii="仿宋" w:hAnsi="仿宋" w:eastAsia="仿宋" w:cs="仿宋"/>
          <w:color w:val="auto"/>
          <w:szCs w:val="21"/>
          <w:highlight w:val="none"/>
        </w:rPr>
      </w:pPr>
    </w:p>
    <w:p w14:paraId="6F04C0AE">
      <w:pPr>
        <w:adjustRightInd w:val="0"/>
        <w:snapToGrid w:val="0"/>
        <w:spacing w:line="360" w:lineRule="auto"/>
        <w:rPr>
          <w:rFonts w:hint="eastAsia" w:ascii="仿宋" w:hAnsi="仿宋" w:eastAsia="仿宋" w:cs="仿宋"/>
          <w:color w:val="auto"/>
          <w:szCs w:val="21"/>
          <w:highlight w:val="none"/>
        </w:rPr>
      </w:pPr>
    </w:p>
    <w:p w14:paraId="414AFEE9">
      <w:pPr>
        <w:adjustRightInd w:val="0"/>
        <w:snapToGrid w:val="0"/>
        <w:spacing w:line="360" w:lineRule="auto"/>
        <w:rPr>
          <w:rFonts w:hint="eastAsia" w:ascii="仿宋" w:hAnsi="仿宋" w:eastAsia="仿宋" w:cs="仿宋"/>
          <w:b/>
          <w:bCs/>
          <w:color w:val="auto"/>
          <w:spacing w:val="-6"/>
          <w:szCs w:val="21"/>
          <w:highlight w:val="none"/>
        </w:rPr>
      </w:pPr>
    </w:p>
    <w:p w14:paraId="2A048B10">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2FA458A">
      <w:pPr>
        <w:pStyle w:val="2"/>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3F4EA348">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6BE4C5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商务分评审相关证明材料</w:t>
      </w:r>
    </w:p>
    <w:p w14:paraId="2FB83F86">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说明：投标人可根据自身情况提供，</w:t>
      </w:r>
      <w:r>
        <w:rPr>
          <w:rFonts w:hint="eastAsia" w:ascii="仿宋" w:hAnsi="仿宋" w:eastAsia="仿宋" w:cs="仿宋"/>
          <w:b/>
          <w:bCs/>
          <w:spacing w:val="-6"/>
          <w:sz w:val="18"/>
          <w:szCs w:val="18"/>
          <w:highlight w:val="none"/>
        </w:rPr>
        <w:t>包括但不限于履约信用的承诺函或说明等相关证明材料</w:t>
      </w:r>
      <w:r>
        <w:rPr>
          <w:rFonts w:hint="eastAsia" w:ascii="仿宋" w:hAnsi="仿宋" w:eastAsia="仿宋" w:cs="仿宋"/>
          <w:b/>
          <w:color w:val="auto"/>
          <w:spacing w:val="-6"/>
          <w:sz w:val="18"/>
          <w:szCs w:val="18"/>
          <w:highlight w:val="none"/>
          <w:lang w:val="en-US" w:eastAsia="zh-CN"/>
        </w:rPr>
        <w:t>。</w:t>
      </w:r>
    </w:p>
    <w:p w14:paraId="6BCDF090">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7487D0CB">
      <w:pPr>
        <w:keepNext w:val="0"/>
        <w:keepLines w:val="0"/>
        <w:pageBreakBefore w:val="0"/>
        <w:kinsoku/>
        <w:wordWrap/>
        <w:overflowPunct/>
        <w:topLinePunct w:val="0"/>
        <w:autoSpaceDE/>
        <w:autoSpaceDN/>
        <w:bidi w:val="0"/>
        <w:spacing w:line="360"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lang w:val="en-US" w:eastAsia="zh-CN"/>
        </w:rPr>
        <w:t>服务</w:t>
      </w:r>
      <w:r>
        <w:rPr>
          <w:rFonts w:hint="eastAsia" w:ascii="仿宋" w:hAnsi="仿宋" w:eastAsia="仿宋" w:cs="仿宋"/>
          <w:b/>
          <w:color w:val="auto"/>
          <w:spacing w:val="-6"/>
          <w:sz w:val="24"/>
          <w:highlight w:val="none"/>
        </w:rPr>
        <w:t>方案</w:t>
      </w:r>
    </w:p>
    <w:p w14:paraId="4CE15E0B">
      <w:pPr>
        <w:widowControl/>
        <w:adjustRightInd w:val="0"/>
        <w:snapToGrid w:val="0"/>
        <w:spacing w:line="360" w:lineRule="auto"/>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根据评分细则提供和编写（格式自拟），包括但不仅限于：</w:t>
      </w:r>
    </w:p>
    <w:p w14:paraId="41A62411">
      <w:pPr>
        <w:widowControl/>
        <w:adjustRightInd w:val="0"/>
        <w:snapToGrid w:val="0"/>
        <w:spacing w:line="360" w:lineRule="auto"/>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1.所投项目相关产品国内产业、行业现状介绍、省内企业数量、产业模式的报告</w:t>
      </w:r>
    </w:p>
    <w:p w14:paraId="5B3B7DE8">
      <w:pPr>
        <w:widowControl/>
        <w:adjustRightInd w:val="0"/>
        <w:snapToGrid w:val="0"/>
        <w:spacing w:line="360" w:lineRule="auto"/>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2.管理制度及质量管理体系</w:t>
      </w:r>
    </w:p>
    <w:p w14:paraId="616146CB">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2.1 管理制度健全程度</w:t>
      </w:r>
    </w:p>
    <w:p w14:paraId="574DAC5A">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2.2 质量管理体系完善程度</w:t>
      </w:r>
    </w:p>
    <w:p w14:paraId="687CB1B4">
      <w:pPr>
        <w:widowControl/>
        <w:adjustRightInd w:val="0"/>
        <w:snapToGrid w:val="0"/>
        <w:spacing w:line="360" w:lineRule="auto"/>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 xml:space="preserve">3.具体实施方案 </w:t>
      </w:r>
    </w:p>
    <w:p w14:paraId="2357520C">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3.1 抽查时间进度计划及安排</w:t>
      </w:r>
    </w:p>
    <w:p w14:paraId="51D372CA">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3.2 抽样安排</w:t>
      </w:r>
    </w:p>
    <w:p w14:paraId="501C5957">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3.3 样品物流安排</w:t>
      </w:r>
    </w:p>
    <w:p w14:paraId="727A6EE6">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3.4 检验工作安排</w:t>
      </w:r>
    </w:p>
    <w:p w14:paraId="0B65955D">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3.5 检验结果报送</w:t>
      </w:r>
    </w:p>
    <w:p w14:paraId="7453789B">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3.6 异议复检安排</w:t>
      </w:r>
    </w:p>
    <w:p w14:paraId="31D1F1F8">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3.7 样品保存、处置具体方案</w:t>
      </w:r>
    </w:p>
    <w:p w14:paraId="5C7E2DCE">
      <w:pPr>
        <w:widowControl/>
        <w:adjustRightInd w:val="0"/>
        <w:snapToGrid w:val="0"/>
        <w:spacing w:line="360" w:lineRule="auto"/>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4.场地、设备配置</w:t>
      </w:r>
    </w:p>
    <w:p w14:paraId="6A41C345">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4.1 配备检测设备的设备清单、照片、购置合同或购置发票、校准报告、检定证书等相关证明材料，在计量检定（校准）有效期内</w:t>
      </w:r>
    </w:p>
    <w:p w14:paraId="36416B44">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4.2 配备抽样现场信息记录仪器的设备清单、照片、购置合同或购置发票等相关证明材料</w:t>
      </w:r>
    </w:p>
    <w:p w14:paraId="18F0C567">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4.3 拟投入项目专用采样车的车辆信息及照片、租赁证明或行驶证、保险复印件等相关证明材料</w:t>
      </w:r>
    </w:p>
    <w:p w14:paraId="35AE91FB">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4.4 独立、固定的检测及仓储场所场所产权证明或有效租赁合同等相关证明材料</w:t>
      </w:r>
    </w:p>
    <w:p w14:paraId="4D59CF59">
      <w:pPr>
        <w:widowControl/>
        <w:adjustRightInd w:val="0"/>
        <w:snapToGrid w:val="0"/>
        <w:spacing w:line="360" w:lineRule="auto"/>
        <w:ind w:firstLine="169" w:firstLineChars="100"/>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4.5 检测及仓储场所布置</w:t>
      </w:r>
    </w:p>
    <w:p w14:paraId="65DB51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spacing w:val="-6"/>
          <w:sz w:val="18"/>
          <w:szCs w:val="18"/>
          <w:highlight w:val="none"/>
        </w:rPr>
        <w:t>5.突发及应急服务方案（包括但不仅限于产品质量突发性、应急性等事件）</w:t>
      </w:r>
    </w:p>
    <w:p w14:paraId="652B764F">
      <w:pPr>
        <w:rPr>
          <w:rFonts w:hint="eastAsia" w:ascii="仿宋" w:hAnsi="仿宋" w:eastAsia="仿宋" w:cs="仿宋"/>
          <w:b/>
          <w:color w:val="auto"/>
          <w:spacing w:val="-6"/>
          <w:sz w:val="18"/>
          <w:szCs w:val="18"/>
          <w:highlight w:val="none"/>
          <w:lang w:eastAsia="zh-CN"/>
        </w:rPr>
      </w:pPr>
      <w:r>
        <w:rPr>
          <w:rFonts w:hint="eastAsia" w:ascii="仿宋" w:hAnsi="仿宋" w:eastAsia="仿宋" w:cs="仿宋"/>
          <w:b/>
          <w:color w:val="auto"/>
          <w:spacing w:val="-6"/>
          <w:sz w:val="18"/>
          <w:szCs w:val="18"/>
          <w:highlight w:val="none"/>
          <w:lang w:eastAsia="zh-CN"/>
        </w:rPr>
        <w:br w:type="page"/>
      </w:r>
    </w:p>
    <w:p w14:paraId="462C741B">
      <w:pPr>
        <w:spacing w:line="360" w:lineRule="auto"/>
        <w:jc w:val="center"/>
        <w:outlineLvl w:val="2"/>
        <w:rPr>
          <w:rFonts w:hint="eastAsia" w:ascii="仿宋" w:hAnsi="仿宋" w:eastAsia="仿宋" w:cs="仿宋"/>
          <w:b/>
          <w:bCs/>
          <w:iCs/>
          <w:color w:val="auto"/>
          <w:spacing w:val="-6"/>
          <w:sz w:val="24"/>
          <w:highlight w:val="none"/>
        </w:rPr>
      </w:pPr>
      <w:r>
        <w:rPr>
          <w:rFonts w:hint="eastAsia" w:ascii="仿宋" w:hAnsi="仿宋" w:eastAsia="仿宋" w:cs="仿宋"/>
          <w:b/>
          <w:bCs/>
          <w:iCs/>
          <w:color w:val="auto"/>
          <w:spacing w:val="-6"/>
          <w:sz w:val="24"/>
          <w:highlight w:val="none"/>
        </w:rPr>
        <w:t>服务团队人员一览表</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247D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635262A2">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023" w:type="dxa"/>
            <w:vAlign w:val="center"/>
          </w:tcPr>
          <w:p w14:paraId="0240DDA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1991" w:type="dxa"/>
            <w:vAlign w:val="center"/>
          </w:tcPr>
          <w:p w14:paraId="3B8E348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本项目拟任岗位</w:t>
            </w:r>
          </w:p>
        </w:tc>
        <w:tc>
          <w:tcPr>
            <w:tcW w:w="872" w:type="dxa"/>
            <w:vAlign w:val="center"/>
          </w:tcPr>
          <w:p w14:paraId="0F64AD6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性别</w:t>
            </w:r>
          </w:p>
        </w:tc>
        <w:tc>
          <w:tcPr>
            <w:tcW w:w="873" w:type="dxa"/>
            <w:vAlign w:val="center"/>
          </w:tcPr>
          <w:p w14:paraId="048C25B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年龄</w:t>
            </w:r>
          </w:p>
        </w:tc>
        <w:tc>
          <w:tcPr>
            <w:tcW w:w="1186" w:type="dxa"/>
            <w:vAlign w:val="center"/>
          </w:tcPr>
          <w:p w14:paraId="7059B568">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本岗年龄</w:t>
            </w:r>
          </w:p>
        </w:tc>
        <w:tc>
          <w:tcPr>
            <w:tcW w:w="819" w:type="dxa"/>
            <w:vAlign w:val="center"/>
          </w:tcPr>
          <w:p w14:paraId="76E19B4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2160" w:type="dxa"/>
            <w:vAlign w:val="center"/>
          </w:tcPr>
          <w:p w14:paraId="0CF1D46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具有的资质证书</w:t>
            </w:r>
          </w:p>
        </w:tc>
      </w:tr>
      <w:tr w14:paraId="0AB4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271EF0B0">
            <w:pPr>
              <w:jc w:val="center"/>
              <w:rPr>
                <w:rFonts w:hint="eastAsia" w:ascii="仿宋" w:hAnsi="仿宋" w:eastAsia="仿宋" w:cs="仿宋"/>
                <w:color w:val="auto"/>
                <w:szCs w:val="21"/>
                <w:highlight w:val="none"/>
              </w:rPr>
            </w:pPr>
          </w:p>
        </w:tc>
        <w:tc>
          <w:tcPr>
            <w:tcW w:w="1023" w:type="dxa"/>
            <w:vAlign w:val="center"/>
          </w:tcPr>
          <w:p w14:paraId="2319D362">
            <w:pPr>
              <w:jc w:val="center"/>
              <w:rPr>
                <w:rFonts w:hint="eastAsia" w:ascii="仿宋" w:hAnsi="仿宋" w:eastAsia="仿宋" w:cs="仿宋"/>
                <w:color w:val="auto"/>
                <w:szCs w:val="21"/>
                <w:highlight w:val="none"/>
              </w:rPr>
            </w:pPr>
          </w:p>
        </w:tc>
        <w:tc>
          <w:tcPr>
            <w:tcW w:w="1991" w:type="dxa"/>
            <w:vAlign w:val="center"/>
          </w:tcPr>
          <w:p w14:paraId="4CE9C46E">
            <w:pPr>
              <w:jc w:val="center"/>
              <w:rPr>
                <w:rFonts w:hint="eastAsia" w:ascii="仿宋" w:hAnsi="仿宋" w:eastAsia="仿宋" w:cs="仿宋"/>
                <w:color w:val="auto"/>
                <w:szCs w:val="21"/>
                <w:highlight w:val="none"/>
              </w:rPr>
            </w:pPr>
          </w:p>
        </w:tc>
        <w:tc>
          <w:tcPr>
            <w:tcW w:w="872" w:type="dxa"/>
            <w:vAlign w:val="center"/>
          </w:tcPr>
          <w:p w14:paraId="6DF6BC63">
            <w:pPr>
              <w:jc w:val="center"/>
              <w:rPr>
                <w:rFonts w:hint="eastAsia" w:ascii="仿宋" w:hAnsi="仿宋" w:eastAsia="仿宋" w:cs="仿宋"/>
                <w:color w:val="auto"/>
                <w:szCs w:val="21"/>
                <w:highlight w:val="none"/>
              </w:rPr>
            </w:pPr>
          </w:p>
        </w:tc>
        <w:tc>
          <w:tcPr>
            <w:tcW w:w="873" w:type="dxa"/>
            <w:vAlign w:val="center"/>
          </w:tcPr>
          <w:p w14:paraId="7D1B1EF6">
            <w:pPr>
              <w:jc w:val="center"/>
              <w:rPr>
                <w:rFonts w:hint="eastAsia" w:ascii="仿宋" w:hAnsi="仿宋" w:eastAsia="仿宋" w:cs="仿宋"/>
                <w:color w:val="auto"/>
                <w:szCs w:val="21"/>
                <w:highlight w:val="none"/>
              </w:rPr>
            </w:pPr>
          </w:p>
        </w:tc>
        <w:tc>
          <w:tcPr>
            <w:tcW w:w="1186" w:type="dxa"/>
            <w:vAlign w:val="center"/>
          </w:tcPr>
          <w:p w14:paraId="6A7CA1C4">
            <w:pPr>
              <w:jc w:val="center"/>
              <w:rPr>
                <w:rFonts w:hint="eastAsia" w:ascii="仿宋" w:hAnsi="仿宋" w:eastAsia="仿宋" w:cs="仿宋"/>
                <w:color w:val="auto"/>
                <w:szCs w:val="21"/>
                <w:highlight w:val="none"/>
              </w:rPr>
            </w:pPr>
          </w:p>
        </w:tc>
        <w:tc>
          <w:tcPr>
            <w:tcW w:w="819" w:type="dxa"/>
            <w:vAlign w:val="center"/>
          </w:tcPr>
          <w:p w14:paraId="43CC60E6">
            <w:pPr>
              <w:jc w:val="center"/>
              <w:rPr>
                <w:rFonts w:hint="eastAsia" w:ascii="仿宋" w:hAnsi="仿宋" w:eastAsia="仿宋" w:cs="仿宋"/>
                <w:color w:val="auto"/>
                <w:szCs w:val="21"/>
                <w:highlight w:val="none"/>
              </w:rPr>
            </w:pPr>
          </w:p>
        </w:tc>
        <w:tc>
          <w:tcPr>
            <w:tcW w:w="2160" w:type="dxa"/>
            <w:vAlign w:val="center"/>
          </w:tcPr>
          <w:p w14:paraId="660B5EC3">
            <w:pPr>
              <w:jc w:val="center"/>
              <w:rPr>
                <w:rFonts w:hint="eastAsia" w:ascii="仿宋" w:hAnsi="仿宋" w:eastAsia="仿宋" w:cs="仿宋"/>
                <w:color w:val="auto"/>
                <w:szCs w:val="21"/>
                <w:highlight w:val="none"/>
              </w:rPr>
            </w:pPr>
          </w:p>
        </w:tc>
      </w:tr>
      <w:tr w14:paraId="02A3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25E27214">
            <w:pPr>
              <w:jc w:val="center"/>
              <w:rPr>
                <w:rFonts w:hint="eastAsia" w:ascii="仿宋" w:hAnsi="仿宋" w:eastAsia="仿宋" w:cs="仿宋"/>
                <w:color w:val="auto"/>
                <w:szCs w:val="21"/>
                <w:highlight w:val="none"/>
              </w:rPr>
            </w:pPr>
          </w:p>
        </w:tc>
        <w:tc>
          <w:tcPr>
            <w:tcW w:w="1023" w:type="dxa"/>
            <w:vAlign w:val="center"/>
          </w:tcPr>
          <w:p w14:paraId="736BC8FC">
            <w:pPr>
              <w:jc w:val="center"/>
              <w:rPr>
                <w:rFonts w:hint="eastAsia" w:ascii="仿宋" w:hAnsi="仿宋" w:eastAsia="仿宋" w:cs="仿宋"/>
                <w:color w:val="auto"/>
                <w:szCs w:val="21"/>
                <w:highlight w:val="none"/>
              </w:rPr>
            </w:pPr>
          </w:p>
        </w:tc>
        <w:tc>
          <w:tcPr>
            <w:tcW w:w="1991" w:type="dxa"/>
            <w:vAlign w:val="center"/>
          </w:tcPr>
          <w:p w14:paraId="362B4F10">
            <w:pPr>
              <w:jc w:val="center"/>
              <w:rPr>
                <w:rFonts w:hint="eastAsia" w:ascii="仿宋" w:hAnsi="仿宋" w:eastAsia="仿宋" w:cs="仿宋"/>
                <w:color w:val="auto"/>
                <w:szCs w:val="21"/>
                <w:highlight w:val="none"/>
              </w:rPr>
            </w:pPr>
          </w:p>
        </w:tc>
        <w:tc>
          <w:tcPr>
            <w:tcW w:w="872" w:type="dxa"/>
            <w:vAlign w:val="center"/>
          </w:tcPr>
          <w:p w14:paraId="09771B6A">
            <w:pPr>
              <w:jc w:val="center"/>
              <w:rPr>
                <w:rFonts w:hint="eastAsia" w:ascii="仿宋" w:hAnsi="仿宋" w:eastAsia="仿宋" w:cs="仿宋"/>
                <w:color w:val="auto"/>
                <w:szCs w:val="21"/>
                <w:highlight w:val="none"/>
              </w:rPr>
            </w:pPr>
          </w:p>
        </w:tc>
        <w:tc>
          <w:tcPr>
            <w:tcW w:w="873" w:type="dxa"/>
            <w:vAlign w:val="center"/>
          </w:tcPr>
          <w:p w14:paraId="065E87FC">
            <w:pPr>
              <w:jc w:val="center"/>
              <w:rPr>
                <w:rFonts w:hint="eastAsia" w:ascii="仿宋" w:hAnsi="仿宋" w:eastAsia="仿宋" w:cs="仿宋"/>
                <w:color w:val="auto"/>
                <w:szCs w:val="21"/>
                <w:highlight w:val="none"/>
              </w:rPr>
            </w:pPr>
          </w:p>
        </w:tc>
        <w:tc>
          <w:tcPr>
            <w:tcW w:w="1186" w:type="dxa"/>
            <w:vAlign w:val="center"/>
          </w:tcPr>
          <w:p w14:paraId="0E406A8B">
            <w:pPr>
              <w:jc w:val="center"/>
              <w:rPr>
                <w:rFonts w:hint="eastAsia" w:ascii="仿宋" w:hAnsi="仿宋" w:eastAsia="仿宋" w:cs="仿宋"/>
                <w:color w:val="auto"/>
                <w:szCs w:val="21"/>
                <w:highlight w:val="none"/>
              </w:rPr>
            </w:pPr>
          </w:p>
        </w:tc>
        <w:tc>
          <w:tcPr>
            <w:tcW w:w="819" w:type="dxa"/>
            <w:vAlign w:val="center"/>
          </w:tcPr>
          <w:p w14:paraId="052F8C98">
            <w:pPr>
              <w:jc w:val="center"/>
              <w:rPr>
                <w:rFonts w:hint="eastAsia" w:ascii="仿宋" w:hAnsi="仿宋" w:eastAsia="仿宋" w:cs="仿宋"/>
                <w:color w:val="auto"/>
                <w:szCs w:val="21"/>
                <w:highlight w:val="none"/>
              </w:rPr>
            </w:pPr>
          </w:p>
        </w:tc>
        <w:tc>
          <w:tcPr>
            <w:tcW w:w="2160" w:type="dxa"/>
            <w:vAlign w:val="center"/>
          </w:tcPr>
          <w:p w14:paraId="2CE7F45C">
            <w:pPr>
              <w:jc w:val="center"/>
              <w:rPr>
                <w:rFonts w:hint="eastAsia" w:ascii="仿宋" w:hAnsi="仿宋" w:eastAsia="仿宋" w:cs="仿宋"/>
                <w:color w:val="auto"/>
                <w:szCs w:val="21"/>
                <w:highlight w:val="none"/>
              </w:rPr>
            </w:pPr>
          </w:p>
        </w:tc>
      </w:tr>
      <w:tr w14:paraId="7D34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9497910">
            <w:pPr>
              <w:jc w:val="center"/>
              <w:rPr>
                <w:rFonts w:hint="eastAsia" w:ascii="仿宋" w:hAnsi="仿宋" w:eastAsia="仿宋" w:cs="仿宋"/>
                <w:color w:val="auto"/>
                <w:szCs w:val="21"/>
                <w:highlight w:val="none"/>
              </w:rPr>
            </w:pPr>
          </w:p>
        </w:tc>
        <w:tc>
          <w:tcPr>
            <w:tcW w:w="1023" w:type="dxa"/>
            <w:vAlign w:val="center"/>
          </w:tcPr>
          <w:p w14:paraId="37269010">
            <w:pPr>
              <w:jc w:val="center"/>
              <w:rPr>
                <w:rFonts w:hint="eastAsia" w:ascii="仿宋" w:hAnsi="仿宋" w:eastAsia="仿宋" w:cs="仿宋"/>
                <w:color w:val="auto"/>
                <w:szCs w:val="21"/>
                <w:highlight w:val="none"/>
              </w:rPr>
            </w:pPr>
          </w:p>
        </w:tc>
        <w:tc>
          <w:tcPr>
            <w:tcW w:w="1991" w:type="dxa"/>
            <w:vAlign w:val="center"/>
          </w:tcPr>
          <w:p w14:paraId="5BC7E7CF">
            <w:pPr>
              <w:jc w:val="center"/>
              <w:rPr>
                <w:rFonts w:hint="eastAsia" w:ascii="仿宋" w:hAnsi="仿宋" w:eastAsia="仿宋" w:cs="仿宋"/>
                <w:color w:val="auto"/>
                <w:szCs w:val="21"/>
                <w:highlight w:val="none"/>
              </w:rPr>
            </w:pPr>
          </w:p>
        </w:tc>
        <w:tc>
          <w:tcPr>
            <w:tcW w:w="872" w:type="dxa"/>
            <w:vAlign w:val="center"/>
          </w:tcPr>
          <w:p w14:paraId="617E0D6E">
            <w:pPr>
              <w:jc w:val="center"/>
              <w:rPr>
                <w:rFonts w:hint="eastAsia" w:ascii="仿宋" w:hAnsi="仿宋" w:eastAsia="仿宋" w:cs="仿宋"/>
                <w:color w:val="auto"/>
                <w:szCs w:val="21"/>
                <w:highlight w:val="none"/>
              </w:rPr>
            </w:pPr>
          </w:p>
        </w:tc>
        <w:tc>
          <w:tcPr>
            <w:tcW w:w="873" w:type="dxa"/>
            <w:vAlign w:val="center"/>
          </w:tcPr>
          <w:p w14:paraId="627E821D">
            <w:pPr>
              <w:jc w:val="center"/>
              <w:rPr>
                <w:rFonts w:hint="eastAsia" w:ascii="仿宋" w:hAnsi="仿宋" w:eastAsia="仿宋" w:cs="仿宋"/>
                <w:color w:val="auto"/>
                <w:szCs w:val="21"/>
                <w:highlight w:val="none"/>
              </w:rPr>
            </w:pPr>
          </w:p>
        </w:tc>
        <w:tc>
          <w:tcPr>
            <w:tcW w:w="1186" w:type="dxa"/>
            <w:vAlign w:val="center"/>
          </w:tcPr>
          <w:p w14:paraId="1126FC6E">
            <w:pPr>
              <w:jc w:val="center"/>
              <w:rPr>
                <w:rFonts w:hint="eastAsia" w:ascii="仿宋" w:hAnsi="仿宋" w:eastAsia="仿宋" w:cs="仿宋"/>
                <w:color w:val="auto"/>
                <w:szCs w:val="21"/>
                <w:highlight w:val="none"/>
              </w:rPr>
            </w:pPr>
          </w:p>
        </w:tc>
        <w:tc>
          <w:tcPr>
            <w:tcW w:w="819" w:type="dxa"/>
            <w:vAlign w:val="center"/>
          </w:tcPr>
          <w:p w14:paraId="25A579DB">
            <w:pPr>
              <w:jc w:val="center"/>
              <w:rPr>
                <w:rFonts w:hint="eastAsia" w:ascii="仿宋" w:hAnsi="仿宋" w:eastAsia="仿宋" w:cs="仿宋"/>
                <w:color w:val="auto"/>
                <w:szCs w:val="21"/>
                <w:highlight w:val="none"/>
              </w:rPr>
            </w:pPr>
          </w:p>
        </w:tc>
        <w:tc>
          <w:tcPr>
            <w:tcW w:w="2160" w:type="dxa"/>
            <w:vAlign w:val="center"/>
          </w:tcPr>
          <w:p w14:paraId="5D2B8588">
            <w:pPr>
              <w:jc w:val="center"/>
              <w:rPr>
                <w:rFonts w:hint="eastAsia" w:ascii="仿宋" w:hAnsi="仿宋" w:eastAsia="仿宋" w:cs="仿宋"/>
                <w:color w:val="auto"/>
                <w:szCs w:val="21"/>
                <w:highlight w:val="none"/>
              </w:rPr>
            </w:pPr>
          </w:p>
        </w:tc>
      </w:tr>
      <w:tr w14:paraId="6CCE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3A7B8142">
            <w:pPr>
              <w:jc w:val="center"/>
              <w:rPr>
                <w:rFonts w:hint="eastAsia" w:ascii="仿宋" w:hAnsi="仿宋" w:eastAsia="仿宋" w:cs="仿宋"/>
                <w:color w:val="auto"/>
                <w:szCs w:val="21"/>
                <w:highlight w:val="none"/>
              </w:rPr>
            </w:pPr>
          </w:p>
        </w:tc>
        <w:tc>
          <w:tcPr>
            <w:tcW w:w="1023" w:type="dxa"/>
            <w:vAlign w:val="center"/>
          </w:tcPr>
          <w:p w14:paraId="1594A870">
            <w:pPr>
              <w:jc w:val="center"/>
              <w:rPr>
                <w:rFonts w:hint="eastAsia" w:ascii="仿宋" w:hAnsi="仿宋" w:eastAsia="仿宋" w:cs="仿宋"/>
                <w:color w:val="auto"/>
                <w:szCs w:val="21"/>
                <w:highlight w:val="none"/>
              </w:rPr>
            </w:pPr>
          </w:p>
        </w:tc>
        <w:tc>
          <w:tcPr>
            <w:tcW w:w="1991" w:type="dxa"/>
            <w:vAlign w:val="center"/>
          </w:tcPr>
          <w:p w14:paraId="541F879C">
            <w:pPr>
              <w:jc w:val="center"/>
              <w:rPr>
                <w:rFonts w:hint="eastAsia" w:ascii="仿宋" w:hAnsi="仿宋" w:eastAsia="仿宋" w:cs="仿宋"/>
                <w:color w:val="auto"/>
                <w:szCs w:val="21"/>
                <w:highlight w:val="none"/>
              </w:rPr>
            </w:pPr>
          </w:p>
        </w:tc>
        <w:tc>
          <w:tcPr>
            <w:tcW w:w="872" w:type="dxa"/>
            <w:vAlign w:val="center"/>
          </w:tcPr>
          <w:p w14:paraId="49B6742B">
            <w:pPr>
              <w:jc w:val="center"/>
              <w:rPr>
                <w:rFonts w:hint="eastAsia" w:ascii="仿宋" w:hAnsi="仿宋" w:eastAsia="仿宋" w:cs="仿宋"/>
                <w:color w:val="auto"/>
                <w:szCs w:val="21"/>
                <w:highlight w:val="none"/>
              </w:rPr>
            </w:pPr>
          </w:p>
        </w:tc>
        <w:tc>
          <w:tcPr>
            <w:tcW w:w="873" w:type="dxa"/>
            <w:vAlign w:val="center"/>
          </w:tcPr>
          <w:p w14:paraId="634AF486">
            <w:pPr>
              <w:jc w:val="center"/>
              <w:rPr>
                <w:rFonts w:hint="eastAsia" w:ascii="仿宋" w:hAnsi="仿宋" w:eastAsia="仿宋" w:cs="仿宋"/>
                <w:color w:val="auto"/>
                <w:szCs w:val="21"/>
                <w:highlight w:val="none"/>
              </w:rPr>
            </w:pPr>
          </w:p>
        </w:tc>
        <w:tc>
          <w:tcPr>
            <w:tcW w:w="1186" w:type="dxa"/>
            <w:vAlign w:val="center"/>
          </w:tcPr>
          <w:p w14:paraId="652C89DC">
            <w:pPr>
              <w:jc w:val="center"/>
              <w:rPr>
                <w:rFonts w:hint="eastAsia" w:ascii="仿宋" w:hAnsi="仿宋" w:eastAsia="仿宋" w:cs="仿宋"/>
                <w:color w:val="auto"/>
                <w:szCs w:val="21"/>
                <w:highlight w:val="none"/>
              </w:rPr>
            </w:pPr>
          </w:p>
        </w:tc>
        <w:tc>
          <w:tcPr>
            <w:tcW w:w="819" w:type="dxa"/>
            <w:vAlign w:val="center"/>
          </w:tcPr>
          <w:p w14:paraId="117E4026">
            <w:pPr>
              <w:jc w:val="center"/>
              <w:rPr>
                <w:rFonts w:hint="eastAsia" w:ascii="仿宋" w:hAnsi="仿宋" w:eastAsia="仿宋" w:cs="仿宋"/>
                <w:color w:val="auto"/>
                <w:szCs w:val="21"/>
                <w:highlight w:val="none"/>
              </w:rPr>
            </w:pPr>
          </w:p>
        </w:tc>
        <w:tc>
          <w:tcPr>
            <w:tcW w:w="2160" w:type="dxa"/>
            <w:vAlign w:val="center"/>
          </w:tcPr>
          <w:p w14:paraId="78577B12">
            <w:pPr>
              <w:jc w:val="center"/>
              <w:rPr>
                <w:rFonts w:hint="eastAsia" w:ascii="仿宋" w:hAnsi="仿宋" w:eastAsia="仿宋" w:cs="仿宋"/>
                <w:color w:val="auto"/>
                <w:szCs w:val="21"/>
                <w:highlight w:val="none"/>
              </w:rPr>
            </w:pPr>
          </w:p>
        </w:tc>
      </w:tr>
      <w:tr w14:paraId="0CC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193E93C">
            <w:pPr>
              <w:jc w:val="center"/>
              <w:rPr>
                <w:rFonts w:hint="eastAsia" w:ascii="仿宋" w:hAnsi="仿宋" w:eastAsia="仿宋" w:cs="仿宋"/>
                <w:color w:val="auto"/>
                <w:szCs w:val="21"/>
                <w:highlight w:val="none"/>
              </w:rPr>
            </w:pPr>
          </w:p>
        </w:tc>
        <w:tc>
          <w:tcPr>
            <w:tcW w:w="1023" w:type="dxa"/>
            <w:vAlign w:val="center"/>
          </w:tcPr>
          <w:p w14:paraId="5159E233">
            <w:pPr>
              <w:jc w:val="center"/>
              <w:rPr>
                <w:rFonts w:hint="eastAsia" w:ascii="仿宋" w:hAnsi="仿宋" w:eastAsia="仿宋" w:cs="仿宋"/>
                <w:color w:val="auto"/>
                <w:szCs w:val="21"/>
                <w:highlight w:val="none"/>
              </w:rPr>
            </w:pPr>
          </w:p>
        </w:tc>
        <w:tc>
          <w:tcPr>
            <w:tcW w:w="1991" w:type="dxa"/>
            <w:vAlign w:val="center"/>
          </w:tcPr>
          <w:p w14:paraId="4A571695">
            <w:pPr>
              <w:jc w:val="center"/>
              <w:rPr>
                <w:rFonts w:hint="eastAsia" w:ascii="仿宋" w:hAnsi="仿宋" w:eastAsia="仿宋" w:cs="仿宋"/>
                <w:color w:val="auto"/>
                <w:szCs w:val="21"/>
                <w:highlight w:val="none"/>
              </w:rPr>
            </w:pPr>
          </w:p>
        </w:tc>
        <w:tc>
          <w:tcPr>
            <w:tcW w:w="872" w:type="dxa"/>
            <w:vAlign w:val="center"/>
          </w:tcPr>
          <w:p w14:paraId="12F34B7A">
            <w:pPr>
              <w:jc w:val="center"/>
              <w:rPr>
                <w:rFonts w:hint="eastAsia" w:ascii="仿宋" w:hAnsi="仿宋" w:eastAsia="仿宋" w:cs="仿宋"/>
                <w:color w:val="auto"/>
                <w:szCs w:val="21"/>
                <w:highlight w:val="none"/>
              </w:rPr>
            </w:pPr>
          </w:p>
        </w:tc>
        <w:tc>
          <w:tcPr>
            <w:tcW w:w="873" w:type="dxa"/>
            <w:vAlign w:val="center"/>
          </w:tcPr>
          <w:p w14:paraId="1BD07D60">
            <w:pPr>
              <w:jc w:val="center"/>
              <w:rPr>
                <w:rFonts w:hint="eastAsia" w:ascii="仿宋" w:hAnsi="仿宋" w:eastAsia="仿宋" w:cs="仿宋"/>
                <w:color w:val="auto"/>
                <w:szCs w:val="21"/>
                <w:highlight w:val="none"/>
              </w:rPr>
            </w:pPr>
          </w:p>
        </w:tc>
        <w:tc>
          <w:tcPr>
            <w:tcW w:w="1186" w:type="dxa"/>
            <w:vAlign w:val="center"/>
          </w:tcPr>
          <w:p w14:paraId="4EA16002">
            <w:pPr>
              <w:jc w:val="center"/>
              <w:rPr>
                <w:rFonts w:hint="eastAsia" w:ascii="仿宋" w:hAnsi="仿宋" w:eastAsia="仿宋" w:cs="仿宋"/>
                <w:color w:val="auto"/>
                <w:szCs w:val="21"/>
                <w:highlight w:val="none"/>
              </w:rPr>
            </w:pPr>
          </w:p>
        </w:tc>
        <w:tc>
          <w:tcPr>
            <w:tcW w:w="819" w:type="dxa"/>
            <w:vAlign w:val="center"/>
          </w:tcPr>
          <w:p w14:paraId="44FAB45C">
            <w:pPr>
              <w:jc w:val="center"/>
              <w:rPr>
                <w:rFonts w:hint="eastAsia" w:ascii="仿宋" w:hAnsi="仿宋" w:eastAsia="仿宋" w:cs="仿宋"/>
                <w:color w:val="auto"/>
                <w:szCs w:val="21"/>
                <w:highlight w:val="none"/>
              </w:rPr>
            </w:pPr>
          </w:p>
        </w:tc>
        <w:tc>
          <w:tcPr>
            <w:tcW w:w="2160" w:type="dxa"/>
            <w:vAlign w:val="center"/>
          </w:tcPr>
          <w:p w14:paraId="2D607A32">
            <w:pPr>
              <w:jc w:val="center"/>
              <w:rPr>
                <w:rFonts w:hint="eastAsia" w:ascii="仿宋" w:hAnsi="仿宋" w:eastAsia="仿宋" w:cs="仿宋"/>
                <w:color w:val="auto"/>
                <w:szCs w:val="21"/>
                <w:highlight w:val="none"/>
              </w:rPr>
            </w:pPr>
          </w:p>
        </w:tc>
      </w:tr>
      <w:tr w14:paraId="1083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360DF99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023" w:type="dxa"/>
            <w:vAlign w:val="center"/>
          </w:tcPr>
          <w:p w14:paraId="1A73EBDB">
            <w:pPr>
              <w:jc w:val="center"/>
              <w:rPr>
                <w:rFonts w:hint="eastAsia" w:ascii="仿宋" w:hAnsi="仿宋" w:eastAsia="仿宋" w:cs="仿宋"/>
                <w:color w:val="auto"/>
                <w:szCs w:val="21"/>
                <w:highlight w:val="none"/>
              </w:rPr>
            </w:pPr>
          </w:p>
        </w:tc>
        <w:tc>
          <w:tcPr>
            <w:tcW w:w="1991" w:type="dxa"/>
            <w:vAlign w:val="center"/>
          </w:tcPr>
          <w:p w14:paraId="791C9732">
            <w:pPr>
              <w:jc w:val="center"/>
              <w:rPr>
                <w:rFonts w:hint="eastAsia" w:ascii="仿宋" w:hAnsi="仿宋" w:eastAsia="仿宋" w:cs="仿宋"/>
                <w:color w:val="auto"/>
                <w:szCs w:val="21"/>
                <w:highlight w:val="none"/>
              </w:rPr>
            </w:pPr>
          </w:p>
        </w:tc>
        <w:tc>
          <w:tcPr>
            <w:tcW w:w="872" w:type="dxa"/>
            <w:vAlign w:val="center"/>
          </w:tcPr>
          <w:p w14:paraId="51129001">
            <w:pPr>
              <w:jc w:val="center"/>
              <w:rPr>
                <w:rFonts w:hint="eastAsia" w:ascii="仿宋" w:hAnsi="仿宋" w:eastAsia="仿宋" w:cs="仿宋"/>
                <w:color w:val="auto"/>
                <w:szCs w:val="21"/>
                <w:highlight w:val="none"/>
              </w:rPr>
            </w:pPr>
          </w:p>
        </w:tc>
        <w:tc>
          <w:tcPr>
            <w:tcW w:w="873" w:type="dxa"/>
            <w:vAlign w:val="center"/>
          </w:tcPr>
          <w:p w14:paraId="4C4A4BEA">
            <w:pPr>
              <w:jc w:val="center"/>
              <w:rPr>
                <w:rFonts w:hint="eastAsia" w:ascii="仿宋" w:hAnsi="仿宋" w:eastAsia="仿宋" w:cs="仿宋"/>
                <w:color w:val="auto"/>
                <w:szCs w:val="21"/>
                <w:highlight w:val="none"/>
              </w:rPr>
            </w:pPr>
          </w:p>
        </w:tc>
        <w:tc>
          <w:tcPr>
            <w:tcW w:w="1186" w:type="dxa"/>
            <w:vAlign w:val="center"/>
          </w:tcPr>
          <w:p w14:paraId="087D3447">
            <w:pPr>
              <w:jc w:val="center"/>
              <w:rPr>
                <w:rFonts w:hint="eastAsia" w:ascii="仿宋" w:hAnsi="仿宋" w:eastAsia="仿宋" w:cs="仿宋"/>
                <w:color w:val="auto"/>
                <w:szCs w:val="21"/>
                <w:highlight w:val="none"/>
              </w:rPr>
            </w:pPr>
          </w:p>
        </w:tc>
        <w:tc>
          <w:tcPr>
            <w:tcW w:w="819" w:type="dxa"/>
            <w:vAlign w:val="center"/>
          </w:tcPr>
          <w:p w14:paraId="74FF2326">
            <w:pPr>
              <w:jc w:val="center"/>
              <w:rPr>
                <w:rFonts w:hint="eastAsia" w:ascii="仿宋" w:hAnsi="仿宋" w:eastAsia="仿宋" w:cs="仿宋"/>
                <w:color w:val="auto"/>
                <w:szCs w:val="21"/>
                <w:highlight w:val="none"/>
              </w:rPr>
            </w:pPr>
          </w:p>
        </w:tc>
        <w:tc>
          <w:tcPr>
            <w:tcW w:w="2160" w:type="dxa"/>
            <w:vAlign w:val="center"/>
          </w:tcPr>
          <w:p w14:paraId="331E2F80">
            <w:pPr>
              <w:jc w:val="center"/>
              <w:rPr>
                <w:rFonts w:hint="eastAsia" w:ascii="仿宋" w:hAnsi="仿宋" w:eastAsia="仿宋" w:cs="仿宋"/>
                <w:color w:val="auto"/>
                <w:szCs w:val="21"/>
                <w:highlight w:val="none"/>
              </w:rPr>
            </w:pPr>
          </w:p>
        </w:tc>
      </w:tr>
    </w:tbl>
    <w:p w14:paraId="2A160BE4">
      <w:pPr>
        <w:widowControl/>
        <w:adjustRightInd w:val="0"/>
        <w:snapToGrid w:val="0"/>
        <w:spacing w:line="288" w:lineRule="auto"/>
        <w:jc w:val="left"/>
        <w:rPr>
          <w:rFonts w:hint="eastAsia" w:ascii="仿宋" w:hAnsi="仿宋" w:eastAsia="仿宋" w:cs="仿宋"/>
          <w:b/>
          <w:color w:val="auto"/>
          <w:spacing w:val="-6"/>
          <w:szCs w:val="21"/>
          <w:highlight w:val="none"/>
        </w:rPr>
      </w:pPr>
    </w:p>
    <w:p w14:paraId="308D353A">
      <w:pPr>
        <w:pStyle w:val="2"/>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b/>
          <w:color w:val="auto"/>
          <w:spacing w:val="-6"/>
          <w:sz w:val="18"/>
          <w:szCs w:val="18"/>
          <w:highlight w:val="none"/>
        </w:rPr>
        <w:t>注：</w:t>
      </w:r>
      <w:r>
        <w:rPr>
          <w:rFonts w:hint="eastAsia" w:ascii="仿宋" w:hAnsi="仿宋" w:eastAsia="仿宋" w:cs="仿宋"/>
          <w:b/>
          <w:color w:val="auto"/>
          <w:spacing w:val="-6"/>
          <w:sz w:val="18"/>
          <w:szCs w:val="18"/>
          <w:highlight w:val="none"/>
          <w:lang w:val="en-US" w:eastAsia="zh-CN"/>
        </w:rPr>
        <w:t>评分标准中相关证明材料</w:t>
      </w:r>
      <w:r>
        <w:rPr>
          <w:rFonts w:hint="eastAsia" w:ascii="仿宋" w:hAnsi="仿宋" w:eastAsia="仿宋" w:cs="仿宋"/>
          <w:b/>
          <w:color w:val="auto"/>
          <w:spacing w:val="-6"/>
          <w:sz w:val="18"/>
          <w:szCs w:val="18"/>
          <w:highlight w:val="none"/>
        </w:rPr>
        <w:t>随表格一并提供</w:t>
      </w:r>
    </w:p>
    <w:p w14:paraId="6E7A3EDC">
      <w:pPr>
        <w:spacing w:line="360" w:lineRule="auto"/>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5BEF6DCE">
      <w:pPr>
        <w:adjustRightInd w:val="0"/>
        <w:snapToGrid w:val="0"/>
        <w:spacing w:line="288" w:lineRule="auto"/>
        <w:jc w:val="center"/>
        <w:rPr>
          <w:rFonts w:hint="eastAsia" w:ascii="仿宋" w:hAnsi="仿宋" w:eastAsia="仿宋" w:cs="仿宋"/>
          <w:b/>
          <w:bCs/>
          <w:color w:val="auto"/>
          <w:sz w:val="84"/>
          <w:szCs w:val="84"/>
          <w:highlight w:val="none"/>
        </w:rPr>
      </w:pPr>
    </w:p>
    <w:p w14:paraId="2048B06B">
      <w:pPr>
        <w:adjustRightInd w:val="0"/>
        <w:snapToGrid w:val="0"/>
        <w:spacing w:line="288" w:lineRule="auto"/>
        <w:jc w:val="center"/>
        <w:rPr>
          <w:rFonts w:hint="eastAsia" w:ascii="仿宋" w:hAnsi="仿宋" w:eastAsia="仿宋" w:cs="仿宋"/>
          <w:b/>
          <w:bCs/>
          <w:color w:val="auto"/>
          <w:sz w:val="84"/>
          <w:szCs w:val="84"/>
          <w:highlight w:val="none"/>
        </w:rPr>
      </w:pPr>
    </w:p>
    <w:p w14:paraId="1A75C29A">
      <w:pPr>
        <w:adjustRightInd w:val="0"/>
        <w:snapToGrid w:val="0"/>
        <w:spacing w:line="288" w:lineRule="auto"/>
        <w:jc w:val="center"/>
        <w:rPr>
          <w:rFonts w:hint="eastAsia" w:ascii="仿宋" w:hAnsi="仿宋" w:eastAsia="仿宋" w:cs="仿宋"/>
          <w:b/>
          <w:bCs/>
          <w:color w:val="auto"/>
          <w:sz w:val="84"/>
          <w:szCs w:val="84"/>
          <w:highlight w:val="none"/>
        </w:rPr>
      </w:pPr>
    </w:p>
    <w:p w14:paraId="68C0161F">
      <w:pPr>
        <w:adjustRightInd w:val="0"/>
        <w:snapToGrid w:val="0"/>
        <w:spacing w:line="288" w:lineRule="auto"/>
        <w:jc w:val="center"/>
        <w:rPr>
          <w:rFonts w:hint="eastAsia" w:ascii="仿宋" w:hAnsi="仿宋" w:eastAsia="仿宋" w:cs="仿宋"/>
          <w:b/>
          <w:bCs/>
          <w:color w:val="auto"/>
          <w:sz w:val="84"/>
          <w:szCs w:val="84"/>
          <w:highlight w:val="none"/>
        </w:rPr>
      </w:pPr>
    </w:p>
    <w:p w14:paraId="77B95079">
      <w:pPr>
        <w:overflowPunct w:val="0"/>
        <w:adjustRightInd w:val="0"/>
        <w:snapToGrid w:val="0"/>
        <w:spacing w:line="288" w:lineRule="auto"/>
        <w:jc w:val="center"/>
        <w:outlineLvl w:val="1"/>
        <w:rPr>
          <w:rFonts w:hint="eastAsia"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178B7BD0">
      <w:pPr>
        <w:widowControl/>
        <w:adjustRightInd w:val="0"/>
        <w:snapToGrid w:val="0"/>
        <w:spacing w:line="288" w:lineRule="auto"/>
        <w:ind w:left="0" w:leftChars="0" w:right="0" w:rightChars="0" w:firstLine="0" w:firstLineChars="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21B6521">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7AB75CEA">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浙江省市场监督管理局</w:t>
      </w:r>
    </w:p>
    <w:p w14:paraId="042769B8">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2025年度浙江省工业生产资料产品质量监督抽查抽样检验机构技术服务采购项目</w:t>
      </w:r>
    </w:p>
    <w:p w14:paraId="087CC315">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QSZB-Z(F)-H25107(GK)</w:t>
      </w:r>
    </w:p>
    <w:p w14:paraId="7448E652">
      <w:pPr>
        <w:adjustRightInd w:val="0"/>
        <w:snapToGrid w:val="0"/>
        <w:spacing w:line="360" w:lineRule="auto"/>
        <w:rPr>
          <w:rFonts w:hint="eastAsia" w:ascii="仿宋" w:hAnsi="仿宋" w:eastAsia="仿宋" w:cs="仿宋"/>
          <w:bCs/>
          <w:spacing w:val="-6"/>
          <w:szCs w:val="21"/>
          <w:highlight w:val="none"/>
        </w:rPr>
      </w:pPr>
      <w:r>
        <w:rPr>
          <w:rFonts w:hint="eastAsia" w:ascii="仿宋" w:hAnsi="仿宋" w:eastAsia="仿宋" w:cs="仿宋"/>
          <w:bCs/>
          <w:spacing w:val="-6"/>
          <w:szCs w:val="21"/>
          <w:highlight w:val="none"/>
        </w:rPr>
        <w:t xml:space="preserve">标    项： </w:t>
      </w:r>
    </w:p>
    <w:tbl>
      <w:tblPr>
        <w:tblStyle w:val="27"/>
        <w:tblW w:w="9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918"/>
        <w:gridCol w:w="4625"/>
        <w:gridCol w:w="2390"/>
      </w:tblGrid>
      <w:tr w14:paraId="35182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1D05F3C4">
            <w:pPr>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64449B9">
            <w:pPr>
              <w:jc w:val="center"/>
              <w:rPr>
                <w:rFonts w:hint="eastAsia" w:ascii="仿宋" w:hAnsi="仿宋" w:eastAsia="仿宋" w:cs="仿宋"/>
                <w:b/>
                <w:bCs/>
                <w:highlight w:val="none"/>
              </w:rPr>
            </w:pPr>
            <w:r>
              <w:rPr>
                <w:rFonts w:hint="eastAsia" w:ascii="仿宋" w:hAnsi="仿宋" w:eastAsia="仿宋" w:cs="仿宋"/>
                <w:b/>
                <w:bCs/>
                <w:highlight w:val="none"/>
              </w:rPr>
              <w:t>标项名称</w:t>
            </w:r>
          </w:p>
        </w:tc>
        <w:tc>
          <w:tcPr>
            <w:tcW w:w="4625" w:type="dxa"/>
            <w:tcBorders>
              <w:top w:val="single" w:color="auto" w:sz="4" w:space="0"/>
              <w:left w:val="single" w:color="auto" w:sz="4" w:space="0"/>
              <w:bottom w:val="single" w:color="auto" w:sz="4" w:space="0"/>
              <w:right w:val="single" w:color="auto" w:sz="4" w:space="0"/>
            </w:tcBorders>
            <w:shd w:val="clear" w:color="auto" w:fill="FFFFFF"/>
            <w:vAlign w:val="center"/>
          </w:tcPr>
          <w:p w14:paraId="419D5097">
            <w:pPr>
              <w:adjustRightInd w:val="0"/>
              <w:snapToGrid w:val="0"/>
              <w:spacing w:line="288" w:lineRule="auto"/>
              <w:jc w:val="center"/>
              <w:rPr>
                <w:rFonts w:hint="eastAsia" w:ascii="仿宋" w:hAnsi="仿宋" w:eastAsia="仿宋" w:cs="仿宋"/>
                <w:b/>
                <w:bCs/>
                <w:highlight w:val="none"/>
              </w:rPr>
            </w:pPr>
            <w:r>
              <w:rPr>
                <w:rFonts w:hint="eastAsia" w:ascii="仿宋" w:hAnsi="仿宋" w:eastAsia="仿宋" w:cs="仿宋"/>
                <w:b/>
                <w:bCs/>
                <w:szCs w:val="21"/>
                <w:highlight w:val="none"/>
              </w:rPr>
              <w:t>综合单价报价（元/批次）</w:t>
            </w:r>
          </w:p>
        </w:tc>
        <w:tc>
          <w:tcPr>
            <w:tcW w:w="2390" w:type="dxa"/>
            <w:tcBorders>
              <w:top w:val="single" w:color="auto" w:sz="4" w:space="0"/>
              <w:left w:val="single" w:color="auto" w:sz="4" w:space="0"/>
              <w:bottom w:val="single" w:color="auto" w:sz="4" w:space="0"/>
              <w:right w:val="single" w:color="auto" w:sz="4" w:space="0"/>
            </w:tcBorders>
            <w:vAlign w:val="center"/>
          </w:tcPr>
          <w:p w14:paraId="7C2B8151">
            <w:pPr>
              <w:jc w:val="center"/>
              <w:rPr>
                <w:rFonts w:hint="eastAsia" w:ascii="仿宋" w:hAnsi="仿宋" w:eastAsia="仿宋" w:cs="仿宋"/>
                <w:b/>
                <w:bCs/>
                <w:highlight w:val="none"/>
              </w:rPr>
            </w:pPr>
            <w:r>
              <w:rPr>
                <w:rFonts w:hint="eastAsia" w:ascii="仿宋" w:hAnsi="仿宋" w:eastAsia="仿宋" w:cs="仿宋"/>
                <w:b/>
                <w:bCs/>
                <w:highlight w:val="none"/>
              </w:rPr>
              <w:t>备注</w:t>
            </w:r>
          </w:p>
        </w:tc>
      </w:tr>
      <w:tr w14:paraId="100D6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0" w:hRule="atLeast"/>
          <w:jc w:val="center"/>
        </w:trPr>
        <w:tc>
          <w:tcPr>
            <w:tcW w:w="687" w:type="dxa"/>
            <w:tcBorders>
              <w:top w:val="single" w:color="auto" w:sz="4" w:space="0"/>
              <w:left w:val="single" w:color="auto" w:sz="4" w:space="0"/>
              <w:right w:val="single" w:color="auto" w:sz="4" w:space="0"/>
            </w:tcBorders>
            <w:shd w:val="clear" w:color="auto" w:fill="auto"/>
            <w:vAlign w:val="center"/>
          </w:tcPr>
          <w:p w14:paraId="6108256E">
            <w:pPr>
              <w:jc w:val="center"/>
              <w:rPr>
                <w:rFonts w:hint="eastAsia" w:ascii="仿宋" w:hAnsi="仿宋" w:eastAsia="仿宋" w:cs="仿宋"/>
                <w:b/>
                <w:bCs/>
                <w:highlight w:val="none"/>
              </w:rPr>
            </w:pPr>
            <w:r>
              <w:rPr>
                <w:rFonts w:hint="eastAsia" w:ascii="仿宋" w:hAnsi="仿宋" w:eastAsia="仿宋" w:cs="仿宋"/>
                <w:b/>
                <w:bCs/>
                <w:highlight w:val="none"/>
              </w:rPr>
              <w:t>1</w:t>
            </w:r>
          </w:p>
        </w:tc>
        <w:tc>
          <w:tcPr>
            <w:tcW w:w="1918" w:type="dxa"/>
            <w:tcBorders>
              <w:top w:val="single" w:color="auto" w:sz="4" w:space="0"/>
              <w:left w:val="single" w:color="auto" w:sz="4" w:space="0"/>
              <w:right w:val="single" w:color="auto" w:sz="4" w:space="0"/>
            </w:tcBorders>
            <w:shd w:val="clear" w:color="auto" w:fill="auto"/>
            <w:vAlign w:val="center"/>
          </w:tcPr>
          <w:p w14:paraId="545479CA">
            <w:pPr>
              <w:jc w:val="center"/>
              <w:rPr>
                <w:rFonts w:hint="eastAsia" w:ascii="仿宋" w:hAnsi="仿宋" w:eastAsia="仿宋" w:cs="仿宋"/>
                <w:b/>
                <w:bCs/>
                <w:highlight w:val="none"/>
              </w:rPr>
            </w:pPr>
          </w:p>
        </w:tc>
        <w:tc>
          <w:tcPr>
            <w:tcW w:w="4625" w:type="dxa"/>
            <w:tcBorders>
              <w:top w:val="single" w:color="auto" w:sz="4" w:space="0"/>
              <w:left w:val="single" w:color="auto" w:sz="4" w:space="0"/>
              <w:right w:val="single" w:color="auto" w:sz="4" w:space="0"/>
            </w:tcBorders>
            <w:shd w:val="clear" w:color="auto" w:fill="FFFFFF"/>
            <w:vAlign w:val="center"/>
          </w:tcPr>
          <w:p w14:paraId="50FC11EC">
            <w:pPr>
              <w:adjustRightInd w:val="0"/>
              <w:snapToGrid w:val="0"/>
              <w:spacing w:line="288" w:lineRule="auto"/>
              <w:rPr>
                <w:rFonts w:hint="eastAsia" w:ascii="仿宋" w:hAnsi="仿宋" w:eastAsia="仿宋" w:cs="仿宋"/>
                <w:b/>
                <w:bCs/>
                <w:szCs w:val="21"/>
                <w:highlight w:val="none"/>
              </w:rPr>
            </w:pPr>
          </w:p>
          <w:p w14:paraId="3468C077">
            <w:pPr>
              <w:adjustRightInd w:val="0"/>
              <w:snapToGrid w:val="0"/>
              <w:spacing w:line="288" w:lineRule="auto"/>
              <w:rPr>
                <w:rFonts w:hint="eastAsia" w:ascii="仿宋" w:hAnsi="仿宋" w:eastAsia="仿宋" w:cs="仿宋"/>
                <w:b/>
                <w:bCs/>
                <w:szCs w:val="21"/>
                <w:highlight w:val="none"/>
              </w:rPr>
            </w:pPr>
            <w:r>
              <w:rPr>
                <w:rFonts w:hint="eastAsia" w:ascii="仿宋" w:hAnsi="仿宋" w:eastAsia="仿宋" w:cs="仿宋"/>
                <w:b/>
                <w:bCs/>
                <w:szCs w:val="21"/>
                <w:highlight w:val="none"/>
              </w:rPr>
              <w:t>小写：________________________</w:t>
            </w:r>
          </w:p>
          <w:p w14:paraId="2B363C65">
            <w:pPr>
              <w:adjustRightInd w:val="0"/>
              <w:snapToGrid w:val="0"/>
              <w:spacing w:line="288" w:lineRule="auto"/>
              <w:rPr>
                <w:rFonts w:hint="eastAsia" w:ascii="仿宋" w:hAnsi="仿宋" w:eastAsia="仿宋" w:cs="仿宋"/>
                <w:b/>
                <w:bCs/>
                <w:szCs w:val="21"/>
                <w:highlight w:val="none"/>
              </w:rPr>
            </w:pPr>
          </w:p>
          <w:p w14:paraId="4C27CB6B">
            <w:pPr>
              <w:pStyle w:val="2"/>
              <w:ind w:firstLine="0"/>
              <w:rPr>
                <w:rFonts w:hint="eastAsia" w:ascii="仿宋" w:hAnsi="仿宋" w:eastAsia="仿宋" w:cs="仿宋"/>
                <w:highlight w:val="none"/>
              </w:rPr>
            </w:pPr>
          </w:p>
          <w:p w14:paraId="04C18BF6">
            <w:pPr>
              <w:adjustRightInd w:val="0"/>
              <w:snapToGrid w:val="0"/>
              <w:spacing w:line="288" w:lineRule="auto"/>
              <w:rPr>
                <w:rFonts w:hint="eastAsia" w:ascii="仿宋" w:hAnsi="仿宋" w:eastAsia="仿宋" w:cs="仿宋"/>
                <w:b/>
                <w:bCs/>
                <w:highlight w:val="none"/>
              </w:rPr>
            </w:pPr>
            <w:r>
              <w:rPr>
                <w:rFonts w:hint="eastAsia" w:ascii="仿宋" w:hAnsi="仿宋" w:eastAsia="仿宋" w:cs="仿宋"/>
                <w:b/>
                <w:bCs/>
                <w:szCs w:val="21"/>
                <w:highlight w:val="none"/>
              </w:rPr>
              <w:t>大写：________________________</w:t>
            </w:r>
          </w:p>
        </w:tc>
        <w:tc>
          <w:tcPr>
            <w:tcW w:w="2390" w:type="dxa"/>
            <w:tcBorders>
              <w:top w:val="single" w:color="auto" w:sz="4" w:space="0"/>
              <w:left w:val="single" w:color="auto" w:sz="4" w:space="0"/>
              <w:bottom w:val="single" w:color="auto" w:sz="4" w:space="0"/>
              <w:right w:val="single" w:color="auto" w:sz="4" w:space="0"/>
            </w:tcBorders>
            <w:vAlign w:val="center"/>
          </w:tcPr>
          <w:p w14:paraId="5EC7C12F">
            <w:pPr>
              <w:jc w:val="center"/>
              <w:rPr>
                <w:rFonts w:hint="eastAsia" w:ascii="仿宋" w:hAnsi="仿宋" w:eastAsia="仿宋" w:cs="仿宋"/>
                <w:b/>
                <w:bCs/>
                <w:highlight w:val="none"/>
              </w:rPr>
            </w:pPr>
          </w:p>
        </w:tc>
      </w:tr>
      <w:tr w14:paraId="57807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0" w:type="dxa"/>
            <w:gridSpan w:val="4"/>
            <w:tcBorders>
              <w:top w:val="single" w:color="auto" w:sz="4" w:space="0"/>
              <w:left w:val="single" w:color="auto" w:sz="4" w:space="0"/>
              <w:bottom w:val="single" w:color="auto" w:sz="4" w:space="0"/>
              <w:right w:val="single" w:color="auto" w:sz="4" w:space="0"/>
            </w:tcBorders>
            <w:vAlign w:val="center"/>
          </w:tcPr>
          <w:p w14:paraId="768B5E23">
            <w:pPr>
              <w:adjustRightInd w:val="0"/>
              <w:snapToGrid w:val="0"/>
              <w:spacing w:line="288" w:lineRule="auto"/>
              <w:jc w:val="left"/>
              <w:rPr>
                <w:rFonts w:hint="eastAsia" w:ascii="仿宋" w:hAnsi="仿宋" w:eastAsia="仿宋" w:cs="仿宋"/>
                <w:b/>
                <w:bCs/>
                <w:szCs w:val="21"/>
                <w:highlight w:val="none"/>
              </w:rPr>
            </w:pPr>
            <w:r>
              <w:rPr>
                <w:rFonts w:hint="eastAsia" w:ascii="仿宋" w:hAnsi="仿宋" w:eastAsia="仿宋" w:cs="仿宋"/>
                <w:b/>
                <w:spacing w:val="-6"/>
                <w:szCs w:val="21"/>
                <w:highlight w:val="none"/>
              </w:rPr>
              <w:t>▲说明：采购人将以合同形式有偿取得服务，不接受投标人给予的赠品、回扣或者与采购无关的其他商品、服务。</w:t>
            </w:r>
          </w:p>
        </w:tc>
      </w:tr>
    </w:tbl>
    <w:p w14:paraId="695D13C3">
      <w:pPr>
        <w:adjustRightInd w:val="0"/>
        <w:snapToGrid w:val="0"/>
        <w:spacing w:line="360" w:lineRule="auto"/>
        <w:rPr>
          <w:rFonts w:hint="eastAsia" w:ascii="仿宋" w:hAnsi="仿宋" w:eastAsia="仿宋" w:cs="仿宋"/>
          <w:spacing w:val="-6"/>
          <w:szCs w:val="21"/>
          <w:highlight w:val="none"/>
        </w:rPr>
      </w:pPr>
    </w:p>
    <w:p w14:paraId="58F4B06B">
      <w:pPr>
        <w:adjustRightInd w:val="0"/>
        <w:snapToGrid w:val="0"/>
        <w:spacing w:line="360" w:lineRule="auto"/>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说明：</w:t>
      </w:r>
    </w:p>
    <w:p w14:paraId="171F65AE">
      <w:pPr>
        <w:adjustRightInd w:val="0"/>
        <w:snapToGrid w:val="0"/>
        <w:spacing w:line="360" w:lineRule="auto"/>
        <w:jc w:val="left"/>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lang w:val="en-US" w:eastAsia="zh-CN"/>
        </w:rPr>
        <w:t>1</w:t>
      </w:r>
      <w:r>
        <w:rPr>
          <w:rFonts w:hint="eastAsia" w:ascii="仿宋" w:hAnsi="仿宋" w:eastAsia="仿宋" w:cs="仿宋"/>
          <w:b/>
          <w:bCs/>
          <w:spacing w:val="-6"/>
          <w:sz w:val="18"/>
          <w:szCs w:val="18"/>
          <w:highlight w:val="none"/>
        </w:rPr>
        <w:t>.涉及多个“抽检项目产品名称”，此综合单价报价（元/批次）为各个“抽检项目产品名称”报价的加权平均报价，即评审综合单价（作为价格评审的依据）。</w:t>
      </w:r>
    </w:p>
    <w:p w14:paraId="0DBE2F9A">
      <w:pPr>
        <w:adjustRightInd w:val="0"/>
        <w:snapToGrid w:val="0"/>
        <w:spacing w:line="360" w:lineRule="auto"/>
        <w:jc w:val="left"/>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lang w:val="en-US" w:eastAsia="zh-CN"/>
        </w:rPr>
        <w:t>2</w:t>
      </w:r>
      <w:r>
        <w:rPr>
          <w:rFonts w:hint="eastAsia" w:ascii="仿宋" w:hAnsi="仿宋" w:eastAsia="仿宋" w:cs="仿宋"/>
          <w:b/>
          <w:bCs/>
          <w:spacing w:val="-6"/>
          <w:sz w:val="18"/>
          <w:szCs w:val="18"/>
          <w:highlight w:val="none"/>
        </w:rPr>
        <w:t>.如标项Y包含A、B、C三种“抽检项目产品名称”，招标最低任务批次数依次分别为X1、X2、X3，</w:t>
      </w:r>
      <w:r>
        <w:rPr>
          <w:rFonts w:hint="eastAsia" w:ascii="仿宋" w:hAnsi="仿宋" w:eastAsia="仿宋" w:cs="仿宋"/>
          <w:b/>
          <w:bCs/>
          <w:spacing w:val="-6"/>
          <w:sz w:val="18"/>
          <w:szCs w:val="18"/>
          <w:highlight w:val="none"/>
          <w:lang w:val="en-US" w:eastAsia="zh-CN"/>
        </w:rPr>
        <w:t>批次</w:t>
      </w:r>
      <w:r>
        <w:rPr>
          <w:rFonts w:hint="eastAsia" w:ascii="仿宋" w:hAnsi="仿宋" w:eastAsia="仿宋" w:cs="仿宋"/>
          <w:b/>
          <w:bCs/>
          <w:spacing w:val="-6"/>
          <w:sz w:val="18"/>
          <w:szCs w:val="18"/>
          <w:highlight w:val="none"/>
        </w:rPr>
        <w:t>单价依次分别为N1、N2、N3，则此综合单价为(X1*N1+X2*N2+X3*N3)/(X1+X2+X3)</w:t>
      </w:r>
    </w:p>
    <w:p w14:paraId="044D8165">
      <w:pPr>
        <w:adjustRightInd w:val="0"/>
        <w:snapToGrid w:val="0"/>
        <w:spacing w:line="360" w:lineRule="auto"/>
        <w:rPr>
          <w:rFonts w:hint="eastAsia" w:ascii="仿宋" w:hAnsi="仿宋" w:eastAsia="仿宋" w:cs="仿宋"/>
          <w:szCs w:val="21"/>
          <w:highlight w:val="none"/>
        </w:rPr>
      </w:pPr>
    </w:p>
    <w:p w14:paraId="740C14AA">
      <w:pPr>
        <w:adjustRightInd w:val="0"/>
        <w:snapToGrid w:val="0"/>
        <w:spacing w:line="360" w:lineRule="auto"/>
        <w:rPr>
          <w:rFonts w:hint="eastAsia" w:ascii="仿宋" w:hAnsi="仿宋" w:eastAsia="仿宋" w:cs="仿宋"/>
          <w:b/>
          <w:bCs/>
          <w:spacing w:val="-6"/>
          <w:szCs w:val="21"/>
          <w:highlight w:val="none"/>
        </w:rPr>
      </w:pPr>
    </w:p>
    <w:p w14:paraId="0FD742BC">
      <w:pPr>
        <w:adjustRightInd w:val="0"/>
        <w:snapToGrid w:val="0"/>
        <w:spacing w:line="360" w:lineRule="auto"/>
        <w:rPr>
          <w:rFonts w:hint="eastAsia" w:ascii="仿宋" w:hAnsi="仿宋" w:eastAsia="仿宋" w:cs="仿宋"/>
          <w:b/>
          <w:bCs/>
          <w:spacing w:val="-6"/>
          <w:szCs w:val="21"/>
          <w:highlight w:val="none"/>
        </w:rPr>
      </w:pPr>
    </w:p>
    <w:p w14:paraId="47CD4309">
      <w:pPr>
        <w:adjustRightInd w:val="0"/>
        <w:snapToGrid w:val="0"/>
        <w:spacing w:line="360" w:lineRule="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14:paraId="05C8AB6F">
      <w:pPr>
        <w:adjustRightInd w:val="0"/>
        <w:snapToGrid w:val="0"/>
        <w:spacing w:line="360" w:lineRule="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14:paraId="2D9911F4">
      <w:pPr>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14:paraId="39FFFC50">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投标报价明细表</w:t>
      </w:r>
    </w:p>
    <w:p w14:paraId="0CE1247F">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浙江省市场监督管理局</w:t>
      </w:r>
    </w:p>
    <w:p w14:paraId="3DB67482">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2025年度浙江省工业生产资料产品质量监督抽查抽样检验机构技术服务采购项目</w:t>
      </w:r>
    </w:p>
    <w:p w14:paraId="37FD23AD">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QSZB-Z(F)-H25107(GK)</w:t>
      </w:r>
    </w:p>
    <w:p w14:paraId="3A1611E7">
      <w:pPr>
        <w:adjustRightInd w:val="0"/>
        <w:snapToGrid w:val="0"/>
        <w:spacing w:line="360" w:lineRule="auto"/>
        <w:rPr>
          <w:rFonts w:hint="eastAsia" w:ascii="仿宋" w:hAnsi="仿宋" w:eastAsia="仿宋" w:cs="仿宋"/>
          <w:highlight w:val="none"/>
        </w:rPr>
      </w:pPr>
      <w:r>
        <w:rPr>
          <w:rFonts w:hint="eastAsia" w:ascii="仿宋" w:hAnsi="仿宋" w:eastAsia="仿宋" w:cs="仿宋"/>
          <w:bCs/>
          <w:spacing w:val="-6"/>
          <w:szCs w:val="21"/>
          <w:highlight w:val="none"/>
        </w:rPr>
        <w:t xml:space="preserve">标    项： </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1800"/>
        <w:gridCol w:w="1757"/>
        <w:gridCol w:w="2295"/>
      </w:tblGrid>
      <w:tr w14:paraId="5311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776" w:type="dxa"/>
            <w:vAlign w:val="center"/>
          </w:tcPr>
          <w:p w14:paraId="777873F1">
            <w:pPr>
              <w:pStyle w:val="21"/>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产品名称</w:t>
            </w:r>
          </w:p>
        </w:tc>
        <w:tc>
          <w:tcPr>
            <w:tcW w:w="1800" w:type="dxa"/>
            <w:vAlign w:val="center"/>
          </w:tcPr>
          <w:p w14:paraId="5749F2C3">
            <w:pPr>
              <w:pStyle w:val="21"/>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批次单价</w:t>
            </w:r>
          </w:p>
        </w:tc>
        <w:tc>
          <w:tcPr>
            <w:tcW w:w="1757" w:type="dxa"/>
            <w:vAlign w:val="center"/>
          </w:tcPr>
          <w:p w14:paraId="03DE5F81">
            <w:pPr>
              <w:pStyle w:val="21"/>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批次数</w:t>
            </w:r>
          </w:p>
        </w:tc>
        <w:tc>
          <w:tcPr>
            <w:tcW w:w="2295" w:type="dxa"/>
            <w:vAlign w:val="center"/>
          </w:tcPr>
          <w:p w14:paraId="17BD3C28">
            <w:pPr>
              <w:pStyle w:val="21"/>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分项</w:t>
            </w:r>
            <w:r>
              <w:rPr>
                <w:rFonts w:hint="eastAsia" w:ascii="仿宋" w:hAnsi="仿宋" w:eastAsia="仿宋" w:cs="仿宋"/>
                <w:b/>
                <w:bCs/>
                <w:szCs w:val="21"/>
                <w:highlight w:val="none"/>
              </w:rPr>
              <w:t>总价</w:t>
            </w:r>
          </w:p>
        </w:tc>
      </w:tr>
      <w:tr w14:paraId="10AD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6" w:type="dxa"/>
            <w:vAlign w:val="center"/>
          </w:tcPr>
          <w:p w14:paraId="486D9CC7">
            <w:pPr>
              <w:pStyle w:val="21"/>
              <w:spacing w:line="360" w:lineRule="auto"/>
              <w:jc w:val="center"/>
              <w:rPr>
                <w:rFonts w:hint="eastAsia" w:ascii="仿宋" w:hAnsi="仿宋" w:eastAsia="仿宋" w:cs="仿宋"/>
                <w:b/>
                <w:bCs/>
                <w:szCs w:val="21"/>
                <w:highlight w:val="none"/>
              </w:rPr>
            </w:pPr>
          </w:p>
        </w:tc>
        <w:tc>
          <w:tcPr>
            <w:tcW w:w="1800" w:type="dxa"/>
            <w:vAlign w:val="center"/>
          </w:tcPr>
          <w:p w14:paraId="023CD87D">
            <w:pPr>
              <w:pStyle w:val="21"/>
              <w:spacing w:line="360" w:lineRule="auto"/>
              <w:jc w:val="center"/>
              <w:rPr>
                <w:rFonts w:hint="eastAsia" w:ascii="仿宋" w:hAnsi="仿宋" w:eastAsia="仿宋" w:cs="仿宋"/>
                <w:b/>
                <w:bCs/>
                <w:szCs w:val="21"/>
                <w:highlight w:val="none"/>
              </w:rPr>
            </w:pPr>
          </w:p>
        </w:tc>
        <w:tc>
          <w:tcPr>
            <w:tcW w:w="1757" w:type="dxa"/>
            <w:vAlign w:val="center"/>
          </w:tcPr>
          <w:p w14:paraId="0AF451FB">
            <w:pPr>
              <w:pStyle w:val="21"/>
              <w:spacing w:line="360" w:lineRule="auto"/>
              <w:jc w:val="center"/>
              <w:rPr>
                <w:rFonts w:hint="eastAsia" w:ascii="仿宋" w:hAnsi="仿宋" w:eastAsia="仿宋" w:cs="仿宋"/>
                <w:b/>
                <w:bCs/>
                <w:szCs w:val="21"/>
                <w:highlight w:val="none"/>
              </w:rPr>
            </w:pPr>
          </w:p>
        </w:tc>
        <w:tc>
          <w:tcPr>
            <w:tcW w:w="2295" w:type="dxa"/>
            <w:vAlign w:val="center"/>
          </w:tcPr>
          <w:p w14:paraId="6C493B0E">
            <w:pPr>
              <w:pStyle w:val="21"/>
              <w:spacing w:line="360" w:lineRule="auto"/>
              <w:jc w:val="center"/>
              <w:rPr>
                <w:rFonts w:hint="eastAsia" w:ascii="仿宋" w:hAnsi="仿宋" w:eastAsia="仿宋" w:cs="仿宋"/>
                <w:b/>
                <w:bCs/>
                <w:szCs w:val="21"/>
                <w:highlight w:val="none"/>
              </w:rPr>
            </w:pPr>
          </w:p>
        </w:tc>
      </w:tr>
      <w:tr w14:paraId="777D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6" w:type="dxa"/>
            <w:vAlign w:val="center"/>
          </w:tcPr>
          <w:p w14:paraId="227A4FA6">
            <w:pPr>
              <w:pStyle w:val="21"/>
              <w:spacing w:line="360" w:lineRule="auto"/>
              <w:jc w:val="center"/>
              <w:rPr>
                <w:rFonts w:hint="eastAsia" w:ascii="仿宋" w:hAnsi="仿宋" w:eastAsia="仿宋" w:cs="仿宋"/>
                <w:b/>
                <w:bCs/>
                <w:szCs w:val="21"/>
                <w:highlight w:val="none"/>
              </w:rPr>
            </w:pPr>
          </w:p>
        </w:tc>
        <w:tc>
          <w:tcPr>
            <w:tcW w:w="1800" w:type="dxa"/>
            <w:vAlign w:val="center"/>
          </w:tcPr>
          <w:p w14:paraId="152B45B0">
            <w:pPr>
              <w:pStyle w:val="21"/>
              <w:spacing w:line="360" w:lineRule="auto"/>
              <w:jc w:val="center"/>
              <w:rPr>
                <w:rFonts w:hint="eastAsia" w:ascii="仿宋" w:hAnsi="仿宋" w:eastAsia="仿宋" w:cs="仿宋"/>
                <w:b/>
                <w:bCs/>
                <w:szCs w:val="21"/>
                <w:highlight w:val="none"/>
              </w:rPr>
            </w:pPr>
          </w:p>
        </w:tc>
        <w:tc>
          <w:tcPr>
            <w:tcW w:w="1757" w:type="dxa"/>
            <w:vAlign w:val="center"/>
          </w:tcPr>
          <w:p w14:paraId="5119B800">
            <w:pPr>
              <w:pStyle w:val="21"/>
              <w:spacing w:line="360" w:lineRule="auto"/>
              <w:jc w:val="center"/>
              <w:rPr>
                <w:rFonts w:hint="eastAsia" w:ascii="仿宋" w:hAnsi="仿宋" w:eastAsia="仿宋" w:cs="仿宋"/>
                <w:b/>
                <w:bCs/>
                <w:szCs w:val="21"/>
                <w:highlight w:val="none"/>
              </w:rPr>
            </w:pPr>
          </w:p>
        </w:tc>
        <w:tc>
          <w:tcPr>
            <w:tcW w:w="2295" w:type="dxa"/>
            <w:vAlign w:val="center"/>
          </w:tcPr>
          <w:p w14:paraId="2D32CF6F">
            <w:pPr>
              <w:pStyle w:val="21"/>
              <w:spacing w:line="360" w:lineRule="auto"/>
              <w:jc w:val="center"/>
              <w:rPr>
                <w:rFonts w:hint="eastAsia" w:ascii="仿宋" w:hAnsi="仿宋" w:eastAsia="仿宋" w:cs="仿宋"/>
                <w:b/>
                <w:bCs/>
                <w:szCs w:val="21"/>
                <w:highlight w:val="none"/>
              </w:rPr>
            </w:pPr>
          </w:p>
        </w:tc>
      </w:tr>
      <w:tr w14:paraId="4D19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3" w:type="dxa"/>
            <w:gridSpan w:val="3"/>
            <w:vAlign w:val="center"/>
          </w:tcPr>
          <w:p w14:paraId="55E50E7D">
            <w:pPr>
              <w:pStyle w:val="21"/>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总价</w:t>
            </w:r>
          </w:p>
        </w:tc>
        <w:tc>
          <w:tcPr>
            <w:tcW w:w="2295" w:type="dxa"/>
            <w:vAlign w:val="center"/>
          </w:tcPr>
          <w:p w14:paraId="6FCD3B9E">
            <w:pPr>
              <w:pStyle w:val="21"/>
              <w:spacing w:line="360" w:lineRule="auto"/>
              <w:jc w:val="center"/>
              <w:rPr>
                <w:rFonts w:hint="eastAsia" w:ascii="仿宋" w:hAnsi="仿宋" w:eastAsia="仿宋" w:cs="仿宋"/>
                <w:b/>
                <w:bCs/>
                <w:szCs w:val="21"/>
                <w:highlight w:val="none"/>
              </w:rPr>
            </w:pPr>
          </w:p>
        </w:tc>
      </w:tr>
    </w:tbl>
    <w:p w14:paraId="7D57CEAD">
      <w:pPr>
        <w:adjustRightInd w:val="0"/>
        <w:snapToGrid w:val="0"/>
        <w:spacing w:line="360" w:lineRule="auto"/>
        <w:jc w:val="left"/>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注：批次数为招标需求表中明确的最低任务批次数（含网抽）。</w:t>
      </w:r>
    </w:p>
    <w:p w14:paraId="2B6F88AB">
      <w:pPr>
        <w:adjustRightInd w:val="0"/>
        <w:snapToGrid w:val="0"/>
        <w:spacing w:line="360" w:lineRule="auto"/>
        <w:jc w:val="left"/>
        <w:rPr>
          <w:rFonts w:hint="eastAsia" w:ascii="仿宋" w:hAnsi="仿宋" w:eastAsia="仿宋" w:cs="仿宋"/>
          <w:b/>
          <w:bCs/>
          <w:spacing w:val="-6"/>
          <w:sz w:val="18"/>
          <w:szCs w:val="18"/>
          <w:highlight w:val="none"/>
        </w:rPr>
      </w:pPr>
    </w:p>
    <w:p w14:paraId="44678855">
      <w:pPr>
        <w:adjustRightInd w:val="0"/>
        <w:snapToGrid w:val="0"/>
        <w:spacing w:line="360" w:lineRule="auto"/>
        <w:rPr>
          <w:rFonts w:hint="eastAsia" w:ascii="仿宋" w:hAnsi="仿宋" w:eastAsia="仿宋" w:cs="仿宋"/>
          <w:szCs w:val="21"/>
          <w:highlight w:val="none"/>
        </w:rPr>
      </w:pPr>
    </w:p>
    <w:p w14:paraId="7145DF4D">
      <w:pPr>
        <w:adjustRightInd w:val="0"/>
        <w:snapToGrid w:val="0"/>
        <w:spacing w:line="360" w:lineRule="auto"/>
        <w:rPr>
          <w:rFonts w:hint="eastAsia" w:ascii="仿宋" w:hAnsi="仿宋" w:eastAsia="仿宋" w:cs="仿宋"/>
          <w:b/>
          <w:bCs/>
          <w:spacing w:val="-6"/>
          <w:szCs w:val="21"/>
          <w:highlight w:val="none"/>
        </w:rPr>
      </w:pPr>
    </w:p>
    <w:p w14:paraId="3A85D0E6">
      <w:pPr>
        <w:adjustRightInd w:val="0"/>
        <w:snapToGrid w:val="0"/>
        <w:spacing w:line="360" w:lineRule="auto"/>
        <w:rPr>
          <w:rFonts w:hint="eastAsia" w:ascii="仿宋" w:hAnsi="仿宋" w:eastAsia="仿宋" w:cs="仿宋"/>
          <w:b/>
          <w:bCs/>
          <w:spacing w:val="-6"/>
          <w:szCs w:val="21"/>
          <w:highlight w:val="none"/>
        </w:rPr>
      </w:pPr>
    </w:p>
    <w:p w14:paraId="43C55F05">
      <w:pPr>
        <w:adjustRightInd w:val="0"/>
        <w:snapToGrid w:val="0"/>
        <w:spacing w:line="360" w:lineRule="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14:paraId="0B712089">
      <w:pPr>
        <w:adjustRightInd w:val="0"/>
        <w:snapToGrid w:val="0"/>
        <w:spacing w:line="360" w:lineRule="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14:paraId="1D8AEEFB">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bCs/>
          <w:color w:val="auto"/>
          <w:spacing w:val="-6"/>
          <w:szCs w:val="21"/>
          <w:highlight w:val="none"/>
        </w:rPr>
        <w:br w:type="page"/>
      </w:r>
      <w:r>
        <w:rPr>
          <w:rFonts w:hint="eastAsia" w:ascii="仿宋" w:hAnsi="仿宋" w:eastAsia="仿宋" w:cs="仿宋"/>
          <w:b/>
          <w:color w:val="auto"/>
          <w:spacing w:val="-6"/>
          <w:sz w:val="24"/>
          <w:highlight w:val="none"/>
        </w:rPr>
        <w:t>中小企业声明函</w:t>
      </w:r>
    </w:p>
    <w:p w14:paraId="1D6183C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（若属于中小企业）</w:t>
      </w:r>
    </w:p>
    <w:p w14:paraId="41A42F6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浙江省市场监督管理局</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2025年度浙江省工业生产资料产品质量监督抽查抽样检验机构技术服务采购项目</w:t>
      </w:r>
      <w:r>
        <w:rPr>
          <w:rFonts w:hint="eastAsia" w:ascii="仿宋" w:hAnsi="仿宋" w:eastAsia="仿宋" w:cs="仿宋"/>
          <w:bCs/>
          <w:color w:val="auto"/>
          <w:spacing w:val="-6"/>
          <w:szCs w:val="21"/>
          <w:highlight w:val="none"/>
          <w:lang w:val="en-US" w:eastAsia="zh-CN"/>
        </w:rPr>
        <w:t>采购</w:t>
      </w:r>
      <w:r>
        <w:rPr>
          <w:rFonts w:hint="eastAsia" w:ascii="仿宋" w:hAnsi="仿宋" w:eastAsia="仿宋" w:cs="仿宋"/>
          <w:color w:val="auto"/>
          <w:szCs w:val="21"/>
          <w:highlight w:val="none"/>
        </w:rPr>
        <w:t>活动，服务全部由符合政策要求的中小企业承接。相关企业（含联合体中的中小企业）的具体情况如下：</w:t>
      </w:r>
    </w:p>
    <w:p w14:paraId="7E6995CB">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2025年度浙江省工业生产资料产品质量监督抽查抽样检验机构技术服务采购项目</w:t>
      </w:r>
      <w:r>
        <w:rPr>
          <w:rFonts w:hint="eastAsia" w:ascii="仿宋" w:hAnsi="仿宋" w:eastAsia="仿宋" w:cs="仿宋"/>
          <w:color w:val="auto"/>
          <w:szCs w:val="21"/>
          <w:highlight w:val="none"/>
        </w:rPr>
        <w:t>，属于其他未列明行业；承接企业为</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r>
        <w:rPr>
          <w:rFonts w:hint="eastAsia" w:ascii="仿宋" w:hAnsi="仿宋" w:eastAsia="仿宋" w:cs="仿宋"/>
          <w:b/>
          <w:bCs/>
          <w:iCs/>
          <w:color w:val="auto"/>
          <w:szCs w:val="21"/>
          <w:highlight w:val="none"/>
          <w:lang w:eastAsia="zh-CN"/>
        </w:rPr>
        <w:t>。</w:t>
      </w:r>
    </w:p>
    <w:p w14:paraId="3F23A9BA">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03305F82">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4894C6C9">
      <w:pPr>
        <w:adjustRightInd w:val="0"/>
        <w:snapToGrid w:val="0"/>
        <w:spacing w:line="360" w:lineRule="auto"/>
        <w:ind w:firstLine="420" w:firstLineChars="200"/>
        <w:rPr>
          <w:rFonts w:hint="eastAsia" w:ascii="仿宋" w:hAnsi="仿宋" w:eastAsia="仿宋" w:cs="仿宋"/>
          <w:color w:val="auto"/>
          <w:szCs w:val="21"/>
          <w:highlight w:val="none"/>
        </w:rPr>
      </w:pPr>
    </w:p>
    <w:p w14:paraId="65D74428">
      <w:pPr>
        <w:adjustRightInd w:val="0"/>
        <w:snapToGrid w:val="0"/>
        <w:spacing w:line="360" w:lineRule="auto"/>
        <w:ind w:firstLine="420" w:firstLineChars="200"/>
        <w:rPr>
          <w:rFonts w:hint="eastAsia" w:ascii="仿宋" w:hAnsi="仿宋" w:eastAsia="仿宋" w:cs="仿宋"/>
          <w:color w:val="auto"/>
          <w:szCs w:val="21"/>
          <w:highlight w:val="none"/>
        </w:rPr>
      </w:pPr>
    </w:p>
    <w:p w14:paraId="65160CC1">
      <w:pPr>
        <w:adjustRightInd w:val="0"/>
        <w:snapToGrid w:val="0"/>
        <w:spacing w:line="360" w:lineRule="auto"/>
        <w:ind w:firstLine="420" w:firstLineChars="200"/>
        <w:rPr>
          <w:rFonts w:hint="eastAsia" w:ascii="仿宋" w:hAnsi="仿宋" w:eastAsia="仿宋" w:cs="仿宋"/>
          <w:color w:val="auto"/>
          <w:szCs w:val="21"/>
          <w:highlight w:val="none"/>
        </w:rPr>
      </w:pPr>
    </w:p>
    <w:p w14:paraId="602124E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67A55FB7">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14:paraId="3BC38762">
      <w:pPr>
        <w:adjustRightInd w:val="0"/>
        <w:snapToGrid w:val="0"/>
        <w:spacing w:line="360" w:lineRule="auto"/>
        <w:ind w:firstLine="420" w:firstLineChars="200"/>
        <w:rPr>
          <w:rFonts w:hint="eastAsia" w:ascii="仿宋" w:hAnsi="仿宋" w:eastAsia="仿宋" w:cs="仿宋"/>
          <w:color w:val="auto"/>
          <w:szCs w:val="21"/>
          <w:highlight w:val="none"/>
        </w:rPr>
      </w:pPr>
    </w:p>
    <w:p w14:paraId="51FF57F9">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538F61BC">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1.标的名称，按照招标文件中明确的标的填写；</w:t>
      </w:r>
    </w:p>
    <w:p w14:paraId="24C40E77">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2.所属行业，按照招标文件中明确的标的“所属行业”填写；</w:t>
      </w:r>
    </w:p>
    <w:p w14:paraId="1FF8AF41">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3.承接企业，服务由中小企业承接，即提供服务的人员为中小企业依照《中华人民共和国劳动合同法》订立劳动合同的从业人员；</w:t>
      </w:r>
    </w:p>
    <w:p w14:paraId="143783EE">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4.从业人员、营业收入、资产总额填报上一年度数据，无上一年度数据的新成立企业可不填报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01C9143D">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5.企业类型（包括新成立企业），按照《中小企业划型标准规定》（工信部联企业〔2011〕300号）规定和招标文件中明确的标的“所属行业”，选择“中型企业、小型企业、微型企业”其中之一</w:t>
      </w:r>
      <w:r>
        <w:rPr>
          <w:rFonts w:hint="eastAsia" w:ascii="仿宋" w:hAnsi="仿宋" w:eastAsia="仿宋" w:cs="仿宋"/>
          <w:b/>
          <w:bCs/>
          <w:color w:val="auto"/>
          <w:sz w:val="18"/>
          <w:szCs w:val="18"/>
          <w:highlight w:val="none"/>
          <w:lang w:eastAsia="zh-CN"/>
        </w:rPr>
        <w:t>。</w:t>
      </w:r>
    </w:p>
    <w:p w14:paraId="31CDB838">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1387DDB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49F4FAB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（若属于监狱企业）</w:t>
      </w:r>
    </w:p>
    <w:p w14:paraId="55A89729">
      <w:pPr>
        <w:adjustRightInd w:val="0"/>
        <w:snapToGrid w:val="0"/>
        <w:spacing w:line="360" w:lineRule="auto"/>
        <w:rPr>
          <w:rFonts w:hint="eastAsia" w:ascii="仿宋" w:hAnsi="仿宋" w:eastAsia="仿宋" w:cs="仿宋"/>
          <w:color w:val="auto"/>
          <w:szCs w:val="21"/>
          <w:highlight w:val="none"/>
        </w:rPr>
      </w:pPr>
    </w:p>
    <w:p w14:paraId="3A98D80B">
      <w:pPr>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37C058DA">
      <w:pPr>
        <w:widowControl/>
        <w:adjustRightInd w:val="0"/>
        <w:snapToGrid w:val="0"/>
        <w:spacing w:line="288" w:lineRule="auto"/>
        <w:ind w:left="0" w:leftChars="0" w:right="0" w:rightChars="0" w:firstLine="0" w:firstLineChars="0"/>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E0D87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29668F1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（若属于残疾人福利性单位）</w:t>
      </w:r>
    </w:p>
    <w:p w14:paraId="56ACB703">
      <w:pPr>
        <w:adjustRightInd w:val="0"/>
        <w:snapToGrid w:val="0"/>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浙江省市场监督管理局</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2025年浙江省市场监督管理局全民艺术普及品牌活动（全民艺术普及系列活动）</w:t>
      </w:r>
      <w:r>
        <w:rPr>
          <w:rFonts w:hint="eastAsia" w:ascii="仿宋" w:hAnsi="仿宋" w:eastAsia="仿宋" w:cs="仿宋"/>
          <w:color w:val="auto"/>
          <w:spacing w:val="6"/>
          <w:szCs w:val="21"/>
          <w:highlight w:val="none"/>
          <w:lang w:val="en-US" w:eastAsia="zh-CN"/>
        </w:rPr>
        <w:t>项目采购</w:t>
      </w:r>
      <w:r>
        <w:rPr>
          <w:rFonts w:hint="eastAsia" w:ascii="仿宋" w:hAnsi="仿宋" w:eastAsia="仿宋" w:cs="仿宋"/>
          <w:color w:val="auto"/>
          <w:spacing w:val="6"/>
          <w:szCs w:val="21"/>
          <w:highlight w:val="none"/>
        </w:rPr>
        <w:t>活动由本单位提供服务。</w:t>
      </w:r>
    </w:p>
    <w:p w14:paraId="3677C34D">
      <w:pPr>
        <w:adjustRightInd w:val="0"/>
        <w:snapToGrid w:val="0"/>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1104FCA0">
      <w:pPr>
        <w:tabs>
          <w:tab w:val="left" w:pos="4860"/>
        </w:tabs>
        <w:adjustRightInd w:val="0"/>
        <w:snapToGrid w:val="0"/>
        <w:spacing w:line="360" w:lineRule="auto"/>
        <w:ind w:firstLine="444" w:firstLineChars="200"/>
        <w:rPr>
          <w:rFonts w:hint="eastAsia" w:ascii="仿宋" w:hAnsi="仿宋" w:eastAsia="仿宋" w:cs="仿宋"/>
          <w:color w:val="auto"/>
          <w:spacing w:val="6"/>
          <w:szCs w:val="21"/>
          <w:highlight w:val="none"/>
        </w:rPr>
      </w:pPr>
    </w:p>
    <w:p w14:paraId="5523ECCE">
      <w:pPr>
        <w:tabs>
          <w:tab w:val="left" w:pos="4860"/>
        </w:tabs>
        <w:adjustRightInd w:val="0"/>
        <w:snapToGrid w:val="0"/>
        <w:spacing w:line="360" w:lineRule="auto"/>
        <w:ind w:firstLine="444" w:firstLineChars="200"/>
        <w:rPr>
          <w:rFonts w:hint="eastAsia" w:ascii="仿宋" w:hAnsi="仿宋" w:eastAsia="仿宋" w:cs="仿宋"/>
          <w:color w:val="auto"/>
          <w:spacing w:val="6"/>
          <w:szCs w:val="21"/>
          <w:highlight w:val="none"/>
        </w:rPr>
      </w:pPr>
    </w:p>
    <w:p w14:paraId="06E4811B">
      <w:pPr>
        <w:tabs>
          <w:tab w:val="left" w:pos="4860"/>
        </w:tabs>
        <w:adjustRightInd w:val="0"/>
        <w:snapToGrid w:val="0"/>
        <w:spacing w:line="360" w:lineRule="auto"/>
        <w:ind w:firstLine="444" w:firstLineChars="200"/>
        <w:rPr>
          <w:rFonts w:hint="eastAsia" w:ascii="仿宋" w:hAnsi="仿宋" w:eastAsia="仿宋" w:cs="仿宋"/>
          <w:color w:val="auto"/>
          <w:spacing w:val="6"/>
          <w:szCs w:val="21"/>
          <w:highlight w:val="none"/>
        </w:rPr>
      </w:pPr>
    </w:p>
    <w:p w14:paraId="555524E0">
      <w:pPr>
        <w:tabs>
          <w:tab w:val="left" w:pos="4860"/>
        </w:tabs>
        <w:adjustRightInd w:val="0"/>
        <w:snapToGrid w:val="0"/>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1C6E2601">
      <w:pPr>
        <w:tabs>
          <w:tab w:val="left" w:pos="4860"/>
        </w:tabs>
        <w:adjustRightInd w:val="0"/>
        <w:snapToGrid w:val="0"/>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15618A42">
      <w:pPr>
        <w:adjustRightInd w:val="0"/>
        <w:snapToGrid w:val="0"/>
        <w:spacing w:line="360" w:lineRule="auto"/>
        <w:ind w:firstLine="420" w:firstLineChars="200"/>
        <w:rPr>
          <w:rFonts w:hint="eastAsia" w:ascii="仿宋" w:hAnsi="仿宋" w:eastAsia="仿宋" w:cs="仿宋"/>
          <w:color w:val="auto"/>
          <w:szCs w:val="21"/>
          <w:highlight w:val="none"/>
        </w:rPr>
      </w:pPr>
    </w:p>
    <w:p w14:paraId="567F3D15">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2727C9E8">
      <w:pPr>
        <w:pStyle w:val="25"/>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08262A97">
      <w:pPr>
        <w:pStyle w:val="25"/>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66409F65">
      <w:pPr>
        <w:pStyle w:val="25"/>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375C0D67">
      <w:pPr>
        <w:pStyle w:val="25"/>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2A9EE0F6">
      <w:pPr>
        <w:pStyle w:val="25"/>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68AF7492">
      <w:pPr>
        <w:pStyle w:val="25"/>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7BF24D3C">
      <w:pPr>
        <w:pStyle w:val="25"/>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51BAB9">
      <w:pPr>
        <w:pStyle w:val="25"/>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14:paraId="1A7C7DB2">
      <w:pPr>
        <w:pStyle w:val="25"/>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color w:val="auto"/>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0B2C91ED">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607ACFFC">
      <w:pPr>
        <w:keepNext w:val="0"/>
        <w:keepLines w:val="0"/>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0AF380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0E39F8A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浙江省市场监督管理局</w:t>
      </w:r>
      <w:r>
        <w:rPr>
          <w:rFonts w:hint="eastAsia" w:ascii="仿宋" w:hAnsi="仿宋" w:eastAsia="仿宋" w:cs="仿宋"/>
          <w:b/>
          <w:bCs/>
          <w:color w:val="auto"/>
          <w:spacing w:val="-6"/>
          <w:szCs w:val="21"/>
          <w:highlight w:val="none"/>
        </w:rPr>
        <w:t>、浙江求是招标代理有限公司</w:t>
      </w:r>
    </w:p>
    <w:p w14:paraId="2365A207">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2025年度浙江省工业生产资料产品质量监督抽查抽样检验机构技术服务采购项目</w:t>
      </w: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QSZB-Z(F)-H25107(GK)]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2FD54CD3">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01E85070">
      <w:pPr>
        <w:snapToGrid w:val="0"/>
        <w:spacing w:line="360" w:lineRule="auto"/>
        <w:ind w:firstLine="424" w:firstLineChars="202"/>
        <w:rPr>
          <w:rFonts w:hint="eastAsia" w:ascii="仿宋" w:hAnsi="仿宋" w:eastAsia="仿宋" w:cs="仿宋"/>
          <w:color w:val="auto"/>
          <w:szCs w:val="21"/>
          <w:highlight w:val="none"/>
        </w:rPr>
      </w:pPr>
    </w:p>
    <w:p w14:paraId="5FA8E411">
      <w:pP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37C958E4">
      <w:pP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4D6FFD28">
      <w:pPr>
        <w:snapToGrid w:val="0"/>
        <w:spacing w:line="360" w:lineRule="auto"/>
        <w:rPr>
          <w:rFonts w:hint="eastAsia" w:ascii="仿宋" w:hAnsi="仿宋" w:eastAsia="仿宋" w:cs="仿宋"/>
          <w:b/>
          <w:bCs/>
          <w:color w:val="auto"/>
          <w:szCs w:val="21"/>
          <w:highlight w:val="none"/>
        </w:rPr>
      </w:pPr>
    </w:p>
    <w:p w14:paraId="4D327A69">
      <w:pP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2BC4208E">
      <w:pPr>
        <w:snapToGrid w:val="0"/>
        <w:spacing w:line="360" w:lineRule="auto"/>
        <w:ind w:firstLine="843" w:firstLineChars="4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14:paraId="380AD059">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62B5AE9">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7FB9AD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4D7737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0C675FEC">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34921294">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2025年度浙江省工业生产资料产品质量监督抽查抽样检验机构技术服务采购项目</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QSZB-Z(F)-H25107(GK)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19E47C9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61D400C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4B33A347">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48CE4AB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提供的服务由小微企业承接，其合同份额占到合同总金额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532C837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3E2841B7">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4D9E9ECE">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15B9FBD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1529971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4DA39A9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019F550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62FD367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49CDA990">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34B9635D">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4C5F3AC3">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0C6FFE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eastAsia="zh-CN"/>
        </w:rPr>
      </w:pPr>
      <w:r>
        <w:rPr>
          <w:rFonts w:hint="eastAsia" w:ascii="仿宋" w:hAnsi="仿宋" w:eastAsia="仿宋" w:cs="仿宋"/>
          <w:b/>
          <w:color w:val="auto"/>
          <w:spacing w:val="-6"/>
          <w:sz w:val="24"/>
          <w:highlight w:val="none"/>
          <w:lang w:val="zh-CN"/>
        </w:rPr>
        <w:t>附件</w:t>
      </w:r>
      <w:r>
        <w:rPr>
          <w:rFonts w:hint="eastAsia" w:ascii="仿宋" w:hAnsi="仿宋" w:eastAsia="仿宋" w:cs="仿宋"/>
          <w:b/>
          <w:color w:val="auto"/>
          <w:spacing w:val="-6"/>
          <w:sz w:val="24"/>
          <w:highlight w:val="none"/>
          <w:lang w:val="en-US" w:eastAsia="zh-CN"/>
        </w:rPr>
        <w:t>3</w:t>
      </w:r>
    </w:p>
    <w:p w14:paraId="6A181C3A">
      <w:pPr>
        <w:adjustRightInd w:val="0"/>
        <w:snapToGrid w:val="0"/>
        <w:spacing w:line="360" w:lineRule="auto"/>
        <w:jc w:val="center"/>
        <w:outlineLvl w:val="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分包意向协议</w:t>
      </w:r>
    </w:p>
    <w:p w14:paraId="218C67DA">
      <w:pPr>
        <w:widowControl/>
        <w:snapToGrid w:val="0"/>
        <w:spacing w:line="360" w:lineRule="auto"/>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（中标后以分包方式履行合同的提供分包意向协议，采购人不同意分包或中标后不以分包方式履行合同的则不需要提供）</w:t>
      </w:r>
    </w:p>
    <w:p w14:paraId="778157E9">
      <w:pPr>
        <w:snapToGrid w:val="0"/>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lang w:val="zh-CN"/>
        </w:rPr>
        <w:t>若成为</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2025年度浙江省工业生产资料产品质量监督抽查抽样检验机构技术服务采购项目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QSZB-Z(F)-H25107(GK)</w:t>
      </w:r>
      <w:r>
        <w:rPr>
          <w:rFonts w:hint="eastAsia" w:ascii="仿宋" w:hAnsi="仿宋" w:eastAsia="仿宋" w:cs="仿宋"/>
          <w:color w:val="auto"/>
          <w:szCs w:val="21"/>
          <w:highlight w:val="none"/>
          <w:lang w:eastAsia="zh-CN"/>
        </w:rPr>
        <w:t>]</w:t>
      </w:r>
      <w:r>
        <w:rPr>
          <w:rFonts w:hint="eastAsia" w:ascii="仿宋" w:hAnsi="仿宋" w:eastAsia="仿宋" w:cs="仿宋"/>
          <w:kern w:val="0"/>
          <w:szCs w:val="21"/>
          <w:highlight w:val="none"/>
          <w:lang w:val="zh-CN"/>
        </w:rPr>
        <w:t>的中标</w:t>
      </w:r>
      <w:r>
        <w:rPr>
          <w:rFonts w:hint="eastAsia" w:ascii="仿宋" w:hAnsi="仿宋" w:eastAsia="仿宋" w:cs="仿宋"/>
          <w:kern w:val="0"/>
          <w:szCs w:val="21"/>
          <w:highlight w:val="none"/>
        </w:rPr>
        <w:t>人</w:t>
      </w:r>
      <w:r>
        <w:rPr>
          <w:rFonts w:hint="eastAsia" w:ascii="仿宋" w:hAnsi="仿宋" w:eastAsia="仿宋" w:cs="仿宋"/>
          <w:kern w:val="0"/>
          <w:szCs w:val="21"/>
          <w:highlight w:val="none"/>
          <w:lang w:val="zh-CN"/>
        </w:rPr>
        <w:t>，将依法采取分包方式履行合同。</w:t>
      </w: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rPr>
        <w:t>与</w:t>
      </w:r>
      <w:r>
        <w:rPr>
          <w:rFonts w:hint="eastAsia" w:ascii="仿宋" w:hAnsi="仿宋" w:eastAsia="仿宋" w:cs="仿宋"/>
          <w:kern w:val="0"/>
          <w:szCs w:val="21"/>
          <w:highlight w:val="none"/>
          <w:u w:val="single"/>
        </w:rPr>
        <w:t>（所有分包供应商名称）</w:t>
      </w:r>
      <w:r>
        <w:rPr>
          <w:rFonts w:hint="eastAsia" w:ascii="仿宋" w:hAnsi="仿宋" w:eastAsia="仿宋" w:cs="仿宋"/>
          <w:kern w:val="0"/>
          <w:szCs w:val="21"/>
          <w:highlight w:val="none"/>
        </w:rPr>
        <w:t>达成分包意向协议</w:t>
      </w:r>
      <w:r>
        <w:rPr>
          <w:rFonts w:hint="eastAsia" w:ascii="仿宋" w:hAnsi="仿宋" w:eastAsia="仿宋" w:cs="仿宋"/>
          <w:kern w:val="0"/>
          <w:szCs w:val="21"/>
          <w:highlight w:val="none"/>
          <w:lang w:val="zh-CN"/>
        </w:rPr>
        <w:t>。</w:t>
      </w:r>
    </w:p>
    <w:p w14:paraId="1CCD7EF9">
      <w:pPr>
        <w:snapToGrid w:val="0"/>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一、分包标的及数量</w:t>
      </w:r>
    </w:p>
    <w:p w14:paraId="40CA888C">
      <w:pPr>
        <w:snapToGrid w:val="0"/>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lang w:val="zh-CN"/>
        </w:rPr>
        <w:t>将</w:t>
      </w:r>
      <w:r>
        <w:rPr>
          <w:rFonts w:hint="eastAsia" w:ascii="仿宋" w:hAnsi="仿宋" w:eastAsia="仿宋" w:cs="仿宋"/>
          <w:szCs w:val="21"/>
          <w:highlight w:val="none"/>
          <w:u w:val="single"/>
        </w:rPr>
        <w:t>XX工作内容</w:t>
      </w:r>
      <w:r>
        <w:rPr>
          <w:rFonts w:hint="eastAsia" w:ascii="仿宋" w:hAnsi="仿宋" w:eastAsia="仿宋" w:cs="仿宋"/>
          <w:szCs w:val="21"/>
          <w:highlight w:val="none"/>
        </w:rPr>
        <w:t>分包给</w:t>
      </w: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lang w:val="zh-CN"/>
        </w:rPr>
        <w:t>，</w:t>
      </w: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lang w:val="zh-CN"/>
        </w:rPr>
        <w:t>具备承</w:t>
      </w:r>
      <w:r>
        <w:rPr>
          <w:rFonts w:hint="eastAsia" w:ascii="仿宋" w:hAnsi="仿宋" w:eastAsia="仿宋" w:cs="仿宋"/>
          <w:kern w:val="0"/>
          <w:szCs w:val="21"/>
          <w:highlight w:val="none"/>
        </w:rPr>
        <w:t>担</w:t>
      </w:r>
      <w:r>
        <w:rPr>
          <w:rFonts w:hint="eastAsia" w:ascii="仿宋" w:hAnsi="仿宋" w:eastAsia="仿宋" w:cs="仿宋"/>
          <w:szCs w:val="21"/>
          <w:highlight w:val="none"/>
          <w:u w:val="single"/>
        </w:rPr>
        <w:t>XX工作内容</w:t>
      </w:r>
      <w:r>
        <w:rPr>
          <w:rFonts w:hint="eastAsia" w:ascii="仿宋" w:hAnsi="仿宋" w:eastAsia="仿宋" w:cs="仿宋"/>
          <w:kern w:val="0"/>
          <w:szCs w:val="21"/>
          <w:highlight w:val="none"/>
          <w:lang w:val="zh-CN"/>
        </w:rPr>
        <w:t>相应资质条件且不得再次分包；</w:t>
      </w:r>
    </w:p>
    <w:p w14:paraId="5B5B392E">
      <w:pPr>
        <w:snapToGrid w:val="0"/>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w:t>
      </w:r>
    </w:p>
    <w:p w14:paraId="4552C6C9">
      <w:pPr>
        <w:snapToGrid w:val="0"/>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二、分包工作履行期限、地点、方式：</w:t>
      </w:r>
    </w:p>
    <w:p w14:paraId="1D73F6B0">
      <w:pPr>
        <w:snapToGrid w:val="0"/>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三、质量：</w:t>
      </w:r>
    </w:p>
    <w:p w14:paraId="34C2B59C">
      <w:pPr>
        <w:snapToGrid w:val="0"/>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四、价款或者报酬：</w:t>
      </w:r>
    </w:p>
    <w:p w14:paraId="09CF85FF">
      <w:pPr>
        <w:snapToGrid w:val="0"/>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五、违约责任：</w:t>
      </w:r>
    </w:p>
    <w:p w14:paraId="2DC98BFF">
      <w:pPr>
        <w:snapToGrid w:val="0"/>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六、争议解决的办法：</w:t>
      </w:r>
    </w:p>
    <w:p w14:paraId="52A8BCB6">
      <w:pPr>
        <w:snapToGrid w:val="0"/>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七、其他：</w:t>
      </w:r>
    </w:p>
    <w:p w14:paraId="6D5B1C05">
      <w:pPr>
        <w:snapToGrid w:val="0"/>
        <w:spacing w:line="360" w:lineRule="auto"/>
        <w:ind w:firstLine="420" w:firstLineChars="200"/>
        <w:rPr>
          <w:rFonts w:hint="eastAsia" w:ascii="仿宋" w:hAnsi="仿宋" w:eastAsia="仿宋" w:cs="仿宋"/>
          <w:b/>
          <w:kern w:val="0"/>
          <w:sz w:val="18"/>
          <w:szCs w:val="18"/>
          <w:highlight w:val="none"/>
          <w:lang w:val="zh-CN"/>
        </w:rPr>
      </w:pP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rPr>
        <w:t>提供的服务由小微企业承接，其合同份额占到合同总金额</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%以上</w:t>
      </w:r>
      <w:r>
        <w:rPr>
          <w:rFonts w:hint="eastAsia" w:ascii="仿宋" w:hAnsi="仿宋" w:eastAsia="仿宋" w:cs="仿宋"/>
          <w:szCs w:val="21"/>
          <w:highlight w:val="none"/>
        </w:rPr>
        <w:t>。</w:t>
      </w:r>
    </w:p>
    <w:p w14:paraId="4C318F1F">
      <w:pPr>
        <w:snapToGrid w:val="0"/>
        <w:spacing w:line="360" w:lineRule="auto"/>
        <w:ind w:firstLine="420" w:firstLineChars="200"/>
        <w:rPr>
          <w:rFonts w:hint="eastAsia" w:ascii="仿宋" w:hAnsi="仿宋" w:eastAsia="仿宋" w:cs="仿宋"/>
          <w:kern w:val="0"/>
          <w:szCs w:val="21"/>
          <w:highlight w:val="none"/>
          <w:lang w:val="zh-CN"/>
        </w:rPr>
      </w:pPr>
    </w:p>
    <w:p w14:paraId="554855D6">
      <w:pPr>
        <w:snapToGrid w:val="0"/>
        <w:spacing w:line="360" w:lineRule="auto"/>
        <w:ind w:firstLine="422" w:firstLineChars="200"/>
        <w:rPr>
          <w:rFonts w:hint="eastAsia" w:ascii="仿宋" w:hAnsi="仿宋" w:eastAsia="仿宋" w:cs="仿宋"/>
          <w:b/>
          <w:bCs/>
          <w:kern w:val="0"/>
          <w:szCs w:val="21"/>
          <w:highlight w:val="none"/>
          <w:lang w:val="zh-CN"/>
        </w:rPr>
      </w:pPr>
    </w:p>
    <w:p w14:paraId="20D26784">
      <w:pPr>
        <w:snapToGrid w:val="0"/>
        <w:spacing w:line="360" w:lineRule="auto"/>
        <w:ind w:firstLine="422" w:firstLineChars="200"/>
        <w:rPr>
          <w:rFonts w:hint="eastAsia" w:ascii="仿宋" w:hAnsi="仿宋" w:eastAsia="仿宋" w:cs="仿宋"/>
          <w:b/>
          <w:bCs/>
          <w:kern w:val="0"/>
          <w:szCs w:val="21"/>
          <w:highlight w:val="none"/>
          <w:lang w:val="zh-CN"/>
        </w:rPr>
      </w:pPr>
    </w:p>
    <w:p w14:paraId="5E156DAB">
      <w:pPr>
        <w:snapToGrid w:val="0"/>
        <w:spacing w:line="360" w:lineRule="auto"/>
        <w:rPr>
          <w:rFonts w:hint="eastAsia"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投标人名称（电子签名/公章）：</w:t>
      </w:r>
    </w:p>
    <w:p w14:paraId="0D574371">
      <w:pPr>
        <w:snapToGrid w:val="0"/>
        <w:spacing w:line="360" w:lineRule="auto"/>
        <w:rPr>
          <w:rFonts w:hint="eastAsia"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分包供应商名称：</w:t>
      </w:r>
    </w:p>
    <w:p w14:paraId="4D1D8988">
      <w:pPr>
        <w:snapToGrid w:val="0"/>
        <w:spacing w:line="360" w:lineRule="auto"/>
        <w:rPr>
          <w:rFonts w:hint="eastAsia"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日期：     年   月   日</w:t>
      </w:r>
    </w:p>
    <w:p w14:paraId="4A8508E9">
      <w:pPr>
        <w:rPr>
          <w:rFonts w:hint="eastAsia" w:ascii="仿宋" w:hAnsi="仿宋" w:eastAsia="仿宋" w:cs="仿宋"/>
          <w:b/>
          <w:bCs/>
          <w:spacing w:val="-6"/>
          <w:szCs w:val="21"/>
          <w:highlight w:val="none"/>
        </w:rPr>
      </w:pPr>
    </w:p>
    <w:sectPr>
      <w:footerReference r:id="rId6" w:type="default"/>
      <w:pgSz w:w="11906" w:h="16838"/>
      <w:pgMar w:top="1440" w:right="1247" w:bottom="1440" w:left="1247" w:header="340" w:footer="850"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5392D">
    <w:pPr>
      <w:pStyle w:val="20"/>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CD34">
    <w:pPr>
      <w:pStyle w:val="20"/>
      <w:tabs>
        <w:tab w:val="left" w:pos="6212"/>
        <w:tab w:val="clear" w:pos="4153"/>
      </w:tabs>
      <w:jc w:val="both"/>
      <w:rPr>
        <w:rFonts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C474A">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09C474A">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r>
      <w:rPr>
        <w:rFonts w:hint="eastAsia" w:ascii="宋体" w:hAnsi="宋体" w:eastAsia="宋体"/>
        <w:sz w:val="21"/>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62A38">
    <w:pPr>
      <w:pStyle w:val="20"/>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C2DBD">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2C2DBD">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AC41">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172A27"/>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39CB"/>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1793"/>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D62F4"/>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521B"/>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2CC3"/>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E81FFF"/>
    <w:rsid w:val="01F81427"/>
    <w:rsid w:val="02012A20"/>
    <w:rsid w:val="02410BBD"/>
    <w:rsid w:val="0255631B"/>
    <w:rsid w:val="025A1D16"/>
    <w:rsid w:val="02675FA2"/>
    <w:rsid w:val="029858A5"/>
    <w:rsid w:val="02B01928"/>
    <w:rsid w:val="02DB66DE"/>
    <w:rsid w:val="02ED7EC0"/>
    <w:rsid w:val="0367195A"/>
    <w:rsid w:val="03E17F2F"/>
    <w:rsid w:val="03F93561"/>
    <w:rsid w:val="041C048B"/>
    <w:rsid w:val="04455AED"/>
    <w:rsid w:val="04543A7E"/>
    <w:rsid w:val="046B3463"/>
    <w:rsid w:val="048B7990"/>
    <w:rsid w:val="04932572"/>
    <w:rsid w:val="04933C53"/>
    <w:rsid w:val="05156760"/>
    <w:rsid w:val="052E5413"/>
    <w:rsid w:val="05362D79"/>
    <w:rsid w:val="055F2BCB"/>
    <w:rsid w:val="05702602"/>
    <w:rsid w:val="059E7BA9"/>
    <w:rsid w:val="05D34727"/>
    <w:rsid w:val="05D66602"/>
    <w:rsid w:val="05F3515E"/>
    <w:rsid w:val="0619721E"/>
    <w:rsid w:val="06495BAA"/>
    <w:rsid w:val="067A5D0F"/>
    <w:rsid w:val="06887ED4"/>
    <w:rsid w:val="068E57D3"/>
    <w:rsid w:val="06D0191A"/>
    <w:rsid w:val="06FD269B"/>
    <w:rsid w:val="07023E90"/>
    <w:rsid w:val="0790317A"/>
    <w:rsid w:val="07EB3C67"/>
    <w:rsid w:val="07FD4090"/>
    <w:rsid w:val="08931933"/>
    <w:rsid w:val="08A42702"/>
    <w:rsid w:val="08CC43CE"/>
    <w:rsid w:val="08E550FE"/>
    <w:rsid w:val="096609CC"/>
    <w:rsid w:val="09F27F75"/>
    <w:rsid w:val="0A270D93"/>
    <w:rsid w:val="0A3C3380"/>
    <w:rsid w:val="0A6F7309"/>
    <w:rsid w:val="0A754277"/>
    <w:rsid w:val="0A7F2E26"/>
    <w:rsid w:val="0A9926DB"/>
    <w:rsid w:val="0B1110DC"/>
    <w:rsid w:val="0B335263"/>
    <w:rsid w:val="0B4A1776"/>
    <w:rsid w:val="0B71123C"/>
    <w:rsid w:val="0B966D19"/>
    <w:rsid w:val="0BB735A2"/>
    <w:rsid w:val="0C1214DA"/>
    <w:rsid w:val="0C256A5D"/>
    <w:rsid w:val="0C525A8C"/>
    <w:rsid w:val="0C786503"/>
    <w:rsid w:val="0CE265BB"/>
    <w:rsid w:val="0CE9115E"/>
    <w:rsid w:val="0D1A04C9"/>
    <w:rsid w:val="0D3C08AB"/>
    <w:rsid w:val="0D3E3F80"/>
    <w:rsid w:val="0D455837"/>
    <w:rsid w:val="0D60217F"/>
    <w:rsid w:val="0D90780B"/>
    <w:rsid w:val="0DB72A31"/>
    <w:rsid w:val="0E0272E3"/>
    <w:rsid w:val="0E3A13A6"/>
    <w:rsid w:val="0E5126E9"/>
    <w:rsid w:val="0F3516D1"/>
    <w:rsid w:val="0F583081"/>
    <w:rsid w:val="0F8D254C"/>
    <w:rsid w:val="103E7503"/>
    <w:rsid w:val="10757130"/>
    <w:rsid w:val="10790FE5"/>
    <w:rsid w:val="10951221"/>
    <w:rsid w:val="109B71AD"/>
    <w:rsid w:val="10C446C9"/>
    <w:rsid w:val="11116365"/>
    <w:rsid w:val="112A7CC0"/>
    <w:rsid w:val="112B34AD"/>
    <w:rsid w:val="11FF5827"/>
    <w:rsid w:val="12425AC4"/>
    <w:rsid w:val="12532F3F"/>
    <w:rsid w:val="127F1A55"/>
    <w:rsid w:val="13220891"/>
    <w:rsid w:val="134C3E48"/>
    <w:rsid w:val="13C67CD0"/>
    <w:rsid w:val="13CC23F4"/>
    <w:rsid w:val="140A4210"/>
    <w:rsid w:val="141F7503"/>
    <w:rsid w:val="142E0338"/>
    <w:rsid w:val="14832432"/>
    <w:rsid w:val="148B57E4"/>
    <w:rsid w:val="14DF4CF8"/>
    <w:rsid w:val="14E34758"/>
    <w:rsid w:val="156C32AB"/>
    <w:rsid w:val="157E0164"/>
    <w:rsid w:val="15D06A51"/>
    <w:rsid w:val="15E05F5F"/>
    <w:rsid w:val="15E74DD8"/>
    <w:rsid w:val="165068A2"/>
    <w:rsid w:val="166F0578"/>
    <w:rsid w:val="16E64EFA"/>
    <w:rsid w:val="17176AAE"/>
    <w:rsid w:val="17255A22"/>
    <w:rsid w:val="177A7EAB"/>
    <w:rsid w:val="179F160C"/>
    <w:rsid w:val="17A11E41"/>
    <w:rsid w:val="17CC40F0"/>
    <w:rsid w:val="17CD6721"/>
    <w:rsid w:val="17CF1B78"/>
    <w:rsid w:val="18070575"/>
    <w:rsid w:val="18090C43"/>
    <w:rsid w:val="180F13CC"/>
    <w:rsid w:val="18185587"/>
    <w:rsid w:val="188F1B48"/>
    <w:rsid w:val="1897527F"/>
    <w:rsid w:val="18AA031B"/>
    <w:rsid w:val="18C354F3"/>
    <w:rsid w:val="18FB5F15"/>
    <w:rsid w:val="192047DE"/>
    <w:rsid w:val="19477B5C"/>
    <w:rsid w:val="19770184"/>
    <w:rsid w:val="19777C04"/>
    <w:rsid w:val="1A027439"/>
    <w:rsid w:val="1A676352"/>
    <w:rsid w:val="1A683FA4"/>
    <w:rsid w:val="1A7148DF"/>
    <w:rsid w:val="1A996F8F"/>
    <w:rsid w:val="1AA411C1"/>
    <w:rsid w:val="1AB31597"/>
    <w:rsid w:val="1AEA6109"/>
    <w:rsid w:val="1B066372"/>
    <w:rsid w:val="1B321622"/>
    <w:rsid w:val="1B4B3B1C"/>
    <w:rsid w:val="1BCA6B98"/>
    <w:rsid w:val="1BF73705"/>
    <w:rsid w:val="1CD221A8"/>
    <w:rsid w:val="1CFE5E04"/>
    <w:rsid w:val="1D102580"/>
    <w:rsid w:val="1D4A6188"/>
    <w:rsid w:val="1D805F2A"/>
    <w:rsid w:val="1DAA2193"/>
    <w:rsid w:val="1DAC61B7"/>
    <w:rsid w:val="1DC72953"/>
    <w:rsid w:val="1DEA06D7"/>
    <w:rsid w:val="1E0A551C"/>
    <w:rsid w:val="1E511B62"/>
    <w:rsid w:val="1E7E6E04"/>
    <w:rsid w:val="1EA9678E"/>
    <w:rsid w:val="1EBA3927"/>
    <w:rsid w:val="1EEB1B44"/>
    <w:rsid w:val="1F3E36B9"/>
    <w:rsid w:val="1F8B2622"/>
    <w:rsid w:val="1F9C38D3"/>
    <w:rsid w:val="1FBC2C9C"/>
    <w:rsid w:val="1FCA02F8"/>
    <w:rsid w:val="20767551"/>
    <w:rsid w:val="20B803BF"/>
    <w:rsid w:val="214A57C8"/>
    <w:rsid w:val="215A3673"/>
    <w:rsid w:val="217575A6"/>
    <w:rsid w:val="21DB64E2"/>
    <w:rsid w:val="221C4C30"/>
    <w:rsid w:val="22A173A8"/>
    <w:rsid w:val="22A70B6C"/>
    <w:rsid w:val="22AA7E30"/>
    <w:rsid w:val="22C648B8"/>
    <w:rsid w:val="22D67746"/>
    <w:rsid w:val="23034503"/>
    <w:rsid w:val="23C14303"/>
    <w:rsid w:val="23CB4DD1"/>
    <w:rsid w:val="23FF4622"/>
    <w:rsid w:val="24051E54"/>
    <w:rsid w:val="24086AFE"/>
    <w:rsid w:val="243F320D"/>
    <w:rsid w:val="2489326F"/>
    <w:rsid w:val="24CD7D3C"/>
    <w:rsid w:val="250138AE"/>
    <w:rsid w:val="256A1A81"/>
    <w:rsid w:val="257C56A5"/>
    <w:rsid w:val="25CE54D7"/>
    <w:rsid w:val="26096519"/>
    <w:rsid w:val="26612121"/>
    <w:rsid w:val="26A71D48"/>
    <w:rsid w:val="26B15F84"/>
    <w:rsid w:val="270A231C"/>
    <w:rsid w:val="27432BC1"/>
    <w:rsid w:val="27791A74"/>
    <w:rsid w:val="27F0275A"/>
    <w:rsid w:val="281A02BE"/>
    <w:rsid w:val="28580092"/>
    <w:rsid w:val="28757D97"/>
    <w:rsid w:val="28BC23D4"/>
    <w:rsid w:val="28D03787"/>
    <w:rsid w:val="28F563E3"/>
    <w:rsid w:val="290578B9"/>
    <w:rsid w:val="292673D8"/>
    <w:rsid w:val="29293308"/>
    <w:rsid w:val="29506137"/>
    <w:rsid w:val="29822826"/>
    <w:rsid w:val="29930F11"/>
    <w:rsid w:val="29D9700E"/>
    <w:rsid w:val="2A407C2A"/>
    <w:rsid w:val="2AA10ED5"/>
    <w:rsid w:val="2ADA0518"/>
    <w:rsid w:val="2AF05838"/>
    <w:rsid w:val="2B087B04"/>
    <w:rsid w:val="2B1A17A1"/>
    <w:rsid w:val="2B4A2EDD"/>
    <w:rsid w:val="2B7F08E4"/>
    <w:rsid w:val="2B8D1B43"/>
    <w:rsid w:val="2C293EE8"/>
    <w:rsid w:val="2C921974"/>
    <w:rsid w:val="2CCA5064"/>
    <w:rsid w:val="2CCF7D4F"/>
    <w:rsid w:val="2D212596"/>
    <w:rsid w:val="2D242B88"/>
    <w:rsid w:val="2D4D13D7"/>
    <w:rsid w:val="2D4F21F6"/>
    <w:rsid w:val="2D4F2439"/>
    <w:rsid w:val="2D7B2469"/>
    <w:rsid w:val="2DAE7AA9"/>
    <w:rsid w:val="2DBE14C9"/>
    <w:rsid w:val="2DC23B73"/>
    <w:rsid w:val="2E084AD9"/>
    <w:rsid w:val="2E251D02"/>
    <w:rsid w:val="2E50003C"/>
    <w:rsid w:val="2EB035A9"/>
    <w:rsid w:val="2ECE0839"/>
    <w:rsid w:val="2F1B5E2A"/>
    <w:rsid w:val="2F6A64D8"/>
    <w:rsid w:val="2FA10B9C"/>
    <w:rsid w:val="30362265"/>
    <w:rsid w:val="30393F2D"/>
    <w:rsid w:val="30616EA9"/>
    <w:rsid w:val="30777C65"/>
    <w:rsid w:val="30CA6C5F"/>
    <w:rsid w:val="30EC0F07"/>
    <w:rsid w:val="30F2130F"/>
    <w:rsid w:val="31085620"/>
    <w:rsid w:val="314C115E"/>
    <w:rsid w:val="31A44D82"/>
    <w:rsid w:val="31E66E9E"/>
    <w:rsid w:val="31F950A2"/>
    <w:rsid w:val="320609C3"/>
    <w:rsid w:val="32560D2E"/>
    <w:rsid w:val="326F5337"/>
    <w:rsid w:val="32B70A61"/>
    <w:rsid w:val="32BA12BD"/>
    <w:rsid w:val="32BE120D"/>
    <w:rsid w:val="32D2015C"/>
    <w:rsid w:val="33027952"/>
    <w:rsid w:val="330C0EF9"/>
    <w:rsid w:val="33105381"/>
    <w:rsid w:val="33261E23"/>
    <w:rsid w:val="33291024"/>
    <w:rsid w:val="332A7AF8"/>
    <w:rsid w:val="33506DE6"/>
    <w:rsid w:val="33A273C0"/>
    <w:rsid w:val="33A9206B"/>
    <w:rsid w:val="33FA529D"/>
    <w:rsid w:val="341A4047"/>
    <w:rsid w:val="34336813"/>
    <w:rsid w:val="34727E34"/>
    <w:rsid w:val="3517359F"/>
    <w:rsid w:val="351F03F9"/>
    <w:rsid w:val="355F0FC1"/>
    <w:rsid w:val="359615AC"/>
    <w:rsid w:val="359A6216"/>
    <w:rsid w:val="35A54CED"/>
    <w:rsid w:val="35D804D9"/>
    <w:rsid w:val="36717BDF"/>
    <w:rsid w:val="36F17277"/>
    <w:rsid w:val="371C0D8B"/>
    <w:rsid w:val="37203345"/>
    <w:rsid w:val="372B0E36"/>
    <w:rsid w:val="37534CA7"/>
    <w:rsid w:val="37571753"/>
    <w:rsid w:val="3790083E"/>
    <w:rsid w:val="379D6B2D"/>
    <w:rsid w:val="37A83DDA"/>
    <w:rsid w:val="37D824F1"/>
    <w:rsid w:val="388A0A03"/>
    <w:rsid w:val="38960FBF"/>
    <w:rsid w:val="38F0685B"/>
    <w:rsid w:val="3923276A"/>
    <w:rsid w:val="392B0ABF"/>
    <w:rsid w:val="392C1E69"/>
    <w:rsid w:val="39331197"/>
    <w:rsid w:val="39431E3F"/>
    <w:rsid w:val="396E5D7C"/>
    <w:rsid w:val="39D04FC4"/>
    <w:rsid w:val="39D1018B"/>
    <w:rsid w:val="39E42CC8"/>
    <w:rsid w:val="3A172FBE"/>
    <w:rsid w:val="3A29071D"/>
    <w:rsid w:val="3A3F6146"/>
    <w:rsid w:val="3A461688"/>
    <w:rsid w:val="3A4C0E33"/>
    <w:rsid w:val="3B0C4DFA"/>
    <w:rsid w:val="3B547968"/>
    <w:rsid w:val="3B664276"/>
    <w:rsid w:val="3B972F43"/>
    <w:rsid w:val="3BA93D77"/>
    <w:rsid w:val="3C022D13"/>
    <w:rsid w:val="3C1A2DCC"/>
    <w:rsid w:val="3C4D26C6"/>
    <w:rsid w:val="3D044EFC"/>
    <w:rsid w:val="3D476A8F"/>
    <w:rsid w:val="3D6C15E5"/>
    <w:rsid w:val="3E062677"/>
    <w:rsid w:val="3E3C3E33"/>
    <w:rsid w:val="3E633745"/>
    <w:rsid w:val="3E6946AD"/>
    <w:rsid w:val="3E9F2B2D"/>
    <w:rsid w:val="3EB60CB3"/>
    <w:rsid w:val="3EBE0D9B"/>
    <w:rsid w:val="3EC436F9"/>
    <w:rsid w:val="3EC47F7D"/>
    <w:rsid w:val="3EFB063C"/>
    <w:rsid w:val="3F740895"/>
    <w:rsid w:val="3F7F04F6"/>
    <w:rsid w:val="3FB93DC6"/>
    <w:rsid w:val="400A7A69"/>
    <w:rsid w:val="40253F4D"/>
    <w:rsid w:val="402A691C"/>
    <w:rsid w:val="40AF2ED8"/>
    <w:rsid w:val="40B956E1"/>
    <w:rsid w:val="40C31DD9"/>
    <w:rsid w:val="40D034BF"/>
    <w:rsid w:val="410D4941"/>
    <w:rsid w:val="41200E1E"/>
    <w:rsid w:val="416F0F72"/>
    <w:rsid w:val="417D6BDB"/>
    <w:rsid w:val="419104D9"/>
    <w:rsid w:val="41B05692"/>
    <w:rsid w:val="41C24ED2"/>
    <w:rsid w:val="41D90132"/>
    <w:rsid w:val="41EF252B"/>
    <w:rsid w:val="420D0AD7"/>
    <w:rsid w:val="422E66F3"/>
    <w:rsid w:val="42395211"/>
    <w:rsid w:val="425D46BB"/>
    <w:rsid w:val="42664BB1"/>
    <w:rsid w:val="4275164D"/>
    <w:rsid w:val="430A3262"/>
    <w:rsid w:val="438A27C8"/>
    <w:rsid w:val="43E47456"/>
    <w:rsid w:val="441309F0"/>
    <w:rsid w:val="441A7E0D"/>
    <w:rsid w:val="44310C44"/>
    <w:rsid w:val="44644583"/>
    <w:rsid w:val="446B6F5D"/>
    <w:rsid w:val="447107A7"/>
    <w:rsid w:val="4484575B"/>
    <w:rsid w:val="44A722AA"/>
    <w:rsid w:val="44AF0CED"/>
    <w:rsid w:val="45572A56"/>
    <w:rsid w:val="45636883"/>
    <w:rsid w:val="45675BEC"/>
    <w:rsid w:val="457E42F3"/>
    <w:rsid w:val="460E768F"/>
    <w:rsid w:val="46101B39"/>
    <w:rsid w:val="46A824B9"/>
    <w:rsid w:val="46BB170B"/>
    <w:rsid w:val="46C0371F"/>
    <w:rsid w:val="46D15968"/>
    <w:rsid w:val="46FC10C0"/>
    <w:rsid w:val="47105324"/>
    <w:rsid w:val="47510906"/>
    <w:rsid w:val="47567AEE"/>
    <w:rsid w:val="47882EEC"/>
    <w:rsid w:val="478C5485"/>
    <w:rsid w:val="4796785C"/>
    <w:rsid w:val="479E608B"/>
    <w:rsid w:val="47D94177"/>
    <w:rsid w:val="47E85B9B"/>
    <w:rsid w:val="48164F15"/>
    <w:rsid w:val="485A61E1"/>
    <w:rsid w:val="49380D36"/>
    <w:rsid w:val="49391580"/>
    <w:rsid w:val="495D70F7"/>
    <w:rsid w:val="4985062F"/>
    <w:rsid w:val="4A262AF4"/>
    <w:rsid w:val="4ADD244D"/>
    <w:rsid w:val="4B0A4380"/>
    <w:rsid w:val="4B414A2E"/>
    <w:rsid w:val="4B4C5A72"/>
    <w:rsid w:val="4B642F54"/>
    <w:rsid w:val="4B7074E5"/>
    <w:rsid w:val="4B716301"/>
    <w:rsid w:val="4B7D5F80"/>
    <w:rsid w:val="4BF3562C"/>
    <w:rsid w:val="4BF40741"/>
    <w:rsid w:val="4C224544"/>
    <w:rsid w:val="4C411429"/>
    <w:rsid w:val="4C5E019B"/>
    <w:rsid w:val="4C7A3E2A"/>
    <w:rsid w:val="4D5C3245"/>
    <w:rsid w:val="4E397895"/>
    <w:rsid w:val="4E475085"/>
    <w:rsid w:val="4E6179A5"/>
    <w:rsid w:val="4F4D663A"/>
    <w:rsid w:val="4F54289B"/>
    <w:rsid w:val="4F64249F"/>
    <w:rsid w:val="4F6E1200"/>
    <w:rsid w:val="4FCF3A38"/>
    <w:rsid w:val="4FEE189E"/>
    <w:rsid w:val="4FF5727D"/>
    <w:rsid w:val="504B2FD5"/>
    <w:rsid w:val="50945995"/>
    <w:rsid w:val="509B17BC"/>
    <w:rsid w:val="50D27564"/>
    <w:rsid w:val="50E02600"/>
    <w:rsid w:val="50EB6E9C"/>
    <w:rsid w:val="50EE3925"/>
    <w:rsid w:val="510113CF"/>
    <w:rsid w:val="51070878"/>
    <w:rsid w:val="5148519A"/>
    <w:rsid w:val="51FB1FE6"/>
    <w:rsid w:val="520909A0"/>
    <w:rsid w:val="52121B0D"/>
    <w:rsid w:val="527D4949"/>
    <w:rsid w:val="52DA5B1C"/>
    <w:rsid w:val="53121571"/>
    <w:rsid w:val="532332A7"/>
    <w:rsid w:val="536C2F7E"/>
    <w:rsid w:val="539F2EE7"/>
    <w:rsid w:val="53F038EA"/>
    <w:rsid w:val="543F264E"/>
    <w:rsid w:val="54984779"/>
    <w:rsid w:val="54E160E1"/>
    <w:rsid w:val="54E23850"/>
    <w:rsid w:val="54E43457"/>
    <w:rsid w:val="55191463"/>
    <w:rsid w:val="55473849"/>
    <w:rsid w:val="554930D2"/>
    <w:rsid w:val="55A626C4"/>
    <w:rsid w:val="55C15F0B"/>
    <w:rsid w:val="55C43C6A"/>
    <w:rsid w:val="55E15287"/>
    <w:rsid w:val="565E037A"/>
    <w:rsid w:val="56724FD9"/>
    <w:rsid w:val="56AE54C4"/>
    <w:rsid w:val="56C65928"/>
    <w:rsid w:val="56C972A1"/>
    <w:rsid w:val="57045AA2"/>
    <w:rsid w:val="570F6E7F"/>
    <w:rsid w:val="572B7F1B"/>
    <w:rsid w:val="57793602"/>
    <w:rsid w:val="58055B79"/>
    <w:rsid w:val="585F4E34"/>
    <w:rsid w:val="58C023F9"/>
    <w:rsid w:val="58D41D8A"/>
    <w:rsid w:val="5948194C"/>
    <w:rsid w:val="595A333D"/>
    <w:rsid w:val="596A4D22"/>
    <w:rsid w:val="59BA69E3"/>
    <w:rsid w:val="5A063425"/>
    <w:rsid w:val="5A3B5D1E"/>
    <w:rsid w:val="5A417035"/>
    <w:rsid w:val="5A4B453D"/>
    <w:rsid w:val="5A522A93"/>
    <w:rsid w:val="5A661DF4"/>
    <w:rsid w:val="5A7F74DE"/>
    <w:rsid w:val="5A935F96"/>
    <w:rsid w:val="5ACF0178"/>
    <w:rsid w:val="5AF76C60"/>
    <w:rsid w:val="5B0C5D54"/>
    <w:rsid w:val="5B2402E4"/>
    <w:rsid w:val="5B763444"/>
    <w:rsid w:val="5B9D1978"/>
    <w:rsid w:val="5BA929FE"/>
    <w:rsid w:val="5BD73121"/>
    <w:rsid w:val="5C0F2617"/>
    <w:rsid w:val="5C1F744B"/>
    <w:rsid w:val="5C3E17F9"/>
    <w:rsid w:val="5C4C7FFB"/>
    <w:rsid w:val="5C537D21"/>
    <w:rsid w:val="5C6E2434"/>
    <w:rsid w:val="5CBD2153"/>
    <w:rsid w:val="5CFA53B0"/>
    <w:rsid w:val="5D3A6920"/>
    <w:rsid w:val="5D4A02A9"/>
    <w:rsid w:val="5D8135CC"/>
    <w:rsid w:val="5DA64C8A"/>
    <w:rsid w:val="5DE501AF"/>
    <w:rsid w:val="5DEB03AE"/>
    <w:rsid w:val="5E002DDD"/>
    <w:rsid w:val="5E071F26"/>
    <w:rsid w:val="5E23788C"/>
    <w:rsid w:val="5E551C67"/>
    <w:rsid w:val="5E566CF4"/>
    <w:rsid w:val="5E6C7908"/>
    <w:rsid w:val="5E812C6D"/>
    <w:rsid w:val="5EB86210"/>
    <w:rsid w:val="5EED05F3"/>
    <w:rsid w:val="5F064C35"/>
    <w:rsid w:val="5F41149C"/>
    <w:rsid w:val="5FD574B0"/>
    <w:rsid w:val="5FFB68ED"/>
    <w:rsid w:val="600446EC"/>
    <w:rsid w:val="600D2EE6"/>
    <w:rsid w:val="60194FC5"/>
    <w:rsid w:val="601E7EAA"/>
    <w:rsid w:val="6091207C"/>
    <w:rsid w:val="60F00A2A"/>
    <w:rsid w:val="60F2100A"/>
    <w:rsid w:val="61012548"/>
    <w:rsid w:val="61BE6360"/>
    <w:rsid w:val="61D0464C"/>
    <w:rsid w:val="61DB5D3A"/>
    <w:rsid w:val="61FD60DD"/>
    <w:rsid w:val="61FF23CB"/>
    <w:rsid w:val="621760F6"/>
    <w:rsid w:val="62246B60"/>
    <w:rsid w:val="62E36EC5"/>
    <w:rsid w:val="62E75EB4"/>
    <w:rsid w:val="62E81FE8"/>
    <w:rsid w:val="62E97B13"/>
    <w:rsid w:val="636F54EC"/>
    <w:rsid w:val="638E6E02"/>
    <w:rsid w:val="644F1ACD"/>
    <w:rsid w:val="64A8372F"/>
    <w:rsid w:val="64C035B4"/>
    <w:rsid w:val="64D76619"/>
    <w:rsid w:val="64FD6D44"/>
    <w:rsid w:val="65272AB2"/>
    <w:rsid w:val="653F3838"/>
    <w:rsid w:val="658D6058"/>
    <w:rsid w:val="65FC336D"/>
    <w:rsid w:val="66007761"/>
    <w:rsid w:val="662D19F1"/>
    <w:rsid w:val="66A53123"/>
    <w:rsid w:val="66F85BDC"/>
    <w:rsid w:val="66F97F7F"/>
    <w:rsid w:val="66FF2EE4"/>
    <w:rsid w:val="671F2FEE"/>
    <w:rsid w:val="67446448"/>
    <w:rsid w:val="675E1AFC"/>
    <w:rsid w:val="67861401"/>
    <w:rsid w:val="67897CFE"/>
    <w:rsid w:val="679F25C0"/>
    <w:rsid w:val="67A212D9"/>
    <w:rsid w:val="67D6545D"/>
    <w:rsid w:val="67EA44FC"/>
    <w:rsid w:val="67FF1998"/>
    <w:rsid w:val="680C374A"/>
    <w:rsid w:val="680D1D99"/>
    <w:rsid w:val="681A7759"/>
    <w:rsid w:val="6840613C"/>
    <w:rsid w:val="6876068B"/>
    <w:rsid w:val="68C97848"/>
    <w:rsid w:val="68E7433A"/>
    <w:rsid w:val="68E86ABE"/>
    <w:rsid w:val="69056BF9"/>
    <w:rsid w:val="691E67B1"/>
    <w:rsid w:val="69431270"/>
    <w:rsid w:val="69B8796C"/>
    <w:rsid w:val="69BA078D"/>
    <w:rsid w:val="69C37723"/>
    <w:rsid w:val="69E96834"/>
    <w:rsid w:val="6A0505C6"/>
    <w:rsid w:val="6A183B31"/>
    <w:rsid w:val="6A7F4F75"/>
    <w:rsid w:val="6ACA16F9"/>
    <w:rsid w:val="6AFF00CA"/>
    <w:rsid w:val="6B16774A"/>
    <w:rsid w:val="6B250CC2"/>
    <w:rsid w:val="6B494446"/>
    <w:rsid w:val="6BAB2FCD"/>
    <w:rsid w:val="6BFF5D3A"/>
    <w:rsid w:val="6C321536"/>
    <w:rsid w:val="6C492D55"/>
    <w:rsid w:val="6C7E3126"/>
    <w:rsid w:val="6C8178B4"/>
    <w:rsid w:val="6C84727C"/>
    <w:rsid w:val="6D272F27"/>
    <w:rsid w:val="6E2D30BE"/>
    <w:rsid w:val="6E2F78A7"/>
    <w:rsid w:val="6E3631E6"/>
    <w:rsid w:val="6E8509EA"/>
    <w:rsid w:val="6EB54E50"/>
    <w:rsid w:val="6EC12311"/>
    <w:rsid w:val="6ECE2681"/>
    <w:rsid w:val="6EF77006"/>
    <w:rsid w:val="6F48335E"/>
    <w:rsid w:val="6F656567"/>
    <w:rsid w:val="6F9441FC"/>
    <w:rsid w:val="6FB9715F"/>
    <w:rsid w:val="6FC96403"/>
    <w:rsid w:val="700D4ACD"/>
    <w:rsid w:val="705E30C9"/>
    <w:rsid w:val="708A3C8C"/>
    <w:rsid w:val="70A12054"/>
    <w:rsid w:val="71030383"/>
    <w:rsid w:val="71197B42"/>
    <w:rsid w:val="713D1393"/>
    <w:rsid w:val="71600CB0"/>
    <w:rsid w:val="7184609F"/>
    <w:rsid w:val="720811E2"/>
    <w:rsid w:val="72340F9C"/>
    <w:rsid w:val="72605D30"/>
    <w:rsid w:val="72686EF1"/>
    <w:rsid w:val="729965A8"/>
    <w:rsid w:val="72B65B08"/>
    <w:rsid w:val="72D52FCE"/>
    <w:rsid w:val="72F52C2C"/>
    <w:rsid w:val="72FA70AF"/>
    <w:rsid w:val="73087812"/>
    <w:rsid w:val="731E5707"/>
    <w:rsid w:val="737238D8"/>
    <w:rsid w:val="73A94EF7"/>
    <w:rsid w:val="73AB63BB"/>
    <w:rsid w:val="73C623CD"/>
    <w:rsid w:val="73D4787E"/>
    <w:rsid w:val="73F22348"/>
    <w:rsid w:val="746F4A04"/>
    <w:rsid w:val="7478277B"/>
    <w:rsid w:val="74BD630E"/>
    <w:rsid w:val="74CB259B"/>
    <w:rsid w:val="74FF2584"/>
    <w:rsid w:val="7599056E"/>
    <w:rsid w:val="75A849CA"/>
    <w:rsid w:val="75EF44CC"/>
    <w:rsid w:val="76056734"/>
    <w:rsid w:val="762D38BA"/>
    <w:rsid w:val="76363181"/>
    <w:rsid w:val="76741247"/>
    <w:rsid w:val="76F21D7B"/>
    <w:rsid w:val="771A36A5"/>
    <w:rsid w:val="774152C9"/>
    <w:rsid w:val="77751EE2"/>
    <w:rsid w:val="777759EB"/>
    <w:rsid w:val="77D2110D"/>
    <w:rsid w:val="77DE1DE1"/>
    <w:rsid w:val="78194B43"/>
    <w:rsid w:val="78C15396"/>
    <w:rsid w:val="78CF6711"/>
    <w:rsid w:val="7901687C"/>
    <w:rsid w:val="793070F8"/>
    <w:rsid w:val="79347CC6"/>
    <w:rsid w:val="79620D19"/>
    <w:rsid w:val="796F195D"/>
    <w:rsid w:val="797E1901"/>
    <w:rsid w:val="79A11E5C"/>
    <w:rsid w:val="79D825C1"/>
    <w:rsid w:val="7A3F6AB2"/>
    <w:rsid w:val="7A5D1027"/>
    <w:rsid w:val="7A8555FE"/>
    <w:rsid w:val="7A8F318B"/>
    <w:rsid w:val="7A971B46"/>
    <w:rsid w:val="7ADC408A"/>
    <w:rsid w:val="7AE606AF"/>
    <w:rsid w:val="7AE75F94"/>
    <w:rsid w:val="7AF409AB"/>
    <w:rsid w:val="7B133128"/>
    <w:rsid w:val="7B1959FC"/>
    <w:rsid w:val="7B1C502C"/>
    <w:rsid w:val="7B3202D1"/>
    <w:rsid w:val="7B52681B"/>
    <w:rsid w:val="7B5D131E"/>
    <w:rsid w:val="7B956EA2"/>
    <w:rsid w:val="7B963FFF"/>
    <w:rsid w:val="7BB34580"/>
    <w:rsid w:val="7BC44ABA"/>
    <w:rsid w:val="7BD26CFC"/>
    <w:rsid w:val="7BE91898"/>
    <w:rsid w:val="7BF60D85"/>
    <w:rsid w:val="7CFB3D35"/>
    <w:rsid w:val="7D6513F2"/>
    <w:rsid w:val="7D7C4AB4"/>
    <w:rsid w:val="7D7D75C8"/>
    <w:rsid w:val="7DB41B16"/>
    <w:rsid w:val="7DEB79E2"/>
    <w:rsid w:val="7DEF19CE"/>
    <w:rsid w:val="7DFC5027"/>
    <w:rsid w:val="7E002D54"/>
    <w:rsid w:val="7E1A04DD"/>
    <w:rsid w:val="7E74358B"/>
    <w:rsid w:val="7E7D318F"/>
    <w:rsid w:val="7E7F7F16"/>
    <w:rsid w:val="7F0F534D"/>
    <w:rsid w:val="7F1046BF"/>
    <w:rsid w:val="7F524FAC"/>
    <w:rsid w:val="7F600D62"/>
    <w:rsid w:val="7F7FD29C"/>
    <w:rsid w:val="7FB563F9"/>
    <w:rsid w:val="7FCA6045"/>
    <w:rsid w:val="7FE0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7"/>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8"/>
    <w:qFormat/>
    <w:uiPriority w:val="0"/>
    <w:pPr>
      <w:spacing w:line="200" w:lineRule="atLeast"/>
      <w:ind w:firstLine="301"/>
    </w:pPr>
    <w:rPr>
      <w:rFonts w:ascii="宋体" w:hAnsi="Courier New"/>
      <w:spacing w:val="-4"/>
      <w:sz w:val="18"/>
    </w:rPr>
  </w:style>
  <w:style w:type="paragraph" w:styleId="3">
    <w:name w:val="Body Text First Indent 2"/>
    <w:basedOn w:val="2"/>
    <w:link w:val="94"/>
    <w:unhideWhenUsed/>
    <w:qFormat/>
    <w:uiPriority w:val="99"/>
    <w:pPr>
      <w:ind w:firstLine="420"/>
    </w:p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0"/>
    <w:link w:val="54"/>
    <w:qFormat/>
    <w:uiPriority w:val="0"/>
    <w:pPr>
      <w:ind w:firstLine="420"/>
    </w:pPr>
    <w:rPr>
      <w:rFonts w:eastAsia="宋体"/>
    </w:rPr>
  </w:style>
  <w:style w:type="paragraph" w:styleId="10">
    <w:name w:val="Plain Text"/>
    <w:basedOn w:val="1"/>
    <w:link w:val="63"/>
    <w:qFormat/>
    <w:uiPriority w:val="99"/>
    <w:pPr>
      <w:spacing w:before="156" w:beforeLines="50" w:after="156" w:afterLines="50" w:line="400" w:lineRule="atLeast"/>
    </w:pPr>
    <w:rPr>
      <w:rFonts w:ascii="宋体" w:hAnsi="Courier New"/>
      <w:sz w:val="24"/>
      <w:szCs w:val="24"/>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51"/>
    <w:unhideWhenUsed/>
    <w:qFormat/>
    <w:uiPriority w:val="99"/>
    <w:rPr>
      <w:rFonts w:ascii="宋体"/>
      <w:sz w:val="18"/>
      <w:szCs w:val="18"/>
    </w:rPr>
  </w:style>
  <w:style w:type="paragraph" w:styleId="13">
    <w:name w:val="annotation text"/>
    <w:basedOn w:val="1"/>
    <w:link w:val="86"/>
    <w:unhideWhenUsed/>
    <w:qFormat/>
    <w:uiPriority w:val="99"/>
    <w:pPr>
      <w:jc w:val="left"/>
    </w:pPr>
  </w:style>
  <w:style w:type="paragraph" w:styleId="14">
    <w:name w:val="Body Text"/>
    <w:basedOn w:val="1"/>
    <w:next w:val="15"/>
    <w:link w:val="89"/>
    <w:unhideWhenUsed/>
    <w:qFormat/>
    <w:uiPriority w:val="99"/>
    <w:pPr>
      <w:spacing w:after="120"/>
    </w:pPr>
    <w:rPr>
      <w:rFonts w:ascii="Times New Roman" w:hAnsi="Times New Roman" w:eastAsia="宋体" w:cs="Times New Roman"/>
      <w:sz w:val="28"/>
      <w:szCs w:val="24"/>
    </w:rPr>
  </w:style>
  <w:style w:type="paragraph" w:styleId="15">
    <w:name w:val="Body Text First Indent"/>
    <w:basedOn w:val="14"/>
    <w:next w:val="16"/>
    <w:qFormat/>
    <w:uiPriority w:val="99"/>
    <w:pPr>
      <w:adjustRightInd/>
      <w:spacing w:after="120" w:line="240" w:lineRule="auto"/>
      <w:ind w:firstLine="420" w:firstLineChars="100"/>
      <w:jc w:val="both"/>
      <w:textAlignment w:val="auto"/>
    </w:pPr>
    <w:rPr>
      <w:rFonts w:ascii="Times New Roman" w:eastAsia="宋体"/>
      <w:kern w:val="2"/>
      <w:sz w:val="21"/>
    </w:rPr>
  </w:style>
  <w:style w:type="paragraph" w:styleId="16">
    <w:name w:val="toc 6"/>
    <w:basedOn w:val="1"/>
    <w:next w:val="1"/>
    <w:semiHidden/>
    <w:qFormat/>
    <w:uiPriority w:val="0"/>
    <w:pPr>
      <w:ind w:left="2100" w:leftChars="1000"/>
    </w:pPr>
  </w:style>
  <w:style w:type="paragraph" w:styleId="17">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8">
    <w:name w:val="Date"/>
    <w:basedOn w:val="1"/>
    <w:next w:val="1"/>
    <w:link w:val="92"/>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90"/>
    <w:qFormat/>
    <w:uiPriority w:val="0"/>
    <w:rPr>
      <w:rFonts w:ascii="Times New Roman" w:hAnsi="Times New Roman" w:eastAsia="宋体" w:cs="Times New Roman"/>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List"/>
    <w:basedOn w:val="1"/>
    <w:qFormat/>
    <w:uiPriority w:val="0"/>
    <w:pPr>
      <w:ind w:left="200" w:hanging="200" w:hangingChars="200"/>
    </w:pPr>
    <w:rPr>
      <w:rFonts w:ascii="Times New Roman" w:hAnsi="Times New Roman" w:eastAsia="宋体" w:cs="Times New Roman"/>
      <w:sz w:val="28"/>
      <w:szCs w:val="24"/>
    </w:rPr>
  </w:style>
  <w:style w:type="paragraph" w:styleId="24">
    <w:name w:val="Body Text 2"/>
    <w:basedOn w:val="1"/>
    <w:link w:val="80"/>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5">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6">
    <w:name w:val="annotation subject"/>
    <w:basedOn w:val="13"/>
    <w:next w:val="13"/>
    <w:link w:val="64"/>
    <w:unhideWhenUsed/>
    <w:qFormat/>
    <w:uiPriority w:val="99"/>
    <w:rPr>
      <w:b/>
      <w:bCs/>
      <w:sz w:val="28"/>
      <w:szCs w:val="24"/>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Emphasis"/>
    <w:basedOn w:val="29"/>
    <w:qFormat/>
    <w:uiPriority w:val="20"/>
    <w:rPr>
      <w:i/>
    </w:rPr>
  </w:style>
  <w:style w:type="character" w:styleId="34">
    <w:name w:val="HTML Definition"/>
    <w:unhideWhenUsed/>
    <w:qFormat/>
    <w:uiPriority w:val="99"/>
    <w:rPr>
      <w:i/>
    </w:rPr>
  </w:style>
  <w:style w:type="character" w:styleId="35">
    <w:name w:val="Hyperlink"/>
    <w:qFormat/>
    <w:uiPriority w:val="0"/>
    <w:rPr>
      <w:color w:val="5579A7"/>
      <w:u w:val="none"/>
    </w:rPr>
  </w:style>
  <w:style w:type="character" w:styleId="36">
    <w:name w:val="HTML Code"/>
    <w:unhideWhenUsed/>
    <w:qFormat/>
    <w:uiPriority w:val="99"/>
    <w:rPr>
      <w:rFonts w:ascii="-apple-system" w:hAnsi="-apple-system" w:eastAsia="-apple-system" w:cs="-apple-system"/>
      <w:sz w:val="21"/>
      <w:szCs w:val="21"/>
    </w:rPr>
  </w:style>
  <w:style w:type="character" w:styleId="37">
    <w:name w:val="annotation reference"/>
    <w:unhideWhenUsed/>
    <w:qFormat/>
    <w:uiPriority w:val="99"/>
    <w:rPr>
      <w:sz w:val="21"/>
      <w:szCs w:val="21"/>
    </w:rPr>
  </w:style>
  <w:style w:type="character" w:styleId="38">
    <w:name w:val="HTML Keyboard"/>
    <w:unhideWhenUsed/>
    <w:qFormat/>
    <w:uiPriority w:val="99"/>
    <w:rPr>
      <w:rFonts w:hint="default" w:ascii="-apple-system" w:hAnsi="-apple-system" w:eastAsia="-apple-system" w:cs="-apple-system"/>
      <w:sz w:val="21"/>
      <w:szCs w:val="21"/>
    </w:rPr>
  </w:style>
  <w:style w:type="character" w:styleId="39">
    <w:name w:val="HTML Sample"/>
    <w:unhideWhenUsed/>
    <w:qFormat/>
    <w:uiPriority w:val="99"/>
    <w:rPr>
      <w:rFonts w:hint="default" w:ascii="-apple-system" w:hAnsi="-apple-system" w:eastAsia="-apple-system" w:cs="-apple-system"/>
      <w:sz w:val="21"/>
      <w:szCs w:val="21"/>
    </w:rPr>
  </w:style>
  <w:style w:type="paragraph" w:customStyle="1" w:styleId="40">
    <w:name w:val="Default"/>
    <w:next w:val="4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3">
    <w:name w:val="页眉 字符"/>
    <w:basedOn w:val="29"/>
    <w:link w:val="22"/>
    <w:qFormat/>
    <w:uiPriority w:val="99"/>
    <w:rPr>
      <w:sz w:val="18"/>
      <w:szCs w:val="18"/>
    </w:rPr>
  </w:style>
  <w:style w:type="character" w:customStyle="1" w:styleId="44">
    <w:name w:val="页脚 字符"/>
    <w:basedOn w:val="29"/>
    <w:link w:val="20"/>
    <w:qFormat/>
    <w:uiPriority w:val="99"/>
    <w:rPr>
      <w:sz w:val="18"/>
      <w:szCs w:val="18"/>
    </w:rPr>
  </w:style>
  <w:style w:type="character" w:customStyle="1" w:styleId="45">
    <w:name w:val="标题 1 字符"/>
    <w:basedOn w:val="29"/>
    <w:link w:val="4"/>
    <w:qFormat/>
    <w:uiPriority w:val="9"/>
    <w:rPr>
      <w:rFonts w:ascii="Times New Roman" w:hAnsi="Times New Roman" w:eastAsia="宋体" w:cs="Times New Roman"/>
      <w:b/>
      <w:bCs/>
      <w:kern w:val="44"/>
      <w:sz w:val="44"/>
      <w:szCs w:val="44"/>
    </w:rPr>
  </w:style>
  <w:style w:type="character" w:customStyle="1" w:styleId="46">
    <w:name w:val="标题 2 字符"/>
    <w:basedOn w:val="29"/>
    <w:link w:val="5"/>
    <w:qFormat/>
    <w:uiPriority w:val="9"/>
    <w:rPr>
      <w:rFonts w:ascii="Cambria" w:hAnsi="Cambria" w:eastAsia="宋体" w:cs="Times New Roman"/>
      <w:b/>
      <w:bCs/>
      <w:sz w:val="32"/>
      <w:szCs w:val="32"/>
    </w:rPr>
  </w:style>
  <w:style w:type="character" w:customStyle="1" w:styleId="47">
    <w:name w:val="标题 3 字符"/>
    <w:basedOn w:val="29"/>
    <w:link w:val="6"/>
    <w:qFormat/>
    <w:uiPriority w:val="9"/>
    <w:rPr>
      <w:rFonts w:ascii="Times New Roman" w:hAnsi="Times New Roman" w:eastAsia="宋体" w:cs="Times New Roman"/>
      <w:b/>
      <w:bCs/>
      <w:sz w:val="32"/>
      <w:szCs w:val="32"/>
    </w:rPr>
  </w:style>
  <w:style w:type="character" w:customStyle="1" w:styleId="48">
    <w:name w:val="jbox-icon-none"/>
    <w:qFormat/>
    <w:uiPriority w:val="0"/>
    <w:rPr>
      <w:vanish/>
    </w:rPr>
  </w:style>
  <w:style w:type="character" w:customStyle="1" w:styleId="49">
    <w:name w:val="z-窗体底端 字符"/>
    <w:link w:val="50"/>
    <w:qFormat/>
    <w:uiPriority w:val="99"/>
    <w:rPr>
      <w:rFonts w:ascii="Arial" w:hAnsi="Arial"/>
      <w:vanish/>
      <w:sz w:val="16"/>
      <w:szCs w:val="16"/>
    </w:rPr>
  </w:style>
  <w:style w:type="paragraph" w:customStyle="1" w:styleId="50">
    <w:name w:val="z-窗体底端1"/>
    <w:basedOn w:val="1"/>
    <w:next w:val="1"/>
    <w:link w:val="49"/>
    <w:unhideWhenUsed/>
    <w:qFormat/>
    <w:uiPriority w:val="99"/>
    <w:pPr>
      <w:widowControl/>
      <w:pBdr>
        <w:top w:val="single" w:color="auto" w:sz="6" w:space="1"/>
      </w:pBdr>
      <w:jc w:val="center"/>
    </w:pPr>
    <w:rPr>
      <w:rFonts w:ascii="Arial" w:hAnsi="Arial"/>
      <w:vanish/>
      <w:sz w:val="16"/>
      <w:szCs w:val="16"/>
    </w:rPr>
  </w:style>
  <w:style w:type="character" w:customStyle="1" w:styleId="51">
    <w:name w:val="文档结构图 字符"/>
    <w:link w:val="12"/>
    <w:qFormat/>
    <w:uiPriority w:val="99"/>
    <w:rPr>
      <w:rFonts w:ascii="宋体"/>
      <w:sz w:val="18"/>
      <w:szCs w:val="18"/>
    </w:rPr>
  </w:style>
  <w:style w:type="character" w:customStyle="1" w:styleId="52">
    <w:name w:val="black601"/>
    <w:qFormat/>
    <w:uiPriority w:val="0"/>
    <w:rPr>
      <w:color w:val="666666"/>
    </w:rPr>
  </w:style>
  <w:style w:type="character" w:customStyle="1" w:styleId="53">
    <w:name w:val="hour_pm"/>
    <w:basedOn w:val="29"/>
    <w:qFormat/>
    <w:uiPriority w:val="0"/>
  </w:style>
  <w:style w:type="character" w:customStyle="1" w:styleId="54">
    <w:name w:val="正文缩进 字符"/>
    <w:link w:val="9"/>
    <w:qFormat/>
    <w:uiPriority w:val="0"/>
    <w:rPr>
      <w:rFonts w:eastAsia="宋体"/>
    </w:rPr>
  </w:style>
  <w:style w:type="character" w:customStyle="1" w:styleId="55">
    <w:name w:val="标题 1 Char Char"/>
    <w:qFormat/>
    <w:uiPriority w:val="0"/>
    <w:rPr>
      <w:rFonts w:eastAsia="宋体"/>
      <w:b/>
      <w:spacing w:val="-2"/>
      <w:sz w:val="24"/>
      <w:lang w:val="en-US" w:eastAsia="zh-CN" w:bidi="ar-SA"/>
    </w:rPr>
  </w:style>
  <w:style w:type="character" w:customStyle="1" w:styleId="56">
    <w:name w:val="jbox-icon-info"/>
    <w:basedOn w:val="29"/>
    <w:qFormat/>
    <w:uiPriority w:val="0"/>
  </w:style>
  <w:style w:type="character" w:customStyle="1" w:styleId="57">
    <w:name w:val="hover9"/>
    <w:qFormat/>
    <w:uiPriority w:val="0"/>
    <w:rPr>
      <w:shd w:val="clear" w:color="auto" w:fill="EEEEEE"/>
    </w:rPr>
  </w:style>
  <w:style w:type="character" w:customStyle="1" w:styleId="58">
    <w:name w:val="maywed421"/>
    <w:qFormat/>
    <w:uiPriority w:val="0"/>
    <w:rPr>
      <w:color w:val="366FB6"/>
      <w:u w:val="none"/>
    </w:rPr>
  </w:style>
  <w:style w:type="character" w:customStyle="1" w:styleId="59">
    <w:name w:val="old"/>
    <w:qFormat/>
    <w:uiPriority w:val="0"/>
    <w:rPr>
      <w:color w:val="999999"/>
    </w:rPr>
  </w:style>
  <w:style w:type="character" w:customStyle="1" w:styleId="60">
    <w:name w:val="jbox-icon-warning"/>
    <w:basedOn w:val="29"/>
    <w:qFormat/>
    <w:uiPriority w:val="0"/>
  </w:style>
  <w:style w:type="character" w:customStyle="1" w:styleId="61">
    <w:name w:val="z-窗体顶端 字符"/>
    <w:link w:val="62"/>
    <w:qFormat/>
    <w:uiPriority w:val="99"/>
    <w:rPr>
      <w:rFonts w:ascii="Arial" w:hAnsi="Arial"/>
      <w:vanish/>
      <w:sz w:val="16"/>
      <w:szCs w:val="16"/>
    </w:rPr>
  </w:style>
  <w:style w:type="paragraph" w:customStyle="1" w:styleId="62">
    <w:name w:val="z-窗体顶端1"/>
    <w:basedOn w:val="1"/>
    <w:next w:val="1"/>
    <w:link w:val="61"/>
    <w:unhideWhenUsed/>
    <w:qFormat/>
    <w:uiPriority w:val="99"/>
    <w:pPr>
      <w:widowControl/>
      <w:pBdr>
        <w:bottom w:val="single" w:color="auto" w:sz="6" w:space="1"/>
      </w:pBdr>
      <w:jc w:val="center"/>
    </w:pPr>
    <w:rPr>
      <w:rFonts w:ascii="Arial" w:hAnsi="Arial"/>
      <w:vanish/>
      <w:sz w:val="16"/>
      <w:szCs w:val="16"/>
    </w:rPr>
  </w:style>
  <w:style w:type="character" w:customStyle="1" w:styleId="63">
    <w:name w:val="纯文本 字符1"/>
    <w:link w:val="10"/>
    <w:qFormat/>
    <w:uiPriority w:val="99"/>
    <w:rPr>
      <w:rFonts w:ascii="宋体" w:hAnsi="Courier New"/>
      <w:sz w:val="24"/>
      <w:szCs w:val="24"/>
    </w:rPr>
  </w:style>
  <w:style w:type="character" w:customStyle="1" w:styleId="64">
    <w:name w:val="批注主题 字符"/>
    <w:link w:val="26"/>
    <w:qFormat/>
    <w:uiPriority w:val="99"/>
    <w:rPr>
      <w:b/>
      <w:bCs/>
      <w:sz w:val="28"/>
      <w:szCs w:val="24"/>
    </w:rPr>
  </w:style>
  <w:style w:type="character" w:customStyle="1" w:styleId="65">
    <w:name w:val="jbox-icon-loading"/>
    <w:basedOn w:val="29"/>
    <w:qFormat/>
    <w:uiPriority w:val="0"/>
  </w:style>
  <w:style w:type="character" w:customStyle="1" w:styleId="66">
    <w:name w:val="正文文本缩进 字符"/>
    <w:qFormat/>
    <w:uiPriority w:val="0"/>
    <w:rPr>
      <w:rFonts w:ascii="宋体" w:hAnsi="Courier New"/>
      <w:spacing w:val="-4"/>
      <w:kern w:val="2"/>
      <w:sz w:val="18"/>
    </w:rPr>
  </w:style>
  <w:style w:type="character" w:customStyle="1" w:styleId="67">
    <w:name w:val="正文文本缩进 字符1"/>
    <w:qFormat/>
    <w:uiPriority w:val="0"/>
    <w:rPr>
      <w:rFonts w:ascii="宋体" w:hAnsi="Courier New"/>
      <w:spacing w:val="-4"/>
      <w:kern w:val="2"/>
      <w:sz w:val="18"/>
    </w:rPr>
  </w:style>
  <w:style w:type="character" w:customStyle="1" w:styleId="68">
    <w:name w:val="纯文本 字符"/>
    <w:qFormat/>
    <w:uiPriority w:val="99"/>
    <w:rPr>
      <w:rFonts w:ascii="宋体" w:hAnsi="Courier New"/>
      <w:kern w:val="2"/>
      <w:sz w:val="24"/>
      <w:szCs w:val="24"/>
    </w:rPr>
  </w:style>
  <w:style w:type="character" w:customStyle="1" w:styleId="69">
    <w:name w:val="jbox-icon-question"/>
    <w:basedOn w:val="29"/>
    <w:qFormat/>
    <w:uiPriority w:val="0"/>
  </w:style>
  <w:style w:type="character" w:customStyle="1" w:styleId="70">
    <w:name w:val="jbox-icon"/>
    <w:basedOn w:val="29"/>
    <w:qFormat/>
    <w:uiPriority w:val="0"/>
  </w:style>
  <w:style w:type="character" w:customStyle="1" w:styleId="71">
    <w:name w:val="纯文本 字符2"/>
    <w:qFormat/>
    <w:uiPriority w:val="99"/>
    <w:rPr>
      <w:rFonts w:ascii="宋体" w:hAnsi="Courier New"/>
      <w:kern w:val="2"/>
      <w:sz w:val="24"/>
      <w:szCs w:val="24"/>
    </w:rPr>
  </w:style>
  <w:style w:type="character" w:customStyle="1" w:styleId="72">
    <w:name w:val="hour_am"/>
    <w:basedOn w:val="29"/>
    <w:qFormat/>
    <w:uiPriority w:val="0"/>
  </w:style>
  <w:style w:type="character" w:customStyle="1" w:styleId="73">
    <w:name w:val="jbox-icon-success"/>
    <w:basedOn w:val="29"/>
    <w:qFormat/>
    <w:uiPriority w:val="0"/>
  </w:style>
  <w:style w:type="character" w:customStyle="1" w:styleId="74">
    <w:name w:val="批注文字 字符"/>
    <w:qFormat/>
    <w:uiPriority w:val="99"/>
    <w:rPr>
      <w:kern w:val="2"/>
      <w:sz w:val="28"/>
      <w:szCs w:val="24"/>
    </w:rPr>
  </w:style>
  <w:style w:type="character" w:customStyle="1" w:styleId="75">
    <w:name w:val="纯文本 Char1"/>
    <w:qFormat/>
    <w:uiPriority w:val="0"/>
    <w:rPr>
      <w:rFonts w:ascii="宋体" w:hAnsi="Courier New"/>
      <w:kern w:val="2"/>
      <w:sz w:val="21"/>
    </w:rPr>
  </w:style>
  <w:style w:type="character" w:customStyle="1" w:styleId="76">
    <w:name w:val="纯文本 Char"/>
    <w:qFormat/>
    <w:uiPriority w:val="99"/>
    <w:rPr>
      <w:rFonts w:ascii="宋体" w:hAnsi="Courier New"/>
      <w:kern w:val="2"/>
      <w:sz w:val="24"/>
      <w:szCs w:val="24"/>
    </w:rPr>
  </w:style>
  <w:style w:type="character" w:customStyle="1" w:styleId="77">
    <w:name w:val="sub_title s0"/>
    <w:basedOn w:val="29"/>
    <w:qFormat/>
    <w:uiPriority w:val="0"/>
  </w:style>
  <w:style w:type="character" w:customStyle="1" w:styleId="78">
    <w:name w:val="正文文本缩进 字符2"/>
    <w:link w:val="2"/>
    <w:qFormat/>
    <w:uiPriority w:val="0"/>
    <w:rPr>
      <w:rFonts w:ascii="宋体" w:hAnsi="Courier New"/>
      <w:spacing w:val="-4"/>
      <w:sz w:val="18"/>
    </w:rPr>
  </w:style>
  <w:style w:type="character" w:customStyle="1" w:styleId="79">
    <w:name w:val="jbox-icon-error"/>
    <w:basedOn w:val="29"/>
    <w:qFormat/>
    <w:uiPriority w:val="0"/>
  </w:style>
  <w:style w:type="character" w:customStyle="1" w:styleId="80">
    <w:name w:val="正文文本 2 字符"/>
    <w:basedOn w:val="29"/>
    <w:link w:val="24"/>
    <w:qFormat/>
    <w:uiPriority w:val="0"/>
    <w:rPr>
      <w:rFonts w:ascii="宋体" w:hAnsi="宋体" w:eastAsia="宋体" w:cs="Times New Roman"/>
      <w:color w:val="000000"/>
      <w:sz w:val="24"/>
      <w:szCs w:val="24"/>
    </w:rPr>
  </w:style>
  <w:style w:type="paragraph" w:customStyle="1" w:styleId="81">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2">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3">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4">
    <w:name w:val="z-窗体顶端 字符1"/>
    <w:basedOn w:val="29"/>
    <w:semiHidden/>
    <w:qFormat/>
    <w:uiPriority w:val="99"/>
    <w:rPr>
      <w:rFonts w:ascii="Arial" w:hAnsi="Arial" w:cs="Arial"/>
      <w:vanish/>
      <w:sz w:val="16"/>
      <w:szCs w:val="16"/>
    </w:rPr>
  </w:style>
  <w:style w:type="paragraph" w:customStyle="1" w:styleId="85">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6">
    <w:name w:val="批注文字 字符1"/>
    <w:basedOn w:val="29"/>
    <w:link w:val="13"/>
    <w:semiHidden/>
    <w:qFormat/>
    <w:uiPriority w:val="99"/>
  </w:style>
  <w:style w:type="character" w:customStyle="1" w:styleId="87">
    <w:name w:val="批注主题 字符1"/>
    <w:basedOn w:val="86"/>
    <w:semiHidden/>
    <w:qFormat/>
    <w:uiPriority w:val="99"/>
    <w:rPr>
      <w:b/>
      <w:bCs/>
    </w:rPr>
  </w:style>
  <w:style w:type="character" w:customStyle="1" w:styleId="88">
    <w:name w:val="文档结构图 字符1"/>
    <w:basedOn w:val="29"/>
    <w:semiHidden/>
    <w:qFormat/>
    <w:uiPriority w:val="99"/>
    <w:rPr>
      <w:rFonts w:ascii="Microsoft YaHei UI" w:eastAsia="Microsoft YaHei UI"/>
      <w:sz w:val="18"/>
      <w:szCs w:val="18"/>
    </w:rPr>
  </w:style>
  <w:style w:type="character" w:customStyle="1" w:styleId="89">
    <w:name w:val="正文文本 字符"/>
    <w:basedOn w:val="29"/>
    <w:link w:val="14"/>
    <w:qFormat/>
    <w:uiPriority w:val="99"/>
    <w:rPr>
      <w:rFonts w:ascii="Times New Roman" w:hAnsi="Times New Roman" w:eastAsia="宋体" w:cs="Times New Roman"/>
      <w:sz w:val="28"/>
      <w:szCs w:val="24"/>
    </w:rPr>
  </w:style>
  <w:style w:type="character" w:customStyle="1" w:styleId="90">
    <w:name w:val="批注框文本 字符"/>
    <w:basedOn w:val="29"/>
    <w:link w:val="19"/>
    <w:qFormat/>
    <w:uiPriority w:val="0"/>
    <w:rPr>
      <w:rFonts w:ascii="Times New Roman" w:hAnsi="Times New Roman" w:eastAsia="宋体" w:cs="Times New Roman"/>
      <w:sz w:val="18"/>
      <w:szCs w:val="18"/>
    </w:rPr>
  </w:style>
  <w:style w:type="character" w:customStyle="1" w:styleId="91">
    <w:name w:val="正文文本缩进 字符3"/>
    <w:basedOn w:val="29"/>
    <w:semiHidden/>
    <w:qFormat/>
    <w:uiPriority w:val="99"/>
  </w:style>
  <w:style w:type="character" w:customStyle="1" w:styleId="92">
    <w:name w:val="日期 字符"/>
    <w:basedOn w:val="29"/>
    <w:link w:val="18"/>
    <w:qFormat/>
    <w:uiPriority w:val="0"/>
    <w:rPr>
      <w:rFonts w:ascii="Times New Roman" w:hAnsi="Times New Roman" w:eastAsia="楷体_GB2312" w:cs="Times New Roman"/>
      <w:sz w:val="32"/>
      <w:szCs w:val="20"/>
    </w:rPr>
  </w:style>
  <w:style w:type="character" w:customStyle="1" w:styleId="93">
    <w:name w:val="纯文本 字符3"/>
    <w:basedOn w:val="29"/>
    <w:semiHidden/>
    <w:qFormat/>
    <w:uiPriority w:val="99"/>
    <w:rPr>
      <w:rFonts w:hAnsi="Courier New" w:cs="Courier New" w:asciiTheme="minorEastAsia"/>
    </w:rPr>
  </w:style>
  <w:style w:type="character" w:customStyle="1" w:styleId="94">
    <w:name w:val="正文文本首行缩进 2 字符"/>
    <w:basedOn w:val="91"/>
    <w:link w:val="3"/>
    <w:qFormat/>
    <w:uiPriority w:val="99"/>
    <w:rPr>
      <w:rFonts w:ascii="宋体" w:hAnsi="Courier New"/>
      <w:spacing w:val="-4"/>
      <w:sz w:val="18"/>
    </w:rPr>
  </w:style>
  <w:style w:type="character" w:customStyle="1" w:styleId="95">
    <w:name w:val="z-窗体底端 字符1"/>
    <w:basedOn w:val="29"/>
    <w:semiHidden/>
    <w:qFormat/>
    <w:uiPriority w:val="99"/>
    <w:rPr>
      <w:rFonts w:ascii="Arial" w:hAnsi="Arial" w:cs="Arial"/>
      <w:vanish/>
      <w:sz w:val="16"/>
      <w:szCs w:val="16"/>
    </w:rPr>
  </w:style>
  <w:style w:type="paragraph" w:customStyle="1" w:styleId="96">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7">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8">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9">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00">
    <w:name w:val="Char Char Char Char1"/>
    <w:basedOn w:val="1"/>
    <w:qFormat/>
    <w:uiPriority w:val="0"/>
    <w:rPr>
      <w:rFonts w:ascii="Tahoma" w:hAnsi="Tahoma" w:eastAsia="宋体" w:cs="Times New Roman"/>
      <w:sz w:val="24"/>
      <w:szCs w:val="20"/>
    </w:rPr>
  </w:style>
  <w:style w:type="paragraph" w:customStyle="1" w:styleId="101">
    <w:name w:val="彩色列表 - 强调文字颜色 11"/>
    <w:basedOn w:val="1"/>
    <w:qFormat/>
    <w:uiPriority w:val="34"/>
    <w:pPr>
      <w:ind w:firstLine="420" w:firstLineChars="200"/>
    </w:pPr>
    <w:rPr>
      <w:rFonts w:ascii="Calibri" w:hAnsi="Calibri" w:eastAsia="宋体" w:cs="Times New Roman"/>
    </w:rPr>
  </w:style>
  <w:style w:type="paragraph" w:customStyle="1" w:styleId="102">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3">
    <w:name w:val="正文2"/>
    <w:basedOn w:val="1"/>
    <w:link w:val="112"/>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5">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6">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7">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8">
    <w:name w:val="标题 10"/>
    <w:basedOn w:val="5"/>
    <w:qFormat/>
    <w:uiPriority w:val="0"/>
    <w:pPr>
      <w:jc w:val="center"/>
    </w:pPr>
    <w:rPr>
      <w:kern w:val="0"/>
    </w:rPr>
  </w:style>
  <w:style w:type="character" w:customStyle="1" w:styleId="109">
    <w:name w:val="未处理的提及1"/>
    <w:semiHidden/>
    <w:unhideWhenUsed/>
    <w:qFormat/>
    <w:uiPriority w:val="99"/>
    <w:rPr>
      <w:color w:val="605E5C"/>
      <w:shd w:val="clear" w:color="auto" w:fill="E1DFDD"/>
    </w:rPr>
  </w:style>
  <w:style w:type="character" w:customStyle="1" w:styleId="110">
    <w:name w:val="未处理的提及2"/>
    <w:basedOn w:val="29"/>
    <w:semiHidden/>
    <w:unhideWhenUsed/>
    <w:qFormat/>
    <w:uiPriority w:val="99"/>
    <w:rPr>
      <w:color w:val="605E5C"/>
      <w:shd w:val="clear" w:color="auto" w:fill="E1DFDD"/>
    </w:rPr>
  </w:style>
  <w:style w:type="character" w:customStyle="1" w:styleId="111">
    <w:name w:val="未处理的提及3"/>
    <w:basedOn w:val="29"/>
    <w:semiHidden/>
    <w:unhideWhenUsed/>
    <w:qFormat/>
    <w:uiPriority w:val="99"/>
    <w:rPr>
      <w:color w:val="605E5C"/>
      <w:shd w:val="clear" w:color="auto" w:fill="E1DFDD"/>
    </w:rPr>
  </w:style>
  <w:style w:type="character" w:customStyle="1" w:styleId="112">
    <w:name w:val="正文2 Char Char"/>
    <w:link w:val="103"/>
    <w:qFormat/>
    <w:uiPriority w:val="0"/>
    <w:rPr>
      <w:kern w:val="2"/>
      <w:sz w:val="24"/>
    </w:rPr>
  </w:style>
  <w:style w:type="paragraph" w:customStyle="1" w:styleId="113">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4">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17">
    <w:name w:val="无间隔1"/>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18">
    <w:name w:val="无间隔4"/>
    <w:qFormat/>
    <w:uiPriority w:val="0"/>
    <w:rPr>
      <w:rFonts w:ascii="Calibri" w:hAnsi="Calibri" w:eastAsia="宋体" w:cs="Times New Roman"/>
      <w:sz w:val="22"/>
      <w:szCs w:val="22"/>
      <w:lang w:val="en-US" w:eastAsia="en-US" w:bidi="ar-SA"/>
    </w:rPr>
  </w:style>
  <w:style w:type="paragraph" w:customStyle="1" w:styleId="11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7359</Words>
  <Characters>8183</Characters>
  <Lines>32</Lines>
  <Paragraphs>64</Paragraphs>
  <TotalTime>25</TotalTime>
  <ScaleCrop>false</ScaleCrop>
  <LinksUpToDate>false</LinksUpToDate>
  <CharactersWithSpaces>8239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2021-05-13T13:24:00Z</dcterms:created>
  <dc:creator>hj j</dc:creator>
  <cp:lastModifiedBy>Young..</cp:lastModifiedBy>
  <dcterms:modified xsi:type="dcterms:W3CDTF">2025-06-23T06:09:16Z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F05D36EF17F847D6BE09AB1EA5E92991_13</vt:lpwstr>
  </property>
  <property fmtid="{D5CDD505-2E9C-101B-9397-08002B2CF9AE}" pid="4" name="KSOTemplateDocerSaveRecord">
    <vt:lpwstr>eyJoZGlkIjoiYmQ3OWFmNTlmZWFjOTZiYjc4MDhkMDU3NjEwZjk4ZTMiLCJ1c2VySWQiOiI0NjQ2NDIzODAifQ==</vt:lpwstr>
  </property>
</Properties>
</file>