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浙江省广播电视监测评议中心</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（浙江省文化广电和旅游大数据中心）</w:t>
      </w:r>
    </w:p>
    <w:p>
      <w:pPr>
        <w:adjustRightInd w:val="0"/>
        <w:snapToGrid w:val="0"/>
        <w:spacing w:line="288" w:lineRule="auto"/>
        <w:jc w:val="center"/>
        <w:rPr>
          <w:rFonts w:hint="eastAsia" w:ascii="楷体" w:hAnsi="楷体" w:eastAsia="楷体" w:cs="Times New Roman"/>
          <w:b/>
          <w:spacing w:val="-6"/>
          <w:sz w:val="48"/>
          <w:szCs w:val="48"/>
          <w:highlight w:val="none"/>
          <w:lang w:val="en-US" w:eastAsia="zh-CN"/>
        </w:rPr>
      </w:pPr>
      <w:r>
        <w:rPr>
          <w:rFonts w:hint="eastAsia" w:ascii="楷体" w:hAnsi="楷体" w:eastAsia="楷体" w:cs="Times New Roman"/>
          <w:b/>
          <w:spacing w:val="-6"/>
          <w:sz w:val="48"/>
          <w:szCs w:val="48"/>
          <w:highlight w:val="none"/>
          <w:lang w:val="en-US" w:eastAsia="zh-CN"/>
        </w:rPr>
        <w:t>2025年度省文广旅大数据中心信息系统</w:t>
      </w:r>
    </w:p>
    <w:p>
      <w:pPr>
        <w:adjustRightInd w:val="0"/>
        <w:snapToGrid w:val="0"/>
        <w:spacing w:line="288" w:lineRule="auto"/>
        <w:jc w:val="center"/>
        <w:rPr>
          <w:rFonts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lang w:val="en-US" w:eastAsia="zh-CN"/>
        </w:rPr>
        <w:t>运维项目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项目名</w:t>
      </w:r>
      <w:r>
        <w:rPr>
          <w:rFonts w:hint="eastAsia" w:ascii="楷体" w:hAnsi="楷体" w:eastAsia="楷体" w:cs="Times New Roman"/>
          <w:b/>
          <w:spacing w:val="-6"/>
          <w:sz w:val="30"/>
          <w:szCs w:val="30"/>
          <w:highlight w:val="none"/>
        </w:rPr>
        <w:t>称：</w:t>
      </w:r>
      <w:r>
        <w:rPr>
          <w:rFonts w:hint="eastAsia" w:ascii="楷体" w:hAnsi="楷体" w:eastAsia="楷体" w:cs="Times New Roman"/>
          <w:b/>
          <w:spacing w:val="-6"/>
          <w:sz w:val="30"/>
          <w:szCs w:val="30"/>
          <w:highlight w:val="none"/>
          <w:lang w:eastAsia="zh-CN"/>
        </w:rPr>
        <w:t>2025年度省文广旅大数据中心信息系统运维项目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QSZBE250029ZFGK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浙江省广播电视监测评议中心（浙江省文化广电和旅游大数据中心）</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[2025]34843号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2025年度省文广旅大数据中心信息系统运维项目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2025年7月10日9:30:00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QSZBE250029ZFGK</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2025年度省文广旅大数据中心信息系统运维项目</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710000元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710000元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自合同签订之日起一年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eastAsia="zh-CN"/>
              </w:rPr>
              <w:t>2025年度省文广旅大数据中心信息系统运维项目</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rPr>
      </w:pPr>
      <w:bookmarkStart w:id="5" w:name="_Toc28359080"/>
      <w:bookmarkStart w:id="6" w:name="_Toc35393791"/>
      <w:bookmarkStart w:id="7" w:name="_Toc28359003"/>
      <w:bookmarkStart w:id="8" w:name="_Toc35393622"/>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w:t>
      </w:r>
      <w:r>
        <w:rPr>
          <w:rFonts w:ascii="宋体" w:hAnsi="宋体" w:eastAsia="宋体" w:cs="Times New Roman"/>
          <w:bCs/>
          <w:szCs w:val="21"/>
          <w:highlight w:val="none"/>
        </w:rPr>
        <w:t>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0日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2025年7月10日9:30:00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2025年7月10日9:30:00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35393625"/>
      <w:bookmarkStart w:id="20" w:name="_Toc28359084"/>
      <w:bookmarkStart w:id="21" w:name="_Toc28359007"/>
      <w:bookmarkStart w:id="22" w:name="_Toc35393794"/>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w:t>
      </w:r>
      <w:r>
        <w:rPr>
          <w:rFonts w:ascii="宋体" w:hAnsi="宋体" w:eastAsia="宋体" w:cs="Times New Roman"/>
          <w:szCs w:val="21"/>
        </w:rPr>
        <w:t>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szCs w:val="21"/>
        </w:rPr>
      </w:pPr>
      <w:bookmarkStart w:id="28" w:name="_Toc35393796"/>
      <w:bookmarkStart w:id="29" w:name="_Toc28359085"/>
      <w:bookmarkStart w:id="30" w:name="_Toc28359008"/>
      <w:bookmarkStart w:id="31"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浙江省广播电视监测评议中心（浙江省文化广电和旅游大数据中心）</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地址：浙江省杭州市</w:t>
      </w:r>
      <w:r>
        <w:rPr>
          <w:rFonts w:hint="eastAsia" w:ascii="宋体" w:hAnsi="宋体" w:eastAsia="宋体" w:cs="Times New Roman"/>
          <w:szCs w:val="21"/>
          <w:highlight w:val="none"/>
          <w:lang w:val="en-US" w:eastAsia="zh-CN"/>
        </w:rPr>
        <w:t>文三路140号省行政三号院5号楼1-3楼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w:t>
      </w:r>
      <w:r>
        <w:rPr>
          <w:rFonts w:hint="eastAsia" w:ascii="宋体" w:hAnsi="宋体" w:eastAsia="宋体" w:cs="Times New Roman"/>
          <w:szCs w:val="21"/>
          <w:highlight w:val="none"/>
        </w:rPr>
        <w:t>老师</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val="en-US" w:eastAsia="zh-CN"/>
        </w:rPr>
        <w:t>81053424</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苏</w:t>
      </w:r>
      <w:r>
        <w:rPr>
          <w:rFonts w:hint="eastAsia" w:ascii="宋体" w:hAnsi="宋体" w:eastAsia="宋体" w:cs="Times New Roman"/>
          <w:szCs w:val="21"/>
          <w:highlight w:val="none"/>
        </w:rPr>
        <w:t>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w:t>
      </w:r>
      <w:r>
        <w:rPr>
          <w:rFonts w:hint="eastAsia" w:ascii="宋体" w:hAnsi="宋体" w:eastAsia="宋体" w:cs="Times New Roman"/>
          <w:szCs w:val="21"/>
          <w:highlight w:val="none"/>
          <w:lang w:val="en-US" w:eastAsia="zh-CN"/>
        </w:rPr>
        <w:t>81053425</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bookmarkStart w:id="56" w:name="_GoBack"/>
      <w:bookmarkEnd w:id="56"/>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蒋晗、</w:t>
      </w:r>
      <w:r>
        <w:rPr>
          <w:rFonts w:hint="eastAsia" w:ascii="宋体" w:hAnsi="宋体" w:eastAsia="宋体" w:cs="Times New Roman"/>
          <w:bCs/>
          <w:spacing w:val="-6"/>
          <w:szCs w:val="21"/>
          <w:highlight w:val="none"/>
          <w:lang w:val="en-US" w:eastAsia="zh-CN"/>
        </w:rPr>
        <w:t>王鑫涛</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color w:val="auto"/>
          <w:szCs w:val="21"/>
        </w:rPr>
      </w:pPr>
      <w:r>
        <w:rPr>
          <w:rFonts w:hint="eastAsia" w:ascii="宋体" w:hAnsi="宋体" w:eastAsia="宋体" w:cs="Times New Roman"/>
          <w:szCs w:val="21"/>
        </w:rPr>
        <w:t>质疑</w:t>
      </w:r>
      <w:r>
        <w:rPr>
          <w:rFonts w:hint="eastAsia" w:ascii="宋体" w:hAnsi="宋体" w:eastAsia="宋体" w:cs="Times New Roman"/>
          <w:color w:val="auto"/>
          <w:szCs w:val="21"/>
        </w:rPr>
        <w:t>邮箱：</w:t>
      </w:r>
      <w:r>
        <w:rPr>
          <w:rFonts w:ascii="宋体" w:hAnsi="宋体" w:eastAsia="宋体" w:cs="Times New Roman"/>
          <w:color w:val="auto"/>
          <w:szCs w:val="21"/>
        </w:rPr>
        <w:t>jdkh@qszb.net</w:t>
      </w:r>
    </w:p>
    <w:p>
      <w:pPr>
        <w:adjustRightInd w:val="0"/>
        <w:snapToGrid w:val="0"/>
        <w:spacing w:line="288" w:lineRule="auto"/>
        <w:ind w:firstLine="424" w:firstLineChars="202"/>
        <w:rPr>
          <w:rFonts w:ascii="宋体" w:hAnsi="宋体" w:eastAsia="宋体" w:cs="Times New Roman"/>
          <w:color w:val="auto"/>
          <w:szCs w:val="21"/>
        </w:rPr>
      </w:pPr>
      <w:bookmarkStart w:id="32"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pPr>
        <w:adjustRightInd w:val="0"/>
        <w:snapToGrid w:val="0"/>
        <w:spacing w:line="288" w:lineRule="auto"/>
        <w:ind w:firstLine="425" w:firstLineChars="215"/>
        <w:rPr>
          <w:rFonts w:ascii="宋体" w:hAnsi="宋体" w:eastAsia="宋体" w:cs="Times New Roman"/>
          <w:color w:val="auto"/>
          <w:spacing w:val="-6"/>
          <w:szCs w:val="21"/>
          <w:highlight w:val="none"/>
        </w:rPr>
      </w:pP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2"/>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第一笔：合</w:t>
            </w:r>
            <w:r>
              <w:rPr>
                <w:rFonts w:hint="eastAsia" w:ascii="宋体" w:hAnsi="宋体" w:eastAsia="宋体" w:cs="宋体"/>
                <w:color w:val="auto"/>
                <w:spacing w:val="-6"/>
                <w:kern w:val="0"/>
                <w:szCs w:val="21"/>
                <w:highlight w:val="none"/>
              </w:rPr>
              <w:t>同生效以及具备实施条件后</w:t>
            </w:r>
            <w:r>
              <w:rPr>
                <w:rFonts w:hint="eastAsia" w:ascii="宋体" w:hAnsi="宋体" w:eastAsia="宋体" w:cs="宋体"/>
                <w:color w:val="auto"/>
                <w:spacing w:val="-6"/>
                <w:kern w:val="0"/>
                <w:szCs w:val="21"/>
                <w:highlight w:val="none"/>
                <w:lang w:val="en-US" w:eastAsia="zh-CN"/>
              </w:rPr>
              <w:t>7个工作日内，合同甲方向</w:t>
            </w:r>
            <w:r>
              <w:rPr>
                <w:rFonts w:hint="eastAsia" w:ascii="宋体" w:hAnsi="宋体" w:eastAsia="宋体" w:cs="宋体"/>
                <w:color w:val="auto"/>
                <w:spacing w:val="-6"/>
                <w:kern w:val="0"/>
                <w:szCs w:val="21"/>
                <w:highlight w:val="none"/>
              </w:rPr>
              <w:t>合同乙方支付预付款，为合同总价的50%</w:t>
            </w:r>
            <w:r>
              <w:rPr>
                <w:rFonts w:hint="eastAsia" w:ascii="宋体" w:hAnsi="宋体" w:eastAsia="宋体" w:cs="宋体"/>
                <w:color w:val="auto"/>
                <w:spacing w:val="-6"/>
                <w:kern w:val="0"/>
                <w:szCs w:val="21"/>
                <w:highlight w:val="none"/>
                <w:lang w:val="en-US" w:eastAsia="zh-CN"/>
              </w:rPr>
              <w:t>；</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第二笔：</w:t>
            </w:r>
            <w:r>
              <w:rPr>
                <w:rFonts w:hint="eastAsia" w:ascii="宋体" w:hAnsi="宋体" w:eastAsia="宋体" w:cs="宋体"/>
                <w:color w:val="auto"/>
                <w:spacing w:val="-6"/>
                <w:kern w:val="0"/>
                <w:szCs w:val="21"/>
                <w:highlight w:val="none"/>
              </w:rPr>
              <w:t>合同实施</w:t>
            </w:r>
            <w:r>
              <w:rPr>
                <w:rFonts w:hint="eastAsia" w:ascii="宋体" w:hAnsi="宋体" w:eastAsia="宋体" w:cs="宋体"/>
                <w:color w:val="auto"/>
                <w:spacing w:val="-6"/>
                <w:kern w:val="0"/>
                <w:szCs w:val="21"/>
                <w:highlight w:val="none"/>
                <w:lang w:val="en-US" w:eastAsia="zh-CN"/>
              </w:rPr>
              <w:t>三</w:t>
            </w:r>
            <w:r>
              <w:rPr>
                <w:rFonts w:hint="eastAsia" w:ascii="宋体" w:hAnsi="宋体" w:eastAsia="宋体" w:cs="宋体"/>
                <w:color w:val="auto"/>
                <w:spacing w:val="-6"/>
                <w:kern w:val="0"/>
                <w:szCs w:val="21"/>
                <w:highlight w:val="none"/>
              </w:rPr>
              <w:t>个月后</w:t>
            </w:r>
            <w:r>
              <w:rPr>
                <w:rFonts w:hint="eastAsia" w:ascii="宋体" w:hAnsi="宋体" w:eastAsia="宋体" w:cs="宋体"/>
                <w:color w:val="auto"/>
                <w:spacing w:val="-6"/>
                <w:kern w:val="0"/>
                <w:szCs w:val="21"/>
                <w:highlight w:val="none"/>
                <w:lang w:val="en-US" w:eastAsia="zh-CN"/>
              </w:rPr>
              <w:t>并提供阶段性工作确认单，经甲方确认且收到发票后7个工作日内，，由</w:t>
            </w:r>
            <w:r>
              <w:rPr>
                <w:rFonts w:hint="eastAsia" w:ascii="宋体" w:hAnsi="宋体" w:eastAsia="宋体" w:cs="宋体"/>
                <w:color w:val="auto"/>
                <w:spacing w:val="-6"/>
                <w:kern w:val="0"/>
                <w:szCs w:val="21"/>
                <w:highlight w:val="none"/>
              </w:rPr>
              <w:t>合同甲方向合同乙方</w:t>
            </w:r>
            <w:r>
              <w:rPr>
                <w:rFonts w:hint="eastAsia" w:ascii="宋体" w:hAnsi="宋体" w:eastAsia="宋体" w:cs="宋体"/>
                <w:color w:val="auto"/>
                <w:spacing w:val="-6"/>
                <w:kern w:val="0"/>
                <w:szCs w:val="21"/>
                <w:highlight w:val="none"/>
                <w:lang w:val="en-US" w:eastAsia="zh-CN"/>
              </w:rPr>
              <w:t>支付项目第二笔款，</w:t>
            </w:r>
            <w:r>
              <w:rPr>
                <w:rFonts w:hint="eastAsia" w:ascii="宋体" w:hAnsi="宋体" w:eastAsia="宋体" w:cs="宋体"/>
                <w:color w:val="auto"/>
                <w:spacing w:val="-6"/>
                <w:kern w:val="0"/>
                <w:szCs w:val="21"/>
                <w:highlight w:val="none"/>
              </w:rPr>
              <w:t>为合同总价的</w:t>
            </w:r>
            <w:r>
              <w:rPr>
                <w:rFonts w:hint="eastAsia" w:ascii="宋体" w:hAnsi="宋体" w:eastAsia="宋体" w:cs="宋体"/>
                <w:color w:val="auto"/>
                <w:spacing w:val="-6"/>
                <w:kern w:val="0"/>
                <w:szCs w:val="21"/>
                <w:highlight w:val="none"/>
                <w:lang w:val="en-US" w:eastAsia="zh-CN"/>
              </w:rPr>
              <w:t>45</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 xml:space="preserve">； </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color w:val="auto"/>
                <w:spacing w:val="-6"/>
                <w:kern w:val="0"/>
                <w:szCs w:val="21"/>
                <w:highlight w:val="none"/>
                <w:lang w:val="en-US" w:eastAsia="zh-CN"/>
              </w:rPr>
              <w:t>第三笔：运维期满，并经</w:t>
            </w:r>
            <w:r>
              <w:rPr>
                <w:rFonts w:hint="eastAsia" w:ascii="宋体" w:hAnsi="宋体" w:eastAsia="宋体" w:cs="宋体"/>
                <w:color w:val="auto"/>
                <w:spacing w:val="-6"/>
                <w:kern w:val="0"/>
                <w:szCs w:val="21"/>
                <w:highlight w:val="none"/>
              </w:rPr>
              <w:t>最终验收合格</w:t>
            </w:r>
            <w:r>
              <w:rPr>
                <w:rFonts w:hint="eastAsia" w:ascii="宋体" w:hAnsi="宋体" w:eastAsia="宋体" w:cs="宋体"/>
                <w:color w:val="auto"/>
                <w:spacing w:val="-6"/>
                <w:kern w:val="0"/>
                <w:szCs w:val="21"/>
                <w:highlight w:val="none"/>
                <w:lang w:eastAsia="zh-CN"/>
              </w:rPr>
              <w:t>，收到发票后7个工作日内，</w:t>
            </w:r>
            <w:r>
              <w:rPr>
                <w:rFonts w:hint="eastAsia" w:ascii="宋体" w:hAnsi="宋体" w:eastAsia="宋体" w:cs="宋体"/>
                <w:color w:val="auto"/>
                <w:spacing w:val="-6"/>
                <w:kern w:val="0"/>
                <w:szCs w:val="21"/>
                <w:highlight w:val="none"/>
              </w:rPr>
              <w:t>合同甲方向合同乙方</w:t>
            </w:r>
            <w:r>
              <w:rPr>
                <w:rFonts w:hint="eastAsia" w:ascii="宋体" w:hAnsi="宋体" w:eastAsia="宋体" w:cs="宋体"/>
                <w:color w:val="auto"/>
                <w:spacing w:val="-6"/>
                <w:kern w:val="0"/>
                <w:szCs w:val="21"/>
                <w:highlight w:val="none"/>
                <w:lang w:val="en-US" w:eastAsia="zh-CN"/>
              </w:rPr>
              <w:t>支付项目尾款，为合同价的5%。</w:t>
            </w:r>
          </w:p>
        </w:tc>
      </w:tr>
      <w:bookmarkEnd w:id="35"/>
    </w:tbl>
    <w:p>
      <w:pPr>
        <w:adjustRightInd w:val="0"/>
        <w:snapToGrid w:val="0"/>
        <w:spacing w:line="288" w:lineRule="auto"/>
        <w:rPr>
          <w:rFonts w:ascii="宋体" w:hAnsi="宋体" w:eastAsia="宋体" w:cs="Times New Roman"/>
          <w:spacing w:val="-4"/>
          <w:szCs w:val="21"/>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Times New Roman"/>
          <w:b/>
          <w:bCs w:val="0"/>
          <w:szCs w:val="21"/>
          <w:lang w:val="en-US" w:eastAsia="zh-CN"/>
        </w:rPr>
      </w:pPr>
      <w:r>
        <w:rPr>
          <w:rFonts w:hint="eastAsia" w:ascii="宋体" w:hAnsi="宋体" w:eastAsia="宋体" w:cs="Times New Roman"/>
          <w:b/>
          <w:szCs w:val="21"/>
          <w:lang w:val="en-US" w:eastAsia="zh-CN"/>
        </w:rPr>
        <w:t>三、</w:t>
      </w:r>
      <w:r>
        <w:rPr>
          <w:rFonts w:hint="eastAsia" w:ascii="宋体" w:hAnsi="宋体" w:eastAsia="宋体" w:cs="Times New Roman"/>
          <w:b/>
          <w:bCs w:val="0"/>
          <w:szCs w:val="21"/>
          <w:lang w:val="en-US" w:eastAsia="zh-CN"/>
        </w:rPr>
        <w:t>项目背景</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1、文旅数据仓试点建设系统</w:t>
      </w:r>
      <w:r>
        <w:rPr>
          <w:rFonts w:hint="eastAsia" w:ascii="宋体" w:hAnsi="宋体" w:eastAsia="宋体" w:cs="Times New Roman"/>
          <w:bCs/>
          <w:szCs w:val="21"/>
        </w:rPr>
        <w:t>是省文广旅厅数字改革重大成果，汇集了省级文广旅行业基础数据、业务数据、部门共享数据和第三方平台采购数据，</w:t>
      </w:r>
      <w:r>
        <w:rPr>
          <w:rFonts w:ascii="宋体" w:hAnsi="宋体" w:eastAsia="宋体" w:cs="Times New Roman"/>
          <w:bCs/>
          <w:szCs w:val="21"/>
        </w:rPr>
        <w:t>并与省公共数据交换平台对接，实现</w:t>
      </w:r>
      <w:r>
        <w:rPr>
          <w:rFonts w:hint="eastAsia" w:ascii="宋体" w:hAnsi="宋体" w:eastAsia="宋体" w:cs="Times New Roman"/>
          <w:bCs/>
          <w:szCs w:val="21"/>
        </w:rPr>
        <w:t>省文广旅</w:t>
      </w:r>
      <w:r>
        <w:rPr>
          <w:rFonts w:ascii="宋体" w:hAnsi="宋体" w:eastAsia="宋体" w:cs="Times New Roman"/>
          <w:bCs/>
          <w:szCs w:val="21"/>
        </w:rPr>
        <w:t>数据向省公共数据平台的归集</w:t>
      </w:r>
      <w:r>
        <w:rPr>
          <w:rFonts w:hint="eastAsia" w:ascii="宋体" w:hAnsi="宋体" w:eastAsia="宋体" w:cs="Times New Roman"/>
          <w:bCs/>
          <w:szCs w:val="21"/>
        </w:rPr>
        <w:t>和交换，</w:t>
      </w:r>
      <w:r>
        <w:rPr>
          <w:rFonts w:ascii="宋体" w:hAnsi="宋体" w:eastAsia="宋体" w:cs="Times New Roman"/>
          <w:bCs/>
          <w:szCs w:val="21"/>
        </w:rPr>
        <w:t>并通过系列接口和服务支持其他省级部门对业务相关数据资</w:t>
      </w:r>
      <w:r>
        <w:rPr>
          <w:rFonts w:hint="eastAsia" w:ascii="宋体" w:hAnsi="宋体" w:eastAsia="宋体" w:cs="Times New Roman"/>
          <w:bCs/>
          <w:szCs w:val="21"/>
        </w:rPr>
        <w:t>源</w:t>
      </w:r>
      <w:r>
        <w:rPr>
          <w:rFonts w:ascii="宋体" w:hAnsi="宋体" w:eastAsia="宋体" w:cs="Times New Roman"/>
          <w:bCs/>
          <w:szCs w:val="21"/>
        </w:rPr>
        <w:t>的查询、整合和共享需求</w:t>
      </w:r>
      <w:r>
        <w:rPr>
          <w:rFonts w:hint="eastAsia" w:ascii="宋体" w:hAnsi="宋体" w:eastAsia="宋体" w:cs="Times New Roman"/>
          <w:bCs/>
          <w:szCs w:val="21"/>
        </w:rPr>
        <w:t>，是全省文广旅数字应用的数据底座和各应用系统间数据交换共享的基础平台，通过文旅数据仓的建设确保省级文广旅系统数出一门，数汇一仓，确保数据的完整性、及时性。</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2、浙江文旅大脑系统</w:t>
      </w:r>
      <w:r>
        <w:rPr>
          <w:rFonts w:hint="eastAsia" w:ascii="宋体" w:hAnsi="宋体" w:eastAsia="宋体" w:cs="Times New Roman"/>
          <w:bCs/>
          <w:szCs w:val="21"/>
        </w:rPr>
        <w:t>通过浙文旅应用一体化工作台整合省级文广旅各应用系统用户权限，通过浙文旅驾驶舱提升文旅应用智能化能力，完善文旅市场供需调度体系，促进公共文化服务精准赋能，强化文物安全智能防护，实现品质文化生活均衡发展。</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3.游浙里旅游公共服务平台</w:t>
      </w:r>
      <w:r>
        <w:rPr>
          <w:rFonts w:hint="eastAsia" w:ascii="宋体" w:hAnsi="宋体" w:eastAsia="宋体" w:cs="Times New Roman"/>
          <w:bCs/>
          <w:szCs w:val="21"/>
        </w:rPr>
        <w:t>是浙江省文化和旅游公共服务的省级官方应用，以用户为中心，整合政府和企业的服务能力，实现服务平台共建，美好生活共享，文旅行业共荣的新模式。</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游浙里治理端</w:t>
      </w:r>
      <w:r>
        <w:rPr>
          <w:rFonts w:hint="eastAsia" w:ascii="宋体" w:hAnsi="宋体" w:eastAsia="宋体" w:cs="Times New Roman"/>
          <w:bCs/>
          <w:szCs w:val="21"/>
        </w:rPr>
        <w:t>整合全省旅游公共服务资源，多跨协同交通、公安、气象等部门，构建“资源供给”“市场监测”“监测预警”“行业监管”“公共服务”“精准惠企”“品牌推广”7大多跨场景，对旅游资源、旅游行业运行态势、服务品质等方面进行综合监测分析，为行业主管部门提供数据和决策支撑。</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游浙里服务端</w:t>
      </w:r>
      <w:r>
        <w:rPr>
          <w:rFonts w:hint="eastAsia" w:ascii="宋体" w:hAnsi="宋体" w:eastAsia="宋体" w:cs="Times New Roman"/>
          <w:bCs/>
          <w:szCs w:val="21"/>
        </w:rPr>
        <w:t>聚焦游客出行所需，集旅游资讯、公共服务功能于一体，整合景区、住宿、美食、交通、场馆等涉旅资源，为游客提供智能推荐、特价订购、数字榜单、头号玩家、导游导览、行程定制等新潮玩法，并通过跨部门数据整合，推出气象预警、实时客流等公共服务，为游客提供权威、智能、便捷的服务和体验。导游导为服务端核心功能之一，通过汇聚全省文化和旅游资源，并通过数字地图向公众展示，结合图文语音讲解。</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游浙里数字电视端</w:t>
      </w:r>
      <w:r>
        <w:rPr>
          <w:rFonts w:hint="eastAsia" w:ascii="宋体" w:hAnsi="宋体" w:eastAsia="宋体" w:cs="Times New Roman"/>
          <w:bCs/>
          <w:szCs w:val="21"/>
        </w:rPr>
        <w:t>是用数字电视信息化传播手段将游浙里旅游公共服务平台从互联网端、移动端扩展到电视终端，扩展平台覆盖面和受众群体,为公众提供高清互动体验、优质文旅服务、产品特优富足的数字电视公共服务平台。</w:t>
      </w:r>
    </w:p>
    <w:p>
      <w:pPr>
        <w:adjustRightInd w:val="0"/>
        <w:snapToGrid w:val="0"/>
        <w:spacing w:line="288" w:lineRule="auto"/>
        <w:rPr>
          <w:rFonts w:hint="eastAsia" w:ascii="宋体" w:hAnsi="宋体" w:eastAsia="宋体" w:cs="Times New Roman"/>
          <w:b/>
          <w:szCs w:val="21"/>
        </w:rPr>
      </w:pPr>
    </w:p>
    <w:p>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四、服务内容及要求</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（一）运维内容：</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1.文旅数据仓试点建设系统运维</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2.浙江文旅大脑系统运维</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3.游浙里旅游公共服务平台运维（治理端、服务端和数字电视端）</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（二）常规运维服务及要求</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1、系统基础运维：</w:t>
      </w:r>
      <w:r>
        <w:rPr>
          <w:rFonts w:ascii="宋体" w:hAnsi="宋体" w:eastAsia="宋体" w:cs="Times New Roman"/>
          <w:bCs/>
          <w:szCs w:val="21"/>
        </w:rPr>
        <w:t>通过</w:t>
      </w:r>
      <w:r>
        <w:rPr>
          <w:rFonts w:hint="eastAsia" w:ascii="宋体" w:hAnsi="宋体" w:eastAsia="宋体" w:cs="Times New Roman"/>
          <w:bCs/>
          <w:szCs w:val="21"/>
        </w:rPr>
        <w:t>现场</w:t>
      </w:r>
      <w:r>
        <w:rPr>
          <w:rFonts w:ascii="宋体" w:hAnsi="宋体" w:eastAsia="宋体" w:cs="Times New Roman"/>
          <w:bCs/>
          <w:szCs w:val="21"/>
        </w:rPr>
        <w:t>服务</w:t>
      </w:r>
      <w:r>
        <w:rPr>
          <w:rFonts w:hint="eastAsia" w:ascii="宋体" w:hAnsi="宋体" w:eastAsia="宋体" w:cs="Times New Roman"/>
          <w:bCs/>
          <w:szCs w:val="21"/>
        </w:rPr>
        <w:t>和非</w:t>
      </w:r>
      <w:r>
        <w:rPr>
          <w:rFonts w:ascii="宋体" w:hAnsi="宋体" w:eastAsia="宋体" w:cs="Times New Roman"/>
          <w:bCs/>
          <w:szCs w:val="21"/>
        </w:rPr>
        <w:t>现场服务两种服务方式提供技术支持、故障处理、数据处理、服务保障</w:t>
      </w:r>
      <w:r>
        <w:rPr>
          <w:rFonts w:hint="eastAsia" w:ascii="宋体" w:hAnsi="宋体" w:eastAsia="宋体" w:cs="Times New Roman"/>
          <w:bCs/>
          <w:szCs w:val="21"/>
        </w:rPr>
        <w:t>等运维服务；定期（每月一次）、不定期开展服务器、应用系统监测、巡检和维护，开展日志巡查、数据接口核查，确保系统及各功能模块稳定运行、内容正常展示、数据库连接正常、接口调用畅通；系统软件的升级维护；定期检查系统用户，及时注销过期用户。建立日常巡检台账和问题处理台账。</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2、云资源运维：</w:t>
      </w:r>
      <w:r>
        <w:rPr>
          <w:rFonts w:hint="eastAsia" w:ascii="宋体" w:hAnsi="宋体" w:eastAsia="宋体" w:cs="Times New Roman"/>
          <w:bCs/>
          <w:szCs w:val="21"/>
        </w:rPr>
        <w:t>定期开展云资源巡检和运行状态监测，建立日常维护台账。</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3、安全防护：</w:t>
      </w:r>
      <w:r>
        <w:rPr>
          <w:rFonts w:hint="eastAsia" w:ascii="宋体" w:hAnsi="宋体" w:eastAsia="宋体" w:cs="Times New Roman"/>
          <w:bCs/>
          <w:szCs w:val="21"/>
        </w:rPr>
        <w:t>根据网络安全上级主管部门的要求，以及第三方提供的漏洞扫描、基线检查、渗透测试和代码审计等结果，配合完成系统隐患整改、加固升级，落实网络安全和数据安全的整改。</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4.日志与数据库审计：</w:t>
      </w:r>
      <w:r>
        <w:rPr>
          <w:rFonts w:hint="eastAsia" w:ascii="宋体" w:hAnsi="宋体" w:eastAsia="宋体" w:cs="Times New Roman"/>
          <w:bCs/>
          <w:szCs w:val="21"/>
        </w:rPr>
        <w:t>根据省数据局要求，安装和部署SDK系统、建立健全系统日志和数据库审计机制，涵盖用户操作日志、系统运行日志、安全事件日志、数据库日志等内容；设置关键操作告警规则，确保所有操作行为可追溯、风险可控，有效支撑安全合规与责任追究。</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5、应急响应：</w:t>
      </w:r>
      <w:r>
        <w:rPr>
          <w:rFonts w:hint="eastAsia" w:ascii="宋体" w:hAnsi="宋体" w:eastAsia="宋体" w:cs="Times New Roman"/>
          <w:bCs/>
          <w:szCs w:val="21"/>
        </w:rPr>
        <w:t>制定相应的应急处理预案，针对不同故障设定故障等级，</w:t>
      </w:r>
      <w:r>
        <w:rPr>
          <w:rFonts w:ascii="宋体" w:hAnsi="宋体" w:eastAsia="宋体" w:cs="Times New Roman"/>
          <w:bCs/>
          <w:szCs w:val="21"/>
        </w:rPr>
        <w:t>分别给出解决方案</w:t>
      </w:r>
      <w:r>
        <w:rPr>
          <w:rFonts w:hint="eastAsia" w:ascii="宋体" w:hAnsi="宋体" w:eastAsia="宋体" w:cs="Times New Roman"/>
          <w:bCs/>
          <w:szCs w:val="21"/>
        </w:rPr>
        <w:t>。发生重大事故、问题30分钟内响应；提供7*24小时紧急电话支持服务，主要针对系统严重损坏或系统数据出现严重错误等紧急服务请求的处理；提供7*8小时的常规电话支持服务，包括问题解答、远程技术支持；提供上门服务支持，在收到用户通知2小时内响应，并与用户协商具体解决办法，24小时内到场服务。</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6、节假日值班保障：</w:t>
      </w:r>
      <w:r>
        <w:rPr>
          <w:rFonts w:hint="eastAsia" w:ascii="宋体" w:hAnsi="宋体" w:eastAsia="宋体" w:cs="Times New Roman"/>
          <w:bCs/>
          <w:szCs w:val="21"/>
        </w:rPr>
        <w:t>法定节假日期间，落实专人远程值守，必要时提供驻场保障。</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（三）系统核心功能运维服务</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1.文旅数据仓试点建设系统</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（1）数据仓系统优化：</w:t>
      </w:r>
      <w:r>
        <w:rPr>
          <w:rFonts w:hint="eastAsia" w:ascii="宋体" w:hAnsi="宋体" w:eastAsia="宋体" w:cs="Times New Roman"/>
          <w:bCs/>
          <w:szCs w:val="21"/>
        </w:rPr>
        <w:t>数据仓门户维护、用户权限维护，少量系统迭代升级，根据业务需求完成报表设计与完善、数据源接入及数据入仓保障等工作，确保数据采集完整、更新及时、存储规范。</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（2）数据治理：</w:t>
      </w:r>
      <w:r>
        <w:rPr>
          <w:rFonts w:hint="eastAsia" w:ascii="宋体" w:hAnsi="宋体" w:eastAsia="宋体" w:cs="Times New Roman"/>
          <w:bCs/>
          <w:szCs w:val="21"/>
        </w:rPr>
        <w:t>对归集数据，开展数据治理服务；</w:t>
      </w:r>
      <w:r>
        <w:rPr>
          <w:rFonts w:ascii="宋体" w:hAnsi="宋体" w:eastAsia="宋体" w:cs="Times New Roman"/>
          <w:bCs/>
          <w:szCs w:val="21"/>
        </w:rPr>
        <w:t>查找系统中</w:t>
      </w:r>
      <w:r>
        <w:rPr>
          <w:rFonts w:hint="eastAsia" w:ascii="宋体" w:hAnsi="宋体" w:eastAsia="宋体" w:cs="Times New Roman"/>
          <w:bCs/>
          <w:szCs w:val="21"/>
        </w:rPr>
        <w:t>由于死机等意外造成的</w:t>
      </w:r>
      <w:r>
        <w:rPr>
          <w:rFonts w:ascii="宋体" w:hAnsi="宋体" w:eastAsia="宋体" w:cs="Times New Roman"/>
          <w:bCs/>
          <w:szCs w:val="21"/>
        </w:rPr>
        <w:t>出错的数据，并进行修正</w:t>
      </w:r>
      <w:r>
        <w:rPr>
          <w:rFonts w:hint="eastAsia" w:ascii="宋体" w:hAnsi="宋体" w:eastAsia="宋体" w:cs="Times New Roman"/>
          <w:bCs/>
          <w:szCs w:val="21"/>
        </w:rPr>
        <w:t>，做好问题处置记录。</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（3）数据共享：</w:t>
      </w:r>
      <w:r>
        <w:rPr>
          <w:rFonts w:hint="eastAsia" w:ascii="宋体" w:hAnsi="宋体" w:eastAsia="宋体" w:cs="Times New Roman"/>
          <w:bCs/>
          <w:szCs w:val="21"/>
        </w:rPr>
        <w:t>对归集、治理后的数据，通过数据目录及共享审核流程，供其它应用系统共享</w:t>
      </w:r>
      <w:r>
        <w:rPr>
          <w:rFonts w:ascii="宋体" w:hAnsi="宋体" w:eastAsia="宋体" w:cs="Times New Roman"/>
          <w:bCs/>
          <w:szCs w:val="21"/>
        </w:rPr>
        <w:t>。</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（4）临时性数据需求：</w:t>
      </w:r>
      <w:r>
        <w:rPr>
          <w:rFonts w:ascii="宋体" w:hAnsi="宋体" w:eastAsia="宋体" w:cs="Times New Roman"/>
          <w:bCs/>
          <w:szCs w:val="21"/>
        </w:rPr>
        <w:t>对业务部门提出的临时性数据报表、</w:t>
      </w:r>
      <w:r>
        <w:rPr>
          <w:rFonts w:hint="eastAsia" w:ascii="宋体" w:hAnsi="宋体" w:eastAsia="宋体" w:cs="Times New Roman"/>
          <w:bCs/>
          <w:szCs w:val="21"/>
        </w:rPr>
        <w:t>数据</w:t>
      </w:r>
      <w:r>
        <w:rPr>
          <w:rFonts w:ascii="宋体" w:hAnsi="宋体" w:eastAsia="宋体" w:cs="Times New Roman"/>
          <w:bCs/>
          <w:szCs w:val="21"/>
        </w:rPr>
        <w:t>指标</w:t>
      </w:r>
      <w:r>
        <w:rPr>
          <w:rFonts w:hint="eastAsia" w:ascii="宋体" w:hAnsi="宋体" w:eastAsia="宋体" w:cs="Times New Roman"/>
          <w:bCs/>
          <w:szCs w:val="21"/>
        </w:rPr>
        <w:t>需求，</w:t>
      </w:r>
      <w:r>
        <w:rPr>
          <w:rFonts w:ascii="宋体" w:hAnsi="宋体" w:eastAsia="宋体" w:cs="Times New Roman"/>
          <w:bCs/>
          <w:szCs w:val="21"/>
        </w:rPr>
        <w:t>通过分析统计算法，后台算存储过程，统计相关数据，并导出</w:t>
      </w:r>
      <w:r>
        <w:rPr>
          <w:rFonts w:hint="eastAsia" w:ascii="宋体" w:hAnsi="宋体" w:eastAsia="宋体" w:cs="Times New Roman"/>
          <w:bCs/>
          <w:szCs w:val="21"/>
        </w:rPr>
        <w:t>后提供中心指定人员审核。</w:t>
      </w:r>
    </w:p>
    <w:p>
      <w:pPr>
        <w:adjustRightInd w:val="0"/>
        <w:snapToGrid w:val="0"/>
        <w:spacing w:line="288" w:lineRule="auto"/>
        <w:ind w:firstLine="422" w:firstLineChars="200"/>
        <w:rPr>
          <w:rFonts w:hint="eastAsia" w:ascii="宋体" w:hAnsi="宋体" w:eastAsia="宋体" w:cs="Times New Roman"/>
          <w:bCs/>
          <w:szCs w:val="21"/>
        </w:rPr>
      </w:pPr>
      <w:r>
        <w:rPr>
          <w:rFonts w:hint="eastAsia" w:ascii="宋体" w:hAnsi="宋体" w:eastAsia="宋体" w:cs="Times New Roman"/>
          <w:b/>
          <w:szCs w:val="21"/>
        </w:rPr>
        <w:t>（5）老数据仓迁移：</w:t>
      </w:r>
      <w:r>
        <w:rPr>
          <w:rFonts w:hint="eastAsia" w:ascii="宋体" w:hAnsi="宋体" w:eastAsia="宋体" w:cs="Times New Roman"/>
          <w:bCs/>
          <w:szCs w:val="21"/>
        </w:rPr>
        <w:t>协助完成老数据仓接口迁移，应用整合、迁移或停用，协助完成IRS应用下架和云资源确认、释放等工作。</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2.浙江文旅大脑系统</w:t>
      </w:r>
    </w:p>
    <w:p>
      <w:pPr>
        <w:adjustRightInd w:val="0"/>
        <w:snapToGrid w:val="0"/>
        <w:spacing w:line="288" w:lineRule="auto"/>
        <w:ind w:firstLine="420" w:firstLineChars="200"/>
        <w:rPr>
          <w:rFonts w:ascii="Calibri" w:hAnsi="Calibri" w:eastAsia="宋体" w:cs="Times New Roman"/>
        </w:rPr>
      </w:pPr>
      <w:r>
        <w:rPr>
          <w:rFonts w:hint="eastAsia" w:ascii="宋体" w:hAnsi="宋体" w:eastAsia="宋体" w:cs="Times New Roman"/>
          <w:bCs/>
          <w:szCs w:val="21"/>
        </w:rPr>
        <w:t>（1）系统优化升级和更新维护:</w:t>
      </w:r>
      <w:r>
        <w:rPr>
          <w:rFonts w:hint="eastAsia" w:ascii="Calibri" w:hAnsi="Calibri" w:eastAsia="宋体" w:cs="Times New Roman"/>
        </w:rPr>
        <w:t>包括流程驱动组件、系统填报组件、文旅码引擎建设、用户认证中心、权益中心、积分中心等模块。</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（2）系统整合对接：持续维护4A体系相关的接口能力，以及对接各业务处室系统，集成其业务系统，统一用户和权限。持续对接各业务系统待办任务。</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（3）移动端维护：维护一体化工作的文旅浙宣&amp;文旅资讯模块等功能模块正常运行。</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3.游浙里旅游公共服务系统</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游浙里治理端应用（即旅游通应用系统）</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（1）系统优化：根据用户实际业务需求，对驾驶舱进行优化，具体包括页面改版、展示方式调整、内容板块新增等；</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（2）数据接入：根据业务需要，完成新增数据接入。完成本年度已采购的电信信令数据、腾讯客流数据的接入和展示。下一年度根据新的数据源完成数据接入和展示。</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（3）日常数据维护：包括基础资源数据、接口数据、导入数据、采集数据的更新维护；定期开展数据校对，确保相同的数据指标和浙文旅一体化驾驶舱或其它应用系统保持一致。</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（4）日常工作支撑：提供和系统相关的支撑工作，如系统演示、项目材料整理等辅助工作。</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游浙里服务端导游导览英文版</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在游浙里微信小程序-导游导览模块上完成22个给定景区和相关景点的英文版标注、语音讲解和导览服务，并接入入浙游应用。</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游浙里数字电视公共服务系统</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系统优化升级：根据游浙里微信小程序最新架构，结合数字电视的特点，对数字电视门户进行同步升级，对接新数据仓，确保栏目及内容对应、准确。门户栏目设置由采购方最终确认。</w:t>
      </w:r>
    </w:p>
    <w:p>
      <w:pPr>
        <w:widowControl w:val="0"/>
        <w:ind w:firstLine="420"/>
        <w:jc w:val="both"/>
        <w:rPr>
          <w:rFonts w:ascii="Calibri" w:hAnsi="Calibri" w:eastAsia="宋体" w:cs="Times New Roman"/>
          <w:kern w:val="2"/>
          <w:sz w:val="21"/>
          <w:szCs w:val="22"/>
          <w:lang w:val="en-US" w:eastAsia="zh-CN" w:bidi="ar-SA"/>
        </w:rPr>
      </w:pPr>
      <w:r>
        <w:rPr>
          <w:rFonts w:hint="eastAsia" w:ascii="宋体" w:hAnsi="宋体" w:eastAsia="宋体" w:cs="宋体"/>
          <w:kern w:val="2"/>
          <w:sz w:val="21"/>
          <w:szCs w:val="21"/>
          <w:lang w:val="en-US" w:eastAsia="zh-CN" w:bidi="ar-SA"/>
        </w:rPr>
        <w:t>需提供数字电视专用云资源，包含广播电视专网云主机、CDN、云存储、安全服务等服务。</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（四）网络与信息安全要求</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投标人</w:t>
      </w:r>
      <w:r>
        <w:rPr>
          <w:rFonts w:ascii="宋体" w:hAnsi="宋体" w:eastAsia="宋体" w:cs="Times New Roman"/>
          <w:bCs/>
          <w:szCs w:val="21"/>
        </w:rPr>
        <w:t>承诺严格把控运维人员安全风险及系统安全风险，提供核心运维人员背景审查材料</w:t>
      </w:r>
      <w:r>
        <w:rPr>
          <w:rFonts w:hint="eastAsia" w:ascii="宋体" w:hAnsi="宋体" w:eastAsia="宋体" w:cs="Times New Roman"/>
          <w:bCs/>
          <w:szCs w:val="21"/>
        </w:rPr>
        <w:t>，与投标人</w:t>
      </w:r>
      <w:r>
        <w:rPr>
          <w:rFonts w:ascii="宋体" w:hAnsi="宋体" w:eastAsia="宋体" w:cs="Times New Roman"/>
          <w:bCs/>
          <w:szCs w:val="21"/>
        </w:rPr>
        <w:t>签订</w:t>
      </w:r>
      <w:r>
        <w:rPr>
          <w:rFonts w:hint="eastAsia" w:ascii="宋体" w:hAnsi="宋体" w:eastAsia="宋体" w:cs="Times New Roman"/>
          <w:bCs/>
          <w:szCs w:val="21"/>
        </w:rPr>
        <w:t>网络安全</w:t>
      </w:r>
      <w:r>
        <w:rPr>
          <w:rFonts w:ascii="宋体" w:hAnsi="宋体" w:eastAsia="宋体" w:cs="Times New Roman"/>
          <w:bCs/>
          <w:szCs w:val="21"/>
        </w:rPr>
        <w:t>保密协议</w:t>
      </w:r>
      <w:r>
        <w:rPr>
          <w:rFonts w:hint="eastAsia" w:ascii="宋体" w:hAnsi="宋体" w:eastAsia="宋体" w:cs="Times New Roman"/>
          <w:bCs/>
          <w:szCs w:val="21"/>
        </w:rPr>
        <w:t>，落实好核心运维人员的数据安全管理责任</w:t>
      </w:r>
      <w:r>
        <w:rPr>
          <w:rFonts w:ascii="宋体" w:hAnsi="宋体" w:eastAsia="宋体" w:cs="Times New Roman"/>
          <w:bCs/>
          <w:szCs w:val="21"/>
        </w:rPr>
        <w:t>。</w:t>
      </w:r>
      <w:r>
        <w:rPr>
          <w:rFonts w:hint="eastAsia" w:ascii="宋体" w:hAnsi="宋体" w:eastAsia="宋体" w:cs="Times New Roman"/>
          <w:bCs/>
          <w:szCs w:val="21"/>
        </w:rPr>
        <w:t>投标人</w:t>
      </w:r>
      <w:r>
        <w:rPr>
          <w:rFonts w:ascii="宋体" w:hAnsi="宋体" w:eastAsia="宋体" w:cs="Times New Roman"/>
          <w:bCs/>
          <w:szCs w:val="21"/>
        </w:rPr>
        <w:t>承担因系统本身漏洞</w:t>
      </w:r>
      <w:r>
        <w:rPr>
          <w:rFonts w:hint="eastAsia" w:ascii="宋体" w:hAnsi="宋体" w:eastAsia="宋体" w:cs="Times New Roman"/>
          <w:bCs/>
          <w:szCs w:val="21"/>
        </w:rPr>
        <w:t>或未落实好完全责任</w:t>
      </w:r>
      <w:r>
        <w:rPr>
          <w:rFonts w:ascii="宋体" w:hAnsi="宋体" w:eastAsia="宋体" w:cs="Times New Roman"/>
          <w:bCs/>
          <w:szCs w:val="21"/>
        </w:rPr>
        <w:t>所引发的信息安全</w:t>
      </w:r>
      <w:r>
        <w:rPr>
          <w:rFonts w:hint="eastAsia" w:ascii="宋体" w:hAnsi="宋体" w:eastAsia="宋体" w:cs="Times New Roman"/>
          <w:bCs/>
          <w:szCs w:val="21"/>
        </w:rPr>
        <w:t>、数据安全</w:t>
      </w:r>
      <w:r>
        <w:rPr>
          <w:rFonts w:ascii="宋体" w:hAnsi="宋体" w:eastAsia="宋体" w:cs="Times New Roman"/>
          <w:bCs/>
          <w:szCs w:val="21"/>
        </w:rPr>
        <w:t>事件而带来的相关法律责任。</w:t>
      </w:r>
    </w:p>
    <w:p>
      <w:pP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（五）文档交付要求</w:t>
      </w:r>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各系统</w:t>
      </w:r>
      <w:r>
        <w:rPr>
          <w:rFonts w:ascii="宋体" w:hAnsi="宋体" w:eastAsia="宋体" w:cs="Times New Roman"/>
          <w:bCs/>
          <w:szCs w:val="21"/>
        </w:rPr>
        <w:t>维护方案、</w:t>
      </w:r>
      <w:r>
        <w:rPr>
          <w:rFonts w:hint="eastAsia" w:ascii="宋体" w:hAnsi="宋体" w:eastAsia="宋体" w:cs="Times New Roman"/>
          <w:bCs/>
          <w:szCs w:val="21"/>
        </w:rPr>
        <w:t>系统巡检报告（月度）、应用巡检报告（月度）、项目运维总结报告、故障处理单、</w:t>
      </w:r>
      <w:r>
        <w:rPr>
          <w:rFonts w:ascii="宋体" w:hAnsi="宋体" w:eastAsia="宋体" w:cs="Times New Roman"/>
          <w:bCs/>
          <w:szCs w:val="21"/>
        </w:rPr>
        <w:t>重大事件的处置响应记录</w:t>
      </w:r>
      <w:r>
        <w:rPr>
          <w:rFonts w:hint="eastAsia" w:ascii="宋体" w:hAnsi="宋体" w:eastAsia="宋体" w:cs="Times New Roman"/>
          <w:bCs/>
          <w:szCs w:val="21"/>
        </w:rPr>
        <w:t>、</w:t>
      </w:r>
      <w:r>
        <w:rPr>
          <w:rFonts w:ascii="宋体" w:hAnsi="宋体" w:eastAsia="宋体" w:cs="Times New Roman"/>
          <w:bCs/>
          <w:szCs w:val="21"/>
        </w:rPr>
        <w:t>项目工作报告</w:t>
      </w:r>
      <w:r>
        <w:rPr>
          <w:rFonts w:hint="eastAsia" w:ascii="宋体" w:hAnsi="宋体" w:eastAsia="宋体" w:cs="Times New Roman"/>
          <w:bCs/>
          <w:szCs w:val="21"/>
        </w:rPr>
        <w:t>以及</w:t>
      </w:r>
      <w:r>
        <w:rPr>
          <w:rFonts w:ascii="宋体" w:hAnsi="宋体" w:eastAsia="宋体" w:cs="Times New Roman"/>
          <w:bCs/>
          <w:szCs w:val="21"/>
        </w:rPr>
        <w:t>除上述资料以外所有需要提交的材料</w:t>
      </w:r>
      <w:r>
        <w:rPr>
          <w:rFonts w:hint="eastAsia" w:ascii="宋体" w:hAnsi="宋体" w:eastAsia="宋体" w:cs="Times New Roman"/>
          <w:bCs/>
          <w:szCs w:val="21"/>
        </w:rPr>
        <w:t>，以上</w:t>
      </w:r>
      <w:r>
        <w:rPr>
          <w:rFonts w:ascii="宋体" w:hAnsi="宋体" w:eastAsia="宋体" w:cs="Times New Roman"/>
          <w:bCs/>
          <w:szCs w:val="21"/>
        </w:rPr>
        <w:t>所有</w:t>
      </w:r>
      <w:r>
        <w:rPr>
          <w:rFonts w:hint="eastAsia" w:ascii="宋体" w:hAnsi="宋体" w:eastAsia="宋体" w:cs="Times New Roman"/>
          <w:bCs/>
          <w:szCs w:val="21"/>
        </w:rPr>
        <w:t>材料均需提供</w:t>
      </w:r>
      <w:r>
        <w:rPr>
          <w:rFonts w:ascii="宋体" w:hAnsi="宋体" w:eastAsia="宋体" w:cs="Times New Roman"/>
          <w:bCs/>
          <w:szCs w:val="21"/>
        </w:rPr>
        <w:t>纸质和电子</w:t>
      </w:r>
      <w:r>
        <w:rPr>
          <w:rFonts w:hint="eastAsia" w:ascii="宋体" w:hAnsi="宋体" w:eastAsia="宋体" w:cs="Times New Roman"/>
          <w:bCs/>
          <w:szCs w:val="21"/>
        </w:rPr>
        <w:t>资料。</w:t>
      </w:r>
    </w:p>
    <w:p>
      <w:pPr>
        <w:adjustRightInd w:val="0"/>
        <w:snapToGrid w:val="0"/>
        <w:spacing w:line="288" w:lineRule="auto"/>
        <w:ind w:firstLine="422" w:firstLineChars="200"/>
        <w:rPr>
          <w:rFonts w:hint="eastAsia" w:ascii="宋体" w:hAnsi="宋体" w:eastAsia="宋体" w:cs="Times New Roman"/>
          <w:b/>
          <w:szCs w:val="21"/>
        </w:rPr>
      </w:pPr>
    </w:p>
    <w:p>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五、人员要求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b w:val="0"/>
          <w:bCs/>
          <w:szCs w:val="21"/>
          <w:lang w:val="en-US" w:eastAsia="zh-CN"/>
        </w:rPr>
      </w:pPr>
      <w:r>
        <w:rPr>
          <w:rFonts w:ascii="宋体" w:hAnsi="宋体" w:eastAsia="宋体" w:cs="Times New Roman"/>
          <w:bCs/>
          <w:szCs w:val="21"/>
        </w:rPr>
        <w:t>投标人根据项目要求配备项目组人员</w:t>
      </w:r>
      <w:r>
        <w:rPr>
          <w:rFonts w:hint="eastAsia" w:ascii="宋体" w:hAnsi="宋体" w:eastAsia="宋体" w:cs="Times New Roman"/>
          <w:bCs/>
          <w:szCs w:val="21"/>
        </w:rPr>
        <w:t>，</w:t>
      </w:r>
      <w:r>
        <w:rPr>
          <w:rFonts w:ascii="宋体" w:hAnsi="宋体" w:eastAsia="宋体" w:cs="Times New Roman"/>
          <w:bCs/>
          <w:szCs w:val="21"/>
        </w:rPr>
        <w:t>指定专门的项目经理全程负责项目的实施维护，在合同延续期内，更换项目经理需首先向</w:t>
      </w:r>
      <w:r>
        <w:rPr>
          <w:rFonts w:hint="eastAsia" w:ascii="宋体" w:hAnsi="宋体" w:eastAsia="宋体" w:cs="Times New Roman"/>
          <w:bCs/>
          <w:szCs w:val="21"/>
        </w:rPr>
        <w:t>招标人</w:t>
      </w:r>
      <w:r>
        <w:rPr>
          <w:rFonts w:ascii="宋体" w:hAnsi="宋体" w:eastAsia="宋体" w:cs="Times New Roman"/>
          <w:bCs/>
          <w:szCs w:val="21"/>
        </w:rPr>
        <w:t>提出书面申请并获得</w:t>
      </w:r>
      <w:r>
        <w:rPr>
          <w:rFonts w:hint="eastAsia" w:ascii="宋体" w:hAnsi="宋体" w:eastAsia="宋体" w:cs="Times New Roman"/>
          <w:bCs/>
          <w:szCs w:val="21"/>
        </w:rPr>
        <w:t>招标人</w:t>
      </w:r>
      <w:r>
        <w:rPr>
          <w:rFonts w:ascii="宋体" w:hAnsi="宋体" w:eastAsia="宋体" w:cs="Times New Roman"/>
          <w:bCs/>
          <w:szCs w:val="21"/>
        </w:rPr>
        <w:t>的同意</w:t>
      </w:r>
      <w:r>
        <w:rPr>
          <w:rFonts w:hint="eastAsia" w:ascii="宋体" w:hAnsi="宋体" w:eastAsia="宋体" w:cs="Times New Roman"/>
          <w:bCs/>
          <w:szCs w:val="21"/>
        </w:rPr>
        <w:t>，</w:t>
      </w:r>
      <w:r>
        <w:rPr>
          <w:rFonts w:ascii="宋体" w:hAnsi="宋体" w:eastAsia="宋体" w:cs="Times New Roman"/>
          <w:bCs/>
          <w:szCs w:val="21"/>
        </w:rPr>
        <w:t>项目组</w:t>
      </w:r>
      <w:r>
        <w:rPr>
          <w:rFonts w:hint="eastAsia" w:ascii="宋体" w:hAnsi="宋体" w:eastAsia="宋体" w:cs="Times New Roman"/>
          <w:bCs/>
          <w:szCs w:val="21"/>
        </w:rPr>
        <w:t>经理</w:t>
      </w:r>
      <w:r>
        <w:rPr>
          <w:rFonts w:ascii="宋体" w:hAnsi="宋体" w:eastAsia="宋体" w:cs="Times New Roman"/>
          <w:bCs/>
          <w:szCs w:val="21"/>
        </w:rPr>
        <w:t>要求具有</w:t>
      </w:r>
      <w:r>
        <w:rPr>
          <w:rFonts w:hint="eastAsia" w:ascii="宋体" w:hAnsi="宋体" w:eastAsia="宋体" w:cs="Times New Roman"/>
          <w:bCs/>
          <w:szCs w:val="21"/>
        </w:rPr>
        <w:t>与本项目相关专业的</w:t>
      </w:r>
      <w:r>
        <w:rPr>
          <w:rFonts w:ascii="宋体" w:hAnsi="宋体" w:eastAsia="宋体" w:cs="Times New Roman"/>
          <w:bCs/>
          <w:szCs w:val="21"/>
        </w:rPr>
        <w:t>高级职称。提供1名驻场人员，驻场人员</w:t>
      </w:r>
      <w:r>
        <w:rPr>
          <w:rFonts w:hint="eastAsia" w:ascii="宋体" w:hAnsi="宋体" w:eastAsia="宋体" w:cs="Times New Roman"/>
          <w:bCs/>
          <w:szCs w:val="21"/>
        </w:rPr>
        <w:t>需</w:t>
      </w:r>
      <w:r>
        <w:rPr>
          <w:rFonts w:ascii="宋体" w:hAnsi="宋体" w:eastAsia="宋体" w:cs="Times New Roman"/>
          <w:bCs/>
          <w:szCs w:val="21"/>
        </w:rPr>
        <w:t>具有</w:t>
      </w:r>
      <w:r>
        <w:rPr>
          <w:rFonts w:hint="eastAsia" w:ascii="宋体" w:hAnsi="宋体" w:eastAsia="宋体" w:cs="Times New Roman"/>
          <w:bCs/>
          <w:szCs w:val="21"/>
        </w:rPr>
        <w:t>同类电子政务应用</w:t>
      </w:r>
      <w:r>
        <w:rPr>
          <w:rFonts w:ascii="宋体" w:hAnsi="宋体" w:eastAsia="宋体" w:cs="Times New Roman"/>
          <w:bCs/>
          <w:szCs w:val="21"/>
        </w:rPr>
        <w:t>系统的维护服务经验。</w:t>
      </w: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浙江省广播电视监测评议中心（浙江省文化广电和旅游大数据中心）2025年度省文广旅大数据中心信息系统运维项目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2024年12月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1.5</w:t>
                  </w:r>
                </w:p>
              </w:tc>
            </w:tr>
          </w:tbl>
          <w:p>
            <w:pPr>
              <w:adjustRightInd w:val="0"/>
              <w:snapToGrid w:val="0"/>
              <w:spacing w:line="288"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s="Times New Roman"/>
                <w:color w:val="auto"/>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本项目服务内容形式完整单一，需保证一致性，故不宜分包</w:t>
            </w:r>
            <w:r>
              <w:rPr>
                <w:rFonts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蒋晗</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w:t>
            </w:r>
            <w:r>
              <w:rPr>
                <w:rFonts w:hint="eastAsia" w:hAnsi="宋体" w:eastAsia="宋体" w:cs="宋体"/>
                <w:sz w:val="21"/>
                <w:szCs w:val="21"/>
                <w:highlight w:val="none"/>
              </w:rPr>
              <w:t>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浙江省广播电视监测评议中心（浙江省文化广电和旅游大数据中心）2025年度省文广旅大数据中心信息系统运维项目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浙江省广播电视监测评议中心（浙江省文化广电和旅游大数据中心）</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1.5</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2024年12月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w:t>
      </w:r>
      <w:r>
        <w:rPr>
          <w:rFonts w:hint="eastAsia" w:ascii="宋体" w:hAnsi="宋体" w:eastAsia="宋体" w:cs="宋体"/>
          <w:szCs w:val="21"/>
          <w:highlight w:val="none"/>
        </w:rPr>
        <w:t>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ascii="宋体" w:hAnsi="宋体" w:eastAsia="宋体"/>
          <w:color w:val="FF0000"/>
          <w:szCs w:val="21"/>
        </w:rPr>
      </w:pPr>
      <w:r>
        <w:rPr>
          <w:rFonts w:ascii="宋体" w:hAnsi="宋体" w:eastAsia="宋体"/>
          <w:color w:val="FF0000"/>
          <w:szCs w:val="21"/>
        </w:rPr>
        <w:t>2.</w:t>
      </w:r>
      <w:r>
        <w:rPr>
          <w:rFonts w:hint="eastAsia" w:ascii="宋体" w:hAnsi="宋体" w:eastAsia="宋体"/>
          <w:color w:val="FF0000"/>
          <w:szCs w:val="21"/>
        </w:rPr>
        <w:t>本项目</w:t>
      </w:r>
      <w:r>
        <w:rPr>
          <w:rFonts w:hint="eastAsia" w:ascii="宋体" w:hAnsi="宋体" w:eastAsia="宋体"/>
          <w:b/>
          <w:bCs/>
          <w:color w:val="FF0000"/>
          <w:szCs w:val="21"/>
          <w:u w:val="single"/>
        </w:rPr>
        <w:t>不允许</w:t>
      </w:r>
      <w:r>
        <w:rPr>
          <w:rFonts w:hint="eastAsia" w:ascii="宋体" w:hAnsi="宋体" w:eastAsia="宋体"/>
          <w:color w:val="FF0000"/>
          <w:szCs w:val="21"/>
        </w:rPr>
        <w:t>分包，不适宜分包的理由是：</w:t>
      </w:r>
      <w:r>
        <w:rPr>
          <w:rFonts w:ascii="宋体" w:hAnsi="宋体" w:eastAsia="宋体"/>
          <w:color w:val="FF0000"/>
          <w:szCs w:val="21"/>
          <w:u w:val="single"/>
        </w:rPr>
        <w:t xml:space="preserve"> </w:t>
      </w:r>
      <w:r>
        <w:rPr>
          <w:rFonts w:hint="eastAsia" w:ascii="宋体" w:hAnsi="宋体" w:eastAsia="宋体"/>
          <w:color w:val="FF0000"/>
          <w:szCs w:val="21"/>
          <w:u w:val="single"/>
        </w:rPr>
        <w:t>本项目服务内容形式完整单一，需保证一致性，故不宜分包</w:t>
      </w:r>
      <w:r>
        <w:rPr>
          <w:rFonts w:ascii="宋体" w:hAnsi="宋体" w:eastAsia="宋体"/>
          <w:color w:val="FF0000"/>
          <w:szCs w:val="21"/>
          <w:u w:val="single"/>
        </w:rPr>
        <w:t xml:space="preserve"> 。</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39"/>
    <w:bookmarkEnd w:id="40"/>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支持中小企业发展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1.1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lang w:val="en-US" w:eastAsia="zh-CN"/>
        </w:rPr>
        <w:t xml:space="preserve">1.2 </w:t>
      </w:r>
      <w:r>
        <w:rPr>
          <w:rFonts w:hint="eastAsia" w:ascii="宋体" w:hAnsi="宋体" w:eastAsia="宋体" w:cs="宋体"/>
          <w:i w:val="0"/>
          <w:iCs w:val="0"/>
          <w:sz w:val="21"/>
          <w:szCs w:val="21"/>
        </w:rPr>
        <w:t>在</w:t>
      </w:r>
      <w:r>
        <w:rPr>
          <w:rFonts w:hint="eastAsia" w:ascii="宋体" w:hAnsi="宋体" w:eastAsia="宋体" w:cs="宋体"/>
          <w:i w:val="0"/>
          <w:iCs w:val="0"/>
          <w:color w:val="auto"/>
          <w:sz w:val="21"/>
          <w:szCs w:val="21"/>
          <w:highlight w:val="none"/>
        </w:rPr>
        <w:t>政府采购活动中，供应商提供的货物或者服务符合下列情形的，享受中小企业扶持政策：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1.7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1.8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1.9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支持监狱企业发展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符合《关于政府采购支持监狱企业发展有关问题的通知》</w:t>
      </w:r>
      <w:r>
        <w:rPr>
          <w:rFonts w:hint="eastAsia" w:ascii="宋体" w:hAnsi="宋体" w:eastAsia="宋体" w:cs="宋体"/>
          <w:i w:val="0"/>
          <w:iCs w:val="0"/>
          <w:sz w:val="21"/>
          <w:szCs w:val="21"/>
        </w:rPr>
        <w:t>（财库[2014]68号）规定的监狱企业并提供由省级以上监狱管理局、戒毒管理局（含新疆生产建设兵团）出具的属于监狱企业证明文件的，视同为小型、微型企业。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促进残疾人就业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w:t>
      </w:r>
      <w:r>
        <w:rPr>
          <w:rFonts w:hint="eastAsia" w:ascii="宋体" w:hAnsi="宋体" w:eastAsia="宋体" w:cs="Times New Roman"/>
          <w:bCs/>
          <w:spacing w:val="-6"/>
          <w:szCs w:val="21"/>
          <w:highlight w:val="none"/>
        </w:rPr>
        <w:t>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bookmarkEnd w:id="41"/>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w:t>
      </w:r>
      <w:r>
        <w:rPr>
          <w:rFonts w:hint="eastAsia" w:ascii="宋体" w:hAnsi="宋体" w:eastAsia="宋体"/>
          <w:b/>
          <w:bCs/>
          <w:spacing w:val="-6"/>
          <w:szCs w:val="21"/>
        </w:rPr>
        <w:t>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a.投标人在政府采购云平台完成电子</w:t>
      </w:r>
      <w:r>
        <w:rPr>
          <w:rFonts w:hint="eastAsia" w:ascii="宋体" w:hAnsi="宋体" w:eastAsia="宋体"/>
          <w:spacing w:val="-6"/>
          <w:szCs w:val="21"/>
        </w:rPr>
        <w:t>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left="0" w:leftChars="0" w:firstLine="420" w:firstLineChars="200"/>
        <w:rPr>
          <w:rFonts w:ascii="宋体" w:hAnsi="宋体" w:eastAsia="宋体"/>
          <w:color w:val="auto"/>
          <w:szCs w:val="21"/>
        </w:rPr>
      </w:pPr>
      <w:bookmarkStart w:id="44" w:name="_Hlk94018664"/>
      <w:r>
        <w:rPr>
          <w:rFonts w:hint="eastAsia" w:ascii="宋体" w:hAnsi="宋体" w:eastAsia="宋体"/>
          <w:szCs w:val="21"/>
        </w:rPr>
        <w:t>1.报价应按招标文件要求的格式编制、填写报价内容（可自行增行），未按招标文件要求编制、填写的投标文件可能被</w:t>
      </w:r>
      <w:r>
        <w:rPr>
          <w:rFonts w:hint="eastAsia" w:ascii="宋体" w:hAnsi="宋体" w:eastAsia="宋体"/>
          <w:color w:val="auto"/>
          <w:szCs w:val="21"/>
        </w:rPr>
        <w:t>拒绝；</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3"/>
        <w:adjustRightInd w:val="0"/>
        <w:snapToGrid w:val="0"/>
        <w:spacing w:before="0" w:beforeLines="0" w:after="0" w:afterLines="0" w:line="288" w:lineRule="auto"/>
        <w:ind w:left="0" w:leftChars="0" w:firstLine="420" w:firstLineChars="200"/>
        <w:jc w:val="left"/>
        <w:rPr>
          <w:rFonts w:hAnsi="宋体" w:eastAsia="宋体" w:cs="宋体"/>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w:t>
      </w:r>
      <w:r>
        <w:rPr>
          <w:rFonts w:hint="eastAsia" w:hAnsi="宋体" w:eastAsia="宋体" w:cs="宋体"/>
          <w:sz w:val="21"/>
          <w:szCs w:val="21"/>
          <w:highlight w:val="none"/>
        </w:rPr>
        <w:t>形式有偿取得货物或服务，不接受投标人给予的赠品、回扣或者与采购无关的其他商品、服务</w:t>
      </w:r>
      <w:r>
        <w:rPr>
          <w:rFonts w:hAnsi="宋体" w:eastAsia="宋体" w:cs="宋体"/>
          <w:sz w:val="21"/>
          <w:szCs w:val="21"/>
          <w:highlight w:val="none"/>
        </w:rPr>
        <w:t>。</w:t>
      </w:r>
    </w:p>
    <w:bookmarkEnd w:id="44"/>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投标技</w:t>
      </w:r>
      <w:r>
        <w:rPr>
          <w:rFonts w:ascii="宋体" w:hAnsi="宋体" w:eastAsia="宋体" w:cs="Times New Roman"/>
          <w:spacing w:val="-6"/>
          <w:szCs w:val="21"/>
        </w:rPr>
        <w:t>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6</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7</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spacing w:val="-6"/>
          <w:szCs w:val="21"/>
        </w:rPr>
        <w:t>（4）不同投标</w:t>
      </w:r>
      <w:r>
        <w:rPr>
          <w:rFonts w:hint="eastAsia" w:ascii="宋体" w:hAnsi="宋体" w:eastAsia="宋体" w:cs="Times New Roman"/>
          <w:color w:val="auto"/>
          <w:spacing w:val="-6"/>
          <w:szCs w:val="21"/>
        </w:rPr>
        <w:t>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w:t>
      </w:r>
      <w:r>
        <w:rPr>
          <w:rFonts w:ascii="宋体" w:hAnsi="宋体" w:cs="仿宋"/>
          <w:color w:val="auto"/>
          <w:kern w:val="0"/>
          <w:sz w:val="21"/>
          <w:szCs w:val="21"/>
          <w:highlight w:val="none"/>
        </w:rPr>
        <w:t>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pPr>
        <w:adjustRightInd w:val="0"/>
        <w:snapToGrid w:val="0"/>
        <w:spacing w:line="288" w:lineRule="auto"/>
        <w:ind w:firstLine="426" w:firstLineChars="202"/>
        <w:rPr>
          <w:rFonts w:hint="eastAsia" w:ascii="宋体" w:hAnsi="宋体" w:eastAsia="宋体" w:cs="Arial"/>
          <w:b/>
          <w:color w:val="auto"/>
          <w:kern w:val="0"/>
          <w:szCs w:val="21"/>
          <w:highlight w:val="none"/>
        </w:rPr>
      </w:pP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zb05@qszb.net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w:t>
      </w:r>
      <w:r>
        <w:rPr>
          <w:rFonts w:hint="eastAsia" w:ascii="宋体" w:hAnsi="宋体" w:eastAsia="宋体" w:cs="Arial"/>
          <w:kern w:val="0"/>
          <w:szCs w:val="21"/>
          <w:highlight w:val="none"/>
        </w:rPr>
        <w:t>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w:t>
      </w:r>
      <w:r>
        <w:rPr>
          <w:rFonts w:hint="eastAsia" w:ascii="宋体" w:hAnsi="宋体" w:eastAsia="宋体" w:cs="Arial"/>
          <w:kern w:val="0"/>
          <w:szCs w:val="21"/>
        </w:rPr>
        <w:t>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highlight w:val="none"/>
        </w:rPr>
        <w:t>第四章  评标方法和评</w:t>
      </w:r>
      <w:r>
        <w:rPr>
          <w:rFonts w:hint="eastAsia" w:ascii="宋体" w:hAnsi="宋体" w:eastAsia="宋体" w:cs="Times New Roman"/>
          <w:b/>
          <w:sz w:val="32"/>
          <w:szCs w:val="32"/>
        </w:rPr>
        <w:t>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szCs w:val="21"/>
              </w:rPr>
              <w:t>价格分采用低价优先法计算，即满足招标文件要求且投标价格最低的投标报价为</w:t>
            </w:r>
            <w:r>
              <w:rPr>
                <w:rFonts w:hint="eastAsia" w:ascii="宋体" w:hAnsi="宋体" w:eastAsia="宋体" w:cs="宋体"/>
                <w:color w:val="auto"/>
                <w:szCs w:val="21"/>
                <w:highlight w:val="none"/>
              </w:rPr>
              <w:t>评标基准价，其他投标人的价格分按照下列公式计算：</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ascii="宋体" w:hAnsi="宋体" w:eastAsia="宋体" w:cs="Times New Roman"/>
                <w:b/>
                <w:bCs/>
                <w:szCs w:val="21"/>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w:t>
            </w:r>
            <w:r>
              <w:rPr>
                <w:rFonts w:hint="eastAsia" w:ascii="宋体" w:hAnsi="宋体" w:eastAsia="宋体" w:cs="宋体"/>
                <w:szCs w:val="21"/>
                <w:lang w:eastAsia="zh-CN"/>
              </w:rPr>
              <w:t>2022年1月1日</w:t>
            </w:r>
            <w:r>
              <w:rPr>
                <w:rFonts w:hint="eastAsia" w:ascii="宋体" w:hAnsi="宋体" w:eastAsia="宋体" w:cs="宋体"/>
                <w:szCs w:val="21"/>
              </w:rPr>
              <w:t>以来（以合同签订时间为准）同类同类运维类项目</w:t>
            </w:r>
            <w:r>
              <w:rPr>
                <w:rFonts w:hint="eastAsia" w:ascii="宋体" w:hAnsi="宋体" w:eastAsia="宋体" w:cs="宋体"/>
                <w:szCs w:val="21"/>
                <w:lang w:val="en-US" w:eastAsia="zh-CN"/>
              </w:rPr>
              <w:t>的</w:t>
            </w:r>
            <w:r>
              <w:rPr>
                <w:rFonts w:hint="eastAsia" w:ascii="宋体" w:hAnsi="宋体" w:eastAsia="宋体" w:cs="宋体"/>
                <w:szCs w:val="21"/>
              </w:rPr>
              <w:t>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体系认证</w:t>
            </w:r>
          </w:p>
        </w:tc>
        <w:tc>
          <w:tcPr>
            <w:tcW w:w="654" w:type="dxa"/>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投标人具有有效的信息技术服务管理体系认证证书、信息安全管理体系认证证书、质量管理体系认证证书</w:t>
            </w:r>
            <w:r>
              <w:rPr>
                <w:rFonts w:hint="eastAsia" w:ascii="宋体" w:hAnsi="宋体" w:eastAsia="宋体" w:cs="宋体"/>
                <w:szCs w:val="21"/>
                <w:lang w:val="en-US" w:eastAsia="zh-CN"/>
              </w:rPr>
              <w:t>的，每提供1</w:t>
            </w:r>
            <w:r>
              <w:rPr>
                <w:rFonts w:hint="eastAsia" w:ascii="宋体" w:hAnsi="宋体" w:eastAsia="宋体" w:cs="宋体"/>
                <w:szCs w:val="21"/>
              </w:rPr>
              <w:t>个得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本项最高得3分。</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注：提供证书复印件及国家认证认可监督管理委员会官网（http://www.cnca.gov.cn/）查询截图，不提供不得分。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项目理解与分析</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分】投标人对</w:t>
            </w:r>
            <w:r>
              <w:rPr>
                <w:rFonts w:hint="eastAsia" w:ascii="宋体" w:hAnsi="宋体" w:eastAsia="宋体" w:cs="宋体"/>
                <w:szCs w:val="21"/>
                <w:lang w:val="en-US" w:eastAsia="zh-CN"/>
              </w:rPr>
              <w:t>本</w:t>
            </w:r>
            <w:r>
              <w:rPr>
                <w:rFonts w:hint="eastAsia" w:ascii="宋体" w:hAnsi="宋体" w:eastAsia="宋体" w:cs="宋体"/>
                <w:szCs w:val="21"/>
                <w:lang w:eastAsia="zh-CN"/>
              </w:rPr>
              <w:t>项目实施背景及需求理解进行分析。根据投标人对项目的熟悉程度，理解是否准确、全面、充分</w:t>
            </w:r>
            <w:r>
              <w:rPr>
                <w:rFonts w:hint="eastAsia" w:ascii="宋体" w:hAnsi="宋体" w:eastAsia="宋体" w:cs="宋体"/>
                <w:szCs w:val="21"/>
                <w:lang w:val="en-US" w:eastAsia="zh-CN"/>
              </w:rPr>
              <w:t>等情况</w:t>
            </w:r>
            <w:r>
              <w:rPr>
                <w:rFonts w:hint="eastAsia" w:ascii="宋体" w:hAnsi="宋体" w:eastAsia="宋体" w:cs="宋体"/>
                <w:szCs w:val="21"/>
                <w:lang w:eastAsia="zh-CN"/>
              </w:rPr>
              <w:t>。（</w:t>
            </w:r>
            <w:r>
              <w:rPr>
                <w:rFonts w:hint="eastAsia" w:ascii="宋体" w:hAnsi="宋体" w:eastAsia="宋体" w:cs="宋体"/>
                <w:szCs w:val="21"/>
                <w:lang w:val="en-US" w:eastAsia="zh-CN"/>
              </w:rPr>
              <w:t>评分范围：4,3,2,1,0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项目整体运维方案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w:t>
            </w:r>
            <w:r>
              <w:rPr>
                <w:rFonts w:hint="eastAsia" w:ascii="宋体" w:hAnsi="宋体" w:eastAsia="宋体" w:cs="宋体"/>
                <w:szCs w:val="21"/>
                <w:lang w:eastAsia="zh-CN"/>
              </w:rPr>
              <w:t>提供</w:t>
            </w:r>
            <w:r>
              <w:rPr>
                <w:rFonts w:hint="eastAsia" w:ascii="宋体" w:hAnsi="宋体" w:eastAsia="宋体" w:cs="宋体"/>
                <w:b/>
                <w:bCs/>
                <w:szCs w:val="21"/>
                <w:lang w:val="en-US" w:eastAsia="zh-CN"/>
              </w:rPr>
              <w:t>文旅数据仓试点建设系统</w:t>
            </w:r>
            <w:r>
              <w:rPr>
                <w:rFonts w:hint="eastAsia" w:ascii="宋体" w:hAnsi="宋体" w:eastAsia="宋体" w:cs="宋体"/>
                <w:b/>
                <w:bCs/>
                <w:szCs w:val="21"/>
                <w:lang w:eastAsia="zh-CN"/>
              </w:rPr>
              <w:t>核心功能运维服务方案</w:t>
            </w:r>
            <w:r>
              <w:rPr>
                <w:rFonts w:hint="eastAsia" w:ascii="宋体" w:hAnsi="宋体" w:eastAsia="宋体" w:cs="宋体"/>
                <w:szCs w:val="21"/>
                <w:lang w:eastAsia="zh-CN"/>
              </w:rPr>
              <w:t>，</w:t>
            </w:r>
            <w:r>
              <w:rPr>
                <w:rFonts w:hint="eastAsia" w:ascii="宋体" w:hAnsi="宋体" w:eastAsia="宋体" w:cs="宋体"/>
                <w:szCs w:val="21"/>
                <w:lang w:val="en-US" w:eastAsia="zh-CN"/>
              </w:rPr>
              <w:t>方案内容具体详细、合理可行、符合项目特点和采购需求</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w:t>
            </w:r>
            <w:r>
              <w:rPr>
                <w:rFonts w:hint="eastAsia" w:ascii="宋体" w:hAnsi="宋体" w:eastAsia="宋体" w:cs="宋体"/>
                <w:szCs w:val="21"/>
                <w:lang w:eastAsia="zh-CN"/>
              </w:rPr>
              <w:t>提供</w:t>
            </w:r>
            <w:r>
              <w:rPr>
                <w:rFonts w:hint="eastAsia" w:ascii="宋体" w:hAnsi="宋体" w:eastAsia="宋体" w:cs="宋体"/>
                <w:b/>
                <w:bCs/>
                <w:szCs w:val="21"/>
                <w:lang w:val="en-US" w:eastAsia="zh-CN"/>
              </w:rPr>
              <w:t>浙江文旅大脑系统核心功能运维服务方案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投标人提</w:t>
            </w:r>
            <w:r>
              <w:rPr>
                <w:rFonts w:hint="eastAsia" w:ascii="宋体" w:hAnsi="宋体" w:eastAsia="宋体" w:cs="宋体"/>
                <w:szCs w:val="21"/>
                <w:lang w:eastAsia="zh-CN"/>
              </w:rPr>
              <w:t>供</w:t>
            </w:r>
            <w:r>
              <w:rPr>
                <w:rFonts w:hint="eastAsia" w:ascii="宋体" w:hAnsi="宋体" w:eastAsia="宋体" w:cs="宋体"/>
                <w:b/>
                <w:bCs/>
                <w:szCs w:val="21"/>
                <w:lang w:val="en-US" w:eastAsia="zh-CN"/>
              </w:rPr>
              <w:t>游浙里治理端应用（即旅游通应用系统）核心功能运维服务方案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投标人提</w:t>
            </w:r>
            <w:r>
              <w:rPr>
                <w:rFonts w:hint="eastAsia" w:ascii="宋体" w:hAnsi="宋体" w:eastAsia="宋体" w:cs="宋体"/>
                <w:szCs w:val="21"/>
                <w:lang w:eastAsia="zh-CN"/>
              </w:rPr>
              <w:t>供</w:t>
            </w:r>
            <w:r>
              <w:rPr>
                <w:rFonts w:hint="eastAsia" w:ascii="宋体" w:hAnsi="宋体" w:eastAsia="宋体" w:cs="宋体"/>
                <w:b/>
                <w:bCs/>
                <w:szCs w:val="21"/>
                <w:lang w:val="en-US" w:eastAsia="zh-CN"/>
              </w:rPr>
              <w:t>游浙里服务端导游导览英文版优化服务方案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投标人提</w:t>
            </w:r>
            <w:r>
              <w:rPr>
                <w:rFonts w:hint="eastAsia" w:ascii="宋体" w:hAnsi="宋体" w:eastAsia="宋体" w:cs="宋体"/>
                <w:szCs w:val="21"/>
                <w:lang w:eastAsia="zh-CN"/>
              </w:rPr>
              <w:t>供</w:t>
            </w:r>
            <w:r>
              <w:rPr>
                <w:rFonts w:hint="eastAsia" w:ascii="宋体" w:hAnsi="宋体" w:eastAsia="宋体" w:cs="宋体"/>
                <w:b/>
                <w:bCs/>
                <w:szCs w:val="21"/>
                <w:lang w:val="en-US" w:eastAsia="zh-CN"/>
              </w:rPr>
              <w:t>数字电视公共服务系统优化升级服务方案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投标人承诺</w:t>
            </w:r>
            <w:r>
              <w:rPr>
                <w:rFonts w:hint="eastAsia" w:ascii="宋体" w:hAnsi="宋体" w:eastAsia="宋体" w:cs="宋体"/>
                <w:szCs w:val="21"/>
                <w:highlight w:val="none"/>
                <w:lang w:eastAsia="zh-CN"/>
              </w:rPr>
              <w:t>提供数字电视专用云资源，包含广播电视专网云主机、CDN、云存储、安全服务等服务，提供相应服务承诺或</w:t>
            </w:r>
            <w:r>
              <w:rPr>
                <w:rFonts w:hint="eastAsia" w:ascii="宋体" w:hAnsi="宋体" w:eastAsia="宋体" w:cs="宋体"/>
                <w:szCs w:val="21"/>
                <w:highlight w:val="none"/>
                <w:lang w:val="en-US" w:eastAsia="zh-CN"/>
              </w:rPr>
              <w:t>相关证明材料的得5分，不提供不得分</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w:t>
            </w:r>
            <w:r>
              <w:rPr>
                <w:rFonts w:hint="eastAsia" w:ascii="宋体" w:hAnsi="宋体" w:eastAsia="宋体" w:cs="宋体"/>
                <w:b/>
                <w:bCs/>
                <w:szCs w:val="21"/>
                <w:lang w:eastAsia="zh-CN"/>
              </w:rPr>
              <w:t>整体应用日常维护及巡检方案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项目人员团队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【客观分】</w:t>
            </w:r>
            <w:r>
              <w:rPr>
                <w:rFonts w:hint="eastAsia" w:ascii="宋体" w:hAnsi="宋体" w:eastAsia="宋体" w:cs="宋体"/>
                <w:szCs w:val="21"/>
                <w:lang w:val="en-US" w:eastAsia="zh-CN"/>
              </w:rPr>
              <w:t>投标人</w:t>
            </w:r>
            <w:r>
              <w:rPr>
                <w:rFonts w:hint="eastAsia" w:ascii="宋体" w:hAnsi="宋体" w:eastAsia="宋体" w:cs="宋体"/>
                <w:szCs w:val="21"/>
                <w:lang w:eastAsia="zh-CN"/>
              </w:rPr>
              <w:t>拟派</w:t>
            </w:r>
            <w:r>
              <w:rPr>
                <w:rFonts w:hint="eastAsia" w:ascii="宋体" w:hAnsi="宋体" w:eastAsia="宋体" w:cs="宋体"/>
                <w:b/>
                <w:bCs/>
                <w:szCs w:val="21"/>
                <w:lang w:eastAsia="zh-CN"/>
              </w:rPr>
              <w:t>项目负责人</w:t>
            </w:r>
            <w:r>
              <w:rPr>
                <w:rFonts w:hint="eastAsia" w:ascii="宋体" w:hAnsi="宋体" w:eastAsia="宋体" w:cs="宋体"/>
                <w:szCs w:val="21"/>
                <w:lang w:eastAsia="zh-CN"/>
              </w:rPr>
              <w:t>具备信息系统项目管理师证书、高级工程师证书，每</w:t>
            </w:r>
            <w:r>
              <w:rPr>
                <w:rFonts w:hint="eastAsia" w:ascii="宋体" w:hAnsi="宋体" w:eastAsia="宋体" w:cs="宋体"/>
                <w:szCs w:val="21"/>
                <w:lang w:val="en-US" w:eastAsia="zh-CN"/>
              </w:rPr>
              <w:t>提供一份</w:t>
            </w:r>
            <w:r>
              <w:rPr>
                <w:rFonts w:hint="eastAsia" w:ascii="宋体" w:hAnsi="宋体" w:eastAsia="宋体" w:cs="宋体"/>
                <w:szCs w:val="21"/>
                <w:lang w:eastAsia="zh-CN"/>
              </w:rPr>
              <w:t>证书得2分，本项最高得4分。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说明：上述人员必须为</w:t>
            </w:r>
            <w:r>
              <w:rPr>
                <w:rFonts w:hint="eastAsia" w:ascii="宋体" w:hAnsi="宋体" w:eastAsia="宋体" w:cs="宋体"/>
                <w:szCs w:val="21"/>
                <w:lang w:val="en-US" w:eastAsia="zh-CN"/>
              </w:rPr>
              <w:t>投标人</w:t>
            </w:r>
            <w:r>
              <w:rPr>
                <w:rFonts w:hint="eastAsia" w:ascii="宋体" w:hAnsi="宋体" w:eastAsia="宋体" w:cs="宋体"/>
                <w:szCs w:val="21"/>
                <w:lang w:eastAsia="zh-CN"/>
              </w:rPr>
              <w:t>在职员工，提供上述人员</w:t>
            </w:r>
            <w:r>
              <w:rPr>
                <w:rFonts w:hint="eastAsia" w:ascii="宋体" w:hAnsi="宋体" w:eastAsia="宋体" w:cs="宋体"/>
                <w:szCs w:val="21"/>
                <w:lang w:val="en-US" w:eastAsia="zh-CN"/>
              </w:rPr>
              <w:t>在职证明（</w:t>
            </w:r>
            <w:r>
              <w:rPr>
                <w:rFonts w:hint="eastAsia" w:ascii="宋体" w:hAnsi="宋体" w:eastAsia="宋体" w:cs="宋体"/>
                <w:szCs w:val="21"/>
                <w:lang w:eastAsia="zh-CN"/>
              </w:rPr>
              <w:t>最近三个月中任意一个月的社保缴纳证明材料或劳动合同）、</w:t>
            </w:r>
            <w:r>
              <w:rPr>
                <w:rFonts w:hint="eastAsia" w:ascii="宋体" w:hAnsi="宋体" w:eastAsia="宋体" w:cs="宋体"/>
                <w:szCs w:val="21"/>
                <w:lang w:val="en-US" w:eastAsia="zh-CN"/>
              </w:rPr>
              <w:t>证书扫描件</w:t>
            </w:r>
            <w:r>
              <w:rPr>
                <w:rFonts w:hint="eastAsia" w:ascii="宋体" w:hAnsi="宋体" w:eastAsia="宋体" w:cs="宋体"/>
                <w:szCs w:val="21"/>
                <w:lang w:eastAsia="zh-CN"/>
              </w:rPr>
              <w:t>，</w:t>
            </w:r>
            <w:r>
              <w:rPr>
                <w:rFonts w:hint="default" w:ascii="宋体" w:hAnsi="宋体" w:eastAsia="宋体" w:cs="宋体"/>
                <w:szCs w:val="21"/>
                <w:lang w:eastAsia="zh-CN"/>
              </w:rPr>
              <w:t>未提供</w:t>
            </w:r>
            <w:r>
              <w:rPr>
                <w:rFonts w:hint="default" w:ascii="宋体" w:hAnsi="宋体" w:eastAsia="宋体" w:cs="宋体"/>
                <w:szCs w:val="21"/>
                <w:lang w:val="en-US" w:eastAsia="zh-CN"/>
              </w:rPr>
              <w:t>或提供不全或不符合以上要求</w:t>
            </w:r>
            <w:r>
              <w:rPr>
                <w:rFonts w:hint="default" w:ascii="宋体" w:hAnsi="宋体" w:eastAsia="宋体" w:cs="宋体"/>
                <w:szCs w:val="21"/>
                <w:lang w:eastAsia="zh-CN"/>
              </w:rPr>
              <w:t>的不</w:t>
            </w:r>
            <w:r>
              <w:rPr>
                <w:rFonts w:hint="default" w:ascii="宋体" w:hAnsi="宋体" w:eastAsia="宋体" w:cs="宋体"/>
                <w:szCs w:val="21"/>
                <w:lang w:val="en-US" w:eastAsia="zh-CN"/>
              </w:rPr>
              <w:t>得</w:t>
            </w:r>
            <w:r>
              <w:rPr>
                <w:rFonts w:hint="default" w:ascii="宋体" w:hAnsi="宋体" w:eastAsia="宋体" w:cs="宋体"/>
                <w:szCs w:val="21"/>
                <w:lang w:eastAsia="zh-CN"/>
              </w:rPr>
              <w:t>分</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【客观分】</w:t>
            </w:r>
            <w:r>
              <w:rPr>
                <w:rFonts w:hint="eastAsia" w:ascii="宋体" w:hAnsi="宋体" w:eastAsia="宋体" w:cs="宋体"/>
                <w:szCs w:val="21"/>
                <w:lang w:val="en-US" w:eastAsia="zh-CN"/>
              </w:rPr>
              <w:t>投标人</w:t>
            </w:r>
            <w:r>
              <w:rPr>
                <w:rFonts w:hint="eastAsia" w:ascii="宋体" w:hAnsi="宋体" w:eastAsia="宋体" w:cs="宋体"/>
                <w:szCs w:val="21"/>
                <w:lang w:eastAsia="zh-CN"/>
              </w:rPr>
              <w:t>拟派</w:t>
            </w:r>
            <w:r>
              <w:rPr>
                <w:rFonts w:hint="eastAsia" w:ascii="宋体" w:hAnsi="宋体" w:eastAsia="宋体" w:cs="宋体"/>
                <w:b/>
                <w:bCs/>
                <w:szCs w:val="21"/>
                <w:lang w:eastAsia="zh-CN"/>
              </w:rPr>
              <w:t>项目技术负责人</w:t>
            </w:r>
            <w:r>
              <w:rPr>
                <w:rFonts w:hint="eastAsia" w:ascii="宋体" w:hAnsi="宋体" w:eastAsia="宋体" w:cs="宋体"/>
                <w:szCs w:val="21"/>
                <w:lang w:eastAsia="zh-CN"/>
              </w:rPr>
              <w:t>具备系统分析师证书、高级工程师证书。每个证书得1.5分，本项最高得3分。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说明：上述人员必须为</w:t>
            </w:r>
            <w:r>
              <w:rPr>
                <w:rFonts w:hint="eastAsia" w:ascii="宋体" w:hAnsi="宋体" w:eastAsia="宋体" w:cs="宋体"/>
                <w:szCs w:val="21"/>
                <w:lang w:val="en-US" w:eastAsia="zh-CN"/>
              </w:rPr>
              <w:t>投标人</w:t>
            </w:r>
            <w:r>
              <w:rPr>
                <w:rFonts w:hint="eastAsia" w:ascii="宋体" w:hAnsi="宋体" w:eastAsia="宋体" w:cs="宋体"/>
                <w:szCs w:val="21"/>
                <w:lang w:eastAsia="zh-CN"/>
              </w:rPr>
              <w:t>在职员工，提供上述人员</w:t>
            </w:r>
            <w:r>
              <w:rPr>
                <w:rFonts w:hint="eastAsia" w:ascii="宋体" w:hAnsi="宋体" w:eastAsia="宋体" w:cs="宋体"/>
                <w:szCs w:val="21"/>
                <w:lang w:val="en-US" w:eastAsia="zh-CN"/>
              </w:rPr>
              <w:t>在职证明（</w:t>
            </w:r>
            <w:r>
              <w:rPr>
                <w:rFonts w:hint="eastAsia" w:ascii="宋体" w:hAnsi="宋体" w:eastAsia="宋体" w:cs="宋体"/>
                <w:szCs w:val="21"/>
                <w:lang w:eastAsia="zh-CN"/>
              </w:rPr>
              <w:t>最近三个月中任意一个月的社保缴纳证明材料或劳动合同）、</w:t>
            </w:r>
            <w:r>
              <w:rPr>
                <w:rFonts w:hint="eastAsia" w:ascii="宋体" w:hAnsi="宋体" w:eastAsia="宋体" w:cs="宋体"/>
                <w:szCs w:val="21"/>
                <w:lang w:val="en-US" w:eastAsia="zh-CN"/>
              </w:rPr>
              <w:t>证书扫描件</w:t>
            </w:r>
            <w:r>
              <w:rPr>
                <w:rFonts w:hint="eastAsia" w:ascii="宋体" w:hAnsi="宋体" w:eastAsia="宋体" w:cs="宋体"/>
                <w:szCs w:val="21"/>
                <w:lang w:eastAsia="zh-CN"/>
              </w:rPr>
              <w:t>，未提供</w:t>
            </w:r>
            <w:r>
              <w:rPr>
                <w:rFonts w:hint="eastAsia" w:ascii="宋体" w:hAnsi="宋体" w:eastAsia="宋体" w:cs="宋体"/>
                <w:szCs w:val="21"/>
                <w:lang w:val="en-US" w:eastAsia="zh-CN"/>
              </w:rPr>
              <w:t>或提供不全或不符合以上要求</w:t>
            </w:r>
            <w:r>
              <w:rPr>
                <w:rFonts w:hint="eastAsia" w:ascii="宋体" w:hAnsi="宋体" w:eastAsia="宋体" w:cs="宋体"/>
                <w:szCs w:val="21"/>
                <w:lang w:eastAsia="zh-CN"/>
              </w:rPr>
              <w:t>的不</w:t>
            </w:r>
            <w:r>
              <w:rPr>
                <w:rFonts w:hint="eastAsia" w:ascii="宋体" w:hAnsi="宋体" w:eastAsia="宋体" w:cs="宋体"/>
                <w:szCs w:val="21"/>
                <w:lang w:val="en-US" w:eastAsia="zh-CN"/>
              </w:rPr>
              <w:t>得</w:t>
            </w:r>
            <w:r>
              <w:rPr>
                <w:rFonts w:hint="eastAsia" w:ascii="宋体" w:hAnsi="宋体" w:eastAsia="宋体" w:cs="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w:t>
            </w:r>
            <w:r>
              <w:rPr>
                <w:rFonts w:hint="eastAsia" w:ascii="宋体" w:hAnsi="宋体" w:eastAsia="宋体" w:cs="宋体"/>
                <w:szCs w:val="21"/>
                <w:lang w:eastAsia="zh-CN"/>
              </w:rPr>
              <w:t>拟派</w:t>
            </w:r>
            <w:r>
              <w:rPr>
                <w:rFonts w:hint="eastAsia" w:ascii="宋体" w:hAnsi="宋体" w:eastAsia="宋体" w:cs="宋体"/>
                <w:b/>
                <w:bCs/>
                <w:szCs w:val="21"/>
                <w:lang w:eastAsia="zh-CN"/>
              </w:rPr>
              <w:t>项目组成员(除项目负责人和项目技术负责人外)</w:t>
            </w:r>
            <w:r>
              <w:rPr>
                <w:rFonts w:hint="eastAsia" w:ascii="宋体" w:hAnsi="宋体" w:eastAsia="宋体" w:cs="宋体"/>
                <w:szCs w:val="21"/>
                <w:lang w:eastAsia="zh-CN"/>
              </w:rPr>
              <w:t>的</w:t>
            </w:r>
            <w:r>
              <w:rPr>
                <w:rFonts w:hint="eastAsia" w:ascii="宋体" w:hAnsi="宋体" w:eastAsia="宋体" w:cs="宋体"/>
                <w:szCs w:val="21"/>
                <w:lang w:val="en-US" w:eastAsia="zh-CN"/>
              </w:rPr>
              <w:t>同类项目经验丰富，专业技术能力强、分工明确</w:t>
            </w:r>
            <w:r>
              <w:rPr>
                <w:rFonts w:hint="eastAsia" w:ascii="宋体" w:hAnsi="宋体" w:eastAsia="宋体" w:cs="宋体"/>
                <w:szCs w:val="21"/>
                <w:lang w:eastAsia="zh-CN"/>
              </w:rPr>
              <w:t>。</w:t>
            </w:r>
            <w:r>
              <w:rPr>
                <w:rFonts w:hint="eastAsia" w:ascii="宋体" w:hAnsi="宋体" w:eastAsia="宋体" w:cs="宋体"/>
                <w:szCs w:val="21"/>
                <w:lang w:val="en-US" w:eastAsia="zh-CN"/>
              </w:rPr>
              <w:t>（评分范围：4,3,2,1,0）</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说明：上述人员必须为</w:t>
            </w:r>
            <w:r>
              <w:rPr>
                <w:rFonts w:hint="eastAsia" w:ascii="宋体" w:hAnsi="宋体" w:eastAsia="宋体" w:cs="宋体"/>
                <w:szCs w:val="21"/>
                <w:lang w:val="en-US" w:eastAsia="zh-CN"/>
              </w:rPr>
              <w:t>投标人</w:t>
            </w:r>
            <w:r>
              <w:rPr>
                <w:rFonts w:hint="eastAsia" w:ascii="宋体" w:hAnsi="宋体" w:eastAsia="宋体" w:cs="宋体"/>
                <w:szCs w:val="21"/>
                <w:lang w:eastAsia="zh-CN"/>
              </w:rPr>
              <w:t>在职员工，提供上述人员</w:t>
            </w:r>
            <w:r>
              <w:rPr>
                <w:rFonts w:hint="eastAsia" w:ascii="宋体" w:hAnsi="宋体" w:eastAsia="宋体" w:cs="宋体"/>
                <w:szCs w:val="21"/>
                <w:lang w:val="en-US" w:eastAsia="zh-CN"/>
              </w:rPr>
              <w:t>在职证明（</w:t>
            </w:r>
            <w:r>
              <w:rPr>
                <w:rFonts w:hint="eastAsia" w:ascii="宋体" w:hAnsi="宋体" w:eastAsia="宋体" w:cs="宋体"/>
                <w:szCs w:val="21"/>
                <w:lang w:eastAsia="zh-CN"/>
              </w:rPr>
              <w:t>最近三个月中任意一个月的社保缴纳证明材料或劳动合同）、</w:t>
            </w:r>
            <w:r>
              <w:rPr>
                <w:rFonts w:hint="eastAsia" w:ascii="宋体" w:hAnsi="宋体" w:eastAsia="宋体" w:cs="宋体"/>
                <w:szCs w:val="21"/>
                <w:lang w:val="en-US" w:eastAsia="zh-CN"/>
              </w:rPr>
              <w:t>证书扫描件（如有）</w:t>
            </w:r>
            <w:r>
              <w:rPr>
                <w:rFonts w:hint="eastAsia" w:ascii="宋体" w:hAnsi="宋体" w:eastAsia="宋体" w:cs="宋体"/>
                <w:szCs w:val="21"/>
                <w:lang w:eastAsia="zh-CN"/>
              </w:rPr>
              <w:t>，未提供</w:t>
            </w:r>
            <w:r>
              <w:rPr>
                <w:rFonts w:hint="eastAsia" w:ascii="宋体" w:hAnsi="宋体" w:eastAsia="宋体" w:cs="宋体"/>
                <w:szCs w:val="21"/>
                <w:lang w:val="en-US" w:eastAsia="zh-CN"/>
              </w:rPr>
              <w:t>在职证明</w:t>
            </w:r>
            <w:r>
              <w:rPr>
                <w:rFonts w:hint="eastAsia" w:ascii="宋体" w:hAnsi="宋体" w:eastAsia="宋体" w:cs="宋体"/>
                <w:szCs w:val="21"/>
                <w:lang w:eastAsia="zh-CN"/>
              </w:rPr>
              <w:t>的不</w:t>
            </w:r>
            <w:r>
              <w:rPr>
                <w:rFonts w:hint="eastAsia" w:ascii="宋体" w:hAnsi="宋体" w:eastAsia="宋体" w:cs="宋体"/>
                <w:szCs w:val="21"/>
                <w:lang w:val="en-US" w:eastAsia="zh-CN"/>
              </w:rPr>
              <w:t>得</w:t>
            </w:r>
            <w:r>
              <w:rPr>
                <w:rFonts w:hint="eastAsia" w:ascii="宋体" w:hAnsi="宋体" w:eastAsia="宋体" w:cs="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组织管理</w:t>
            </w:r>
            <w:r>
              <w:rPr>
                <w:rFonts w:hint="eastAsia" w:ascii="宋体" w:hAnsi="宋体" w:eastAsia="宋体" w:cs="宋体"/>
                <w:b/>
                <w:bCs/>
                <w:szCs w:val="21"/>
                <w:lang w:val="en-US" w:eastAsia="zh-CN"/>
              </w:rPr>
              <w:t>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投标人针对本项目提供</w:t>
            </w:r>
            <w:r>
              <w:rPr>
                <w:rFonts w:hint="eastAsia" w:ascii="宋体" w:hAnsi="宋体" w:eastAsia="宋体" w:cs="宋体"/>
                <w:szCs w:val="21"/>
                <w:lang w:eastAsia="zh-CN"/>
              </w:rPr>
              <w:t>项目管理组织、</w:t>
            </w:r>
            <w:r>
              <w:rPr>
                <w:rFonts w:hint="eastAsia" w:ascii="宋体" w:hAnsi="宋体" w:eastAsia="宋体" w:cs="宋体"/>
                <w:szCs w:val="21"/>
                <w:lang w:val="en-US" w:eastAsia="zh-CN"/>
              </w:rPr>
              <w:t>人员</w:t>
            </w:r>
            <w:r>
              <w:rPr>
                <w:rFonts w:hint="eastAsia" w:ascii="宋体" w:hAnsi="宋体" w:eastAsia="宋体" w:cs="宋体"/>
                <w:szCs w:val="21"/>
                <w:lang w:eastAsia="zh-CN"/>
              </w:rPr>
              <w:t>管理</w:t>
            </w:r>
            <w:r>
              <w:rPr>
                <w:rFonts w:hint="eastAsia" w:ascii="宋体" w:hAnsi="宋体" w:eastAsia="宋体" w:cs="宋体"/>
                <w:szCs w:val="21"/>
                <w:lang w:val="en-US" w:eastAsia="zh-CN"/>
              </w:rPr>
              <w:t>方案，包括管理制度、管理保障</w:t>
            </w:r>
            <w:r>
              <w:rPr>
                <w:rFonts w:hint="eastAsia" w:ascii="宋体" w:hAnsi="宋体" w:eastAsia="宋体" w:cs="宋体"/>
                <w:szCs w:val="21"/>
                <w:lang w:eastAsia="zh-CN"/>
              </w:rPr>
              <w:t>措施</w:t>
            </w:r>
            <w:r>
              <w:rPr>
                <w:rFonts w:hint="eastAsia" w:ascii="宋体" w:hAnsi="宋体" w:eastAsia="宋体" w:cs="宋体"/>
                <w:szCs w:val="21"/>
                <w:lang w:val="en-US" w:eastAsia="zh-CN"/>
              </w:rPr>
              <w:t>，方案内容具体详细、合理可行、符合项目特点和采购需求。（评分范围：4,3,2,1,0）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质量控制措施</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提供项目质量控制措施，</w:t>
            </w:r>
            <w:r>
              <w:rPr>
                <w:rFonts w:hint="eastAsia" w:ascii="宋体" w:hAnsi="宋体" w:eastAsia="宋体" w:cs="宋体"/>
                <w:szCs w:val="21"/>
                <w:lang w:val="en-US" w:eastAsia="zh-CN"/>
              </w:rPr>
              <w:t>措施内容考虑全面、内容详细、针对性强。（评分范围：4,3,2,1,0）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故障处理方案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提供故障处理方案，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安全保障方案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提供安全保障方案，包含安全防护、系统更新、bug修复等，</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应急响应方案</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提供应急响应方案，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重要活动及会议保障服务</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提供重要活动及会议保障服务方案，</w:t>
            </w:r>
            <w:r>
              <w:rPr>
                <w:rFonts w:hint="eastAsia" w:ascii="宋体" w:hAnsi="宋体" w:eastAsia="宋体" w:cs="宋体"/>
                <w:szCs w:val="21"/>
                <w:lang w:val="en-US" w:eastAsia="zh-CN"/>
              </w:rPr>
              <w:t>方案内容具体详细、合理可行、符合项目特点和采购需求。（评分范围：5,4,3,2,1,0）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驻场服务方案</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w:t>
            </w:r>
            <w:r>
              <w:rPr>
                <w:rFonts w:hint="eastAsia" w:ascii="宋体" w:hAnsi="宋体" w:eastAsia="宋体" w:cs="宋体"/>
                <w:szCs w:val="21"/>
                <w:lang w:val="en-US" w:eastAsia="zh-CN"/>
              </w:rPr>
              <w:t>投标人针对本项目</w:t>
            </w:r>
            <w:r>
              <w:rPr>
                <w:rFonts w:hint="eastAsia" w:ascii="宋体" w:hAnsi="宋体" w:eastAsia="宋体" w:cs="宋体"/>
                <w:szCs w:val="21"/>
                <w:lang w:eastAsia="zh-CN"/>
              </w:rPr>
              <w:t>提供</w:t>
            </w:r>
            <w:r>
              <w:rPr>
                <w:rFonts w:hint="eastAsia" w:ascii="宋体" w:hAnsi="宋体" w:eastAsia="宋体" w:cs="宋体"/>
                <w:szCs w:val="21"/>
                <w:lang w:val="en-US" w:eastAsia="zh-CN"/>
              </w:rPr>
              <w:t>驻场服务方案</w:t>
            </w:r>
            <w:r>
              <w:rPr>
                <w:rFonts w:hint="eastAsia" w:ascii="宋体" w:hAnsi="宋体" w:eastAsia="宋体" w:cs="宋体"/>
                <w:szCs w:val="21"/>
                <w:lang w:eastAsia="zh-CN"/>
              </w:rPr>
              <w:t>，</w:t>
            </w:r>
            <w:r>
              <w:rPr>
                <w:rFonts w:hint="eastAsia" w:ascii="宋体" w:hAnsi="宋体" w:eastAsia="宋体" w:cs="宋体"/>
                <w:szCs w:val="21"/>
                <w:lang w:val="en-US" w:eastAsia="zh-CN"/>
              </w:rPr>
              <w:t>方案内容具体详细、合理可行、符合项目特点和采购需求。（评分范围：4,3,2,1,0）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售后服务</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w:t>
            </w:r>
            <w:r>
              <w:rPr>
                <w:rFonts w:hint="eastAsia" w:ascii="宋体" w:hAnsi="宋体" w:eastAsia="宋体" w:cs="宋体"/>
                <w:szCs w:val="21"/>
                <w:lang w:eastAsia="zh-CN"/>
              </w:rPr>
              <w:t>分】提供完善的售后支持服务</w:t>
            </w:r>
            <w:r>
              <w:rPr>
                <w:rFonts w:hint="eastAsia" w:ascii="宋体" w:hAnsi="宋体" w:eastAsia="宋体" w:cs="宋体"/>
                <w:szCs w:val="21"/>
                <w:lang w:val="en-US" w:eastAsia="zh-CN"/>
              </w:rPr>
              <w:t>方案</w:t>
            </w:r>
            <w:r>
              <w:rPr>
                <w:rFonts w:hint="eastAsia" w:ascii="宋体" w:hAnsi="宋体" w:eastAsia="宋体" w:cs="宋体"/>
                <w:szCs w:val="21"/>
                <w:lang w:eastAsia="zh-CN"/>
              </w:rPr>
              <w:t>，包括响应时间、故障解决方案、建立</w:t>
            </w:r>
            <w:r>
              <w:rPr>
                <w:rFonts w:hint="eastAsia" w:ascii="宋体" w:hAnsi="宋体" w:eastAsia="宋体" w:cs="宋体"/>
                <w:szCs w:val="21"/>
                <w:lang w:val="en-US" w:eastAsia="zh-CN"/>
              </w:rPr>
              <w:t>专门的</w:t>
            </w:r>
            <w:r>
              <w:rPr>
                <w:rFonts w:hint="eastAsia" w:ascii="宋体" w:hAnsi="宋体" w:eastAsia="宋体" w:cs="宋体"/>
                <w:szCs w:val="21"/>
                <w:lang w:eastAsia="zh-CN"/>
              </w:rPr>
              <w:t>售后支持团队、采用多种沟通渠道，</w:t>
            </w:r>
            <w:r>
              <w:rPr>
                <w:rFonts w:hint="eastAsia" w:ascii="宋体" w:hAnsi="宋体" w:eastAsia="宋体" w:cs="宋体"/>
                <w:szCs w:val="21"/>
                <w:lang w:val="en-US" w:eastAsia="zh-CN"/>
              </w:rPr>
              <w:t>并</w:t>
            </w:r>
            <w:r>
              <w:rPr>
                <w:rFonts w:hint="eastAsia" w:ascii="宋体" w:hAnsi="宋体" w:eastAsia="宋体" w:cs="宋体"/>
                <w:szCs w:val="21"/>
                <w:lang w:eastAsia="zh-CN"/>
              </w:rPr>
              <w:t>承诺提供7*24小时</w:t>
            </w:r>
            <w:r>
              <w:rPr>
                <w:rFonts w:hint="eastAsia" w:ascii="宋体" w:hAnsi="宋体" w:eastAsia="宋体" w:cs="宋体"/>
                <w:szCs w:val="21"/>
                <w:lang w:val="en-US" w:eastAsia="zh-CN"/>
              </w:rPr>
              <w:t>紧急电话支持服务</w:t>
            </w:r>
            <w:r>
              <w:rPr>
                <w:rFonts w:hint="eastAsia" w:ascii="宋体" w:hAnsi="宋体" w:eastAsia="宋体" w:cs="宋体"/>
                <w:szCs w:val="21"/>
                <w:lang w:eastAsia="zh-CN"/>
              </w:rPr>
              <w:t>。</w:t>
            </w:r>
            <w:r>
              <w:rPr>
                <w:rFonts w:hint="eastAsia" w:ascii="宋体" w:hAnsi="宋体" w:eastAsia="宋体" w:cs="宋体"/>
                <w:szCs w:val="21"/>
                <w:lang w:val="en-US" w:eastAsia="zh-CN"/>
              </w:rPr>
              <w:t>方案内容具体详细、合理可行、符合项目特点和采购需求。（评分范围：4,3,2,1,0）</w:t>
            </w:r>
          </w:p>
          <w:p>
            <w:pPr>
              <w:pStyle w:val="2"/>
              <w:ind w:left="0" w:leftChars="0" w:firstLine="0" w:firstLineChars="0"/>
              <w:rPr>
                <w:rFonts w:hint="default"/>
                <w:lang w:val="en-US" w:eastAsia="zh-CN"/>
              </w:rPr>
            </w:pPr>
            <w:r>
              <w:rPr>
                <w:rFonts w:hint="eastAsia" w:ascii="宋体" w:hAnsi="宋体" w:cs="宋体"/>
                <w:szCs w:val="21"/>
                <w:lang w:val="en-US" w:eastAsia="zh-CN"/>
              </w:rPr>
              <w:t>注：提供7*24小时紧急电话支持服务承诺函，不提供不得分</w:t>
            </w:r>
          </w:p>
        </w:tc>
      </w:tr>
    </w:tbl>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浙江省广播电视监测评议中心（浙江省文化广电和旅游大数据中心）</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2025年度省文广旅大数据中心信息系统运维项目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QSZBE250029ZFGK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浙江省广播电视监测评议中心（浙江省文化广电和旅游大数据中心）</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浙江省广播电视监测评议中心（浙江省文化广电和旅游大数据中心）</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2025年度省文广旅大数据中心信息系统运维项目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QSZBE250029ZFGK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单价</w:t>
            </w:r>
          </w:p>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合计</w:t>
            </w:r>
          </w:p>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r>
              <w:rPr>
                <w:rFonts w:hint="eastAsia" w:ascii="宋体" w:hAnsi="宋体" w:eastAsia="宋体"/>
                <w:spacing w:val="-6"/>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left="178" w:leftChars="85"/>
              <w:jc w:val="center"/>
              <w:rPr>
                <w:rFonts w:ascii="宋体" w:hAnsi="宋体" w:eastAsia="宋体"/>
                <w:spacing w:val="-6"/>
                <w:szCs w:val="21"/>
              </w:rPr>
            </w:pP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spacing w:val="-6"/>
                <w:szCs w:val="21"/>
              </w:rPr>
            </w:pPr>
          </w:p>
          <w:p>
            <w:pPr>
              <w:adjustRightInd w:val="0"/>
              <w:snapToGrid w:val="0"/>
              <w:spacing w:line="288" w:lineRule="auto"/>
              <w:rPr>
                <w:rFonts w:ascii="宋体" w:hAnsi="宋体" w:eastAsia="宋体"/>
                <w:spacing w:val="-6"/>
                <w:szCs w:val="21"/>
              </w:rPr>
            </w:pPr>
            <w:r>
              <w:rPr>
                <w:rFonts w:hint="eastAsia" w:ascii="宋体" w:hAnsi="宋体" w:eastAsia="宋体"/>
                <w:spacing w:val="-6"/>
                <w:szCs w:val="21"/>
              </w:rPr>
              <w:t>合同总价（人民币元）：</w:t>
            </w:r>
          </w:p>
          <w:p>
            <w:pPr>
              <w:adjustRightInd w:val="0"/>
              <w:snapToGrid w:val="0"/>
              <w:spacing w:line="288" w:lineRule="auto"/>
              <w:rPr>
                <w:rFonts w:ascii="宋体" w:hAnsi="宋体" w:eastAsia="宋体"/>
                <w:spacing w:val="-6"/>
                <w:szCs w:val="21"/>
              </w:rPr>
            </w:pPr>
          </w:p>
          <w:p>
            <w:pPr>
              <w:adjustRightInd w:val="0"/>
              <w:snapToGrid w:val="0"/>
              <w:spacing w:line="288" w:lineRule="auto"/>
              <w:rPr>
                <w:rFonts w:ascii="宋体" w:hAnsi="宋体" w:eastAsia="宋体"/>
                <w:spacing w:val="-6"/>
                <w:szCs w:val="21"/>
              </w:rPr>
            </w:pPr>
            <w:r>
              <w:rPr>
                <w:rFonts w:hint="eastAsia" w:ascii="宋体" w:hAnsi="宋体" w:eastAsia="宋体"/>
                <w:spacing w:val="-6"/>
                <w:szCs w:val="21"/>
              </w:rPr>
              <w:t>注：1.以上合同总价包括履行本项目服务所需的等一切费用。</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第二条：服务时间</w:t>
      </w:r>
    </w:p>
    <w:p>
      <w:pPr>
        <w:adjustRightInd w:val="0"/>
        <w:snapToGrid w:val="0"/>
        <w:spacing w:line="288" w:lineRule="auto"/>
        <w:ind w:right="-514" w:rightChars="-245" w:firstLine="396" w:firstLineChars="200"/>
        <w:rPr>
          <w:rFonts w:ascii="宋体" w:hAnsi="宋体" w:eastAsia="宋体"/>
          <w:spacing w:val="-6"/>
          <w:szCs w:val="21"/>
          <w:u w:val="single"/>
        </w:rPr>
      </w:pPr>
      <w:r>
        <w:rPr>
          <w:rFonts w:hint="eastAsia" w:ascii="宋体" w:hAnsi="宋体" w:eastAsia="宋体"/>
          <w:spacing w:val="-6"/>
          <w:szCs w:val="21"/>
        </w:rPr>
        <w:t>合同签订后1年。</w:t>
      </w:r>
      <w:r>
        <w:rPr>
          <w:rFonts w:ascii="宋体" w:hAnsi="宋体" w:eastAsia="宋体"/>
          <w:spacing w:val="-6"/>
          <w:szCs w:val="21"/>
          <w:u w:val="single"/>
        </w:rPr>
        <w:t xml:space="preserve">     </w:t>
      </w:r>
      <w:r>
        <w:rPr>
          <w:rFonts w:hint="eastAsia" w:ascii="宋体" w:hAnsi="宋体" w:eastAsia="宋体"/>
          <w:spacing w:val="-6"/>
          <w:szCs w:val="21"/>
          <w:u w:val="single"/>
        </w:rPr>
        <w:t xml:space="preserve">年 </w:t>
      </w:r>
      <w:r>
        <w:rPr>
          <w:rFonts w:ascii="宋体" w:hAnsi="宋体" w:eastAsia="宋体"/>
          <w:spacing w:val="-6"/>
          <w:szCs w:val="21"/>
          <w:u w:val="single"/>
        </w:rPr>
        <w:t xml:space="preserve"> </w:t>
      </w:r>
      <w:r>
        <w:rPr>
          <w:rFonts w:hint="eastAsia" w:ascii="宋体" w:hAnsi="宋体" w:eastAsia="宋体"/>
          <w:spacing w:val="-6"/>
          <w:szCs w:val="21"/>
          <w:u w:val="single"/>
        </w:rPr>
        <w:t xml:space="preserve">月 </w:t>
      </w:r>
      <w:r>
        <w:rPr>
          <w:rFonts w:ascii="宋体" w:hAnsi="宋体" w:eastAsia="宋体"/>
          <w:spacing w:val="-6"/>
          <w:szCs w:val="21"/>
          <w:u w:val="single"/>
        </w:rPr>
        <w:t xml:space="preserve">  </w:t>
      </w:r>
      <w:r>
        <w:rPr>
          <w:rFonts w:hint="eastAsia" w:ascii="宋体" w:hAnsi="宋体" w:eastAsia="宋体"/>
          <w:spacing w:val="-6"/>
          <w:szCs w:val="21"/>
          <w:u w:val="single"/>
        </w:rPr>
        <w:t xml:space="preserve">日 至 </w:t>
      </w:r>
      <w:r>
        <w:rPr>
          <w:rFonts w:ascii="宋体" w:hAnsi="宋体" w:eastAsia="宋体"/>
          <w:spacing w:val="-6"/>
          <w:szCs w:val="21"/>
          <w:u w:val="single"/>
        </w:rPr>
        <w:t xml:space="preserve">    </w:t>
      </w:r>
      <w:r>
        <w:rPr>
          <w:rFonts w:hint="eastAsia" w:ascii="宋体" w:hAnsi="宋体" w:eastAsia="宋体"/>
          <w:spacing w:val="-6"/>
          <w:szCs w:val="21"/>
          <w:u w:val="single"/>
        </w:rPr>
        <w:t xml:space="preserve">年 </w:t>
      </w:r>
      <w:r>
        <w:rPr>
          <w:rFonts w:ascii="宋体" w:hAnsi="宋体" w:eastAsia="宋体"/>
          <w:spacing w:val="-6"/>
          <w:szCs w:val="21"/>
          <w:u w:val="single"/>
        </w:rPr>
        <w:t xml:space="preserve">  </w:t>
      </w:r>
      <w:r>
        <w:rPr>
          <w:rFonts w:hint="eastAsia" w:ascii="宋体" w:hAnsi="宋体" w:eastAsia="宋体"/>
          <w:spacing w:val="-6"/>
          <w:szCs w:val="21"/>
          <w:u w:val="single"/>
        </w:rPr>
        <w:t xml:space="preserve">月 </w:t>
      </w:r>
      <w:r>
        <w:rPr>
          <w:rFonts w:ascii="宋体" w:hAnsi="宋体" w:eastAsia="宋体"/>
          <w:spacing w:val="-6"/>
          <w:szCs w:val="21"/>
          <w:u w:val="single"/>
        </w:rPr>
        <w:t xml:space="preserve">  </w:t>
      </w:r>
      <w:r>
        <w:rPr>
          <w:rFonts w:hint="eastAsia" w:ascii="宋体" w:hAnsi="宋体" w:eastAsia="宋体"/>
          <w:spacing w:val="-6"/>
          <w:szCs w:val="21"/>
          <w:u w:val="single"/>
        </w:rPr>
        <w:t>日</w:t>
      </w: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 xml:space="preserve">第三条：付款方式 </w:t>
      </w:r>
    </w:p>
    <w:p>
      <w:pPr>
        <w:widowControl w:val="0"/>
        <w:autoSpaceDE w:val="0"/>
        <w:autoSpaceDN w:val="0"/>
        <w:adjustRightInd w:val="0"/>
        <w:ind w:firstLine="420" w:firstLineChars="200"/>
        <w:rPr>
          <w:rFonts w:ascii="宋体" w:hAnsi="宋体" w:eastAsia="宋体" w:cs="Arial"/>
          <w:color w:val="auto"/>
          <w:sz w:val="21"/>
          <w:szCs w:val="21"/>
          <w:lang w:val="en-US" w:eastAsia="zh-CN" w:bidi="ar-SA"/>
        </w:rPr>
      </w:pP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第四条：服务内容（具体细则根据招标文件、投标文件编写）</w:t>
      </w:r>
    </w:p>
    <w:p>
      <w:pPr>
        <w:adjustRightInd w:val="0"/>
        <w:snapToGrid w:val="0"/>
        <w:spacing w:line="288" w:lineRule="auto"/>
        <w:ind w:firstLine="396" w:firstLineChars="200"/>
        <w:rPr>
          <w:rFonts w:ascii="宋体" w:hAnsi="宋体" w:eastAsia="宋体"/>
          <w:spacing w:val="-6"/>
          <w:szCs w:val="21"/>
        </w:rPr>
      </w:pP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第五条：技术资料</w:t>
      </w:r>
    </w:p>
    <w:p>
      <w:pPr>
        <w:adjustRightInd w:val="0"/>
        <w:snapToGrid w:val="0"/>
        <w:spacing w:line="288" w:lineRule="auto"/>
        <w:ind w:firstLine="396" w:firstLineChars="200"/>
        <w:rPr>
          <w:rFonts w:ascii="宋体" w:hAnsi="宋体" w:eastAsia="宋体"/>
          <w:spacing w:val="-6"/>
          <w:szCs w:val="21"/>
        </w:rPr>
      </w:pPr>
      <w:r>
        <w:rPr>
          <w:rFonts w:hint="eastAsia" w:ascii="宋体" w:hAnsi="宋体" w:eastAsia="宋体"/>
          <w:spacing w:val="-6"/>
          <w:szCs w:val="21"/>
        </w:rPr>
        <w:t>1.乙方应按招标文件规定的时间向甲方提供有关技术资料。</w:t>
      </w:r>
    </w:p>
    <w:p>
      <w:pPr>
        <w:adjustRightInd w:val="0"/>
        <w:snapToGrid w:val="0"/>
        <w:spacing w:line="288" w:lineRule="auto"/>
        <w:ind w:firstLine="396" w:firstLineChars="200"/>
        <w:rPr>
          <w:rFonts w:ascii="宋体" w:hAnsi="宋体" w:eastAsia="宋体"/>
          <w:spacing w:val="-6"/>
          <w:szCs w:val="21"/>
        </w:rPr>
      </w:pPr>
      <w:r>
        <w:rPr>
          <w:rFonts w:hint="eastAsia" w:ascii="宋体" w:hAnsi="宋体" w:eastAsia="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djustRightInd w:val="0"/>
        <w:snapToGrid w:val="0"/>
        <w:spacing w:line="288" w:lineRule="auto"/>
        <w:ind w:left="340" w:hanging="340" w:hangingChars="171"/>
        <w:rPr>
          <w:rFonts w:ascii="宋体" w:hAnsi="宋体" w:eastAsia="宋体"/>
          <w:b/>
          <w:spacing w:val="-6"/>
          <w:szCs w:val="21"/>
        </w:rPr>
      </w:pPr>
      <w:r>
        <w:rPr>
          <w:rFonts w:hint="eastAsia" w:ascii="宋体" w:hAnsi="宋体" w:eastAsia="宋体"/>
          <w:b/>
          <w:spacing w:val="-6"/>
          <w:szCs w:val="21"/>
        </w:rPr>
        <w:t>第六条：知识产权及第三方权利保障</w:t>
      </w:r>
    </w:p>
    <w:p>
      <w:pPr>
        <w:adjustRightInd w:val="0"/>
        <w:snapToGrid w:val="0"/>
        <w:spacing w:line="288" w:lineRule="auto"/>
        <w:ind w:firstLine="396" w:firstLineChars="200"/>
        <w:rPr>
          <w:rFonts w:ascii="宋体" w:hAnsi="宋体" w:eastAsia="宋体"/>
          <w:spacing w:val="-6"/>
          <w:szCs w:val="21"/>
        </w:rPr>
      </w:pPr>
      <w:r>
        <w:rPr>
          <w:rFonts w:hint="eastAsia" w:ascii="宋体" w:hAnsi="宋体" w:eastAsia="宋体"/>
          <w:spacing w:val="-6"/>
          <w:szCs w:val="21"/>
        </w:rPr>
        <w:t>乙方应保证乙方及乙方员工所提供的本协议之服务内容不会侵犯任何第三方的知识产权、肖像权及其他权利。</w:t>
      </w:r>
    </w:p>
    <w:p>
      <w:pPr>
        <w:adjustRightInd w:val="0"/>
        <w:snapToGrid w:val="0"/>
        <w:spacing w:line="288" w:lineRule="auto"/>
        <w:rPr>
          <w:rFonts w:ascii="宋体" w:hAnsi="宋体" w:eastAsia="宋体"/>
          <w:b/>
          <w:spacing w:val="-6"/>
          <w:szCs w:val="21"/>
        </w:rPr>
      </w:pPr>
      <w:r>
        <w:rPr>
          <w:rFonts w:hint="eastAsia" w:ascii="宋体" w:hAnsi="宋体" w:eastAsia="宋体"/>
          <w:b/>
          <w:spacing w:val="-6"/>
          <w:szCs w:val="21"/>
        </w:rPr>
        <w:t>第七条：验收</w:t>
      </w:r>
    </w:p>
    <w:p>
      <w:pPr>
        <w:adjustRightInd w:val="0"/>
        <w:snapToGrid w:val="0"/>
        <w:spacing w:line="288" w:lineRule="auto"/>
        <w:ind w:right="23" w:rightChars="11" w:firstLine="396" w:firstLineChars="200"/>
        <w:rPr>
          <w:rFonts w:ascii="宋体" w:hAnsi="宋体" w:eastAsia="宋体"/>
          <w:spacing w:val="-6"/>
          <w:szCs w:val="21"/>
        </w:rPr>
      </w:pPr>
      <w:r>
        <w:rPr>
          <w:rFonts w:hint="eastAsia" w:ascii="宋体" w:hAnsi="宋体" w:eastAsia="宋体"/>
          <w:spacing w:val="-6"/>
          <w:szCs w:val="21"/>
        </w:rPr>
        <w:t>1.乙方服务期满后应对服务内容作出全面检查和对验收文件进行整理，并列出清单，作为甲方验收和使用的技术条件依据，检验的结果应交甲方。</w:t>
      </w:r>
    </w:p>
    <w:p>
      <w:pPr>
        <w:adjustRightInd w:val="0"/>
        <w:snapToGrid w:val="0"/>
        <w:spacing w:line="288" w:lineRule="auto"/>
        <w:ind w:right="23" w:rightChars="11" w:firstLine="396" w:firstLineChars="200"/>
        <w:rPr>
          <w:rFonts w:ascii="宋体" w:hAnsi="宋体" w:eastAsia="宋体"/>
          <w:spacing w:val="-6"/>
          <w:szCs w:val="21"/>
        </w:rPr>
      </w:pPr>
      <w:r>
        <w:rPr>
          <w:rFonts w:hint="eastAsia" w:ascii="宋体" w:hAnsi="宋体" w:eastAsia="宋体"/>
          <w:spacing w:val="-6"/>
          <w:szCs w:val="21"/>
        </w:rPr>
        <w:t>2.甲方对乙方提交的服务依据招标文件上的技术要求进行验收，乙方需负责安排专门人员向甲方做服务项目总结和汇报，并协助甲方一起检验资料，直到符合技术要求，甲方做最终验收。</w:t>
      </w:r>
    </w:p>
    <w:p>
      <w:pPr>
        <w:adjustRightInd w:val="0"/>
        <w:snapToGrid w:val="0"/>
        <w:spacing w:line="288" w:lineRule="auto"/>
        <w:ind w:right="23" w:rightChars="11" w:firstLine="396" w:firstLineChars="200"/>
        <w:rPr>
          <w:rFonts w:ascii="宋体" w:hAnsi="宋体" w:eastAsia="宋体"/>
          <w:spacing w:val="-6"/>
          <w:szCs w:val="21"/>
        </w:rPr>
      </w:pPr>
      <w:r>
        <w:rPr>
          <w:rFonts w:hint="eastAsia" w:ascii="宋体" w:hAnsi="宋体" w:eastAsia="宋体"/>
          <w:spacing w:val="-6"/>
          <w:szCs w:val="21"/>
        </w:rPr>
        <w:t>3.乙方负责对照采购文件、响应文件及本合同制作完整的验收报告，甲方负责组织专家验收，验收时间：</w:t>
      </w:r>
      <w:r>
        <w:rPr>
          <w:rFonts w:ascii="宋体" w:hAnsi="宋体" w:eastAsia="宋体"/>
          <w:spacing w:val="-6"/>
          <w:szCs w:val="21"/>
        </w:rPr>
        <w:t>____________________</w:t>
      </w:r>
      <w:r>
        <w:rPr>
          <w:rFonts w:hint="eastAsia" w:ascii="宋体" w:hAnsi="宋体" w:eastAsia="宋体"/>
          <w:spacing w:val="-6"/>
          <w:szCs w:val="21"/>
        </w:rPr>
        <w:t>。</w:t>
      </w:r>
    </w:p>
    <w:p>
      <w:pPr>
        <w:adjustRightInd w:val="0"/>
        <w:snapToGrid w:val="0"/>
        <w:spacing w:line="288" w:lineRule="auto"/>
        <w:ind w:right="-514" w:rightChars="-245"/>
        <w:rPr>
          <w:rFonts w:ascii="宋体" w:hAnsi="宋体" w:eastAsia="宋体"/>
          <w:b/>
          <w:spacing w:val="-6"/>
          <w:szCs w:val="21"/>
        </w:rPr>
      </w:pPr>
      <w:r>
        <w:rPr>
          <w:rFonts w:hint="eastAsia" w:ascii="宋体" w:hAnsi="宋体" w:eastAsia="宋体"/>
          <w:b/>
          <w:spacing w:val="-6"/>
          <w:szCs w:val="21"/>
        </w:rPr>
        <w:t>第八条：违约责任</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1.乙方逾期履行合同的，自逾期之日起，向甲方每日偿付合同总价千分之一的违约金。</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2.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3.乙方违反本合同第六条之规定的，乙方应消除影响并承担由此产生的一切法律责任，甲方有权视情况决定单方解除本合同，并要求乙方赔偿由此产生的损失。</w:t>
      </w:r>
    </w:p>
    <w:p>
      <w:pPr>
        <w:autoSpaceDE w:val="0"/>
        <w:autoSpaceDN w:val="0"/>
        <w:adjustRightInd w:val="0"/>
        <w:snapToGrid w:val="0"/>
        <w:spacing w:line="288" w:lineRule="auto"/>
        <w:ind w:firstLine="420" w:firstLineChars="200"/>
        <w:jc w:val="left"/>
        <w:rPr>
          <w:rFonts w:ascii="宋体" w:hAnsi="宋体" w:eastAsia="宋体" w:cs="Songti SC Regular"/>
          <w:kern w:val="0"/>
          <w:szCs w:val="21"/>
        </w:rPr>
      </w:pPr>
      <w:r>
        <w:rPr>
          <w:rFonts w:hint="eastAsia" w:ascii="宋体" w:hAnsi="宋体" w:eastAsia="宋体" w:cs="Songti SC Regular"/>
          <w:kern w:val="0"/>
          <w:szCs w:val="21"/>
        </w:rPr>
        <w:t>4.甲方损失包括直接经济损失和维权成本（公证费、律师费、保全费、诉讼费等）。</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九</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第十一条：合同生效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第十二条：合同份数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本合同一式四份，甲、乙双方各执两份。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bl>
    <w:p>
      <w:pPr>
        <w:adjustRightInd w:val="0"/>
        <w:snapToGrid w:val="0"/>
        <w:spacing w:line="288" w:lineRule="auto"/>
        <w:rPr>
          <w:rFonts w:ascii="宋体" w:hAnsi="宋体" w:eastAsia="宋体" w:cs="Times New Roman"/>
          <w:spacing w:val="-6"/>
          <w:szCs w:val="21"/>
        </w:rPr>
      </w:pPr>
    </w:p>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3）落实政府采购</w:t>
      </w:r>
      <w:r>
        <w:rPr>
          <w:rFonts w:ascii="宋体" w:hAnsi="宋体" w:eastAsia="宋体" w:cs="宋体"/>
          <w:bCs/>
          <w:spacing w:val="-6"/>
          <w:szCs w:val="21"/>
          <w:highlight w:val="none"/>
        </w:rPr>
        <w:t>政策需满足的资格要求：无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2024年12月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4</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体系认证</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5</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w:t>
      </w:r>
      <w:r>
        <w:rPr>
          <w:rFonts w:hint="eastAsia" w:ascii="宋体" w:hAnsi="宋体" w:eastAsia="宋体" w:cs="宋体"/>
          <w:spacing w:val="-6"/>
          <w:szCs w:val="21"/>
          <w:highlight w:val="none"/>
        </w:rPr>
        <w:t>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项目理解与分析</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项目整体运维方案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项目人员团队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组织管理方案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质量控制措施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故障处理方案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安全保障方案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应急响应方案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重要活动及会议保障服务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驻场服务方案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0" w:name="_Hlk81815656"/>
      <w:r>
        <w:rPr>
          <w:rFonts w:hint="eastAsia" w:ascii="宋体" w:hAnsi="宋体" w:eastAsia="宋体" w:cs="Times New Roman"/>
          <w:spacing w:val="-6"/>
          <w:szCs w:val="21"/>
          <w:highlight w:val="none"/>
        </w:rPr>
        <w:t>（若属于中小企业）</w:t>
      </w:r>
      <w:bookmarkEnd w:id="50"/>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1" w:name="_Hlk81815359"/>
      <w:r>
        <w:rPr>
          <w:rFonts w:hint="eastAsia" w:ascii="宋体" w:hAnsi="宋体" w:eastAsia="宋体" w:cs="Times New Roman"/>
          <w:spacing w:val="-6"/>
          <w:szCs w:val="21"/>
          <w:highlight w:val="none"/>
        </w:rPr>
        <w:t>（若属于监狱企业）</w:t>
      </w:r>
      <w:bookmarkEnd w:id="51"/>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2" w:name="OLE_LINK13"/>
      <w:bookmarkStart w:id="53" w:name="OLE_LINK14"/>
      <w:r>
        <w:rPr>
          <w:rFonts w:hint="eastAsia" w:ascii="宋体" w:hAnsi="宋体" w:eastAsia="宋体" w:cs="Times New Roman"/>
          <w:spacing w:val="-6"/>
          <w:szCs w:val="21"/>
          <w:highlight w:val="none"/>
        </w:rPr>
        <w:t>残疾人福利性单位声明函</w:t>
      </w:r>
      <w:bookmarkEnd w:id="52"/>
      <w:bookmarkEnd w:id="53"/>
      <w:bookmarkStart w:id="54" w:name="_Hlk81815372"/>
      <w:r>
        <w:rPr>
          <w:rFonts w:hint="eastAsia" w:ascii="宋体" w:hAnsi="宋体" w:eastAsia="宋体" w:cs="Times New Roman"/>
          <w:spacing w:val="-6"/>
          <w:szCs w:val="21"/>
          <w:highlight w:val="none"/>
        </w:rPr>
        <w:t>（若属于残疾人福利性单位）</w:t>
      </w:r>
      <w:bookmarkEnd w:id="54"/>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浙江省广播电视监测评议中心（浙江省文化广电和旅游大数据中心）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浙江省广播电视监测评议中心（浙江省文化广电和旅游大数据中心）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浙江省广播电视监测评议中心（浙江省文化广电和旅游大数据中心）2025年度省文广旅大数据中心信息系统运维项目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QSZBE250029ZFGK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浙江省广播电视监测评议中心（浙江省文化广电和旅游大数据中心）</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浙江省广播电视监测评议中心（浙江省文化广电和旅游大数据中心）2025年度省文广旅大数据中心信息系统运维项目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QSZBE250029ZFGK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2024年12月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2024年12月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体系认证</w:t>
      </w:r>
    </w:p>
    <w:p>
      <w:pPr>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浙江省广播电视监测评议中心（浙江省文化广电和旅游大数据中心）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2025年度省文广旅大数据中心信息系统运维项目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QSZBE250029ZFGK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hint="eastAsia" w:ascii="宋体" w:hAnsi="宋体" w:eastAsia="宋体" w:cs="宋体"/>
          <w:b/>
          <w:spacing w:val="-6"/>
          <w:szCs w:val="21"/>
          <w:lang w:eastAsia="zh-CN"/>
        </w:rPr>
      </w:pPr>
      <w:r>
        <w:rPr>
          <w:rFonts w:hint="eastAsia" w:ascii="宋体" w:hAnsi="宋体" w:eastAsia="宋体" w:cs="Times New Roman"/>
          <w:spacing w:val="-6"/>
          <w:szCs w:val="21"/>
        </w:rPr>
        <w:br w:type="page"/>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服务</w:t>
      </w:r>
      <w:r>
        <w:rPr>
          <w:rFonts w:hint="eastAsia" w:ascii="宋体" w:hAnsi="宋体" w:eastAsia="宋体" w:cs="宋体"/>
          <w:b/>
          <w:spacing w:val="-6"/>
          <w:szCs w:val="21"/>
        </w:rPr>
        <w:t>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项目理解与分析</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项目整体运维方案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项目人员团队</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组织管理方案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质量控制措施</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故障处理方案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安全保障方案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应急响应方案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重要活动及会议保障服务</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驻场服务方案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浙江省广播电视监测评议中心（浙江省文化广电和旅游大数据中心）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2025年度省文广旅大数据中心信息系统运维项目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QSZBE250029ZFGK</w:t>
      </w:r>
    </w:p>
    <w:p>
      <w:pPr>
        <w:adjustRightInd w:val="0"/>
        <w:snapToGrid w:val="0"/>
        <w:spacing w:line="288" w:lineRule="auto"/>
        <w:rPr>
          <w:rFonts w:hint="eastAsia"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5" w:name="_Hlk177717733"/>
            <w:r>
              <w:rPr>
                <w:rFonts w:hint="eastAsia" w:ascii="宋体" w:hAnsi="宋体" w:eastAsia="宋体" w:cs="宋体"/>
                <w:b/>
                <w:bCs/>
                <w:sz w:val="21"/>
                <w:szCs w:val="21"/>
              </w:rPr>
              <w:t>规格型号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服务项目不涉及提供货物的，规格型号、品牌、制造商、产地的可不填写；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联合体其他成员承担的部分，应在表中列明。</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rPr>
        <w:t>本公司（联合体）郑</w:t>
      </w:r>
      <w:r>
        <w:rPr>
          <w:rFonts w:ascii="宋体" w:hAnsi="宋体" w:eastAsia="宋体" w:cs="Times New Roman"/>
          <w:color w:val="auto"/>
          <w:szCs w:val="21"/>
          <w:highlight w:val="none"/>
        </w:rPr>
        <w:t>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Times New Roman"/>
          <w:color w:val="auto"/>
          <w:szCs w:val="21"/>
          <w:highlight w:val="none"/>
          <w:u w:val="single"/>
          <w:lang w:val="en-US" w:eastAsia="zh-CN"/>
        </w:rPr>
        <w:t>7</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highlight w:val="none"/>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lang w:val="en-US" w:eastAsia="zh-CN"/>
        </w:rPr>
        <w:t>响应</w:t>
      </w:r>
      <w:r>
        <w:rPr>
          <w:rFonts w:hint="eastAsia" w:ascii="宋体" w:hAnsi="宋体" w:eastAsia="宋体" w:cs="仿宋_GB2312"/>
          <w:kern w:val="0"/>
          <w:szCs w:val="21"/>
          <w:lang w:val="zh-CN"/>
        </w:rPr>
        <w:t>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6856996"/>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50D4C76"/>
    <w:rsid w:val="16694FE2"/>
    <w:rsid w:val="169326D4"/>
    <w:rsid w:val="173D2504"/>
    <w:rsid w:val="18090C43"/>
    <w:rsid w:val="1820601B"/>
    <w:rsid w:val="18BC4BA4"/>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DA35CF6"/>
    <w:rsid w:val="2DBE14C9"/>
    <w:rsid w:val="2F6A64D8"/>
    <w:rsid w:val="301765BD"/>
    <w:rsid w:val="30616EA9"/>
    <w:rsid w:val="30E162B3"/>
    <w:rsid w:val="313E5C07"/>
    <w:rsid w:val="31A44D82"/>
    <w:rsid w:val="31EC174B"/>
    <w:rsid w:val="32BE120D"/>
    <w:rsid w:val="330C0EF9"/>
    <w:rsid w:val="33506DE6"/>
    <w:rsid w:val="344B5501"/>
    <w:rsid w:val="35A54CED"/>
    <w:rsid w:val="37534CA7"/>
    <w:rsid w:val="37D824F1"/>
    <w:rsid w:val="3A3519D1"/>
    <w:rsid w:val="3A4A6543"/>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44FB0"/>
    <w:rsid w:val="4A5E5147"/>
    <w:rsid w:val="4B0275FC"/>
    <w:rsid w:val="4B2A11DD"/>
    <w:rsid w:val="4B7D5F80"/>
    <w:rsid w:val="4BC91BE7"/>
    <w:rsid w:val="4BD458ED"/>
    <w:rsid w:val="4BF40741"/>
    <w:rsid w:val="4C5E019B"/>
    <w:rsid w:val="4CD33321"/>
    <w:rsid w:val="4E724CEA"/>
    <w:rsid w:val="4F64249F"/>
    <w:rsid w:val="4F6E1200"/>
    <w:rsid w:val="4FEE189E"/>
    <w:rsid w:val="50A1482A"/>
    <w:rsid w:val="53F038EA"/>
    <w:rsid w:val="596674B0"/>
    <w:rsid w:val="59BA69E3"/>
    <w:rsid w:val="5A661DF4"/>
    <w:rsid w:val="5ACF0178"/>
    <w:rsid w:val="5B3F5F54"/>
    <w:rsid w:val="5B535726"/>
    <w:rsid w:val="5B5E287E"/>
    <w:rsid w:val="5C3E17F9"/>
    <w:rsid w:val="5D3A6920"/>
    <w:rsid w:val="5D8135CC"/>
    <w:rsid w:val="5DEC1E56"/>
    <w:rsid w:val="60032374"/>
    <w:rsid w:val="600446EC"/>
    <w:rsid w:val="600D2EE6"/>
    <w:rsid w:val="61A6685E"/>
    <w:rsid w:val="621760F6"/>
    <w:rsid w:val="62246B60"/>
    <w:rsid w:val="644041B0"/>
    <w:rsid w:val="644F1ACD"/>
    <w:rsid w:val="649558B0"/>
    <w:rsid w:val="67FF1998"/>
    <w:rsid w:val="680D1D99"/>
    <w:rsid w:val="68604949"/>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0120A7"/>
    <w:rsid w:val="759A092D"/>
    <w:rsid w:val="75B93A51"/>
    <w:rsid w:val="75C12BF5"/>
    <w:rsid w:val="774152C9"/>
    <w:rsid w:val="793070F8"/>
    <w:rsid w:val="79D825C1"/>
    <w:rsid w:val="7B5D131E"/>
    <w:rsid w:val="7DB41B16"/>
    <w:rsid w:val="7DEB79E2"/>
    <w:rsid w:val="7DFC5027"/>
    <w:rsid w:val="7E002D54"/>
    <w:rsid w:val="7E761143"/>
    <w:rsid w:val="7EEB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8"/>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9"/>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46"/>
    <w:autoRedefine/>
    <w:qFormat/>
    <w:uiPriority w:val="0"/>
    <w:pPr>
      <w:ind w:firstLine="420"/>
    </w:pPr>
    <w:rPr>
      <w:rFonts w:eastAsia="宋体"/>
    </w:r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3"/>
    <w:autoRedefine/>
    <w:unhideWhenUsed/>
    <w:qFormat/>
    <w:uiPriority w:val="99"/>
    <w:rPr>
      <w:rFonts w:ascii="宋体"/>
      <w:sz w:val="18"/>
      <w:szCs w:val="18"/>
    </w:rPr>
  </w:style>
  <w:style w:type="paragraph" w:styleId="9">
    <w:name w:val="annotation text"/>
    <w:basedOn w:val="1"/>
    <w:link w:val="80"/>
    <w:autoRedefine/>
    <w:unhideWhenUsed/>
    <w:qFormat/>
    <w:uiPriority w:val="99"/>
    <w:pPr>
      <w:jc w:val="left"/>
    </w:pPr>
  </w:style>
  <w:style w:type="paragraph" w:styleId="10">
    <w:name w:val="Body Text"/>
    <w:basedOn w:val="1"/>
    <w:next w:val="1"/>
    <w:link w:val="83"/>
    <w:autoRedefine/>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autoRedefine/>
    <w:qFormat/>
    <w:uiPriority w:val="0"/>
    <w:pPr>
      <w:spacing w:line="200" w:lineRule="atLeast"/>
      <w:ind w:firstLine="301"/>
    </w:pPr>
    <w:rPr>
      <w:rFonts w:ascii="宋体" w:hAnsi="Courier New"/>
      <w:spacing w:val="-4"/>
      <w:sz w:val="18"/>
    </w:rPr>
  </w:style>
  <w:style w:type="paragraph" w:styleId="12">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autoRedefine/>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autoRedefine/>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autoRedefine/>
    <w:qFormat/>
    <w:uiPriority w:val="0"/>
    <w:rPr>
      <w:rFonts w:ascii="Times New Roman" w:hAnsi="Times New Roman" w:eastAsia="宋体" w:cs="Times New Roman"/>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autoRedefine/>
    <w:unhideWhenUsed/>
    <w:qFormat/>
    <w:uiPriority w:val="99"/>
    <w:rPr>
      <w:b/>
      <w:bCs/>
      <w:sz w:val="28"/>
      <w:szCs w:val="24"/>
    </w:rPr>
  </w:style>
  <w:style w:type="paragraph" w:styleId="22">
    <w:name w:val="Body Text First Indent 2"/>
    <w:basedOn w:val="11"/>
    <w:link w:val="88"/>
    <w:autoRedefine/>
    <w:unhideWhenUsed/>
    <w:qFormat/>
    <w:uiPriority w:val="99"/>
    <w:pPr>
      <w:ind w:firstLine="42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FollowedHyperlink"/>
    <w:autoRedefine/>
    <w:unhideWhenUsed/>
    <w:qFormat/>
    <w:uiPriority w:val="99"/>
    <w:rPr>
      <w:color w:val="5579A7"/>
      <w:u w:val="none"/>
    </w:rPr>
  </w:style>
  <w:style w:type="character" w:styleId="29">
    <w:name w:val="HTML Definition"/>
    <w:autoRedefine/>
    <w:unhideWhenUsed/>
    <w:qFormat/>
    <w:uiPriority w:val="99"/>
    <w:rPr>
      <w:i/>
    </w:rPr>
  </w:style>
  <w:style w:type="character" w:styleId="30">
    <w:name w:val="Hyperlink"/>
    <w:autoRedefine/>
    <w:qFormat/>
    <w:uiPriority w:val="0"/>
    <w:rPr>
      <w:color w:val="5579A7"/>
      <w:u w:val="none"/>
    </w:rPr>
  </w:style>
  <w:style w:type="character" w:styleId="31">
    <w:name w:val="HTML Code"/>
    <w:autoRedefine/>
    <w:unhideWhenUsed/>
    <w:qFormat/>
    <w:uiPriority w:val="99"/>
    <w:rPr>
      <w:rFonts w:ascii="-apple-system" w:hAnsi="-apple-system" w:eastAsia="-apple-system" w:cs="-apple-system"/>
      <w:sz w:val="21"/>
      <w:szCs w:val="21"/>
    </w:rPr>
  </w:style>
  <w:style w:type="character" w:styleId="32">
    <w:name w:val="annotation reference"/>
    <w:autoRedefine/>
    <w:unhideWhenUsed/>
    <w:qFormat/>
    <w:uiPriority w:val="99"/>
    <w:rPr>
      <w:sz w:val="21"/>
      <w:szCs w:val="21"/>
    </w:rPr>
  </w:style>
  <w:style w:type="character" w:styleId="33">
    <w:name w:val="HTML Keyboard"/>
    <w:autoRedefine/>
    <w:unhideWhenUsed/>
    <w:qFormat/>
    <w:uiPriority w:val="99"/>
    <w:rPr>
      <w:rFonts w:hint="default" w:ascii="-apple-system" w:hAnsi="-apple-system" w:eastAsia="-apple-system" w:cs="-apple-system"/>
      <w:sz w:val="21"/>
      <w:szCs w:val="21"/>
    </w:rPr>
  </w:style>
  <w:style w:type="character" w:styleId="34">
    <w:name w:val="HTML Sample"/>
    <w:autoRedefin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autoRedefine/>
    <w:qFormat/>
    <w:uiPriority w:val="99"/>
    <w:rPr>
      <w:sz w:val="18"/>
      <w:szCs w:val="18"/>
    </w:rPr>
  </w:style>
  <w:style w:type="character" w:customStyle="1" w:styleId="36">
    <w:name w:val="页脚 字符"/>
    <w:basedOn w:val="25"/>
    <w:link w:val="16"/>
    <w:autoRedefine/>
    <w:qFormat/>
    <w:uiPriority w:val="99"/>
    <w:rPr>
      <w:sz w:val="18"/>
      <w:szCs w:val="18"/>
    </w:rPr>
  </w:style>
  <w:style w:type="character" w:customStyle="1" w:styleId="37">
    <w:name w:val="标题 1 字符"/>
    <w:basedOn w:val="25"/>
    <w:link w:val="3"/>
    <w:autoRedefine/>
    <w:qFormat/>
    <w:uiPriority w:val="9"/>
    <w:rPr>
      <w:rFonts w:ascii="Times New Roman" w:hAnsi="Times New Roman" w:eastAsia="宋体" w:cs="Times New Roman"/>
      <w:b/>
      <w:bCs/>
      <w:kern w:val="44"/>
      <w:sz w:val="44"/>
      <w:szCs w:val="44"/>
    </w:rPr>
  </w:style>
  <w:style w:type="character" w:customStyle="1" w:styleId="38">
    <w:name w:val="标题 2 字符"/>
    <w:basedOn w:val="25"/>
    <w:link w:val="4"/>
    <w:autoRedefine/>
    <w:qFormat/>
    <w:uiPriority w:val="9"/>
    <w:rPr>
      <w:rFonts w:ascii="Cambria" w:hAnsi="Cambria" w:eastAsia="宋体" w:cs="Times New Roman"/>
      <w:b/>
      <w:bCs/>
      <w:sz w:val="32"/>
      <w:szCs w:val="32"/>
    </w:rPr>
  </w:style>
  <w:style w:type="character" w:customStyle="1" w:styleId="39">
    <w:name w:val="标题 3 字符"/>
    <w:basedOn w:val="25"/>
    <w:link w:val="5"/>
    <w:autoRedefine/>
    <w:qFormat/>
    <w:uiPriority w:val="9"/>
    <w:rPr>
      <w:rFonts w:ascii="Times New Roman" w:hAnsi="Times New Roman" w:eastAsia="宋体" w:cs="Times New Roman"/>
      <w:b/>
      <w:bCs/>
      <w:sz w:val="32"/>
      <w:szCs w:val="32"/>
    </w:rPr>
  </w:style>
  <w:style w:type="character" w:customStyle="1" w:styleId="40">
    <w:name w:val="jbox-icon-none"/>
    <w:autoRedefine/>
    <w:qFormat/>
    <w:uiPriority w:val="0"/>
    <w:rPr>
      <w:vanish/>
    </w:rPr>
  </w:style>
  <w:style w:type="character" w:customStyle="1" w:styleId="41">
    <w:name w:val="z-窗体底端 字符"/>
    <w:link w:val="42"/>
    <w:autoRedefine/>
    <w:qFormat/>
    <w:uiPriority w:val="99"/>
    <w:rPr>
      <w:rFonts w:ascii="Arial" w:hAnsi="Arial"/>
      <w:vanish/>
      <w:sz w:val="16"/>
      <w:szCs w:val="16"/>
    </w:rPr>
  </w:style>
  <w:style w:type="paragraph" w:customStyle="1" w:styleId="42">
    <w:name w:val="z-窗体底端1"/>
    <w:basedOn w:val="1"/>
    <w:next w:val="1"/>
    <w:link w:val="41"/>
    <w:autoRedefine/>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autoRedefine/>
    <w:qFormat/>
    <w:uiPriority w:val="99"/>
    <w:rPr>
      <w:rFonts w:ascii="宋体"/>
      <w:sz w:val="18"/>
      <w:szCs w:val="18"/>
    </w:rPr>
  </w:style>
  <w:style w:type="character" w:customStyle="1" w:styleId="44">
    <w:name w:val="black601"/>
    <w:autoRedefine/>
    <w:qFormat/>
    <w:uiPriority w:val="0"/>
    <w:rPr>
      <w:color w:val="666666"/>
    </w:rPr>
  </w:style>
  <w:style w:type="character" w:customStyle="1" w:styleId="45">
    <w:name w:val="hour_pm"/>
    <w:basedOn w:val="25"/>
    <w:autoRedefine/>
    <w:qFormat/>
    <w:uiPriority w:val="0"/>
  </w:style>
  <w:style w:type="character" w:customStyle="1" w:styleId="46">
    <w:name w:val="正文缩进 字符"/>
    <w:link w:val="2"/>
    <w:autoRedefine/>
    <w:qFormat/>
    <w:uiPriority w:val="0"/>
    <w:rPr>
      <w:rFonts w:eastAsia="宋体"/>
    </w:rPr>
  </w:style>
  <w:style w:type="character" w:customStyle="1" w:styleId="47">
    <w:name w:val="标题 1 Char Char"/>
    <w:autoRedefine/>
    <w:qFormat/>
    <w:uiPriority w:val="0"/>
    <w:rPr>
      <w:rFonts w:eastAsia="宋体"/>
      <w:b/>
      <w:spacing w:val="-2"/>
      <w:sz w:val="24"/>
      <w:lang w:val="en-US" w:eastAsia="zh-CN" w:bidi="ar-SA"/>
    </w:rPr>
  </w:style>
  <w:style w:type="character" w:customStyle="1" w:styleId="48">
    <w:name w:val="jbox-icon-info"/>
    <w:basedOn w:val="25"/>
    <w:autoRedefine/>
    <w:qFormat/>
    <w:uiPriority w:val="0"/>
  </w:style>
  <w:style w:type="character" w:customStyle="1" w:styleId="49">
    <w:name w:val="hover9"/>
    <w:autoRedefine/>
    <w:qFormat/>
    <w:uiPriority w:val="0"/>
    <w:rPr>
      <w:shd w:val="clear" w:color="auto" w:fill="EEEEEE"/>
    </w:rPr>
  </w:style>
  <w:style w:type="character" w:customStyle="1" w:styleId="50">
    <w:name w:val="maywed421"/>
    <w:autoRedefine/>
    <w:qFormat/>
    <w:uiPriority w:val="0"/>
    <w:rPr>
      <w:color w:val="366FB6"/>
      <w:u w:val="none"/>
    </w:rPr>
  </w:style>
  <w:style w:type="character" w:customStyle="1" w:styleId="51">
    <w:name w:val="old"/>
    <w:autoRedefine/>
    <w:qFormat/>
    <w:uiPriority w:val="0"/>
    <w:rPr>
      <w:color w:val="999999"/>
    </w:rPr>
  </w:style>
  <w:style w:type="character" w:customStyle="1" w:styleId="52">
    <w:name w:val="jbox-icon-warning"/>
    <w:basedOn w:val="25"/>
    <w:autoRedefine/>
    <w:qFormat/>
    <w:uiPriority w:val="0"/>
  </w:style>
  <w:style w:type="character" w:customStyle="1" w:styleId="53">
    <w:name w:val="z-窗体顶端 字符"/>
    <w:link w:val="54"/>
    <w:autoRedefine/>
    <w:qFormat/>
    <w:uiPriority w:val="99"/>
    <w:rPr>
      <w:rFonts w:ascii="Arial" w:hAnsi="Arial"/>
      <w:vanish/>
      <w:sz w:val="16"/>
      <w:szCs w:val="16"/>
    </w:rPr>
  </w:style>
  <w:style w:type="paragraph" w:customStyle="1" w:styleId="54">
    <w:name w:val="z-窗体顶端1"/>
    <w:basedOn w:val="1"/>
    <w:next w:val="1"/>
    <w:link w:val="53"/>
    <w:autoRedefine/>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autoRedefine/>
    <w:qFormat/>
    <w:uiPriority w:val="99"/>
    <w:rPr>
      <w:rFonts w:ascii="宋体" w:hAnsi="Courier New"/>
      <w:sz w:val="24"/>
      <w:szCs w:val="24"/>
    </w:rPr>
  </w:style>
  <w:style w:type="character" w:customStyle="1" w:styleId="56">
    <w:name w:val="批注主题 字符"/>
    <w:link w:val="21"/>
    <w:autoRedefine/>
    <w:qFormat/>
    <w:uiPriority w:val="99"/>
    <w:rPr>
      <w:b/>
      <w:bCs/>
      <w:sz w:val="28"/>
      <w:szCs w:val="24"/>
    </w:rPr>
  </w:style>
  <w:style w:type="character" w:customStyle="1" w:styleId="57">
    <w:name w:val="jbox-icon-loading"/>
    <w:basedOn w:val="25"/>
    <w:autoRedefine/>
    <w:qFormat/>
    <w:uiPriority w:val="0"/>
  </w:style>
  <w:style w:type="character" w:customStyle="1" w:styleId="58">
    <w:name w:val="正文文本缩进 字符"/>
    <w:autoRedefine/>
    <w:qFormat/>
    <w:uiPriority w:val="0"/>
    <w:rPr>
      <w:rFonts w:ascii="宋体" w:hAnsi="Courier New"/>
      <w:spacing w:val="-4"/>
      <w:kern w:val="2"/>
      <w:sz w:val="18"/>
    </w:rPr>
  </w:style>
  <w:style w:type="character" w:customStyle="1" w:styleId="59">
    <w:name w:val="正文文本缩进 字符1"/>
    <w:autoRedefine/>
    <w:qFormat/>
    <w:uiPriority w:val="0"/>
    <w:rPr>
      <w:rFonts w:ascii="宋体" w:hAnsi="Courier New"/>
      <w:spacing w:val="-4"/>
      <w:kern w:val="2"/>
      <w:sz w:val="18"/>
    </w:rPr>
  </w:style>
  <w:style w:type="character" w:customStyle="1" w:styleId="60">
    <w:name w:val="纯文本 字符"/>
    <w:autoRedefine/>
    <w:qFormat/>
    <w:uiPriority w:val="99"/>
    <w:rPr>
      <w:rFonts w:ascii="宋体" w:hAnsi="Courier New"/>
      <w:kern w:val="2"/>
      <w:sz w:val="24"/>
      <w:szCs w:val="24"/>
    </w:rPr>
  </w:style>
  <w:style w:type="character" w:customStyle="1" w:styleId="61">
    <w:name w:val="jbox-icon-question"/>
    <w:basedOn w:val="25"/>
    <w:autoRedefine/>
    <w:qFormat/>
    <w:uiPriority w:val="0"/>
  </w:style>
  <w:style w:type="character" w:customStyle="1" w:styleId="62">
    <w:name w:val="jbox-icon"/>
    <w:basedOn w:val="25"/>
    <w:autoRedefine/>
    <w:qFormat/>
    <w:uiPriority w:val="0"/>
  </w:style>
  <w:style w:type="character" w:customStyle="1" w:styleId="63">
    <w:name w:val="纯文本 字符2"/>
    <w:autoRedefine/>
    <w:qFormat/>
    <w:uiPriority w:val="99"/>
    <w:rPr>
      <w:rFonts w:ascii="宋体" w:hAnsi="Courier New"/>
      <w:kern w:val="2"/>
      <w:sz w:val="24"/>
      <w:szCs w:val="24"/>
    </w:rPr>
  </w:style>
  <w:style w:type="character" w:customStyle="1" w:styleId="64">
    <w:name w:val="hour_am"/>
    <w:basedOn w:val="25"/>
    <w:autoRedefine/>
    <w:qFormat/>
    <w:uiPriority w:val="0"/>
  </w:style>
  <w:style w:type="character" w:customStyle="1" w:styleId="65">
    <w:name w:val="jbox-icon-success"/>
    <w:basedOn w:val="25"/>
    <w:autoRedefine/>
    <w:qFormat/>
    <w:uiPriority w:val="0"/>
  </w:style>
  <w:style w:type="character" w:customStyle="1" w:styleId="66">
    <w:name w:val="批注文字 字符"/>
    <w:autoRedefine/>
    <w:qFormat/>
    <w:uiPriority w:val="99"/>
    <w:rPr>
      <w:kern w:val="2"/>
      <w:sz w:val="28"/>
      <w:szCs w:val="24"/>
    </w:rPr>
  </w:style>
  <w:style w:type="character" w:customStyle="1" w:styleId="67">
    <w:name w:val="纯文本 Char1"/>
    <w:autoRedefine/>
    <w:qFormat/>
    <w:uiPriority w:val="0"/>
    <w:rPr>
      <w:rFonts w:ascii="宋体" w:hAnsi="Courier New"/>
      <w:kern w:val="2"/>
      <w:sz w:val="21"/>
    </w:rPr>
  </w:style>
  <w:style w:type="character" w:customStyle="1" w:styleId="68">
    <w:name w:val="纯文本 Char"/>
    <w:autoRedefine/>
    <w:qFormat/>
    <w:uiPriority w:val="99"/>
    <w:rPr>
      <w:rFonts w:ascii="宋体" w:hAnsi="Courier New"/>
      <w:kern w:val="2"/>
      <w:sz w:val="24"/>
      <w:szCs w:val="24"/>
    </w:rPr>
  </w:style>
  <w:style w:type="character" w:customStyle="1" w:styleId="69">
    <w:name w:val="sub_title s0"/>
    <w:basedOn w:val="25"/>
    <w:autoRedefine/>
    <w:qFormat/>
    <w:uiPriority w:val="0"/>
  </w:style>
  <w:style w:type="character" w:customStyle="1" w:styleId="70">
    <w:name w:val="正文文本缩进 字符2"/>
    <w:link w:val="11"/>
    <w:autoRedefine/>
    <w:qFormat/>
    <w:uiPriority w:val="0"/>
    <w:rPr>
      <w:rFonts w:ascii="宋体" w:hAnsi="Courier New"/>
      <w:spacing w:val="-4"/>
      <w:sz w:val="18"/>
    </w:rPr>
  </w:style>
  <w:style w:type="character" w:customStyle="1" w:styleId="71">
    <w:name w:val="jbox-icon-error"/>
    <w:basedOn w:val="25"/>
    <w:autoRedefine/>
    <w:qFormat/>
    <w:uiPriority w:val="0"/>
  </w:style>
  <w:style w:type="character" w:customStyle="1" w:styleId="72">
    <w:name w:val="正文文本 2 字符"/>
    <w:basedOn w:val="25"/>
    <w:link w:val="19"/>
    <w:autoRedefine/>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autoRedefine/>
    <w:semiHidden/>
    <w:qFormat/>
    <w:uiPriority w:val="99"/>
    <w:rPr>
      <w:rFonts w:ascii="Arial" w:hAnsi="Arial" w:cs="Arial"/>
      <w:vanish/>
      <w:sz w:val="16"/>
      <w:szCs w:val="16"/>
    </w:rPr>
  </w:style>
  <w:style w:type="paragraph" w:customStyle="1" w:styleId="78">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autoRedefine/>
    <w:semiHidden/>
    <w:qFormat/>
    <w:uiPriority w:val="99"/>
  </w:style>
  <w:style w:type="character" w:customStyle="1" w:styleId="81">
    <w:name w:val="批注主题 字符1"/>
    <w:basedOn w:val="80"/>
    <w:autoRedefine/>
    <w:semiHidden/>
    <w:qFormat/>
    <w:uiPriority w:val="99"/>
    <w:rPr>
      <w:b/>
      <w:bCs/>
    </w:rPr>
  </w:style>
  <w:style w:type="character" w:customStyle="1" w:styleId="82">
    <w:name w:val="文档结构图 字符1"/>
    <w:basedOn w:val="25"/>
    <w:autoRedefine/>
    <w:semiHidden/>
    <w:qFormat/>
    <w:uiPriority w:val="99"/>
    <w:rPr>
      <w:rFonts w:ascii="Microsoft YaHei UI" w:eastAsia="Microsoft YaHei UI"/>
      <w:sz w:val="18"/>
      <w:szCs w:val="18"/>
    </w:rPr>
  </w:style>
  <w:style w:type="character" w:customStyle="1" w:styleId="83">
    <w:name w:val="正文文本 字符"/>
    <w:basedOn w:val="25"/>
    <w:link w:val="10"/>
    <w:autoRedefine/>
    <w:qFormat/>
    <w:uiPriority w:val="99"/>
    <w:rPr>
      <w:rFonts w:ascii="Times New Roman" w:hAnsi="Times New Roman" w:eastAsia="宋体" w:cs="Times New Roman"/>
      <w:sz w:val="28"/>
      <w:szCs w:val="24"/>
    </w:rPr>
  </w:style>
  <w:style w:type="character" w:customStyle="1" w:styleId="84">
    <w:name w:val="批注框文本 字符"/>
    <w:basedOn w:val="25"/>
    <w:link w:val="15"/>
    <w:autoRedefine/>
    <w:qFormat/>
    <w:uiPriority w:val="0"/>
    <w:rPr>
      <w:rFonts w:ascii="Times New Roman" w:hAnsi="Times New Roman" w:eastAsia="宋体" w:cs="Times New Roman"/>
      <w:sz w:val="18"/>
      <w:szCs w:val="18"/>
    </w:rPr>
  </w:style>
  <w:style w:type="character" w:customStyle="1" w:styleId="85">
    <w:name w:val="正文文本缩进 字符3"/>
    <w:basedOn w:val="25"/>
    <w:autoRedefine/>
    <w:semiHidden/>
    <w:qFormat/>
    <w:uiPriority w:val="99"/>
  </w:style>
  <w:style w:type="character" w:customStyle="1" w:styleId="86">
    <w:name w:val="日期 字符"/>
    <w:basedOn w:val="25"/>
    <w:link w:val="14"/>
    <w:autoRedefine/>
    <w:qFormat/>
    <w:uiPriority w:val="0"/>
    <w:rPr>
      <w:rFonts w:ascii="Times New Roman" w:hAnsi="Times New Roman" w:eastAsia="楷体_GB2312" w:cs="Times New Roman"/>
      <w:sz w:val="32"/>
      <w:szCs w:val="20"/>
    </w:rPr>
  </w:style>
  <w:style w:type="character" w:customStyle="1" w:styleId="87">
    <w:name w:val="纯文本 字符3"/>
    <w:basedOn w:val="25"/>
    <w:autoRedefine/>
    <w:semiHidden/>
    <w:qFormat/>
    <w:uiPriority w:val="99"/>
    <w:rPr>
      <w:rFonts w:hAnsi="Courier New" w:cs="Courier New" w:asciiTheme="minorEastAsia"/>
    </w:rPr>
  </w:style>
  <w:style w:type="character" w:customStyle="1" w:styleId="88">
    <w:name w:val="正文文本首行缩进 2 字符"/>
    <w:basedOn w:val="85"/>
    <w:link w:val="22"/>
    <w:autoRedefine/>
    <w:qFormat/>
    <w:uiPriority w:val="99"/>
    <w:rPr>
      <w:rFonts w:ascii="宋体" w:hAnsi="Courier New"/>
      <w:spacing w:val="-4"/>
      <w:sz w:val="18"/>
    </w:rPr>
  </w:style>
  <w:style w:type="character" w:customStyle="1" w:styleId="89">
    <w:name w:val="z-窗体底端 字符1"/>
    <w:basedOn w:val="25"/>
    <w:autoRedefine/>
    <w:semiHidden/>
    <w:qFormat/>
    <w:uiPriority w:val="99"/>
    <w:rPr>
      <w:rFonts w:ascii="Arial" w:hAnsi="Arial" w:cs="Arial"/>
      <w:vanish/>
      <w:sz w:val="16"/>
      <w:szCs w:val="16"/>
    </w:rPr>
  </w:style>
  <w:style w:type="paragraph" w:customStyle="1" w:styleId="90">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autoRedefine/>
    <w:qFormat/>
    <w:uiPriority w:val="0"/>
    <w:rPr>
      <w:rFonts w:ascii="Tahoma" w:hAnsi="Tahoma" w:eastAsia="宋体" w:cs="Times New Roman"/>
      <w:sz w:val="24"/>
      <w:szCs w:val="20"/>
    </w:rPr>
  </w:style>
  <w:style w:type="paragraph" w:customStyle="1" w:styleId="96">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7">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3">
    <w:name w:val="标题 10"/>
    <w:basedOn w:val="4"/>
    <w:autoRedefine/>
    <w:qFormat/>
    <w:uiPriority w:val="0"/>
    <w:pPr>
      <w:jc w:val="center"/>
    </w:pPr>
    <w:rPr>
      <w:kern w:val="0"/>
    </w:rPr>
  </w:style>
  <w:style w:type="character" w:customStyle="1" w:styleId="104">
    <w:name w:val="未处理的提及1"/>
    <w:autoRedefine/>
    <w:semiHidden/>
    <w:unhideWhenUsed/>
    <w:qFormat/>
    <w:uiPriority w:val="99"/>
    <w:rPr>
      <w:color w:val="605E5C"/>
      <w:shd w:val="clear" w:color="auto" w:fill="E1DFDD"/>
    </w:rPr>
  </w:style>
  <w:style w:type="character" w:customStyle="1" w:styleId="105">
    <w:name w:val="未处理的提及2"/>
    <w:basedOn w:val="25"/>
    <w:autoRedefine/>
    <w:semiHidden/>
    <w:unhideWhenUsed/>
    <w:qFormat/>
    <w:uiPriority w:val="99"/>
    <w:rPr>
      <w:color w:val="605E5C"/>
      <w:shd w:val="clear" w:color="auto" w:fill="E1DFDD"/>
    </w:rPr>
  </w:style>
  <w:style w:type="character" w:customStyle="1" w:styleId="106">
    <w:name w:val="Unresolved Mention"/>
    <w:basedOn w:val="25"/>
    <w:autoRedefine/>
    <w:semiHidden/>
    <w:unhideWhenUsed/>
    <w:qFormat/>
    <w:uiPriority w:val="99"/>
    <w:rPr>
      <w:color w:val="605E5C"/>
      <w:shd w:val="clear" w:color="auto" w:fill="E1DFDD"/>
    </w:rPr>
  </w:style>
  <w:style w:type="character" w:customStyle="1" w:styleId="107">
    <w:name w:val="正文2 Char Char"/>
    <w:link w:val="98"/>
    <w:autoRedefine/>
    <w:qFormat/>
    <w:uiPriority w:val="0"/>
    <w:rPr>
      <w:kern w:val="2"/>
      <w:sz w:val="24"/>
    </w:rPr>
  </w:style>
  <w:style w:type="table" w:customStyle="1" w:styleId="108">
    <w:name w:val="网格型1"/>
    <w:basedOn w:val="2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47</Pages>
  <Words>27887</Words>
  <Characters>29338</Characters>
  <Lines>220</Lines>
  <Paragraphs>61</Paragraphs>
  <TotalTime>13</TotalTime>
  <ScaleCrop>false</ScaleCrop>
  <LinksUpToDate>false</LinksUpToDate>
  <CharactersWithSpaces>30155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2025-06-18T02:43:44Z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D076C9A265264C83B7F50ABF9054EBBC_13</vt:lpwstr>
  </property>
</Properties>
</file>